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lang w:val="zh-CN"/>
        </w:rPr>
        <w:id w:val="997078802"/>
        <w:docPartObj>
          <w:docPartGallery w:val="Table of Contents"/>
          <w:docPartUnique/>
        </w:docPartObj>
      </w:sdtPr>
      <w:sdtEndPr>
        <w:rPr>
          <w:b/>
          <w:bCs/>
          <w:lang w:val="zh-CN"/>
        </w:rPr>
      </w:sdtEndPr>
      <w:sdtContent>
        <w:p>
          <w:pPr>
            <w:adjustRightInd w:val="0"/>
            <w:snapToGrid w:val="0"/>
            <w:jc w:val="center"/>
            <w:rPr>
              <w:rFonts w:ascii="宋体" w:hAnsi="宋体"/>
              <w:b/>
              <w:bCs/>
              <w:sz w:val="36"/>
              <w:szCs w:val="36"/>
            </w:rPr>
          </w:pPr>
          <w:bookmarkStart w:id="0" w:name="_Toc163373161"/>
          <w:bookmarkStart w:id="1" w:name="_Toc215484934"/>
          <w:bookmarkStart w:id="2" w:name="_Toc175469002"/>
          <w:bookmarkStart w:id="3" w:name="_Toc209595447"/>
          <w:bookmarkStart w:id="4" w:name="_Toc324671604"/>
          <w:bookmarkStart w:id="5" w:name="_Toc370992969"/>
          <w:bookmarkStart w:id="6" w:name="_Toc11713"/>
          <w:bookmarkStart w:id="7" w:name="_Toc149705135"/>
          <w:bookmarkStart w:id="8" w:name="_Toc188349438"/>
          <w:bookmarkStart w:id="9" w:name="_Toc146967236"/>
          <w:bookmarkStart w:id="10" w:name="_Hlk121216725"/>
          <w:bookmarkEnd w:id="10"/>
          <w:r>
            <w:rPr>
              <w:rFonts w:ascii="宋体" w:hAnsi="宋体"/>
              <w:b/>
              <w:bCs/>
              <w:sz w:val="36"/>
              <w:szCs w:val="36"/>
            </w:rPr>
            <w:t>目</w:t>
          </w:r>
          <w:r>
            <w:rPr>
              <w:rFonts w:hint="eastAsia" w:ascii="宋体" w:hAnsi="宋体"/>
              <w:b/>
              <w:bCs/>
              <w:sz w:val="36"/>
              <w:szCs w:val="36"/>
            </w:rPr>
            <w:t xml:space="preserve"> </w:t>
          </w:r>
          <w:r>
            <w:rPr>
              <w:rFonts w:ascii="宋体" w:hAnsi="宋体"/>
              <w:b/>
              <w:bCs/>
              <w:sz w:val="36"/>
              <w:szCs w:val="36"/>
            </w:rPr>
            <w:t>录</w:t>
          </w:r>
        </w:p>
        <w:p>
          <w:pPr>
            <w:pStyle w:val="689"/>
            <w:adjustRightInd w:val="0"/>
            <w:snapToGrid w:val="0"/>
            <w:spacing w:before="0"/>
            <w:rPr>
              <w:color w:val="auto"/>
            </w:rPr>
          </w:pPr>
        </w:p>
        <w:p>
          <w:pPr>
            <w:pStyle w:val="37"/>
            <w:tabs>
              <w:tab w:val="right" w:leader="dot" w:pos="8211"/>
            </w:tabs>
            <w:rPr>
              <w:rFonts w:ascii="Times New Roman" w:hAnsi="Times New Roman"/>
              <w:b w:val="0"/>
              <w:bCs w:val="0"/>
              <w:caps w:val="0"/>
              <w:sz w:val="24"/>
              <w:szCs w:val="24"/>
              <w14:ligatures w14:val="standardContextual"/>
            </w:rPr>
          </w:pPr>
          <w:r>
            <w:rPr>
              <w:rFonts w:ascii="Times New Roman" w:hAnsi="Times New Roman"/>
              <w:sz w:val="24"/>
              <w:szCs w:val="24"/>
            </w:rPr>
            <w:fldChar w:fldCharType="begin"/>
          </w:r>
          <w:r>
            <w:rPr>
              <w:rFonts w:ascii="Times New Roman" w:hAnsi="Times New Roman"/>
              <w:sz w:val="24"/>
              <w:szCs w:val="24"/>
            </w:rPr>
            <w:instrText xml:space="preserve"> TOC \o "1-3" \h \z \u </w:instrText>
          </w:r>
          <w:r>
            <w:rPr>
              <w:rFonts w:ascii="Times New Roman" w:hAnsi="Times New Roman"/>
              <w:sz w:val="24"/>
              <w:szCs w:val="24"/>
            </w:rPr>
            <w:fldChar w:fldCharType="separate"/>
          </w:r>
          <w:r>
            <w:fldChar w:fldCharType="begin"/>
          </w:r>
          <w:r>
            <w:instrText xml:space="preserve"> HYPERLINK \l "_Toc145580338" </w:instrText>
          </w:r>
          <w:r>
            <w:fldChar w:fldCharType="separate"/>
          </w:r>
          <w:r>
            <w:rPr>
              <w:rStyle w:val="63"/>
              <w:rFonts w:ascii="Times New Roman" w:hAnsi="Times New Roman" w:cs="Times New Roman"/>
              <w:szCs w:val="24"/>
            </w:rPr>
            <w:t>概述</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_Toc145580338 \h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"_Toc145580339" </w:instrText>
          </w:r>
          <w:r>
            <w:fldChar w:fldCharType="separate"/>
          </w:r>
          <w:r>
            <w:rPr>
              <w:rStyle w:val="63"/>
              <w:rFonts w:ascii="Times New Roman" w:hAnsi="Times New Roman" w:cs="Times New Roman"/>
              <w:szCs w:val="24"/>
            </w:rPr>
            <w:t>1建设项目特点</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_Toc145580339 \h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"_Toc145580340" </w:instrText>
          </w:r>
          <w:r>
            <w:fldChar w:fldCharType="separate"/>
          </w:r>
          <w:r>
            <w:rPr>
              <w:rStyle w:val="63"/>
              <w:rFonts w:ascii="Times New Roman" w:hAnsi="Times New Roman" w:cs="Times New Roman"/>
              <w:szCs w:val="24"/>
            </w:rPr>
            <w:t>2环境影响评价工作过程</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_Toc145580340 \h </w:instrText>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"_Toc145580341" </w:instrText>
          </w:r>
          <w:r>
            <w:fldChar w:fldCharType="separate"/>
          </w:r>
          <w:r>
            <w:rPr>
              <w:rStyle w:val="63"/>
              <w:rFonts w:ascii="Times New Roman" w:hAnsi="Times New Roman" w:cs="Times New Roman"/>
              <w:szCs w:val="24"/>
            </w:rPr>
            <w:t>3分析判定相关情况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_Toc145580341 \h </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"_Toc145580342" </w:instrText>
          </w:r>
          <w:r>
            <w:fldChar w:fldCharType="separate"/>
          </w:r>
          <w:r>
            <w:rPr>
              <w:rStyle w:val="63"/>
              <w:rFonts w:ascii="Times New Roman" w:hAnsi="Times New Roman" w:cs="Times New Roman"/>
              <w:szCs w:val="24"/>
            </w:rPr>
            <w:t>4关注的主要环境问题及环境影响</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_Toc145580342 \h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"_Toc145580343" </w:instrText>
          </w:r>
          <w:r>
            <w:fldChar w:fldCharType="separate"/>
          </w:r>
          <w:r>
            <w:rPr>
              <w:rStyle w:val="63"/>
              <w:rFonts w:ascii="Times New Roman" w:hAnsi="Times New Roman" w:cs="Times New Roman"/>
              <w:szCs w:val="24"/>
            </w:rPr>
            <w:t>5环境影响报告书的主要结论</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_Toc145580343 \h </w:instrText>
          </w:r>
          <w:r>
            <w:rPr>
              <w:rFonts w:ascii="Times New Roman" w:hAnsi="Times New Roman"/>
              <w:sz w:val="24"/>
              <w:szCs w:val="24"/>
            </w:rPr>
            <w:fldChar w:fldCharType="separate"/>
          </w:r>
          <w:r>
            <w:rPr>
              <w:rFonts w:ascii="Times New Roman" w:hAnsi="Times New Roman"/>
              <w:sz w:val="24"/>
              <w:szCs w:val="24"/>
            </w:rPr>
            <w:t>5</w:t>
          </w:r>
          <w:r>
            <w:rPr>
              <w:rFonts w:ascii="Times New Roman" w:hAnsi="Times New Roman"/>
              <w:sz w:val="24"/>
              <w:szCs w:val="24"/>
            </w:rPr>
            <w:fldChar w:fldCharType="end"/>
          </w:r>
          <w:r>
            <w:rPr>
              <w:rFonts w:ascii="Times New Roman" w:hAnsi="Times New Roman"/>
              <w:sz w:val="24"/>
              <w:szCs w:val="24"/>
            </w:rPr>
            <w:fldChar w:fldCharType="end"/>
          </w:r>
        </w:p>
        <w:p>
          <w:pPr>
            <w:pStyle w:val="37"/>
            <w:tabs>
              <w:tab w:val="right" w:leader="dot" w:pos="8211"/>
            </w:tabs>
            <w:rPr>
              <w:rFonts w:ascii="Times New Roman" w:hAnsi="Times New Roman"/>
              <w:b w:val="0"/>
              <w:bCs w:val="0"/>
              <w:caps w:val="0"/>
              <w:sz w:val="24"/>
              <w:szCs w:val="24"/>
              <w14:ligatures w14:val="standardContextual"/>
            </w:rPr>
          </w:pPr>
          <w:r>
            <w:fldChar w:fldCharType="begin"/>
          </w:r>
          <w:r>
            <w:instrText xml:space="preserve"> HYPERLINK \l "_Toc145580344" </w:instrText>
          </w:r>
          <w:r>
            <w:fldChar w:fldCharType="separate"/>
          </w:r>
          <w:r>
            <w:rPr>
              <w:rStyle w:val="63"/>
              <w:rFonts w:ascii="Times New Roman" w:hAnsi="Times New Roman" w:cs="Times New Roman"/>
              <w:szCs w:val="24"/>
            </w:rPr>
            <w:t>1  总则</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_Toc145580344 \h </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"_Toc145580345" </w:instrText>
          </w:r>
          <w:r>
            <w:fldChar w:fldCharType="separate"/>
          </w:r>
          <w:r>
            <w:rPr>
              <w:rStyle w:val="63"/>
              <w:rFonts w:ascii="Times New Roman" w:hAnsi="Times New Roman" w:cs="Times New Roman"/>
              <w:szCs w:val="24"/>
            </w:rPr>
            <w:t>1.1 编制依据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_Toc145580345 \h </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"_Toc145580346" </w:instrText>
          </w:r>
          <w:r>
            <w:fldChar w:fldCharType="separate"/>
          </w:r>
          <w:r>
            <w:rPr>
              <w:rStyle w:val="63"/>
              <w:rFonts w:ascii="Times New Roman" w:hAnsi="Times New Roman" w:cs="Times New Roman"/>
              <w:szCs w:val="24"/>
            </w:rPr>
            <w:t>1.2 评价目的与原则</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_Toc145580346 \h </w:instrText>
          </w:r>
          <w:r>
            <w:rPr>
              <w:rFonts w:ascii="Times New Roman" w:hAnsi="Times New Roman"/>
              <w:sz w:val="24"/>
              <w:szCs w:val="24"/>
            </w:rPr>
            <w:fldChar w:fldCharType="separate"/>
          </w:r>
          <w:r>
            <w:rPr>
              <w:rFonts w:ascii="Times New Roman" w:hAnsi="Times New Roman"/>
              <w:sz w:val="24"/>
              <w:szCs w:val="24"/>
            </w:rPr>
            <w:t>8</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"_Toc145580347" </w:instrText>
          </w:r>
          <w:r>
            <w:fldChar w:fldCharType="separate"/>
          </w:r>
          <w:r>
            <w:rPr>
              <w:rStyle w:val="63"/>
              <w:rFonts w:ascii="Times New Roman" w:hAnsi="Times New Roman" w:cs="Times New Roman"/>
              <w:i w:val="0"/>
              <w:iCs w:val="0"/>
              <w:szCs w:val="24"/>
            </w:rPr>
            <w:t>1.2.1评价目的</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_Toc145580347 \h </w:instrText>
          </w:r>
          <w:r>
            <w:rPr>
              <w:rFonts w:ascii="Times New Roman" w:hAnsi="Times New Roman"/>
              <w:i w:val="0"/>
              <w:iCs w:val="0"/>
              <w:sz w:val="24"/>
              <w:szCs w:val="24"/>
            </w:rPr>
            <w:fldChar w:fldCharType="separate"/>
          </w:r>
          <w:r>
            <w:rPr>
              <w:rFonts w:ascii="Times New Roman" w:hAnsi="Times New Roman"/>
              <w:i w:val="0"/>
              <w:iCs w:val="0"/>
              <w:sz w:val="24"/>
              <w:szCs w:val="24"/>
            </w:rPr>
            <w:t>8</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"_Toc145580348" </w:instrText>
          </w:r>
          <w:r>
            <w:fldChar w:fldCharType="separate"/>
          </w:r>
          <w:r>
            <w:rPr>
              <w:rStyle w:val="63"/>
              <w:rFonts w:ascii="Times New Roman" w:hAnsi="Times New Roman" w:cs="Times New Roman"/>
              <w:i w:val="0"/>
              <w:iCs w:val="0"/>
              <w:szCs w:val="24"/>
            </w:rPr>
            <w:t>1.2.2评价原则</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_Toc145580348 \h </w:instrText>
          </w:r>
          <w:r>
            <w:rPr>
              <w:rFonts w:ascii="Times New Roman" w:hAnsi="Times New Roman"/>
              <w:i w:val="0"/>
              <w:iCs w:val="0"/>
              <w:sz w:val="24"/>
              <w:szCs w:val="24"/>
            </w:rPr>
            <w:fldChar w:fldCharType="separate"/>
          </w:r>
          <w:r>
            <w:rPr>
              <w:rFonts w:ascii="Times New Roman" w:hAnsi="Times New Roman"/>
              <w:i w:val="0"/>
              <w:iCs w:val="0"/>
              <w:sz w:val="24"/>
              <w:szCs w:val="24"/>
            </w:rPr>
            <w:t>9</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"_Toc145580349" </w:instrText>
          </w:r>
          <w:r>
            <w:fldChar w:fldCharType="separate"/>
          </w:r>
          <w:r>
            <w:rPr>
              <w:rStyle w:val="63"/>
              <w:rFonts w:ascii="Times New Roman" w:hAnsi="Times New Roman" w:cs="Times New Roman"/>
              <w:szCs w:val="24"/>
            </w:rPr>
            <w:t>1.3 环境影响要素识别及评价因子变化</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_Toc145580349 \h </w:instrText>
          </w:r>
          <w:r>
            <w:rPr>
              <w:rFonts w:ascii="Times New Roman" w:hAnsi="Times New Roman"/>
              <w:sz w:val="24"/>
              <w:szCs w:val="24"/>
            </w:rPr>
            <w:fldChar w:fldCharType="separate"/>
          </w:r>
          <w:r>
            <w:rPr>
              <w:rFonts w:ascii="Times New Roman" w:hAnsi="Times New Roman"/>
              <w:sz w:val="24"/>
              <w:szCs w:val="24"/>
            </w:rPr>
            <w:t>9</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"_Toc145580350" </w:instrText>
          </w:r>
          <w:r>
            <w:fldChar w:fldCharType="separate"/>
          </w:r>
          <w:r>
            <w:rPr>
              <w:rStyle w:val="63"/>
              <w:rFonts w:ascii="Times New Roman" w:hAnsi="Times New Roman" w:cs="Times New Roman"/>
              <w:i w:val="0"/>
              <w:iCs w:val="0"/>
              <w:szCs w:val="24"/>
            </w:rPr>
            <w:t>1.3.1环境影响要素识别</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_Toc145580350 \h </w:instrText>
          </w:r>
          <w:r>
            <w:rPr>
              <w:rFonts w:ascii="Times New Roman" w:hAnsi="Times New Roman"/>
              <w:i w:val="0"/>
              <w:iCs w:val="0"/>
              <w:sz w:val="24"/>
              <w:szCs w:val="24"/>
            </w:rPr>
            <w:fldChar w:fldCharType="separate"/>
          </w:r>
          <w:r>
            <w:rPr>
              <w:rFonts w:ascii="Times New Roman" w:hAnsi="Times New Roman"/>
              <w:i w:val="0"/>
              <w:iCs w:val="0"/>
              <w:sz w:val="24"/>
              <w:szCs w:val="24"/>
            </w:rPr>
            <w:t>9</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"_Toc145580351" </w:instrText>
          </w:r>
          <w:r>
            <w:fldChar w:fldCharType="separate"/>
          </w:r>
          <w:r>
            <w:rPr>
              <w:rStyle w:val="63"/>
              <w:rFonts w:ascii="Times New Roman" w:hAnsi="Times New Roman" w:cs="Times New Roman"/>
              <w:i w:val="0"/>
              <w:iCs w:val="0"/>
              <w:szCs w:val="24"/>
            </w:rPr>
            <w:t>1.3.2评价因子筛选</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_Toc145580351 \h </w:instrText>
          </w:r>
          <w:r>
            <w:rPr>
              <w:rFonts w:ascii="Times New Roman" w:hAnsi="Times New Roman"/>
              <w:i w:val="0"/>
              <w:iCs w:val="0"/>
              <w:sz w:val="24"/>
              <w:szCs w:val="24"/>
            </w:rPr>
            <w:fldChar w:fldCharType="separate"/>
          </w:r>
          <w:r>
            <w:rPr>
              <w:rFonts w:ascii="Times New Roman" w:hAnsi="Times New Roman"/>
              <w:i w:val="0"/>
              <w:iCs w:val="0"/>
              <w:sz w:val="24"/>
              <w:szCs w:val="24"/>
            </w:rPr>
            <w:t>10</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"_Toc145580352" </w:instrText>
          </w:r>
          <w:r>
            <w:fldChar w:fldCharType="separate"/>
          </w:r>
          <w:r>
            <w:rPr>
              <w:rStyle w:val="63"/>
              <w:rFonts w:ascii="Times New Roman" w:hAnsi="Times New Roman" w:cs="Times New Roman"/>
              <w:szCs w:val="24"/>
            </w:rPr>
            <w:t>1.4 环境功能区划及评价标准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_Toc145580352 \h </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"_Toc145580353" </w:instrText>
          </w:r>
          <w:r>
            <w:fldChar w:fldCharType="separate"/>
          </w:r>
          <w:r>
            <w:rPr>
              <w:rStyle w:val="63"/>
              <w:rFonts w:ascii="Times New Roman" w:hAnsi="Times New Roman" w:cs="Times New Roman"/>
              <w:i w:val="0"/>
              <w:iCs w:val="0"/>
              <w:szCs w:val="24"/>
            </w:rPr>
            <w:t>1.4.1环境功能区划</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_Toc145580353 \h </w:instrText>
          </w:r>
          <w:r>
            <w:rPr>
              <w:rFonts w:ascii="Times New Roman" w:hAnsi="Times New Roman"/>
              <w:i w:val="0"/>
              <w:iCs w:val="0"/>
              <w:sz w:val="24"/>
              <w:szCs w:val="24"/>
            </w:rPr>
            <w:fldChar w:fldCharType="separate"/>
          </w:r>
          <w:r>
            <w:rPr>
              <w:rFonts w:ascii="Times New Roman" w:hAnsi="Times New Roman"/>
              <w:i w:val="0"/>
              <w:iCs w:val="0"/>
              <w:sz w:val="24"/>
              <w:szCs w:val="24"/>
            </w:rPr>
            <w:t>10</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"_Toc145580354" </w:instrText>
          </w:r>
          <w:r>
            <w:fldChar w:fldCharType="separate"/>
          </w:r>
          <w:r>
            <w:rPr>
              <w:rStyle w:val="63"/>
              <w:rFonts w:ascii="Times New Roman" w:hAnsi="Times New Roman" w:cs="Times New Roman"/>
              <w:i w:val="0"/>
              <w:iCs w:val="0"/>
              <w:szCs w:val="24"/>
            </w:rPr>
            <w:t>1.4.2评价标准</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_Toc145580354 \h </w:instrText>
          </w:r>
          <w:r>
            <w:rPr>
              <w:rFonts w:ascii="Times New Roman" w:hAnsi="Times New Roman"/>
              <w:i w:val="0"/>
              <w:iCs w:val="0"/>
              <w:sz w:val="24"/>
              <w:szCs w:val="24"/>
            </w:rPr>
            <w:fldChar w:fldCharType="separate"/>
          </w:r>
          <w:r>
            <w:rPr>
              <w:rFonts w:ascii="Times New Roman" w:hAnsi="Times New Roman"/>
              <w:i w:val="0"/>
              <w:iCs w:val="0"/>
              <w:sz w:val="24"/>
              <w:szCs w:val="24"/>
            </w:rPr>
            <w:t>11</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"_Toc145580355" </w:instrText>
          </w:r>
          <w:r>
            <w:fldChar w:fldCharType="separate"/>
          </w:r>
          <w:r>
            <w:rPr>
              <w:rStyle w:val="63"/>
              <w:rFonts w:ascii="Times New Roman" w:hAnsi="Times New Roman" w:cs="Times New Roman"/>
              <w:szCs w:val="24"/>
            </w:rPr>
            <w:t>1.5 评价等级与评价范围</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_Toc145580355 \h </w:instrText>
          </w:r>
          <w:r>
            <w:rPr>
              <w:rFonts w:ascii="Times New Roman" w:hAnsi="Times New Roman"/>
              <w:sz w:val="24"/>
              <w:szCs w:val="24"/>
            </w:rPr>
            <w:fldChar w:fldCharType="separate"/>
          </w:r>
          <w:r>
            <w:rPr>
              <w:rFonts w:ascii="Times New Roman" w:hAnsi="Times New Roman"/>
              <w:sz w:val="24"/>
              <w:szCs w:val="24"/>
            </w:rPr>
            <w:t>15</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"_Toc145580356" </w:instrText>
          </w:r>
          <w:r>
            <w:fldChar w:fldCharType="separate"/>
          </w:r>
          <w:r>
            <w:rPr>
              <w:rStyle w:val="63"/>
              <w:rFonts w:ascii="Times New Roman" w:hAnsi="Times New Roman" w:cs="Times New Roman"/>
              <w:i w:val="0"/>
              <w:iCs w:val="0"/>
              <w:szCs w:val="24"/>
            </w:rPr>
            <w:t>1.5.1评价工作等级</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_Toc145580356 \h </w:instrText>
          </w:r>
          <w:r>
            <w:rPr>
              <w:rFonts w:ascii="Times New Roman" w:hAnsi="Times New Roman"/>
              <w:i w:val="0"/>
              <w:iCs w:val="0"/>
              <w:sz w:val="24"/>
              <w:szCs w:val="24"/>
            </w:rPr>
            <w:fldChar w:fldCharType="separate"/>
          </w:r>
          <w:r>
            <w:rPr>
              <w:rFonts w:ascii="Times New Roman" w:hAnsi="Times New Roman"/>
              <w:i w:val="0"/>
              <w:iCs w:val="0"/>
              <w:sz w:val="24"/>
              <w:szCs w:val="24"/>
            </w:rPr>
            <w:t>15</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"_Toc145580357" </w:instrText>
          </w:r>
          <w:r>
            <w:fldChar w:fldCharType="separate"/>
          </w:r>
          <w:r>
            <w:rPr>
              <w:rStyle w:val="63"/>
              <w:rFonts w:ascii="Times New Roman" w:hAnsi="Times New Roman" w:cs="Times New Roman"/>
              <w:i w:val="0"/>
              <w:iCs w:val="0"/>
              <w:szCs w:val="24"/>
            </w:rPr>
            <w:t>1.5.2评价范围</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_Toc145580357 \h </w:instrText>
          </w:r>
          <w:r>
            <w:rPr>
              <w:rFonts w:ascii="Times New Roman" w:hAnsi="Times New Roman"/>
              <w:i w:val="0"/>
              <w:iCs w:val="0"/>
              <w:sz w:val="24"/>
              <w:szCs w:val="24"/>
            </w:rPr>
            <w:fldChar w:fldCharType="separate"/>
          </w:r>
          <w:r>
            <w:rPr>
              <w:rFonts w:ascii="Times New Roman" w:hAnsi="Times New Roman"/>
              <w:i w:val="0"/>
              <w:iCs w:val="0"/>
              <w:sz w:val="24"/>
              <w:szCs w:val="24"/>
            </w:rPr>
            <w:t>21</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"_Toc145580358" </w:instrText>
          </w:r>
          <w:r>
            <w:fldChar w:fldCharType="separate"/>
          </w:r>
          <w:r>
            <w:rPr>
              <w:rStyle w:val="63"/>
              <w:rFonts w:ascii="Times New Roman" w:hAnsi="Times New Roman" w:cs="Times New Roman"/>
              <w:szCs w:val="24"/>
            </w:rPr>
            <w:t>1.6 环境保护目标</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_Toc145580358 \h </w:instrText>
          </w:r>
          <w:r>
            <w:rPr>
              <w:rFonts w:ascii="Times New Roman" w:hAnsi="Times New Roman"/>
              <w:sz w:val="24"/>
              <w:szCs w:val="24"/>
            </w:rPr>
            <w:fldChar w:fldCharType="separate"/>
          </w:r>
          <w:r>
            <w:rPr>
              <w:rFonts w:ascii="Times New Roman" w:hAnsi="Times New Roman"/>
              <w:sz w:val="24"/>
              <w:szCs w:val="24"/>
            </w:rPr>
            <w:t>21</w:t>
          </w:r>
          <w:r>
            <w:rPr>
              <w:rFonts w:ascii="Times New Roman" w:hAnsi="Times New Roman"/>
              <w:sz w:val="24"/>
              <w:szCs w:val="24"/>
            </w:rPr>
            <w:fldChar w:fldCharType="end"/>
          </w:r>
          <w:r>
            <w:rPr>
              <w:rFonts w:ascii="Times New Roman" w:hAnsi="Times New Roman"/>
              <w:sz w:val="24"/>
              <w:szCs w:val="24"/>
            </w:rPr>
            <w:fldChar w:fldCharType="end"/>
          </w:r>
        </w:p>
        <w:p>
          <w:pPr>
            <w:pStyle w:val="37"/>
            <w:tabs>
              <w:tab w:val="right" w:leader="dot" w:pos="8211"/>
            </w:tabs>
            <w:rPr>
              <w:rFonts w:ascii="Times New Roman" w:hAnsi="Times New Roman"/>
              <w:b w:val="0"/>
              <w:bCs w:val="0"/>
              <w:caps w:val="0"/>
              <w:sz w:val="24"/>
              <w:szCs w:val="24"/>
              <w14:ligatures w14:val="standardContextual"/>
            </w:rPr>
          </w:pPr>
          <w:r>
            <w:fldChar w:fldCharType="begin"/>
          </w:r>
          <w:r>
            <w:instrText xml:space="preserve"> HYPERLINK \l "_Toc145580359" </w:instrText>
          </w:r>
          <w:r>
            <w:fldChar w:fldCharType="separate"/>
          </w:r>
          <w:r>
            <w:rPr>
              <w:rStyle w:val="63"/>
              <w:rFonts w:ascii="Times New Roman" w:hAnsi="Times New Roman" w:cs="Times New Roman"/>
              <w:szCs w:val="24"/>
            </w:rPr>
            <w:t>2  现有工程概况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_Toc145580359 \h </w:instrText>
          </w:r>
          <w:r>
            <w:rPr>
              <w:rFonts w:ascii="Times New Roman" w:hAnsi="Times New Roman"/>
              <w:sz w:val="24"/>
              <w:szCs w:val="24"/>
            </w:rPr>
            <w:fldChar w:fldCharType="separate"/>
          </w:r>
          <w:r>
            <w:rPr>
              <w:rFonts w:ascii="Times New Roman" w:hAnsi="Times New Roman"/>
              <w:sz w:val="24"/>
              <w:szCs w:val="24"/>
            </w:rPr>
            <w:t>23</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"_Toc145580360" </w:instrText>
          </w:r>
          <w:r>
            <w:fldChar w:fldCharType="separate"/>
          </w:r>
          <w:r>
            <w:rPr>
              <w:rStyle w:val="63"/>
              <w:rFonts w:ascii="Times New Roman" w:hAnsi="Times New Roman" w:cs="Times New Roman"/>
              <w:szCs w:val="24"/>
            </w:rPr>
            <w:t>2.1 现有工程概况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_Toc145580360 \h </w:instrText>
          </w:r>
          <w:r>
            <w:rPr>
              <w:rFonts w:ascii="Times New Roman" w:hAnsi="Times New Roman"/>
              <w:sz w:val="24"/>
              <w:szCs w:val="24"/>
            </w:rPr>
            <w:fldChar w:fldCharType="separate"/>
          </w:r>
          <w:r>
            <w:rPr>
              <w:rFonts w:ascii="Times New Roman" w:hAnsi="Times New Roman"/>
              <w:sz w:val="24"/>
              <w:szCs w:val="24"/>
            </w:rPr>
            <w:t>23</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"_Toc145580361" </w:instrText>
          </w:r>
          <w:r>
            <w:fldChar w:fldCharType="separate"/>
          </w:r>
          <w:r>
            <w:rPr>
              <w:rStyle w:val="63"/>
              <w:rFonts w:ascii="Times New Roman" w:hAnsi="Times New Roman" w:cs="Times New Roman"/>
              <w:i w:val="0"/>
              <w:iCs w:val="0"/>
              <w:szCs w:val="24"/>
            </w:rPr>
            <w:t>2.1.1现有工程基本情况</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_Toc145580361 \h </w:instrText>
          </w:r>
          <w:r>
            <w:rPr>
              <w:rFonts w:ascii="Times New Roman" w:hAnsi="Times New Roman"/>
              <w:i w:val="0"/>
              <w:iCs w:val="0"/>
              <w:sz w:val="24"/>
              <w:szCs w:val="24"/>
            </w:rPr>
            <w:fldChar w:fldCharType="separate"/>
          </w:r>
          <w:r>
            <w:rPr>
              <w:rFonts w:ascii="Times New Roman" w:hAnsi="Times New Roman"/>
              <w:i w:val="0"/>
              <w:iCs w:val="0"/>
              <w:sz w:val="24"/>
              <w:szCs w:val="24"/>
            </w:rPr>
            <w:t>23</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"_Toc145580362" </w:instrText>
          </w:r>
          <w:r>
            <w:fldChar w:fldCharType="separate"/>
          </w:r>
          <w:r>
            <w:rPr>
              <w:rStyle w:val="63"/>
              <w:rFonts w:ascii="Times New Roman" w:hAnsi="Times New Roman" w:cs="Times New Roman"/>
              <w:i w:val="0"/>
              <w:iCs w:val="0"/>
              <w:szCs w:val="24"/>
            </w:rPr>
            <w:t>2.1.1现有工程建设情况</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_Toc145580362 \h </w:instrText>
          </w:r>
          <w:r>
            <w:rPr>
              <w:rFonts w:ascii="Times New Roman" w:hAnsi="Times New Roman"/>
              <w:i w:val="0"/>
              <w:iCs w:val="0"/>
              <w:sz w:val="24"/>
              <w:szCs w:val="24"/>
            </w:rPr>
            <w:fldChar w:fldCharType="separate"/>
          </w:r>
          <w:r>
            <w:rPr>
              <w:rFonts w:ascii="Times New Roman" w:hAnsi="Times New Roman"/>
              <w:i w:val="0"/>
              <w:iCs w:val="0"/>
              <w:sz w:val="24"/>
              <w:szCs w:val="24"/>
            </w:rPr>
            <w:t>23</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"_Toc145580363" </w:instrText>
          </w:r>
          <w:r>
            <w:fldChar w:fldCharType="separate"/>
          </w:r>
          <w:r>
            <w:rPr>
              <w:rStyle w:val="63"/>
              <w:rFonts w:ascii="Times New Roman" w:hAnsi="Times New Roman" w:cs="Times New Roman"/>
              <w:i w:val="0"/>
              <w:iCs w:val="0"/>
              <w:szCs w:val="24"/>
            </w:rPr>
            <w:t>2.1.2现有工程产品方案</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_Toc145580363 \h </w:instrText>
          </w:r>
          <w:r>
            <w:rPr>
              <w:rFonts w:ascii="Times New Roman" w:hAnsi="Times New Roman"/>
              <w:i w:val="0"/>
              <w:iCs w:val="0"/>
              <w:sz w:val="24"/>
              <w:szCs w:val="24"/>
            </w:rPr>
            <w:fldChar w:fldCharType="separate"/>
          </w:r>
          <w:r>
            <w:rPr>
              <w:rFonts w:ascii="Times New Roman" w:hAnsi="Times New Roman"/>
              <w:i w:val="0"/>
              <w:iCs w:val="0"/>
              <w:sz w:val="24"/>
              <w:szCs w:val="24"/>
            </w:rPr>
            <w:t>24</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"_Toc145580364" </w:instrText>
          </w:r>
          <w:r>
            <w:fldChar w:fldCharType="separate"/>
          </w:r>
          <w:r>
            <w:rPr>
              <w:rStyle w:val="63"/>
              <w:rFonts w:ascii="Times New Roman" w:hAnsi="Times New Roman" w:cs="Times New Roman"/>
              <w:i w:val="0"/>
              <w:iCs w:val="0"/>
              <w:szCs w:val="24"/>
            </w:rPr>
            <w:t>2.1.3现有工程主要生产设备</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_Toc145580364 \h </w:instrText>
          </w:r>
          <w:r>
            <w:rPr>
              <w:rFonts w:ascii="Times New Roman" w:hAnsi="Times New Roman"/>
              <w:i w:val="0"/>
              <w:iCs w:val="0"/>
              <w:sz w:val="24"/>
              <w:szCs w:val="24"/>
            </w:rPr>
            <w:fldChar w:fldCharType="separate"/>
          </w:r>
          <w:r>
            <w:rPr>
              <w:rFonts w:ascii="Times New Roman" w:hAnsi="Times New Roman"/>
              <w:i w:val="0"/>
              <w:iCs w:val="0"/>
              <w:sz w:val="24"/>
              <w:szCs w:val="24"/>
            </w:rPr>
            <w:t>24</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"_Toc145580365" </w:instrText>
          </w:r>
          <w:r>
            <w:fldChar w:fldCharType="separate"/>
          </w:r>
          <w:r>
            <w:rPr>
              <w:rStyle w:val="63"/>
              <w:rFonts w:ascii="Times New Roman" w:hAnsi="Times New Roman" w:cs="Times New Roman"/>
              <w:i w:val="0"/>
              <w:iCs w:val="0"/>
              <w:szCs w:val="24"/>
            </w:rPr>
            <w:t>2.1.4现有工程平面布置</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_Toc145580365 \h </w:instrText>
          </w:r>
          <w:r>
            <w:rPr>
              <w:rFonts w:ascii="Times New Roman" w:hAnsi="Times New Roman"/>
              <w:i w:val="0"/>
              <w:iCs w:val="0"/>
              <w:sz w:val="24"/>
              <w:szCs w:val="24"/>
            </w:rPr>
            <w:fldChar w:fldCharType="separate"/>
          </w:r>
          <w:r>
            <w:rPr>
              <w:rFonts w:ascii="Times New Roman" w:hAnsi="Times New Roman"/>
              <w:i w:val="0"/>
              <w:iCs w:val="0"/>
              <w:sz w:val="24"/>
              <w:szCs w:val="24"/>
            </w:rPr>
            <w:t>25</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"_Toc145580366" </w:instrText>
          </w:r>
          <w:r>
            <w:fldChar w:fldCharType="separate"/>
          </w:r>
          <w:r>
            <w:rPr>
              <w:rStyle w:val="63"/>
              <w:rFonts w:ascii="Times New Roman" w:hAnsi="Times New Roman" w:cs="Times New Roman"/>
              <w:i w:val="0"/>
              <w:iCs w:val="0"/>
              <w:szCs w:val="24"/>
            </w:rPr>
            <w:t>2.1.5现有公用工程</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_Toc145580366 \h </w:instrText>
          </w:r>
          <w:r>
            <w:rPr>
              <w:rFonts w:ascii="Times New Roman" w:hAnsi="Times New Roman"/>
              <w:i w:val="0"/>
              <w:iCs w:val="0"/>
              <w:sz w:val="24"/>
              <w:szCs w:val="24"/>
            </w:rPr>
            <w:fldChar w:fldCharType="separate"/>
          </w:r>
          <w:r>
            <w:rPr>
              <w:rFonts w:ascii="Times New Roman" w:hAnsi="Times New Roman"/>
              <w:i w:val="0"/>
              <w:iCs w:val="0"/>
              <w:sz w:val="24"/>
              <w:szCs w:val="24"/>
            </w:rPr>
            <w:t>25</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"_Toc145580367" </w:instrText>
          </w:r>
          <w:r>
            <w:fldChar w:fldCharType="separate"/>
          </w:r>
          <w:r>
            <w:rPr>
              <w:rStyle w:val="63"/>
              <w:rFonts w:ascii="Times New Roman" w:hAnsi="Times New Roman" w:cs="Times New Roman"/>
              <w:szCs w:val="24"/>
            </w:rPr>
            <w:t>2.2 现有工程工艺分析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_Toc145580367 \h </w:instrText>
          </w:r>
          <w:r>
            <w:rPr>
              <w:rFonts w:ascii="Times New Roman" w:hAnsi="Times New Roman"/>
              <w:sz w:val="24"/>
              <w:szCs w:val="24"/>
            </w:rPr>
            <w:fldChar w:fldCharType="separate"/>
          </w:r>
          <w:r>
            <w:rPr>
              <w:rFonts w:ascii="Times New Roman" w:hAnsi="Times New Roman"/>
              <w:sz w:val="24"/>
              <w:szCs w:val="24"/>
            </w:rPr>
            <w:t>26</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"_Toc145580368" </w:instrText>
          </w:r>
          <w:r>
            <w:fldChar w:fldCharType="separate"/>
          </w:r>
          <w:r>
            <w:rPr>
              <w:rStyle w:val="63"/>
              <w:rFonts w:ascii="Times New Roman" w:hAnsi="Times New Roman" w:cs="Times New Roman"/>
              <w:szCs w:val="24"/>
            </w:rPr>
            <w:t>2.3 现有工程污染物排放情况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_Toc145580368 \h </w:instrText>
          </w:r>
          <w:r>
            <w:rPr>
              <w:rFonts w:ascii="Times New Roman" w:hAnsi="Times New Roman"/>
              <w:sz w:val="24"/>
              <w:szCs w:val="24"/>
            </w:rPr>
            <w:fldChar w:fldCharType="separate"/>
          </w:r>
          <w:r>
            <w:rPr>
              <w:rFonts w:ascii="Times New Roman" w:hAnsi="Times New Roman"/>
              <w:sz w:val="24"/>
              <w:szCs w:val="24"/>
            </w:rPr>
            <w:t>27</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"_Toc145580369" </w:instrText>
          </w:r>
          <w:r>
            <w:fldChar w:fldCharType="separate"/>
          </w:r>
          <w:r>
            <w:rPr>
              <w:rStyle w:val="63"/>
              <w:rFonts w:ascii="Times New Roman" w:hAnsi="Times New Roman" w:cs="Times New Roman"/>
              <w:i w:val="0"/>
              <w:iCs w:val="0"/>
              <w:szCs w:val="24"/>
            </w:rPr>
            <w:t>2.3.1废气</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_Toc145580369 \h </w:instrText>
          </w:r>
          <w:r>
            <w:rPr>
              <w:rFonts w:ascii="Times New Roman" w:hAnsi="Times New Roman"/>
              <w:i w:val="0"/>
              <w:iCs w:val="0"/>
              <w:sz w:val="24"/>
              <w:szCs w:val="24"/>
            </w:rPr>
            <w:fldChar w:fldCharType="separate"/>
          </w:r>
          <w:r>
            <w:rPr>
              <w:rFonts w:ascii="Times New Roman" w:hAnsi="Times New Roman"/>
              <w:i w:val="0"/>
              <w:iCs w:val="0"/>
              <w:sz w:val="24"/>
              <w:szCs w:val="24"/>
            </w:rPr>
            <w:t>27</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"_Toc145580370" </w:instrText>
          </w:r>
          <w:r>
            <w:fldChar w:fldCharType="separate"/>
          </w:r>
          <w:r>
            <w:rPr>
              <w:rStyle w:val="63"/>
              <w:rFonts w:ascii="Times New Roman" w:hAnsi="Times New Roman" w:cs="Times New Roman"/>
              <w:i w:val="0"/>
              <w:iCs w:val="0"/>
              <w:szCs w:val="24"/>
            </w:rPr>
            <w:t>2.3.2废水</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_Toc145580370 \h </w:instrText>
          </w:r>
          <w:r>
            <w:rPr>
              <w:rFonts w:ascii="Times New Roman" w:hAnsi="Times New Roman"/>
              <w:i w:val="0"/>
              <w:iCs w:val="0"/>
              <w:sz w:val="24"/>
              <w:szCs w:val="24"/>
            </w:rPr>
            <w:fldChar w:fldCharType="separate"/>
          </w:r>
          <w:r>
            <w:rPr>
              <w:rFonts w:ascii="Times New Roman" w:hAnsi="Times New Roman"/>
              <w:i w:val="0"/>
              <w:iCs w:val="0"/>
              <w:sz w:val="24"/>
              <w:szCs w:val="24"/>
            </w:rPr>
            <w:t>27</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"_Toc145580371" </w:instrText>
          </w:r>
          <w:r>
            <w:fldChar w:fldCharType="separate"/>
          </w:r>
          <w:r>
            <w:rPr>
              <w:rStyle w:val="63"/>
              <w:rFonts w:ascii="Times New Roman" w:hAnsi="Times New Roman" w:cs="Times New Roman"/>
              <w:i w:val="0"/>
              <w:iCs w:val="0"/>
              <w:szCs w:val="24"/>
            </w:rPr>
            <w:t>2.3.3噪声</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_Toc145580371 \h </w:instrText>
          </w:r>
          <w:r>
            <w:rPr>
              <w:rFonts w:ascii="Times New Roman" w:hAnsi="Times New Roman"/>
              <w:i w:val="0"/>
              <w:iCs w:val="0"/>
              <w:sz w:val="24"/>
              <w:szCs w:val="24"/>
            </w:rPr>
            <w:fldChar w:fldCharType="separate"/>
          </w:r>
          <w:r>
            <w:rPr>
              <w:rFonts w:ascii="Times New Roman" w:hAnsi="Times New Roman"/>
              <w:i w:val="0"/>
              <w:iCs w:val="0"/>
              <w:sz w:val="24"/>
              <w:szCs w:val="24"/>
            </w:rPr>
            <w:t>28</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"_Toc145580372" </w:instrText>
          </w:r>
          <w:r>
            <w:fldChar w:fldCharType="separate"/>
          </w:r>
          <w:r>
            <w:rPr>
              <w:rStyle w:val="63"/>
              <w:rFonts w:ascii="Times New Roman" w:hAnsi="Times New Roman" w:cs="Times New Roman"/>
              <w:i w:val="0"/>
              <w:iCs w:val="0"/>
              <w:szCs w:val="24"/>
            </w:rPr>
            <w:t>2.3.4固体废物</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_Toc145580372 \h </w:instrText>
          </w:r>
          <w:r>
            <w:rPr>
              <w:rFonts w:ascii="Times New Roman" w:hAnsi="Times New Roman"/>
              <w:i w:val="0"/>
              <w:iCs w:val="0"/>
              <w:sz w:val="24"/>
              <w:szCs w:val="24"/>
            </w:rPr>
            <w:fldChar w:fldCharType="separate"/>
          </w:r>
          <w:r>
            <w:rPr>
              <w:rFonts w:ascii="Times New Roman" w:hAnsi="Times New Roman"/>
              <w:i w:val="0"/>
              <w:iCs w:val="0"/>
              <w:sz w:val="24"/>
              <w:szCs w:val="24"/>
            </w:rPr>
            <w:t>28</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"_Toc145580373" </w:instrText>
          </w:r>
          <w:r>
            <w:fldChar w:fldCharType="separate"/>
          </w:r>
          <w:r>
            <w:rPr>
              <w:rStyle w:val="63"/>
              <w:rFonts w:ascii="Times New Roman" w:hAnsi="Times New Roman" w:cs="Times New Roman"/>
              <w:szCs w:val="24"/>
            </w:rPr>
            <w:t>2.4 主要污染物排放及排污许可手续执行情况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_Toc145580373 \h </w:instrText>
          </w:r>
          <w:r>
            <w:rPr>
              <w:rFonts w:ascii="Times New Roman" w:hAnsi="Times New Roman"/>
              <w:sz w:val="24"/>
              <w:szCs w:val="24"/>
            </w:rPr>
            <w:fldChar w:fldCharType="separate"/>
          </w:r>
          <w:r>
            <w:rPr>
              <w:rFonts w:ascii="Times New Roman" w:hAnsi="Times New Roman"/>
              <w:sz w:val="24"/>
              <w:szCs w:val="24"/>
            </w:rPr>
            <w:t>28</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"_Toc145580374" </w:instrText>
          </w:r>
          <w:r>
            <w:fldChar w:fldCharType="separate"/>
          </w:r>
          <w:r>
            <w:rPr>
              <w:rStyle w:val="63"/>
              <w:rFonts w:ascii="Times New Roman" w:hAnsi="Times New Roman" w:cs="Times New Roman"/>
              <w:szCs w:val="24"/>
            </w:rPr>
            <w:t>2.5 环境管理与应急预案落实情况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_Toc145580374 \h </w:instrText>
          </w:r>
          <w:r>
            <w:rPr>
              <w:rFonts w:ascii="Times New Roman" w:hAnsi="Times New Roman"/>
              <w:sz w:val="24"/>
              <w:szCs w:val="24"/>
            </w:rPr>
            <w:fldChar w:fldCharType="separate"/>
          </w:r>
          <w:r>
            <w:rPr>
              <w:rFonts w:ascii="Times New Roman" w:hAnsi="Times New Roman"/>
              <w:sz w:val="24"/>
              <w:szCs w:val="24"/>
            </w:rPr>
            <w:t>29</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"_Toc145580375" </w:instrText>
          </w:r>
          <w:r>
            <w:fldChar w:fldCharType="separate"/>
          </w:r>
          <w:r>
            <w:rPr>
              <w:rStyle w:val="63"/>
              <w:rFonts w:ascii="Times New Roman" w:hAnsi="Times New Roman" w:cs="Times New Roman"/>
              <w:szCs w:val="24"/>
            </w:rPr>
            <w:t>2.6 现有工程存在的环保问题及“以新带老”措施</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_Toc145580375 \h </w:instrText>
          </w:r>
          <w:r>
            <w:rPr>
              <w:rFonts w:ascii="Times New Roman" w:hAnsi="Times New Roman"/>
              <w:sz w:val="24"/>
              <w:szCs w:val="24"/>
            </w:rPr>
            <w:fldChar w:fldCharType="separate"/>
          </w:r>
          <w:r>
            <w:rPr>
              <w:rFonts w:ascii="Times New Roman" w:hAnsi="Times New Roman"/>
              <w:sz w:val="24"/>
              <w:szCs w:val="24"/>
            </w:rPr>
            <w:t>29</w:t>
          </w:r>
          <w:r>
            <w:rPr>
              <w:rFonts w:ascii="Times New Roman" w:hAnsi="Times New Roman"/>
              <w:sz w:val="24"/>
              <w:szCs w:val="24"/>
            </w:rPr>
            <w:fldChar w:fldCharType="end"/>
          </w:r>
          <w:r>
            <w:rPr>
              <w:rFonts w:ascii="Times New Roman" w:hAnsi="Times New Roman"/>
              <w:sz w:val="24"/>
              <w:szCs w:val="24"/>
            </w:rPr>
            <w:fldChar w:fldCharType="end"/>
          </w:r>
        </w:p>
        <w:p>
          <w:pPr>
            <w:pStyle w:val="37"/>
            <w:tabs>
              <w:tab w:val="right" w:leader="dot" w:pos="8211"/>
            </w:tabs>
            <w:rPr>
              <w:rFonts w:ascii="Times New Roman" w:hAnsi="Times New Roman"/>
              <w:b w:val="0"/>
              <w:bCs w:val="0"/>
              <w:caps w:val="0"/>
              <w:sz w:val="24"/>
              <w:szCs w:val="24"/>
              <w14:ligatures w14:val="standardContextual"/>
            </w:rPr>
          </w:pPr>
          <w:r>
            <w:fldChar w:fldCharType="begin"/>
          </w:r>
          <w:r>
            <w:instrText xml:space="preserve"> HYPERLINK \l "_Toc145580376" </w:instrText>
          </w:r>
          <w:r>
            <w:fldChar w:fldCharType="separate"/>
          </w:r>
          <w:r>
            <w:rPr>
              <w:rStyle w:val="63"/>
              <w:rFonts w:ascii="Times New Roman" w:hAnsi="Times New Roman" w:cs="Times New Roman"/>
              <w:szCs w:val="24"/>
            </w:rPr>
            <w:t>3 建设项目工程分析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_Toc145580376 \h </w:instrText>
          </w:r>
          <w:r>
            <w:rPr>
              <w:rFonts w:ascii="Times New Roman" w:hAnsi="Times New Roman"/>
              <w:sz w:val="24"/>
              <w:szCs w:val="24"/>
            </w:rPr>
            <w:fldChar w:fldCharType="separate"/>
          </w:r>
          <w:r>
            <w:rPr>
              <w:rFonts w:ascii="Times New Roman" w:hAnsi="Times New Roman"/>
              <w:sz w:val="24"/>
              <w:szCs w:val="24"/>
            </w:rPr>
            <w:t>30</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"_Toc145580377" </w:instrText>
          </w:r>
          <w:r>
            <w:fldChar w:fldCharType="separate"/>
          </w:r>
          <w:r>
            <w:rPr>
              <w:rStyle w:val="63"/>
              <w:rFonts w:ascii="Times New Roman" w:hAnsi="Times New Roman" w:cs="Times New Roman"/>
              <w:szCs w:val="24"/>
            </w:rPr>
            <w:t>3.1 项目建设概况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_Toc145580377 \h </w:instrText>
          </w:r>
          <w:r>
            <w:rPr>
              <w:rFonts w:ascii="Times New Roman" w:hAnsi="Times New Roman"/>
              <w:sz w:val="24"/>
              <w:szCs w:val="24"/>
            </w:rPr>
            <w:fldChar w:fldCharType="separate"/>
          </w:r>
          <w:r>
            <w:rPr>
              <w:rFonts w:ascii="Times New Roman" w:hAnsi="Times New Roman"/>
              <w:sz w:val="24"/>
              <w:szCs w:val="24"/>
            </w:rPr>
            <w:t>30</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"_Toc145580378" </w:instrText>
          </w:r>
          <w:r>
            <w:fldChar w:fldCharType="separate"/>
          </w:r>
          <w:r>
            <w:rPr>
              <w:rStyle w:val="63"/>
              <w:rFonts w:ascii="Times New Roman" w:hAnsi="Times New Roman" w:cs="Times New Roman"/>
              <w:i w:val="0"/>
              <w:iCs w:val="0"/>
              <w:szCs w:val="24"/>
            </w:rPr>
            <w:t>3.1.1项目基本情况</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_Toc145580378 \h </w:instrText>
          </w:r>
          <w:r>
            <w:rPr>
              <w:rFonts w:ascii="Times New Roman" w:hAnsi="Times New Roman"/>
              <w:i w:val="0"/>
              <w:iCs w:val="0"/>
              <w:sz w:val="24"/>
              <w:szCs w:val="24"/>
            </w:rPr>
            <w:fldChar w:fldCharType="separate"/>
          </w:r>
          <w:r>
            <w:rPr>
              <w:rFonts w:ascii="Times New Roman" w:hAnsi="Times New Roman"/>
              <w:i w:val="0"/>
              <w:iCs w:val="0"/>
              <w:sz w:val="24"/>
              <w:szCs w:val="24"/>
            </w:rPr>
            <w:t>30</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"_Toc145580379" </w:instrText>
          </w:r>
          <w:r>
            <w:fldChar w:fldCharType="separate"/>
          </w:r>
          <w:r>
            <w:rPr>
              <w:rStyle w:val="63"/>
              <w:rFonts w:ascii="Times New Roman" w:hAnsi="Times New Roman" w:cs="Times New Roman"/>
              <w:i w:val="0"/>
              <w:iCs w:val="0"/>
              <w:szCs w:val="24"/>
            </w:rPr>
            <w:t>3.1.2工程组成与主要建设内容</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_Toc145580379 \h </w:instrText>
          </w:r>
          <w:r>
            <w:rPr>
              <w:rFonts w:ascii="Times New Roman" w:hAnsi="Times New Roman"/>
              <w:i w:val="0"/>
              <w:iCs w:val="0"/>
              <w:sz w:val="24"/>
              <w:szCs w:val="24"/>
            </w:rPr>
            <w:fldChar w:fldCharType="separate"/>
          </w:r>
          <w:r>
            <w:rPr>
              <w:rFonts w:ascii="Times New Roman" w:hAnsi="Times New Roman"/>
              <w:i w:val="0"/>
              <w:iCs w:val="0"/>
              <w:sz w:val="24"/>
              <w:szCs w:val="24"/>
            </w:rPr>
            <w:t>30</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"_Toc145580380" </w:instrText>
          </w:r>
          <w:r>
            <w:fldChar w:fldCharType="separate"/>
          </w:r>
          <w:r>
            <w:rPr>
              <w:rStyle w:val="63"/>
              <w:rFonts w:ascii="Times New Roman" w:hAnsi="Times New Roman" w:cs="Times New Roman"/>
              <w:i w:val="0"/>
              <w:iCs w:val="0"/>
              <w:szCs w:val="24"/>
            </w:rPr>
            <w:t>3.1.3产品规模及方案</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_Toc145580380 \h </w:instrText>
          </w:r>
          <w:r>
            <w:rPr>
              <w:rFonts w:ascii="Times New Roman" w:hAnsi="Times New Roman"/>
              <w:i w:val="0"/>
              <w:iCs w:val="0"/>
              <w:sz w:val="24"/>
              <w:szCs w:val="24"/>
            </w:rPr>
            <w:fldChar w:fldCharType="separate"/>
          </w:r>
          <w:r>
            <w:rPr>
              <w:rFonts w:ascii="Times New Roman" w:hAnsi="Times New Roman"/>
              <w:i w:val="0"/>
              <w:iCs w:val="0"/>
              <w:sz w:val="24"/>
              <w:szCs w:val="24"/>
            </w:rPr>
            <w:t>31</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"_Toc145580381" </w:instrText>
          </w:r>
          <w:r>
            <w:fldChar w:fldCharType="separate"/>
          </w:r>
          <w:r>
            <w:rPr>
              <w:rStyle w:val="63"/>
              <w:rFonts w:ascii="Times New Roman" w:hAnsi="Times New Roman" w:cs="Times New Roman"/>
              <w:i w:val="0"/>
              <w:iCs w:val="0"/>
              <w:szCs w:val="24"/>
            </w:rPr>
            <w:t>3.1.4原料气的质量指标</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_Toc145580381 \h </w:instrText>
          </w:r>
          <w:r>
            <w:rPr>
              <w:rFonts w:ascii="Times New Roman" w:hAnsi="Times New Roman"/>
              <w:i w:val="0"/>
              <w:iCs w:val="0"/>
              <w:sz w:val="24"/>
              <w:szCs w:val="24"/>
            </w:rPr>
            <w:fldChar w:fldCharType="separate"/>
          </w:r>
          <w:r>
            <w:rPr>
              <w:rFonts w:ascii="Times New Roman" w:hAnsi="Times New Roman"/>
              <w:i w:val="0"/>
              <w:iCs w:val="0"/>
              <w:sz w:val="24"/>
              <w:szCs w:val="24"/>
            </w:rPr>
            <w:t>31</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"_Toc145580382" </w:instrText>
          </w:r>
          <w:r>
            <w:fldChar w:fldCharType="separate"/>
          </w:r>
          <w:r>
            <w:rPr>
              <w:rStyle w:val="63"/>
              <w:rFonts w:ascii="Times New Roman" w:hAnsi="Times New Roman" w:cs="Times New Roman"/>
              <w:i w:val="0"/>
              <w:iCs w:val="0"/>
              <w:szCs w:val="24"/>
            </w:rPr>
            <w:t>3.1.5主要生产设备</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_Toc145580382 \h </w:instrText>
          </w:r>
          <w:r>
            <w:rPr>
              <w:rFonts w:ascii="Times New Roman" w:hAnsi="Times New Roman"/>
              <w:i w:val="0"/>
              <w:iCs w:val="0"/>
              <w:sz w:val="24"/>
              <w:szCs w:val="24"/>
            </w:rPr>
            <w:fldChar w:fldCharType="separate"/>
          </w:r>
          <w:r>
            <w:rPr>
              <w:rFonts w:ascii="Times New Roman" w:hAnsi="Times New Roman"/>
              <w:i w:val="0"/>
              <w:iCs w:val="0"/>
              <w:sz w:val="24"/>
              <w:szCs w:val="24"/>
            </w:rPr>
            <w:t>31</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"_Toc145580383" </w:instrText>
          </w:r>
          <w:r>
            <w:fldChar w:fldCharType="separate"/>
          </w:r>
          <w:r>
            <w:rPr>
              <w:rStyle w:val="63"/>
              <w:rFonts w:ascii="Times New Roman" w:hAnsi="Times New Roman" w:cs="Times New Roman"/>
              <w:i w:val="0"/>
              <w:iCs w:val="0"/>
              <w:szCs w:val="24"/>
            </w:rPr>
            <w:t>3.1.6公用工程</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_Toc145580383 \h </w:instrText>
          </w:r>
          <w:r>
            <w:rPr>
              <w:rFonts w:ascii="Times New Roman" w:hAnsi="Times New Roman"/>
              <w:i w:val="0"/>
              <w:iCs w:val="0"/>
              <w:sz w:val="24"/>
              <w:szCs w:val="24"/>
            </w:rPr>
            <w:fldChar w:fldCharType="separate"/>
          </w:r>
          <w:r>
            <w:rPr>
              <w:rFonts w:ascii="Times New Roman" w:hAnsi="Times New Roman"/>
              <w:i w:val="0"/>
              <w:iCs w:val="0"/>
              <w:sz w:val="24"/>
              <w:szCs w:val="24"/>
            </w:rPr>
            <w:t>32</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"_Toc145580384" </w:instrText>
          </w:r>
          <w:r>
            <w:fldChar w:fldCharType="separate"/>
          </w:r>
          <w:r>
            <w:rPr>
              <w:rStyle w:val="63"/>
              <w:rFonts w:ascii="Times New Roman" w:hAnsi="Times New Roman" w:cs="Times New Roman"/>
              <w:i w:val="0"/>
              <w:iCs w:val="0"/>
              <w:szCs w:val="24"/>
            </w:rPr>
            <w:t>3.1.7厂区平面布置</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_Toc145580384 \h </w:instrText>
          </w:r>
          <w:r>
            <w:rPr>
              <w:rFonts w:ascii="Times New Roman" w:hAnsi="Times New Roman"/>
              <w:i w:val="0"/>
              <w:iCs w:val="0"/>
              <w:sz w:val="24"/>
              <w:szCs w:val="24"/>
            </w:rPr>
            <w:fldChar w:fldCharType="separate"/>
          </w:r>
          <w:r>
            <w:rPr>
              <w:rFonts w:ascii="Times New Roman" w:hAnsi="Times New Roman"/>
              <w:i w:val="0"/>
              <w:iCs w:val="0"/>
              <w:sz w:val="24"/>
              <w:szCs w:val="24"/>
            </w:rPr>
            <w:t>32</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"_Toc145580385" </w:instrText>
          </w:r>
          <w:r>
            <w:fldChar w:fldCharType="separate"/>
          </w:r>
          <w:r>
            <w:rPr>
              <w:rStyle w:val="63"/>
              <w:rFonts w:ascii="Times New Roman" w:hAnsi="Times New Roman" w:cs="Times New Roman"/>
              <w:i w:val="0"/>
              <w:iCs w:val="0"/>
              <w:szCs w:val="24"/>
            </w:rPr>
            <w:t>3.1.8依托工程</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_Toc145580385 \h </w:instrText>
          </w:r>
          <w:r>
            <w:rPr>
              <w:rFonts w:ascii="Times New Roman" w:hAnsi="Times New Roman"/>
              <w:i w:val="0"/>
              <w:iCs w:val="0"/>
              <w:sz w:val="24"/>
              <w:szCs w:val="24"/>
            </w:rPr>
            <w:fldChar w:fldCharType="separate"/>
          </w:r>
          <w:r>
            <w:rPr>
              <w:rFonts w:ascii="Times New Roman" w:hAnsi="Times New Roman"/>
              <w:i w:val="0"/>
              <w:iCs w:val="0"/>
              <w:sz w:val="24"/>
              <w:szCs w:val="24"/>
            </w:rPr>
            <w:t>33</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"_Toc145580386" </w:instrText>
          </w:r>
          <w:r>
            <w:fldChar w:fldCharType="separate"/>
          </w:r>
          <w:r>
            <w:rPr>
              <w:rStyle w:val="63"/>
              <w:rFonts w:ascii="Times New Roman" w:hAnsi="Times New Roman" w:cs="Times New Roman"/>
              <w:szCs w:val="24"/>
            </w:rPr>
            <w:t>3.2 产业政策、规划及选址合理性</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_Toc145580386 \h </w:instrText>
          </w:r>
          <w:r>
            <w:rPr>
              <w:rFonts w:ascii="Times New Roman" w:hAnsi="Times New Roman"/>
              <w:sz w:val="24"/>
              <w:szCs w:val="24"/>
            </w:rPr>
            <w:fldChar w:fldCharType="separate"/>
          </w:r>
          <w:r>
            <w:rPr>
              <w:rFonts w:ascii="Times New Roman" w:hAnsi="Times New Roman"/>
              <w:sz w:val="24"/>
              <w:szCs w:val="24"/>
            </w:rPr>
            <w:t>35</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"_Toc145580387" </w:instrText>
          </w:r>
          <w:r>
            <w:fldChar w:fldCharType="separate"/>
          </w:r>
          <w:r>
            <w:rPr>
              <w:rStyle w:val="63"/>
              <w:rFonts w:ascii="Times New Roman" w:hAnsi="Times New Roman" w:cs="Times New Roman"/>
              <w:i w:val="0"/>
              <w:iCs w:val="0"/>
              <w:szCs w:val="24"/>
            </w:rPr>
            <w:t>3.2.1产业政策符合性分析</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_Toc145580387 \h </w:instrText>
          </w:r>
          <w:r>
            <w:rPr>
              <w:rFonts w:ascii="Times New Roman" w:hAnsi="Times New Roman"/>
              <w:i w:val="0"/>
              <w:iCs w:val="0"/>
              <w:sz w:val="24"/>
              <w:szCs w:val="24"/>
            </w:rPr>
            <w:fldChar w:fldCharType="separate"/>
          </w:r>
          <w:r>
            <w:rPr>
              <w:rFonts w:ascii="Times New Roman" w:hAnsi="Times New Roman"/>
              <w:i w:val="0"/>
              <w:iCs w:val="0"/>
              <w:sz w:val="24"/>
              <w:szCs w:val="24"/>
            </w:rPr>
            <w:t>35</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"_Toc145580388" </w:instrText>
          </w:r>
          <w:r>
            <w:fldChar w:fldCharType="separate"/>
          </w:r>
          <w:r>
            <w:rPr>
              <w:rStyle w:val="63"/>
              <w:rFonts w:ascii="Times New Roman" w:hAnsi="Times New Roman" w:cs="Times New Roman"/>
              <w:i w:val="0"/>
              <w:iCs w:val="0"/>
              <w:szCs w:val="24"/>
            </w:rPr>
            <w:t>3.2.2规划符合性分析</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_Toc145580388 \h </w:instrText>
          </w:r>
          <w:r>
            <w:rPr>
              <w:rFonts w:ascii="Times New Roman" w:hAnsi="Times New Roman"/>
              <w:i w:val="0"/>
              <w:iCs w:val="0"/>
              <w:sz w:val="24"/>
              <w:szCs w:val="24"/>
            </w:rPr>
            <w:fldChar w:fldCharType="separate"/>
          </w:r>
          <w:r>
            <w:rPr>
              <w:rFonts w:ascii="Times New Roman" w:hAnsi="Times New Roman"/>
              <w:i w:val="0"/>
              <w:iCs w:val="0"/>
              <w:sz w:val="24"/>
              <w:szCs w:val="24"/>
            </w:rPr>
            <w:t>35</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"_Toc145580389" </w:instrText>
          </w:r>
          <w:r>
            <w:fldChar w:fldCharType="separate"/>
          </w:r>
          <w:r>
            <w:rPr>
              <w:rStyle w:val="63"/>
              <w:rFonts w:ascii="Times New Roman" w:hAnsi="Times New Roman" w:cs="Times New Roman"/>
              <w:i w:val="0"/>
              <w:iCs w:val="0"/>
              <w:szCs w:val="24"/>
            </w:rPr>
            <w:t>3.2.3项目选址合理性分析</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_Toc145580389 \h </w:instrText>
          </w:r>
          <w:r>
            <w:rPr>
              <w:rFonts w:ascii="Times New Roman" w:hAnsi="Times New Roman"/>
              <w:i w:val="0"/>
              <w:iCs w:val="0"/>
              <w:sz w:val="24"/>
              <w:szCs w:val="24"/>
            </w:rPr>
            <w:fldChar w:fldCharType="separate"/>
          </w:r>
          <w:r>
            <w:rPr>
              <w:rFonts w:ascii="Times New Roman" w:hAnsi="Times New Roman"/>
              <w:i w:val="0"/>
              <w:iCs w:val="0"/>
              <w:sz w:val="24"/>
              <w:szCs w:val="24"/>
            </w:rPr>
            <w:t>45</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"_Toc145580390" </w:instrText>
          </w:r>
          <w:r>
            <w:fldChar w:fldCharType="separate"/>
          </w:r>
          <w:r>
            <w:rPr>
              <w:rStyle w:val="63"/>
              <w:rFonts w:ascii="Times New Roman" w:hAnsi="Times New Roman" w:cs="Times New Roman"/>
              <w:szCs w:val="24"/>
            </w:rPr>
            <w:t>3.3 工艺流程</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_Toc145580390 \h </w:instrText>
          </w:r>
          <w:r>
            <w:rPr>
              <w:rFonts w:ascii="Times New Roman" w:hAnsi="Times New Roman"/>
              <w:sz w:val="24"/>
              <w:szCs w:val="24"/>
            </w:rPr>
            <w:fldChar w:fldCharType="separate"/>
          </w:r>
          <w:r>
            <w:rPr>
              <w:rFonts w:ascii="Times New Roman" w:hAnsi="Times New Roman"/>
              <w:sz w:val="24"/>
              <w:szCs w:val="24"/>
            </w:rPr>
            <w:t>45</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"_Toc145580391" </w:instrText>
          </w:r>
          <w:r>
            <w:fldChar w:fldCharType="separate"/>
          </w:r>
          <w:r>
            <w:rPr>
              <w:rStyle w:val="63"/>
              <w:rFonts w:ascii="Times New Roman" w:hAnsi="Times New Roman" w:cs="Times New Roman"/>
              <w:szCs w:val="24"/>
            </w:rPr>
            <w:t>3.4 产污节点分析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_Toc145580391 \h </w:instrText>
          </w:r>
          <w:r>
            <w:rPr>
              <w:rFonts w:ascii="Times New Roman" w:hAnsi="Times New Roman"/>
              <w:sz w:val="24"/>
              <w:szCs w:val="24"/>
            </w:rPr>
            <w:fldChar w:fldCharType="separate"/>
          </w:r>
          <w:r>
            <w:rPr>
              <w:rFonts w:ascii="Times New Roman" w:hAnsi="Times New Roman"/>
              <w:sz w:val="24"/>
              <w:szCs w:val="24"/>
            </w:rPr>
            <w:t>46</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"_Toc145580392" </w:instrText>
          </w:r>
          <w:r>
            <w:fldChar w:fldCharType="separate"/>
          </w:r>
          <w:r>
            <w:rPr>
              <w:rStyle w:val="63"/>
              <w:rFonts w:ascii="Times New Roman" w:hAnsi="Times New Roman" w:cs="Times New Roman"/>
              <w:i w:val="0"/>
              <w:iCs w:val="0"/>
              <w:szCs w:val="24"/>
            </w:rPr>
            <w:t>3.4.1施工期</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_Toc145580392 \h </w:instrText>
          </w:r>
          <w:r>
            <w:rPr>
              <w:rFonts w:ascii="Times New Roman" w:hAnsi="Times New Roman"/>
              <w:i w:val="0"/>
              <w:iCs w:val="0"/>
              <w:sz w:val="24"/>
              <w:szCs w:val="24"/>
            </w:rPr>
            <w:fldChar w:fldCharType="separate"/>
          </w:r>
          <w:r>
            <w:rPr>
              <w:rFonts w:ascii="Times New Roman" w:hAnsi="Times New Roman"/>
              <w:i w:val="0"/>
              <w:iCs w:val="0"/>
              <w:sz w:val="24"/>
              <w:szCs w:val="24"/>
            </w:rPr>
            <w:t>46</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"_Toc145580393" </w:instrText>
          </w:r>
          <w:r>
            <w:fldChar w:fldCharType="separate"/>
          </w:r>
          <w:r>
            <w:rPr>
              <w:rStyle w:val="63"/>
              <w:rFonts w:ascii="Times New Roman" w:hAnsi="Times New Roman" w:cs="Times New Roman"/>
              <w:i w:val="0"/>
              <w:iCs w:val="0"/>
              <w:szCs w:val="24"/>
            </w:rPr>
            <w:t>3.4.2运营期</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_Toc145580393 \h </w:instrText>
          </w:r>
          <w:r>
            <w:rPr>
              <w:rFonts w:ascii="Times New Roman" w:hAnsi="Times New Roman"/>
              <w:i w:val="0"/>
              <w:iCs w:val="0"/>
              <w:sz w:val="24"/>
              <w:szCs w:val="24"/>
            </w:rPr>
            <w:fldChar w:fldCharType="separate"/>
          </w:r>
          <w:r>
            <w:rPr>
              <w:rFonts w:ascii="Times New Roman" w:hAnsi="Times New Roman"/>
              <w:i w:val="0"/>
              <w:iCs w:val="0"/>
              <w:sz w:val="24"/>
              <w:szCs w:val="24"/>
            </w:rPr>
            <w:t>46</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"_Toc145580394" </w:instrText>
          </w:r>
          <w:r>
            <w:fldChar w:fldCharType="separate"/>
          </w:r>
          <w:r>
            <w:rPr>
              <w:rStyle w:val="63"/>
              <w:rFonts w:ascii="Times New Roman" w:hAnsi="Times New Roman" w:cs="Times New Roman"/>
              <w:szCs w:val="24"/>
            </w:rPr>
            <w:t>3.5 平衡分析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_Toc145580394 \h </w:instrText>
          </w:r>
          <w:r>
            <w:rPr>
              <w:rFonts w:ascii="Times New Roman" w:hAnsi="Times New Roman"/>
              <w:sz w:val="24"/>
              <w:szCs w:val="24"/>
            </w:rPr>
            <w:fldChar w:fldCharType="separate"/>
          </w:r>
          <w:r>
            <w:rPr>
              <w:rFonts w:ascii="Times New Roman" w:hAnsi="Times New Roman"/>
              <w:sz w:val="24"/>
              <w:szCs w:val="24"/>
            </w:rPr>
            <w:t>46</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"_Toc145580395" </w:instrText>
          </w:r>
          <w:r>
            <w:fldChar w:fldCharType="separate"/>
          </w:r>
          <w:r>
            <w:rPr>
              <w:rStyle w:val="63"/>
              <w:rFonts w:ascii="Times New Roman" w:hAnsi="Times New Roman" w:cs="Times New Roman"/>
              <w:szCs w:val="24"/>
            </w:rPr>
            <w:t>3.6污染源及污染物分析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_Toc145580395 \h </w:instrText>
          </w:r>
          <w:r>
            <w:rPr>
              <w:rFonts w:ascii="Times New Roman" w:hAnsi="Times New Roman"/>
              <w:sz w:val="24"/>
              <w:szCs w:val="24"/>
            </w:rPr>
            <w:fldChar w:fldCharType="separate"/>
          </w:r>
          <w:r>
            <w:rPr>
              <w:rFonts w:ascii="Times New Roman" w:hAnsi="Times New Roman"/>
              <w:sz w:val="24"/>
              <w:szCs w:val="24"/>
            </w:rPr>
            <w:t>47</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"_Toc145580396" </w:instrText>
          </w:r>
          <w:r>
            <w:fldChar w:fldCharType="separate"/>
          </w:r>
          <w:r>
            <w:rPr>
              <w:rStyle w:val="63"/>
              <w:rFonts w:ascii="Times New Roman" w:hAnsi="Times New Roman" w:cs="Times New Roman"/>
              <w:i w:val="0"/>
              <w:iCs w:val="0"/>
              <w:szCs w:val="24"/>
            </w:rPr>
            <w:t>3.6.1施工期污染源及污染物分析</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_Toc145580396 \h </w:instrText>
          </w:r>
          <w:r>
            <w:rPr>
              <w:rFonts w:ascii="Times New Roman" w:hAnsi="Times New Roman"/>
              <w:i w:val="0"/>
              <w:iCs w:val="0"/>
              <w:sz w:val="24"/>
              <w:szCs w:val="24"/>
            </w:rPr>
            <w:fldChar w:fldCharType="separate"/>
          </w:r>
          <w:r>
            <w:rPr>
              <w:rFonts w:ascii="Times New Roman" w:hAnsi="Times New Roman"/>
              <w:i w:val="0"/>
              <w:iCs w:val="0"/>
              <w:sz w:val="24"/>
              <w:szCs w:val="24"/>
            </w:rPr>
            <w:t>47</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"_Toc145580397" </w:instrText>
          </w:r>
          <w:r>
            <w:fldChar w:fldCharType="separate"/>
          </w:r>
          <w:r>
            <w:rPr>
              <w:rStyle w:val="63"/>
              <w:rFonts w:ascii="Times New Roman" w:hAnsi="Times New Roman" w:cs="Times New Roman"/>
              <w:i w:val="0"/>
              <w:iCs w:val="0"/>
              <w:szCs w:val="24"/>
            </w:rPr>
            <w:t>3.6.2运营期污染源及污染物分析</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_Toc145580397 \h </w:instrText>
          </w:r>
          <w:r>
            <w:rPr>
              <w:rFonts w:ascii="Times New Roman" w:hAnsi="Times New Roman"/>
              <w:i w:val="0"/>
              <w:iCs w:val="0"/>
              <w:sz w:val="24"/>
              <w:szCs w:val="24"/>
            </w:rPr>
            <w:fldChar w:fldCharType="separate"/>
          </w:r>
          <w:r>
            <w:rPr>
              <w:rFonts w:ascii="Times New Roman" w:hAnsi="Times New Roman"/>
              <w:i w:val="0"/>
              <w:iCs w:val="0"/>
              <w:sz w:val="24"/>
              <w:szCs w:val="24"/>
            </w:rPr>
            <w:t>48</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"_Toc145580398" </w:instrText>
          </w:r>
          <w:r>
            <w:fldChar w:fldCharType="separate"/>
          </w:r>
          <w:r>
            <w:rPr>
              <w:rStyle w:val="63"/>
              <w:rFonts w:ascii="Times New Roman" w:hAnsi="Times New Roman" w:cs="Times New Roman"/>
              <w:szCs w:val="24"/>
            </w:rPr>
            <w:t>3.7运营期项目“三废”排放情况统计</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_Toc145580398 \h </w:instrText>
          </w:r>
          <w:r>
            <w:rPr>
              <w:rFonts w:ascii="Times New Roman" w:hAnsi="Times New Roman"/>
              <w:sz w:val="24"/>
              <w:szCs w:val="24"/>
            </w:rPr>
            <w:fldChar w:fldCharType="separate"/>
          </w:r>
          <w:r>
            <w:rPr>
              <w:rFonts w:ascii="Times New Roman" w:hAnsi="Times New Roman"/>
              <w:sz w:val="24"/>
              <w:szCs w:val="24"/>
            </w:rPr>
            <w:t>50</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"_Toc145580399" </w:instrText>
          </w:r>
          <w:r>
            <w:fldChar w:fldCharType="separate"/>
          </w:r>
          <w:r>
            <w:rPr>
              <w:rStyle w:val="63"/>
              <w:rFonts w:ascii="Times New Roman" w:hAnsi="Times New Roman" w:cs="Times New Roman"/>
              <w:szCs w:val="24"/>
            </w:rPr>
            <w:t>3.8清洁生产</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_Toc145580399 \h </w:instrText>
          </w:r>
          <w:r>
            <w:rPr>
              <w:rFonts w:ascii="Times New Roman" w:hAnsi="Times New Roman"/>
              <w:sz w:val="24"/>
              <w:szCs w:val="24"/>
            </w:rPr>
            <w:fldChar w:fldCharType="separate"/>
          </w:r>
          <w:r>
            <w:rPr>
              <w:rFonts w:ascii="Times New Roman" w:hAnsi="Times New Roman"/>
              <w:sz w:val="24"/>
              <w:szCs w:val="24"/>
            </w:rPr>
            <w:t>51</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"_Toc145580400" </w:instrText>
          </w:r>
          <w:r>
            <w:fldChar w:fldCharType="separate"/>
          </w:r>
          <w:r>
            <w:rPr>
              <w:rStyle w:val="63"/>
              <w:rFonts w:ascii="Times New Roman" w:hAnsi="Times New Roman" w:cs="Times New Roman"/>
              <w:i w:val="0"/>
              <w:iCs w:val="0"/>
              <w:szCs w:val="24"/>
            </w:rPr>
            <w:t>3.8.1清洁生产水平分析</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_Toc145580400 \h </w:instrText>
          </w:r>
          <w:r>
            <w:rPr>
              <w:rFonts w:ascii="Times New Roman" w:hAnsi="Times New Roman"/>
              <w:i w:val="0"/>
              <w:iCs w:val="0"/>
              <w:sz w:val="24"/>
              <w:szCs w:val="24"/>
            </w:rPr>
            <w:fldChar w:fldCharType="separate"/>
          </w:r>
          <w:r>
            <w:rPr>
              <w:rFonts w:ascii="Times New Roman" w:hAnsi="Times New Roman"/>
              <w:i w:val="0"/>
              <w:iCs w:val="0"/>
              <w:sz w:val="24"/>
              <w:szCs w:val="24"/>
            </w:rPr>
            <w:t>51</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"_Toc145580401" </w:instrText>
          </w:r>
          <w:r>
            <w:fldChar w:fldCharType="separate"/>
          </w:r>
          <w:r>
            <w:rPr>
              <w:rStyle w:val="63"/>
              <w:rFonts w:ascii="Times New Roman" w:hAnsi="Times New Roman" w:cs="Times New Roman"/>
              <w:i w:val="0"/>
              <w:iCs w:val="0"/>
              <w:szCs w:val="24"/>
            </w:rPr>
            <w:t>3.8.2清洁生产小结</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_Toc145580401 \h </w:instrText>
          </w:r>
          <w:r>
            <w:rPr>
              <w:rFonts w:ascii="Times New Roman" w:hAnsi="Times New Roman"/>
              <w:i w:val="0"/>
              <w:iCs w:val="0"/>
              <w:sz w:val="24"/>
              <w:szCs w:val="24"/>
            </w:rPr>
            <w:fldChar w:fldCharType="separate"/>
          </w:r>
          <w:r>
            <w:rPr>
              <w:rFonts w:ascii="Times New Roman" w:hAnsi="Times New Roman"/>
              <w:i w:val="0"/>
              <w:iCs w:val="0"/>
              <w:sz w:val="24"/>
              <w:szCs w:val="24"/>
            </w:rPr>
            <w:t>54</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"_Toc145580402" </w:instrText>
          </w:r>
          <w:r>
            <w:fldChar w:fldCharType="separate"/>
          </w:r>
          <w:r>
            <w:rPr>
              <w:rStyle w:val="63"/>
              <w:rFonts w:ascii="Times New Roman" w:hAnsi="Times New Roman" w:cs="Times New Roman"/>
              <w:i w:val="0"/>
              <w:iCs w:val="0"/>
              <w:szCs w:val="24"/>
            </w:rPr>
            <w:t>3.8.3清洁生产建议</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_Toc145580402 \h </w:instrText>
          </w:r>
          <w:r>
            <w:rPr>
              <w:rFonts w:ascii="Times New Roman" w:hAnsi="Times New Roman"/>
              <w:i w:val="0"/>
              <w:iCs w:val="0"/>
              <w:sz w:val="24"/>
              <w:szCs w:val="24"/>
            </w:rPr>
            <w:fldChar w:fldCharType="separate"/>
          </w:r>
          <w:r>
            <w:rPr>
              <w:rFonts w:ascii="Times New Roman" w:hAnsi="Times New Roman"/>
              <w:i w:val="0"/>
              <w:iCs w:val="0"/>
              <w:sz w:val="24"/>
              <w:szCs w:val="24"/>
            </w:rPr>
            <w:t>54</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"_Toc145580403" </w:instrText>
          </w:r>
          <w:r>
            <w:fldChar w:fldCharType="separate"/>
          </w:r>
          <w:r>
            <w:rPr>
              <w:rStyle w:val="63"/>
              <w:rFonts w:ascii="Times New Roman" w:hAnsi="Times New Roman" w:cs="Times New Roman"/>
              <w:szCs w:val="24"/>
            </w:rPr>
            <w:t>3.9 总量控制</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_Toc145580403 \h </w:instrText>
          </w:r>
          <w:r>
            <w:rPr>
              <w:rFonts w:ascii="Times New Roman" w:hAnsi="Times New Roman"/>
              <w:sz w:val="24"/>
              <w:szCs w:val="24"/>
            </w:rPr>
            <w:fldChar w:fldCharType="separate"/>
          </w:r>
          <w:r>
            <w:rPr>
              <w:rFonts w:ascii="Times New Roman" w:hAnsi="Times New Roman"/>
              <w:sz w:val="24"/>
              <w:szCs w:val="24"/>
            </w:rPr>
            <w:t>55</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"_Toc145580404" </w:instrText>
          </w:r>
          <w:r>
            <w:fldChar w:fldCharType="separate"/>
          </w:r>
          <w:r>
            <w:rPr>
              <w:rStyle w:val="63"/>
              <w:rFonts w:ascii="Times New Roman" w:hAnsi="Times New Roman" w:cs="Times New Roman"/>
              <w:i w:val="0"/>
              <w:iCs w:val="0"/>
              <w:szCs w:val="24"/>
            </w:rPr>
            <w:t>3.9.1总量控制目的</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_Toc145580404 \h </w:instrText>
          </w:r>
          <w:r>
            <w:rPr>
              <w:rFonts w:ascii="Times New Roman" w:hAnsi="Times New Roman"/>
              <w:i w:val="0"/>
              <w:iCs w:val="0"/>
              <w:sz w:val="24"/>
              <w:szCs w:val="24"/>
            </w:rPr>
            <w:fldChar w:fldCharType="separate"/>
          </w:r>
          <w:r>
            <w:rPr>
              <w:rFonts w:ascii="Times New Roman" w:hAnsi="Times New Roman"/>
              <w:i w:val="0"/>
              <w:iCs w:val="0"/>
              <w:sz w:val="24"/>
              <w:szCs w:val="24"/>
            </w:rPr>
            <w:t>55</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"_Toc145580405" </w:instrText>
          </w:r>
          <w:r>
            <w:fldChar w:fldCharType="separate"/>
          </w:r>
          <w:r>
            <w:rPr>
              <w:rStyle w:val="63"/>
              <w:rFonts w:ascii="Times New Roman" w:hAnsi="Times New Roman" w:cs="Times New Roman"/>
              <w:i w:val="0"/>
              <w:iCs w:val="0"/>
              <w:szCs w:val="24"/>
            </w:rPr>
            <w:t>3.9.2总量控制因子</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_Toc145580405 \h </w:instrText>
          </w:r>
          <w:r>
            <w:rPr>
              <w:rFonts w:ascii="Times New Roman" w:hAnsi="Times New Roman"/>
              <w:i w:val="0"/>
              <w:iCs w:val="0"/>
              <w:sz w:val="24"/>
              <w:szCs w:val="24"/>
            </w:rPr>
            <w:fldChar w:fldCharType="separate"/>
          </w:r>
          <w:r>
            <w:rPr>
              <w:rFonts w:ascii="Times New Roman" w:hAnsi="Times New Roman"/>
              <w:i w:val="0"/>
              <w:iCs w:val="0"/>
              <w:sz w:val="24"/>
              <w:szCs w:val="24"/>
            </w:rPr>
            <w:t>55</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37"/>
            <w:tabs>
              <w:tab w:val="right" w:leader="dot" w:pos="8211"/>
            </w:tabs>
            <w:rPr>
              <w:rFonts w:ascii="Times New Roman" w:hAnsi="Times New Roman"/>
              <w:b w:val="0"/>
              <w:bCs w:val="0"/>
              <w:caps w:val="0"/>
              <w:sz w:val="24"/>
              <w:szCs w:val="24"/>
              <w14:ligatures w14:val="standardContextual"/>
            </w:rPr>
          </w:pPr>
          <w:r>
            <w:fldChar w:fldCharType="begin"/>
          </w:r>
          <w:r>
            <w:instrText xml:space="preserve"> HYPERLINK \l "_Toc145580406" </w:instrText>
          </w:r>
          <w:r>
            <w:fldChar w:fldCharType="separate"/>
          </w:r>
          <w:r>
            <w:rPr>
              <w:rStyle w:val="63"/>
              <w:rFonts w:ascii="Times New Roman" w:hAnsi="Times New Roman" w:cs="Times New Roman"/>
              <w:szCs w:val="24"/>
            </w:rPr>
            <w:t>4  环境现状调查与评价</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_Toc145580406 \h </w:instrText>
          </w:r>
          <w:r>
            <w:rPr>
              <w:rFonts w:ascii="Times New Roman" w:hAnsi="Times New Roman"/>
              <w:sz w:val="24"/>
              <w:szCs w:val="24"/>
            </w:rPr>
            <w:fldChar w:fldCharType="separate"/>
          </w:r>
          <w:r>
            <w:rPr>
              <w:rFonts w:ascii="Times New Roman" w:hAnsi="Times New Roman"/>
              <w:sz w:val="24"/>
              <w:szCs w:val="24"/>
            </w:rPr>
            <w:t>56</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"_Toc145580407" </w:instrText>
          </w:r>
          <w:r>
            <w:fldChar w:fldCharType="separate"/>
          </w:r>
          <w:r>
            <w:rPr>
              <w:rStyle w:val="63"/>
              <w:rFonts w:ascii="Times New Roman" w:hAnsi="Times New Roman" w:cs="Times New Roman"/>
              <w:szCs w:val="24"/>
            </w:rPr>
            <w:t>4.1 自然环境概况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_Toc145580407 \h </w:instrText>
          </w:r>
          <w:r>
            <w:rPr>
              <w:rFonts w:ascii="Times New Roman" w:hAnsi="Times New Roman"/>
              <w:sz w:val="24"/>
              <w:szCs w:val="24"/>
            </w:rPr>
            <w:fldChar w:fldCharType="separate"/>
          </w:r>
          <w:r>
            <w:rPr>
              <w:rFonts w:ascii="Times New Roman" w:hAnsi="Times New Roman"/>
              <w:sz w:val="24"/>
              <w:szCs w:val="24"/>
            </w:rPr>
            <w:t>56</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"_Toc145580408" </w:instrText>
          </w:r>
          <w:r>
            <w:fldChar w:fldCharType="separate"/>
          </w:r>
          <w:r>
            <w:rPr>
              <w:rStyle w:val="63"/>
              <w:rFonts w:ascii="Times New Roman" w:hAnsi="Times New Roman" w:cs="Times New Roman"/>
              <w:i w:val="0"/>
              <w:iCs w:val="0"/>
              <w:szCs w:val="24"/>
            </w:rPr>
            <w:t>4.1.1地理位置</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_Toc145580408 \h </w:instrText>
          </w:r>
          <w:r>
            <w:rPr>
              <w:rFonts w:ascii="Times New Roman" w:hAnsi="Times New Roman"/>
              <w:i w:val="0"/>
              <w:iCs w:val="0"/>
              <w:sz w:val="24"/>
              <w:szCs w:val="24"/>
            </w:rPr>
            <w:fldChar w:fldCharType="separate"/>
          </w:r>
          <w:r>
            <w:rPr>
              <w:rFonts w:ascii="Times New Roman" w:hAnsi="Times New Roman"/>
              <w:i w:val="0"/>
              <w:iCs w:val="0"/>
              <w:sz w:val="24"/>
              <w:szCs w:val="24"/>
            </w:rPr>
            <w:t>56</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"_Toc145580409" </w:instrText>
          </w:r>
          <w:r>
            <w:fldChar w:fldCharType="separate"/>
          </w:r>
          <w:r>
            <w:rPr>
              <w:rStyle w:val="63"/>
              <w:rFonts w:ascii="Times New Roman" w:hAnsi="Times New Roman" w:cs="Times New Roman"/>
              <w:i w:val="0"/>
              <w:iCs w:val="0"/>
              <w:szCs w:val="24"/>
            </w:rPr>
            <w:t>4.1.2地形地貌</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_Toc145580409 \h </w:instrText>
          </w:r>
          <w:r>
            <w:rPr>
              <w:rFonts w:ascii="Times New Roman" w:hAnsi="Times New Roman"/>
              <w:i w:val="0"/>
              <w:iCs w:val="0"/>
              <w:sz w:val="24"/>
              <w:szCs w:val="24"/>
            </w:rPr>
            <w:fldChar w:fldCharType="separate"/>
          </w:r>
          <w:r>
            <w:rPr>
              <w:rFonts w:ascii="Times New Roman" w:hAnsi="Times New Roman"/>
              <w:i w:val="0"/>
              <w:iCs w:val="0"/>
              <w:sz w:val="24"/>
              <w:szCs w:val="24"/>
            </w:rPr>
            <w:t>56</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"_Toc145580410" </w:instrText>
          </w:r>
          <w:r>
            <w:fldChar w:fldCharType="separate"/>
          </w:r>
          <w:r>
            <w:rPr>
              <w:rStyle w:val="63"/>
              <w:rFonts w:ascii="Times New Roman" w:hAnsi="Times New Roman" w:cs="Times New Roman"/>
              <w:i w:val="0"/>
              <w:iCs w:val="0"/>
              <w:szCs w:val="24"/>
            </w:rPr>
            <w:t>4.1.3水文及水文地质</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_Toc145580410 \h </w:instrText>
          </w:r>
          <w:r>
            <w:rPr>
              <w:rFonts w:ascii="Times New Roman" w:hAnsi="Times New Roman"/>
              <w:i w:val="0"/>
              <w:iCs w:val="0"/>
              <w:sz w:val="24"/>
              <w:szCs w:val="24"/>
            </w:rPr>
            <w:fldChar w:fldCharType="separate"/>
          </w:r>
          <w:r>
            <w:rPr>
              <w:rFonts w:ascii="Times New Roman" w:hAnsi="Times New Roman"/>
              <w:i w:val="0"/>
              <w:iCs w:val="0"/>
              <w:sz w:val="24"/>
              <w:szCs w:val="24"/>
            </w:rPr>
            <w:t>57</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"_Toc145580411" </w:instrText>
          </w:r>
          <w:r>
            <w:fldChar w:fldCharType="separate"/>
          </w:r>
          <w:r>
            <w:rPr>
              <w:rStyle w:val="63"/>
              <w:rFonts w:ascii="Times New Roman" w:hAnsi="Times New Roman" w:cs="Times New Roman"/>
              <w:i w:val="0"/>
              <w:iCs w:val="0"/>
              <w:szCs w:val="24"/>
            </w:rPr>
            <w:t>4.1.4气候气象</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_Toc145580411 \h </w:instrText>
          </w:r>
          <w:r>
            <w:rPr>
              <w:rFonts w:ascii="Times New Roman" w:hAnsi="Times New Roman"/>
              <w:i w:val="0"/>
              <w:iCs w:val="0"/>
              <w:sz w:val="24"/>
              <w:szCs w:val="24"/>
            </w:rPr>
            <w:fldChar w:fldCharType="separate"/>
          </w:r>
          <w:r>
            <w:rPr>
              <w:rFonts w:ascii="Times New Roman" w:hAnsi="Times New Roman"/>
              <w:i w:val="0"/>
              <w:iCs w:val="0"/>
              <w:sz w:val="24"/>
              <w:szCs w:val="24"/>
            </w:rPr>
            <w:t>59</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"_Toc145580412" </w:instrText>
          </w:r>
          <w:r>
            <w:fldChar w:fldCharType="separate"/>
          </w:r>
          <w:r>
            <w:rPr>
              <w:rStyle w:val="63"/>
              <w:rFonts w:ascii="Times New Roman" w:hAnsi="Times New Roman" w:cs="Times New Roman"/>
              <w:i w:val="0"/>
              <w:iCs w:val="0"/>
              <w:szCs w:val="24"/>
            </w:rPr>
            <w:t>4.1.5地质构造</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_Toc145580412 \h </w:instrText>
          </w:r>
          <w:r>
            <w:rPr>
              <w:rFonts w:ascii="Times New Roman" w:hAnsi="Times New Roman"/>
              <w:i w:val="0"/>
              <w:iCs w:val="0"/>
              <w:sz w:val="24"/>
              <w:szCs w:val="24"/>
            </w:rPr>
            <w:fldChar w:fldCharType="separate"/>
          </w:r>
          <w:r>
            <w:rPr>
              <w:rFonts w:ascii="Times New Roman" w:hAnsi="Times New Roman"/>
              <w:i w:val="0"/>
              <w:iCs w:val="0"/>
              <w:sz w:val="24"/>
              <w:szCs w:val="24"/>
            </w:rPr>
            <w:t>60</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"_Toc145580413" </w:instrText>
          </w:r>
          <w:r>
            <w:fldChar w:fldCharType="separate"/>
          </w:r>
          <w:r>
            <w:rPr>
              <w:rStyle w:val="63"/>
              <w:rFonts w:ascii="Times New Roman" w:hAnsi="Times New Roman" w:cs="Times New Roman"/>
              <w:i w:val="0"/>
              <w:iCs w:val="0"/>
              <w:szCs w:val="24"/>
            </w:rPr>
            <w:t>4.1.6矿产资源</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_Toc145580413 \h </w:instrText>
          </w:r>
          <w:r>
            <w:rPr>
              <w:rFonts w:ascii="Times New Roman" w:hAnsi="Times New Roman"/>
              <w:i w:val="0"/>
              <w:iCs w:val="0"/>
              <w:sz w:val="24"/>
              <w:szCs w:val="24"/>
            </w:rPr>
            <w:fldChar w:fldCharType="separate"/>
          </w:r>
          <w:r>
            <w:rPr>
              <w:rFonts w:ascii="Times New Roman" w:hAnsi="Times New Roman"/>
              <w:i w:val="0"/>
              <w:iCs w:val="0"/>
              <w:sz w:val="24"/>
              <w:szCs w:val="24"/>
            </w:rPr>
            <w:t>60</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"_Toc145580414" </w:instrText>
          </w:r>
          <w:r>
            <w:fldChar w:fldCharType="separate"/>
          </w:r>
          <w:r>
            <w:rPr>
              <w:rStyle w:val="63"/>
              <w:rFonts w:ascii="Times New Roman" w:hAnsi="Times New Roman" w:cs="Times New Roman"/>
              <w:szCs w:val="24"/>
            </w:rPr>
            <w:t>4.2环境质量现状监测与评价</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_Toc145580414 \h </w:instrText>
          </w:r>
          <w:r>
            <w:rPr>
              <w:rFonts w:ascii="Times New Roman" w:hAnsi="Times New Roman"/>
              <w:sz w:val="24"/>
              <w:szCs w:val="24"/>
            </w:rPr>
            <w:fldChar w:fldCharType="separate"/>
          </w:r>
          <w:r>
            <w:rPr>
              <w:rFonts w:ascii="Times New Roman" w:hAnsi="Times New Roman"/>
              <w:sz w:val="24"/>
              <w:szCs w:val="24"/>
            </w:rPr>
            <w:t>62</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"_Toc145580415" </w:instrText>
          </w:r>
          <w:r>
            <w:fldChar w:fldCharType="separate"/>
          </w:r>
          <w:r>
            <w:rPr>
              <w:rStyle w:val="63"/>
              <w:rFonts w:ascii="Times New Roman" w:hAnsi="Times New Roman" w:cs="Times New Roman"/>
              <w:i w:val="0"/>
              <w:iCs w:val="0"/>
              <w:szCs w:val="24"/>
            </w:rPr>
            <w:t>4.2.1环境空气质量现状监测与评价</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_Toc145580415 \h </w:instrText>
          </w:r>
          <w:r>
            <w:rPr>
              <w:rFonts w:ascii="Times New Roman" w:hAnsi="Times New Roman"/>
              <w:i w:val="0"/>
              <w:iCs w:val="0"/>
              <w:sz w:val="24"/>
              <w:szCs w:val="24"/>
            </w:rPr>
            <w:fldChar w:fldCharType="separate"/>
          </w:r>
          <w:r>
            <w:rPr>
              <w:rFonts w:ascii="Times New Roman" w:hAnsi="Times New Roman"/>
              <w:i w:val="0"/>
              <w:iCs w:val="0"/>
              <w:sz w:val="24"/>
              <w:szCs w:val="24"/>
            </w:rPr>
            <w:t>62</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"_Toc145580416" </w:instrText>
          </w:r>
          <w:r>
            <w:fldChar w:fldCharType="separate"/>
          </w:r>
          <w:r>
            <w:rPr>
              <w:rStyle w:val="63"/>
              <w:rFonts w:ascii="Times New Roman" w:hAnsi="Times New Roman" w:cs="Times New Roman"/>
              <w:i w:val="0"/>
              <w:iCs w:val="0"/>
              <w:szCs w:val="24"/>
            </w:rPr>
            <w:t>4.2.2地下水环境质量现状调查及评价</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_Toc145580416 \h </w:instrText>
          </w:r>
          <w:r>
            <w:rPr>
              <w:rFonts w:ascii="Times New Roman" w:hAnsi="Times New Roman"/>
              <w:i w:val="0"/>
              <w:iCs w:val="0"/>
              <w:sz w:val="24"/>
              <w:szCs w:val="24"/>
            </w:rPr>
            <w:fldChar w:fldCharType="separate"/>
          </w:r>
          <w:r>
            <w:rPr>
              <w:rFonts w:ascii="Times New Roman" w:hAnsi="Times New Roman"/>
              <w:i w:val="0"/>
              <w:iCs w:val="0"/>
              <w:sz w:val="24"/>
              <w:szCs w:val="24"/>
            </w:rPr>
            <w:t>65</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"_Toc145580417" </w:instrText>
          </w:r>
          <w:r>
            <w:fldChar w:fldCharType="separate"/>
          </w:r>
          <w:r>
            <w:rPr>
              <w:rStyle w:val="63"/>
              <w:rFonts w:ascii="Times New Roman" w:hAnsi="Times New Roman" w:cs="Times New Roman"/>
              <w:i w:val="0"/>
              <w:iCs w:val="0"/>
              <w:szCs w:val="24"/>
            </w:rPr>
            <w:t>4.2.3声环境现状调查与评价</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_Toc145580417 \h </w:instrText>
          </w:r>
          <w:r>
            <w:rPr>
              <w:rFonts w:ascii="Times New Roman" w:hAnsi="Times New Roman"/>
              <w:i w:val="0"/>
              <w:iCs w:val="0"/>
              <w:sz w:val="24"/>
              <w:szCs w:val="24"/>
            </w:rPr>
            <w:fldChar w:fldCharType="separate"/>
          </w:r>
          <w:r>
            <w:rPr>
              <w:rFonts w:ascii="Times New Roman" w:hAnsi="Times New Roman"/>
              <w:i w:val="0"/>
              <w:iCs w:val="0"/>
              <w:sz w:val="24"/>
              <w:szCs w:val="24"/>
            </w:rPr>
            <w:t>69</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"_Toc145580418" </w:instrText>
          </w:r>
          <w:r>
            <w:fldChar w:fldCharType="separate"/>
          </w:r>
          <w:r>
            <w:rPr>
              <w:rStyle w:val="63"/>
              <w:rFonts w:ascii="Times New Roman" w:hAnsi="Times New Roman" w:cs="Times New Roman"/>
              <w:i w:val="0"/>
              <w:iCs w:val="0"/>
              <w:szCs w:val="24"/>
            </w:rPr>
            <w:t>4.2.4土壤环境现状调查与评价</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_Toc145580418 \h </w:instrText>
          </w:r>
          <w:r>
            <w:rPr>
              <w:rFonts w:ascii="Times New Roman" w:hAnsi="Times New Roman"/>
              <w:i w:val="0"/>
              <w:iCs w:val="0"/>
              <w:sz w:val="24"/>
              <w:szCs w:val="24"/>
            </w:rPr>
            <w:fldChar w:fldCharType="separate"/>
          </w:r>
          <w:r>
            <w:rPr>
              <w:rFonts w:ascii="Times New Roman" w:hAnsi="Times New Roman"/>
              <w:i w:val="0"/>
              <w:iCs w:val="0"/>
              <w:sz w:val="24"/>
              <w:szCs w:val="24"/>
            </w:rPr>
            <w:t>69</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"_Toc145580419" </w:instrText>
          </w:r>
          <w:r>
            <w:fldChar w:fldCharType="separate"/>
          </w:r>
          <w:r>
            <w:rPr>
              <w:rStyle w:val="63"/>
              <w:rFonts w:ascii="Times New Roman" w:hAnsi="Times New Roman" w:cs="Times New Roman"/>
              <w:i w:val="0"/>
              <w:iCs w:val="0"/>
              <w:szCs w:val="24"/>
            </w:rPr>
            <w:t>4.2.4生态环境现状调查</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_Toc145580419 \h </w:instrText>
          </w:r>
          <w:r>
            <w:rPr>
              <w:rFonts w:ascii="Times New Roman" w:hAnsi="Times New Roman"/>
              <w:i w:val="0"/>
              <w:iCs w:val="0"/>
              <w:sz w:val="24"/>
              <w:szCs w:val="24"/>
            </w:rPr>
            <w:fldChar w:fldCharType="separate"/>
          </w:r>
          <w:r>
            <w:rPr>
              <w:rFonts w:ascii="Times New Roman" w:hAnsi="Times New Roman"/>
              <w:i w:val="0"/>
              <w:iCs w:val="0"/>
              <w:sz w:val="24"/>
              <w:szCs w:val="24"/>
            </w:rPr>
            <w:t>74</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37"/>
            <w:tabs>
              <w:tab w:val="right" w:leader="dot" w:pos="8211"/>
            </w:tabs>
            <w:rPr>
              <w:rFonts w:ascii="Times New Roman" w:hAnsi="Times New Roman"/>
              <w:b w:val="0"/>
              <w:bCs w:val="0"/>
              <w:caps w:val="0"/>
              <w:sz w:val="24"/>
              <w:szCs w:val="24"/>
              <w14:ligatures w14:val="standardContextual"/>
            </w:rPr>
          </w:pPr>
          <w:r>
            <w:fldChar w:fldCharType="begin"/>
          </w:r>
          <w:r>
            <w:instrText xml:space="preserve"> HYPERLINK \l "_Toc145580420" </w:instrText>
          </w:r>
          <w:r>
            <w:fldChar w:fldCharType="separate"/>
          </w:r>
          <w:r>
            <w:rPr>
              <w:rStyle w:val="63"/>
              <w:rFonts w:ascii="Times New Roman" w:hAnsi="Times New Roman" w:cs="Times New Roman"/>
              <w:szCs w:val="24"/>
            </w:rPr>
            <w:t>5  环境影响分析与评价</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_Toc145580420 \h </w:instrText>
          </w:r>
          <w:r>
            <w:rPr>
              <w:rFonts w:ascii="Times New Roman" w:hAnsi="Times New Roman"/>
              <w:sz w:val="24"/>
              <w:szCs w:val="24"/>
            </w:rPr>
            <w:fldChar w:fldCharType="separate"/>
          </w:r>
          <w:r>
            <w:rPr>
              <w:rFonts w:ascii="Times New Roman" w:hAnsi="Times New Roman"/>
              <w:sz w:val="24"/>
              <w:szCs w:val="24"/>
            </w:rPr>
            <w:t>81</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"_Toc145580421" </w:instrText>
          </w:r>
          <w:r>
            <w:fldChar w:fldCharType="separate"/>
          </w:r>
          <w:r>
            <w:rPr>
              <w:rStyle w:val="63"/>
              <w:rFonts w:ascii="Times New Roman" w:hAnsi="Times New Roman" w:cs="Times New Roman"/>
              <w:szCs w:val="24"/>
            </w:rPr>
            <w:t>5.1 施工期环境影响分析与评价</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_Toc145580421 \h </w:instrText>
          </w:r>
          <w:r>
            <w:rPr>
              <w:rFonts w:ascii="Times New Roman" w:hAnsi="Times New Roman"/>
              <w:sz w:val="24"/>
              <w:szCs w:val="24"/>
            </w:rPr>
            <w:fldChar w:fldCharType="separate"/>
          </w:r>
          <w:r>
            <w:rPr>
              <w:rFonts w:ascii="Times New Roman" w:hAnsi="Times New Roman"/>
              <w:sz w:val="24"/>
              <w:szCs w:val="24"/>
            </w:rPr>
            <w:t>81</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"_Toc145580422" </w:instrText>
          </w:r>
          <w:r>
            <w:fldChar w:fldCharType="separate"/>
          </w:r>
          <w:r>
            <w:rPr>
              <w:rStyle w:val="63"/>
              <w:rFonts w:ascii="Times New Roman" w:hAnsi="Times New Roman" w:cs="Times New Roman"/>
              <w:i w:val="0"/>
              <w:iCs w:val="0"/>
              <w:szCs w:val="24"/>
            </w:rPr>
            <w:t>5.1.1施工期大气环境影响分析与评价</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_Toc145580422 \h </w:instrText>
          </w:r>
          <w:r>
            <w:rPr>
              <w:rFonts w:ascii="Times New Roman" w:hAnsi="Times New Roman"/>
              <w:i w:val="0"/>
              <w:iCs w:val="0"/>
              <w:sz w:val="24"/>
              <w:szCs w:val="24"/>
            </w:rPr>
            <w:fldChar w:fldCharType="separate"/>
          </w:r>
          <w:r>
            <w:rPr>
              <w:rFonts w:ascii="Times New Roman" w:hAnsi="Times New Roman"/>
              <w:i w:val="0"/>
              <w:iCs w:val="0"/>
              <w:sz w:val="24"/>
              <w:szCs w:val="24"/>
            </w:rPr>
            <w:t>81</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"_Toc145580423" </w:instrText>
          </w:r>
          <w:r>
            <w:fldChar w:fldCharType="separate"/>
          </w:r>
          <w:r>
            <w:rPr>
              <w:rStyle w:val="63"/>
              <w:rFonts w:ascii="Times New Roman" w:hAnsi="Times New Roman" w:cs="Times New Roman"/>
              <w:i w:val="0"/>
              <w:iCs w:val="0"/>
              <w:szCs w:val="24"/>
            </w:rPr>
            <w:t>5.1.2施工废水对环境的影响分析与评价</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_Toc145580423 \h </w:instrText>
          </w:r>
          <w:r>
            <w:rPr>
              <w:rFonts w:ascii="Times New Roman" w:hAnsi="Times New Roman"/>
              <w:i w:val="0"/>
              <w:iCs w:val="0"/>
              <w:sz w:val="24"/>
              <w:szCs w:val="24"/>
            </w:rPr>
            <w:fldChar w:fldCharType="separate"/>
          </w:r>
          <w:r>
            <w:rPr>
              <w:rFonts w:ascii="Times New Roman" w:hAnsi="Times New Roman"/>
              <w:i w:val="0"/>
              <w:iCs w:val="0"/>
              <w:sz w:val="24"/>
              <w:szCs w:val="24"/>
            </w:rPr>
            <w:t>82</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"_Toc145580424" </w:instrText>
          </w:r>
          <w:r>
            <w:fldChar w:fldCharType="separate"/>
          </w:r>
          <w:r>
            <w:rPr>
              <w:rStyle w:val="63"/>
              <w:rFonts w:ascii="Times New Roman" w:hAnsi="Times New Roman" w:cs="Times New Roman"/>
              <w:i w:val="0"/>
              <w:iCs w:val="0"/>
              <w:szCs w:val="24"/>
            </w:rPr>
            <w:t>5.1.3施工期声环境影响分析与评价</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_Toc145580424 \h </w:instrText>
          </w:r>
          <w:r>
            <w:rPr>
              <w:rFonts w:ascii="Times New Roman" w:hAnsi="Times New Roman"/>
              <w:i w:val="0"/>
              <w:iCs w:val="0"/>
              <w:sz w:val="24"/>
              <w:szCs w:val="24"/>
            </w:rPr>
            <w:fldChar w:fldCharType="separate"/>
          </w:r>
          <w:r>
            <w:rPr>
              <w:rFonts w:ascii="Times New Roman" w:hAnsi="Times New Roman"/>
              <w:i w:val="0"/>
              <w:iCs w:val="0"/>
              <w:sz w:val="24"/>
              <w:szCs w:val="24"/>
            </w:rPr>
            <w:t>82</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"_Toc145580425" </w:instrText>
          </w:r>
          <w:r>
            <w:fldChar w:fldCharType="separate"/>
          </w:r>
          <w:r>
            <w:rPr>
              <w:rStyle w:val="63"/>
              <w:rFonts w:ascii="Times New Roman" w:hAnsi="Times New Roman" w:cs="Times New Roman"/>
              <w:i w:val="0"/>
              <w:iCs w:val="0"/>
              <w:szCs w:val="24"/>
            </w:rPr>
            <w:t>5.1.4施工期固体废物对环境影响分析与评价</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_Toc145580425 \h </w:instrText>
          </w:r>
          <w:r>
            <w:rPr>
              <w:rFonts w:ascii="Times New Roman" w:hAnsi="Times New Roman"/>
              <w:i w:val="0"/>
              <w:iCs w:val="0"/>
              <w:sz w:val="24"/>
              <w:szCs w:val="24"/>
            </w:rPr>
            <w:fldChar w:fldCharType="separate"/>
          </w:r>
          <w:r>
            <w:rPr>
              <w:rFonts w:ascii="Times New Roman" w:hAnsi="Times New Roman"/>
              <w:i w:val="0"/>
              <w:iCs w:val="0"/>
              <w:sz w:val="24"/>
              <w:szCs w:val="24"/>
            </w:rPr>
            <w:t>84</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"_Toc145580426" </w:instrText>
          </w:r>
          <w:r>
            <w:fldChar w:fldCharType="separate"/>
          </w:r>
          <w:r>
            <w:rPr>
              <w:rStyle w:val="63"/>
              <w:rFonts w:ascii="Times New Roman" w:hAnsi="Times New Roman" w:cs="Times New Roman"/>
              <w:szCs w:val="24"/>
            </w:rPr>
            <w:t>5.2 运营期环境影响分析与评价</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_Toc145580426 \h </w:instrText>
          </w:r>
          <w:r>
            <w:rPr>
              <w:rFonts w:ascii="Times New Roman" w:hAnsi="Times New Roman"/>
              <w:sz w:val="24"/>
              <w:szCs w:val="24"/>
            </w:rPr>
            <w:fldChar w:fldCharType="separate"/>
          </w:r>
          <w:r>
            <w:rPr>
              <w:rFonts w:ascii="Times New Roman" w:hAnsi="Times New Roman"/>
              <w:sz w:val="24"/>
              <w:szCs w:val="24"/>
            </w:rPr>
            <w:t>84</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"_Toc145580427" </w:instrText>
          </w:r>
          <w:r>
            <w:fldChar w:fldCharType="separate"/>
          </w:r>
          <w:r>
            <w:rPr>
              <w:rStyle w:val="63"/>
              <w:rFonts w:ascii="Times New Roman" w:hAnsi="Times New Roman" w:cs="Times New Roman"/>
              <w:i w:val="0"/>
              <w:iCs w:val="0"/>
              <w:szCs w:val="24"/>
            </w:rPr>
            <w:t>5.2.1大气环境影响预测与评价</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_Toc145580427 \h </w:instrText>
          </w:r>
          <w:r>
            <w:rPr>
              <w:rFonts w:ascii="Times New Roman" w:hAnsi="Times New Roman"/>
              <w:i w:val="0"/>
              <w:iCs w:val="0"/>
              <w:sz w:val="24"/>
              <w:szCs w:val="24"/>
            </w:rPr>
            <w:fldChar w:fldCharType="separate"/>
          </w:r>
          <w:r>
            <w:rPr>
              <w:rFonts w:ascii="Times New Roman" w:hAnsi="Times New Roman"/>
              <w:i w:val="0"/>
              <w:iCs w:val="0"/>
              <w:sz w:val="24"/>
              <w:szCs w:val="24"/>
            </w:rPr>
            <w:t>84</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"_Toc145580428" </w:instrText>
          </w:r>
          <w:r>
            <w:fldChar w:fldCharType="separate"/>
          </w:r>
          <w:r>
            <w:rPr>
              <w:rStyle w:val="63"/>
              <w:rFonts w:ascii="Times New Roman" w:hAnsi="Times New Roman" w:cs="Times New Roman"/>
              <w:i w:val="0"/>
              <w:iCs w:val="0"/>
              <w:szCs w:val="24"/>
            </w:rPr>
            <w:t>5.2.2运营期水环境影响分析</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_Toc145580428 \h </w:instrText>
          </w:r>
          <w:r>
            <w:rPr>
              <w:rFonts w:ascii="Times New Roman" w:hAnsi="Times New Roman"/>
              <w:i w:val="0"/>
              <w:iCs w:val="0"/>
              <w:sz w:val="24"/>
              <w:szCs w:val="24"/>
            </w:rPr>
            <w:fldChar w:fldCharType="separate"/>
          </w:r>
          <w:r>
            <w:rPr>
              <w:rFonts w:ascii="Times New Roman" w:hAnsi="Times New Roman"/>
              <w:i w:val="0"/>
              <w:iCs w:val="0"/>
              <w:sz w:val="24"/>
              <w:szCs w:val="24"/>
            </w:rPr>
            <w:t>88</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"_Toc145580429" </w:instrText>
          </w:r>
          <w:r>
            <w:fldChar w:fldCharType="separate"/>
          </w:r>
          <w:r>
            <w:rPr>
              <w:rStyle w:val="63"/>
              <w:rFonts w:ascii="Times New Roman" w:hAnsi="Times New Roman" w:cs="Times New Roman"/>
              <w:i w:val="0"/>
              <w:iCs w:val="0"/>
              <w:szCs w:val="24"/>
            </w:rPr>
            <w:t>5.2.3运营期声环境影响预测与分析评价</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_Toc145580429 \h </w:instrText>
          </w:r>
          <w:r>
            <w:rPr>
              <w:rFonts w:ascii="Times New Roman" w:hAnsi="Times New Roman"/>
              <w:i w:val="0"/>
              <w:iCs w:val="0"/>
              <w:sz w:val="24"/>
              <w:szCs w:val="24"/>
            </w:rPr>
            <w:fldChar w:fldCharType="separate"/>
          </w:r>
          <w:r>
            <w:rPr>
              <w:rFonts w:ascii="Times New Roman" w:hAnsi="Times New Roman"/>
              <w:i w:val="0"/>
              <w:iCs w:val="0"/>
              <w:sz w:val="24"/>
              <w:szCs w:val="24"/>
            </w:rPr>
            <w:t>94</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"_Toc145580430" </w:instrText>
          </w:r>
          <w:r>
            <w:fldChar w:fldCharType="separate"/>
          </w:r>
          <w:r>
            <w:rPr>
              <w:rStyle w:val="63"/>
              <w:rFonts w:ascii="Times New Roman" w:hAnsi="Times New Roman" w:cs="Times New Roman"/>
              <w:i w:val="0"/>
              <w:iCs w:val="0"/>
              <w:szCs w:val="24"/>
            </w:rPr>
            <w:t>5.2.4运营期固体废物环境影响分析</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_Toc145580430 \h </w:instrText>
          </w:r>
          <w:r>
            <w:rPr>
              <w:rFonts w:ascii="Times New Roman" w:hAnsi="Times New Roman"/>
              <w:i w:val="0"/>
              <w:iCs w:val="0"/>
              <w:sz w:val="24"/>
              <w:szCs w:val="24"/>
            </w:rPr>
            <w:fldChar w:fldCharType="separate"/>
          </w:r>
          <w:r>
            <w:rPr>
              <w:rFonts w:ascii="Times New Roman" w:hAnsi="Times New Roman"/>
              <w:i w:val="0"/>
              <w:iCs w:val="0"/>
              <w:sz w:val="24"/>
              <w:szCs w:val="24"/>
            </w:rPr>
            <w:t>96</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"_Toc145580431" </w:instrText>
          </w:r>
          <w:r>
            <w:fldChar w:fldCharType="separate"/>
          </w:r>
          <w:r>
            <w:rPr>
              <w:rStyle w:val="63"/>
              <w:rFonts w:ascii="Times New Roman" w:hAnsi="Times New Roman" w:cs="Times New Roman"/>
              <w:i w:val="0"/>
              <w:iCs w:val="0"/>
              <w:szCs w:val="24"/>
            </w:rPr>
            <w:t>5.2.5运营期土壤环境影响分析</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_Toc145580431 \h </w:instrText>
          </w:r>
          <w:r>
            <w:rPr>
              <w:rFonts w:ascii="Times New Roman" w:hAnsi="Times New Roman"/>
              <w:i w:val="0"/>
              <w:iCs w:val="0"/>
              <w:sz w:val="24"/>
              <w:szCs w:val="24"/>
            </w:rPr>
            <w:fldChar w:fldCharType="separate"/>
          </w:r>
          <w:r>
            <w:rPr>
              <w:rFonts w:ascii="Times New Roman" w:hAnsi="Times New Roman"/>
              <w:i w:val="0"/>
              <w:iCs w:val="0"/>
              <w:sz w:val="24"/>
              <w:szCs w:val="24"/>
            </w:rPr>
            <w:t>97</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"_Toc145580432" </w:instrText>
          </w:r>
          <w:r>
            <w:fldChar w:fldCharType="separate"/>
          </w:r>
          <w:r>
            <w:rPr>
              <w:rStyle w:val="63"/>
              <w:rFonts w:ascii="Times New Roman" w:hAnsi="Times New Roman" w:cs="Times New Roman"/>
              <w:i w:val="0"/>
              <w:iCs w:val="0"/>
              <w:szCs w:val="24"/>
            </w:rPr>
            <w:t>5.2.6运营期生态环境影响分析与评价</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_Toc145580432 \h </w:instrText>
          </w:r>
          <w:r>
            <w:rPr>
              <w:rFonts w:ascii="Times New Roman" w:hAnsi="Times New Roman"/>
              <w:i w:val="0"/>
              <w:iCs w:val="0"/>
              <w:sz w:val="24"/>
              <w:szCs w:val="24"/>
            </w:rPr>
            <w:fldChar w:fldCharType="separate"/>
          </w:r>
          <w:r>
            <w:rPr>
              <w:rFonts w:ascii="Times New Roman" w:hAnsi="Times New Roman"/>
              <w:i w:val="0"/>
              <w:iCs w:val="0"/>
              <w:sz w:val="24"/>
              <w:szCs w:val="24"/>
            </w:rPr>
            <w:t>99</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"_Toc145580433" </w:instrText>
          </w:r>
          <w:r>
            <w:fldChar w:fldCharType="separate"/>
          </w:r>
          <w:r>
            <w:rPr>
              <w:rStyle w:val="63"/>
              <w:rFonts w:ascii="Times New Roman" w:hAnsi="Times New Roman" w:cs="Times New Roman"/>
              <w:szCs w:val="24"/>
            </w:rPr>
            <w:t>5.3 退役期环境影响分析与评价</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_Toc145580433 \h </w:instrText>
          </w:r>
          <w:r>
            <w:rPr>
              <w:rFonts w:ascii="Times New Roman" w:hAnsi="Times New Roman"/>
              <w:sz w:val="24"/>
              <w:szCs w:val="24"/>
            </w:rPr>
            <w:fldChar w:fldCharType="separate"/>
          </w:r>
          <w:r>
            <w:rPr>
              <w:rFonts w:ascii="Times New Roman" w:hAnsi="Times New Roman"/>
              <w:sz w:val="24"/>
              <w:szCs w:val="24"/>
            </w:rPr>
            <w:t>102</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"_Toc145580434" </w:instrText>
          </w:r>
          <w:r>
            <w:fldChar w:fldCharType="separate"/>
          </w:r>
          <w:r>
            <w:rPr>
              <w:rStyle w:val="63"/>
              <w:rFonts w:ascii="Times New Roman" w:hAnsi="Times New Roman" w:cs="Times New Roman"/>
              <w:i w:val="0"/>
              <w:iCs w:val="0"/>
              <w:szCs w:val="24"/>
            </w:rPr>
            <w:t>5.3.1退役期生态环境影响分析</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_Toc145580434 \h </w:instrText>
          </w:r>
          <w:r>
            <w:rPr>
              <w:rFonts w:ascii="Times New Roman" w:hAnsi="Times New Roman"/>
              <w:i w:val="0"/>
              <w:iCs w:val="0"/>
              <w:sz w:val="24"/>
              <w:szCs w:val="24"/>
            </w:rPr>
            <w:fldChar w:fldCharType="separate"/>
          </w:r>
          <w:r>
            <w:rPr>
              <w:rFonts w:ascii="Times New Roman" w:hAnsi="Times New Roman"/>
              <w:i w:val="0"/>
              <w:iCs w:val="0"/>
              <w:sz w:val="24"/>
              <w:szCs w:val="24"/>
            </w:rPr>
            <w:t>102</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"_Toc145580435" </w:instrText>
          </w:r>
          <w:r>
            <w:fldChar w:fldCharType="separate"/>
          </w:r>
          <w:r>
            <w:rPr>
              <w:rStyle w:val="63"/>
              <w:rFonts w:ascii="Times New Roman" w:hAnsi="Times New Roman" w:cs="Times New Roman"/>
              <w:i w:val="0"/>
              <w:iCs w:val="0"/>
              <w:szCs w:val="24"/>
            </w:rPr>
            <w:t>5.3.2退役期大气环境影响分析</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_Toc145580435 \h </w:instrText>
          </w:r>
          <w:r>
            <w:rPr>
              <w:rFonts w:ascii="Times New Roman" w:hAnsi="Times New Roman"/>
              <w:i w:val="0"/>
              <w:iCs w:val="0"/>
              <w:sz w:val="24"/>
              <w:szCs w:val="24"/>
            </w:rPr>
            <w:fldChar w:fldCharType="separate"/>
          </w:r>
          <w:r>
            <w:rPr>
              <w:rFonts w:ascii="Times New Roman" w:hAnsi="Times New Roman"/>
              <w:i w:val="0"/>
              <w:iCs w:val="0"/>
              <w:sz w:val="24"/>
              <w:szCs w:val="24"/>
            </w:rPr>
            <w:t>103</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"_Toc145580436" </w:instrText>
          </w:r>
          <w:r>
            <w:fldChar w:fldCharType="separate"/>
          </w:r>
          <w:r>
            <w:rPr>
              <w:rStyle w:val="63"/>
              <w:rFonts w:ascii="Times New Roman" w:hAnsi="Times New Roman" w:cs="Times New Roman"/>
              <w:i w:val="0"/>
              <w:iCs w:val="0"/>
              <w:szCs w:val="24"/>
            </w:rPr>
            <w:t>5.3.3退役期声环境影响分析</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_Toc145580436 \h </w:instrText>
          </w:r>
          <w:r>
            <w:rPr>
              <w:rFonts w:ascii="Times New Roman" w:hAnsi="Times New Roman"/>
              <w:i w:val="0"/>
              <w:iCs w:val="0"/>
              <w:sz w:val="24"/>
              <w:szCs w:val="24"/>
            </w:rPr>
            <w:fldChar w:fldCharType="separate"/>
          </w:r>
          <w:r>
            <w:rPr>
              <w:rFonts w:ascii="Times New Roman" w:hAnsi="Times New Roman"/>
              <w:i w:val="0"/>
              <w:iCs w:val="0"/>
              <w:sz w:val="24"/>
              <w:szCs w:val="24"/>
            </w:rPr>
            <w:t>103</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"_Toc145580437" </w:instrText>
          </w:r>
          <w:r>
            <w:fldChar w:fldCharType="separate"/>
          </w:r>
          <w:r>
            <w:rPr>
              <w:rStyle w:val="63"/>
              <w:rFonts w:ascii="Times New Roman" w:hAnsi="Times New Roman" w:cs="Times New Roman"/>
              <w:szCs w:val="24"/>
            </w:rPr>
            <w:t>5.4 环境风险分析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_Toc145580437 \h </w:instrText>
          </w:r>
          <w:r>
            <w:rPr>
              <w:rFonts w:ascii="Times New Roman" w:hAnsi="Times New Roman"/>
              <w:sz w:val="24"/>
              <w:szCs w:val="24"/>
            </w:rPr>
            <w:fldChar w:fldCharType="separate"/>
          </w:r>
          <w:r>
            <w:rPr>
              <w:rFonts w:ascii="Times New Roman" w:hAnsi="Times New Roman"/>
              <w:sz w:val="24"/>
              <w:szCs w:val="24"/>
            </w:rPr>
            <w:t>103</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"_Toc145580438" </w:instrText>
          </w:r>
          <w:r>
            <w:fldChar w:fldCharType="separate"/>
          </w:r>
          <w:r>
            <w:rPr>
              <w:rStyle w:val="63"/>
              <w:rFonts w:ascii="Times New Roman" w:hAnsi="Times New Roman" w:cs="Times New Roman"/>
              <w:i w:val="0"/>
              <w:iCs w:val="0"/>
              <w:szCs w:val="24"/>
            </w:rPr>
            <w:t>5.4.1概述</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_Toc145580438 \h </w:instrText>
          </w:r>
          <w:r>
            <w:rPr>
              <w:rFonts w:ascii="Times New Roman" w:hAnsi="Times New Roman"/>
              <w:i w:val="0"/>
              <w:iCs w:val="0"/>
              <w:sz w:val="24"/>
              <w:szCs w:val="24"/>
            </w:rPr>
            <w:fldChar w:fldCharType="separate"/>
          </w:r>
          <w:r>
            <w:rPr>
              <w:rFonts w:ascii="Times New Roman" w:hAnsi="Times New Roman"/>
              <w:i w:val="0"/>
              <w:iCs w:val="0"/>
              <w:sz w:val="24"/>
              <w:szCs w:val="24"/>
            </w:rPr>
            <w:t>103</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"_Toc145580439" </w:instrText>
          </w:r>
          <w:r>
            <w:fldChar w:fldCharType="separate"/>
          </w:r>
          <w:r>
            <w:rPr>
              <w:rStyle w:val="63"/>
              <w:rFonts w:ascii="Times New Roman" w:hAnsi="Times New Roman" w:cs="Times New Roman"/>
              <w:i w:val="0"/>
              <w:iCs w:val="0"/>
              <w:szCs w:val="24"/>
            </w:rPr>
            <w:t>5.4.2风险调查及评价等级</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_Toc145580439 \h </w:instrText>
          </w:r>
          <w:r>
            <w:rPr>
              <w:rFonts w:ascii="Times New Roman" w:hAnsi="Times New Roman"/>
              <w:i w:val="0"/>
              <w:iCs w:val="0"/>
              <w:sz w:val="24"/>
              <w:szCs w:val="24"/>
            </w:rPr>
            <w:fldChar w:fldCharType="separate"/>
          </w:r>
          <w:r>
            <w:rPr>
              <w:rFonts w:ascii="Times New Roman" w:hAnsi="Times New Roman"/>
              <w:i w:val="0"/>
              <w:iCs w:val="0"/>
              <w:sz w:val="24"/>
              <w:szCs w:val="24"/>
            </w:rPr>
            <w:t>104</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"_Toc145580440" </w:instrText>
          </w:r>
          <w:r>
            <w:fldChar w:fldCharType="separate"/>
          </w:r>
          <w:r>
            <w:rPr>
              <w:rStyle w:val="63"/>
              <w:rFonts w:ascii="Times New Roman" w:hAnsi="Times New Roman" w:cs="Times New Roman"/>
              <w:i w:val="0"/>
              <w:iCs w:val="0"/>
              <w:szCs w:val="24"/>
            </w:rPr>
            <w:t>5.4.3风险识别</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_Toc145580440 \h </w:instrText>
          </w:r>
          <w:r>
            <w:rPr>
              <w:rFonts w:ascii="Times New Roman" w:hAnsi="Times New Roman"/>
              <w:i w:val="0"/>
              <w:iCs w:val="0"/>
              <w:sz w:val="24"/>
              <w:szCs w:val="24"/>
            </w:rPr>
            <w:fldChar w:fldCharType="separate"/>
          </w:r>
          <w:r>
            <w:rPr>
              <w:rFonts w:ascii="Times New Roman" w:hAnsi="Times New Roman"/>
              <w:i w:val="0"/>
              <w:iCs w:val="0"/>
              <w:sz w:val="24"/>
              <w:szCs w:val="24"/>
            </w:rPr>
            <w:t>105</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"_Toc145580441" </w:instrText>
          </w:r>
          <w:r>
            <w:fldChar w:fldCharType="separate"/>
          </w:r>
          <w:r>
            <w:rPr>
              <w:rStyle w:val="63"/>
              <w:rFonts w:ascii="Times New Roman" w:hAnsi="Times New Roman" w:cs="Times New Roman"/>
              <w:i w:val="0"/>
              <w:iCs w:val="0"/>
              <w:szCs w:val="24"/>
            </w:rPr>
            <w:t>5.4.5环境风险分析</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_Toc145580441 \h </w:instrText>
          </w:r>
          <w:r>
            <w:rPr>
              <w:rFonts w:ascii="Times New Roman" w:hAnsi="Times New Roman"/>
              <w:i w:val="0"/>
              <w:iCs w:val="0"/>
              <w:sz w:val="24"/>
              <w:szCs w:val="24"/>
            </w:rPr>
            <w:fldChar w:fldCharType="separate"/>
          </w:r>
          <w:r>
            <w:rPr>
              <w:rFonts w:ascii="Times New Roman" w:hAnsi="Times New Roman"/>
              <w:i w:val="0"/>
              <w:iCs w:val="0"/>
              <w:sz w:val="24"/>
              <w:szCs w:val="24"/>
            </w:rPr>
            <w:t>108</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"_Toc145580442" </w:instrText>
          </w:r>
          <w:r>
            <w:fldChar w:fldCharType="separate"/>
          </w:r>
          <w:r>
            <w:rPr>
              <w:rStyle w:val="63"/>
              <w:rFonts w:ascii="Times New Roman" w:hAnsi="Times New Roman" w:cs="Times New Roman"/>
              <w:i w:val="0"/>
              <w:iCs w:val="0"/>
              <w:szCs w:val="24"/>
            </w:rPr>
            <w:t>5.4.6风险事故防范措施</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_Toc145580442 \h </w:instrText>
          </w:r>
          <w:r>
            <w:rPr>
              <w:rFonts w:ascii="Times New Roman" w:hAnsi="Times New Roman"/>
              <w:i w:val="0"/>
              <w:iCs w:val="0"/>
              <w:sz w:val="24"/>
              <w:szCs w:val="24"/>
            </w:rPr>
            <w:fldChar w:fldCharType="separate"/>
          </w:r>
          <w:r>
            <w:rPr>
              <w:rFonts w:ascii="Times New Roman" w:hAnsi="Times New Roman"/>
              <w:i w:val="0"/>
              <w:iCs w:val="0"/>
              <w:sz w:val="24"/>
              <w:szCs w:val="24"/>
            </w:rPr>
            <w:t>108</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"_Toc145580443" </w:instrText>
          </w:r>
          <w:r>
            <w:fldChar w:fldCharType="separate"/>
          </w:r>
          <w:r>
            <w:rPr>
              <w:rStyle w:val="63"/>
              <w:rFonts w:ascii="Times New Roman" w:hAnsi="Times New Roman" w:cs="Times New Roman"/>
              <w:i w:val="0"/>
              <w:iCs w:val="0"/>
              <w:szCs w:val="24"/>
            </w:rPr>
            <w:t>5.4.7突发环境事件应急预案</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_Toc145580443 \h </w:instrText>
          </w:r>
          <w:r>
            <w:rPr>
              <w:rFonts w:ascii="Times New Roman" w:hAnsi="Times New Roman"/>
              <w:i w:val="0"/>
              <w:iCs w:val="0"/>
              <w:sz w:val="24"/>
              <w:szCs w:val="24"/>
            </w:rPr>
            <w:fldChar w:fldCharType="separate"/>
          </w:r>
          <w:r>
            <w:rPr>
              <w:rFonts w:ascii="Times New Roman" w:hAnsi="Times New Roman"/>
              <w:i w:val="0"/>
              <w:iCs w:val="0"/>
              <w:sz w:val="24"/>
              <w:szCs w:val="24"/>
            </w:rPr>
            <w:t>109</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"_Toc145580444" </w:instrText>
          </w:r>
          <w:r>
            <w:fldChar w:fldCharType="separate"/>
          </w:r>
          <w:r>
            <w:rPr>
              <w:rStyle w:val="63"/>
              <w:rFonts w:ascii="Times New Roman" w:hAnsi="Times New Roman" w:cs="Times New Roman"/>
              <w:i w:val="0"/>
              <w:iCs w:val="0"/>
              <w:szCs w:val="24"/>
            </w:rPr>
            <w:t>5.4.8风险评价结论与建议</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_Toc145580444 \h </w:instrText>
          </w:r>
          <w:r>
            <w:rPr>
              <w:rFonts w:ascii="Times New Roman" w:hAnsi="Times New Roman"/>
              <w:i w:val="0"/>
              <w:iCs w:val="0"/>
              <w:sz w:val="24"/>
              <w:szCs w:val="24"/>
            </w:rPr>
            <w:fldChar w:fldCharType="separate"/>
          </w:r>
          <w:r>
            <w:rPr>
              <w:rFonts w:ascii="Times New Roman" w:hAnsi="Times New Roman"/>
              <w:i w:val="0"/>
              <w:iCs w:val="0"/>
              <w:sz w:val="24"/>
              <w:szCs w:val="24"/>
            </w:rPr>
            <w:t>110</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37"/>
            <w:tabs>
              <w:tab w:val="right" w:leader="dot" w:pos="8211"/>
            </w:tabs>
            <w:rPr>
              <w:rFonts w:ascii="Times New Roman" w:hAnsi="Times New Roman"/>
              <w:b w:val="0"/>
              <w:bCs w:val="0"/>
              <w:caps w:val="0"/>
              <w:sz w:val="24"/>
              <w:szCs w:val="24"/>
              <w14:ligatures w14:val="standardContextual"/>
            </w:rPr>
          </w:pPr>
          <w:r>
            <w:fldChar w:fldCharType="begin"/>
          </w:r>
          <w:r>
            <w:instrText xml:space="preserve"> HYPERLINK \l "_Toc145580445" </w:instrText>
          </w:r>
          <w:r>
            <w:fldChar w:fldCharType="separate"/>
          </w:r>
          <w:r>
            <w:rPr>
              <w:rStyle w:val="63"/>
              <w:rFonts w:ascii="Times New Roman" w:hAnsi="Times New Roman" w:cs="Times New Roman"/>
              <w:szCs w:val="24"/>
            </w:rPr>
            <w:t>6 环境保护措施及其可行性论证</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_Toc145580445 \h </w:instrText>
          </w:r>
          <w:r>
            <w:rPr>
              <w:rFonts w:ascii="Times New Roman" w:hAnsi="Times New Roman"/>
              <w:sz w:val="24"/>
              <w:szCs w:val="24"/>
            </w:rPr>
            <w:fldChar w:fldCharType="separate"/>
          </w:r>
          <w:r>
            <w:rPr>
              <w:rFonts w:ascii="Times New Roman" w:hAnsi="Times New Roman"/>
              <w:sz w:val="24"/>
              <w:szCs w:val="24"/>
            </w:rPr>
            <w:t>112</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"_Toc145580446" </w:instrText>
          </w:r>
          <w:r>
            <w:fldChar w:fldCharType="separate"/>
          </w:r>
          <w:r>
            <w:rPr>
              <w:rStyle w:val="63"/>
              <w:rFonts w:ascii="Times New Roman" w:hAnsi="Times New Roman" w:cs="Times New Roman"/>
              <w:szCs w:val="24"/>
            </w:rPr>
            <w:t>6.1 施工期环境保护措施及可行性分析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_Toc145580446 \h </w:instrText>
          </w:r>
          <w:r>
            <w:rPr>
              <w:rFonts w:ascii="Times New Roman" w:hAnsi="Times New Roman"/>
              <w:sz w:val="24"/>
              <w:szCs w:val="24"/>
            </w:rPr>
            <w:fldChar w:fldCharType="separate"/>
          </w:r>
          <w:r>
            <w:rPr>
              <w:rFonts w:ascii="Times New Roman" w:hAnsi="Times New Roman"/>
              <w:sz w:val="24"/>
              <w:szCs w:val="24"/>
            </w:rPr>
            <w:t>112</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"_Toc145580447" </w:instrText>
          </w:r>
          <w:r>
            <w:fldChar w:fldCharType="separate"/>
          </w:r>
          <w:r>
            <w:rPr>
              <w:rStyle w:val="63"/>
              <w:rFonts w:ascii="Times New Roman" w:hAnsi="Times New Roman" w:cs="Times New Roman"/>
              <w:i w:val="0"/>
              <w:iCs w:val="0"/>
              <w:szCs w:val="24"/>
            </w:rPr>
            <w:t>6.1.1施工期水污染防治措施</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_Toc145580447 \h </w:instrText>
          </w:r>
          <w:r>
            <w:rPr>
              <w:rFonts w:ascii="Times New Roman" w:hAnsi="Times New Roman"/>
              <w:i w:val="0"/>
              <w:iCs w:val="0"/>
              <w:sz w:val="24"/>
              <w:szCs w:val="24"/>
            </w:rPr>
            <w:fldChar w:fldCharType="separate"/>
          </w:r>
          <w:r>
            <w:rPr>
              <w:rFonts w:ascii="Times New Roman" w:hAnsi="Times New Roman"/>
              <w:i w:val="0"/>
              <w:iCs w:val="0"/>
              <w:sz w:val="24"/>
              <w:szCs w:val="24"/>
            </w:rPr>
            <w:t>112</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"_Toc145580448" </w:instrText>
          </w:r>
          <w:r>
            <w:fldChar w:fldCharType="separate"/>
          </w:r>
          <w:r>
            <w:rPr>
              <w:rStyle w:val="63"/>
              <w:rFonts w:ascii="Times New Roman" w:hAnsi="Times New Roman" w:cs="Times New Roman"/>
              <w:i w:val="0"/>
              <w:iCs w:val="0"/>
              <w:szCs w:val="24"/>
            </w:rPr>
            <w:t>6.1.2施工期噪声防治措施</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_Toc145580448 \h </w:instrText>
          </w:r>
          <w:r>
            <w:rPr>
              <w:rFonts w:ascii="Times New Roman" w:hAnsi="Times New Roman"/>
              <w:i w:val="0"/>
              <w:iCs w:val="0"/>
              <w:sz w:val="24"/>
              <w:szCs w:val="24"/>
            </w:rPr>
            <w:fldChar w:fldCharType="separate"/>
          </w:r>
          <w:r>
            <w:rPr>
              <w:rFonts w:ascii="Times New Roman" w:hAnsi="Times New Roman"/>
              <w:i w:val="0"/>
              <w:iCs w:val="0"/>
              <w:sz w:val="24"/>
              <w:szCs w:val="24"/>
            </w:rPr>
            <w:t>112</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"_Toc145580449" </w:instrText>
          </w:r>
          <w:r>
            <w:fldChar w:fldCharType="separate"/>
          </w:r>
          <w:r>
            <w:rPr>
              <w:rStyle w:val="63"/>
              <w:rFonts w:ascii="Times New Roman" w:hAnsi="Times New Roman" w:cs="Times New Roman"/>
              <w:i w:val="0"/>
              <w:iCs w:val="0"/>
              <w:szCs w:val="24"/>
            </w:rPr>
            <w:t>6.1.3施工期固体废物防治措施</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_Toc145580449 \h </w:instrText>
          </w:r>
          <w:r>
            <w:rPr>
              <w:rFonts w:ascii="Times New Roman" w:hAnsi="Times New Roman"/>
              <w:i w:val="0"/>
              <w:iCs w:val="0"/>
              <w:sz w:val="24"/>
              <w:szCs w:val="24"/>
            </w:rPr>
            <w:fldChar w:fldCharType="separate"/>
          </w:r>
          <w:r>
            <w:rPr>
              <w:rFonts w:ascii="Times New Roman" w:hAnsi="Times New Roman"/>
              <w:i w:val="0"/>
              <w:iCs w:val="0"/>
              <w:sz w:val="24"/>
              <w:szCs w:val="24"/>
            </w:rPr>
            <w:t>112</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"_Toc145580450" </w:instrText>
          </w:r>
          <w:r>
            <w:fldChar w:fldCharType="separate"/>
          </w:r>
          <w:r>
            <w:rPr>
              <w:rStyle w:val="63"/>
              <w:rFonts w:ascii="Times New Roman" w:hAnsi="Times New Roman" w:cs="Times New Roman"/>
              <w:szCs w:val="24"/>
            </w:rPr>
            <w:t>6.2 运营期环境保护措施及可行性分析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_Toc145580450 \h </w:instrText>
          </w:r>
          <w:r>
            <w:rPr>
              <w:rFonts w:ascii="Times New Roman" w:hAnsi="Times New Roman"/>
              <w:sz w:val="24"/>
              <w:szCs w:val="24"/>
            </w:rPr>
            <w:fldChar w:fldCharType="separate"/>
          </w:r>
          <w:r>
            <w:rPr>
              <w:rFonts w:ascii="Times New Roman" w:hAnsi="Times New Roman"/>
              <w:sz w:val="24"/>
              <w:szCs w:val="24"/>
            </w:rPr>
            <w:t>112</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"_Toc145580451" </w:instrText>
          </w:r>
          <w:r>
            <w:fldChar w:fldCharType="separate"/>
          </w:r>
          <w:r>
            <w:rPr>
              <w:rStyle w:val="63"/>
              <w:rFonts w:ascii="Times New Roman" w:hAnsi="Times New Roman" w:cs="Times New Roman"/>
              <w:i w:val="0"/>
              <w:iCs w:val="0"/>
              <w:szCs w:val="24"/>
            </w:rPr>
            <w:t>6.2.1运营期废气治理措施及可行性分析</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_Toc145580451 \h </w:instrText>
          </w:r>
          <w:r>
            <w:rPr>
              <w:rFonts w:ascii="Times New Roman" w:hAnsi="Times New Roman"/>
              <w:i w:val="0"/>
              <w:iCs w:val="0"/>
              <w:sz w:val="24"/>
              <w:szCs w:val="24"/>
            </w:rPr>
            <w:fldChar w:fldCharType="separate"/>
          </w:r>
          <w:r>
            <w:rPr>
              <w:rFonts w:ascii="Times New Roman" w:hAnsi="Times New Roman"/>
              <w:i w:val="0"/>
              <w:iCs w:val="0"/>
              <w:sz w:val="24"/>
              <w:szCs w:val="24"/>
            </w:rPr>
            <w:t>112</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"_Toc145580452" </w:instrText>
          </w:r>
          <w:r>
            <w:fldChar w:fldCharType="separate"/>
          </w:r>
          <w:r>
            <w:rPr>
              <w:rStyle w:val="63"/>
              <w:rFonts w:ascii="Times New Roman" w:hAnsi="Times New Roman" w:cs="Times New Roman"/>
              <w:i w:val="0"/>
              <w:iCs w:val="0"/>
              <w:szCs w:val="24"/>
            </w:rPr>
            <w:t>6.2.2废水污染防治措施及其可行性分析</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_Toc145580452 \h </w:instrText>
          </w:r>
          <w:r>
            <w:rPr>
              <w:rFonts w:ascii="Times New Roman" w:hAnsi="Times New Roman"/>
              <w:i w:val="0"/>
              <w:iCs w:val="0"/>
              <w:sz w:val="24"/>
              <w:szCs w:val="24"/>
            </w:rPr>
            <w:fldChar w:fldCharType="separate"/>
          </w:r>
          <w:r>
            <w:rPr>
              <w:rFonts w:ascii="Times New Roman" w:hAnsi="Times New Roman"/>
              <w:i w:val="0"/>
              <w:iCs w:val="0"/>
              <w:sz w:val="24"/>
              <w:szCs w:val="24"/>
            </w:rPr>
            <w:t>113</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"_Toc145580453" </w:instrText>
          </w:r>
          <w:r>
            <w:fldChar w:fldCharType="separate"/>
          </w:r>
          <w:r>
            <w:rPr>
              <w:rStyle w:val="63"/>
              <w:rFonts w:ascii="Times New Roman" w:hAnsi="Times New Roman" w:cs="Times New Roman"/>
              <w:i w:val="0"/>
              <w:iCs w:val="0"/>
              <w:szCs w:val="24"/>
            </w:rPr>
            <w:t>6.2.3噪声污染防治措施可行性分析</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_Toc145580453 \h </w:instrText>
          </w:r>
          <w:r>
            <w:rPr>
              <w:rFonts w:ascii="Times New Roman" w:hAnsi="Times New Roman"/>
              <w:i w:val="0"/>
              <w:iCs w:val="0"/>
              <w:sz w:val="24"/>
              <w:szCs w:val="24"/>
            </w:rPr>
            <w:fldChar w:fldCharType="separate"/>
          </w:r>
          <w:r>
            <w:rPr>
              <w:rFonts w:ascii="Times New Roman" w:hAnsi="Times New Roman"/>
              <w:i w:val="0"/>
              <w:iCs w:val="0"/>
              <w:sz w:val="24"/>
              <w:szCs w:val="24"/>
            </w:rPr>
            <w:t>114</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"_Toc145580454" </w:instrText>
          </w:r>
          <w:r>
            <w:fldChar w:fldCharType="separate"/>
          </w:r>
          <w:r>
            <w:rPr>
              <w:rStyle w:val="63"/>
              <w:rFonts w:ascii="Times New Roman" w:hAnsi="Times New Roman" w:cs="Times New Roman"/>
              <w:i w:val="0"/>
              <w:iCs w:val="0"/>
              <w:szCs w:val="24"/>
            </w:rPr>
            <w:t>6.2.4固体废弃物防治措施可行性</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_Toc145580454 \h </w:instrText>
          </w:r>
          <w:r>
            <w:rPr>
              <w:rFonts w:ascii="Times New Roman" w:hAnsi="Times New Roman"/>
              <w:i w:val="0"/>
              <w:iCs w:val="0"/>
              <w:sz w:val="24"/>
              <w:szCs w:val="24"/>
            </w:rPr>
            <w:fldChar w:fldCharType="separate"/>
          </w:r>
          <w:r>
            <w:rPr>
              <w:rFonts w:ascii="Times New Roman" w:hAnsi="Times New Roman"/>
              <w:i w:val="0"/>
              <w:iCs w:val="0"/>
              <w:sz w:val="24"/>
              <w:szCs w:val="24"/>
            </w:rPr>
            <w:t>114</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37"/>
            <w:tabs>
              <w:tab w:val="right" w:leader="dot" w:pos="8211"/>
            </w:tabs>
            <w:rPr>
              <w:rFonts w:ascii="Times New Roman" w:hAnsi="Times New Roman"/>
              <w:b w:val="0"/>
              <w:bCs w:val="0"/>
              <w:caps w:val="0"/>
              <w:sz w:val="24"/>
              <w:szCs w:val="24"/>
              <w14:ligatures w14:val="standardContextual"/>
            </w:rPr>
          </w:pPr>
          <w:r>
            <w:fldChar w:fldCharType="begin"/>
          </w:r>
          <w:r>
            <w:instrText xml:space="preserve"> HYPERLINK \l "_Toc145580455" </w:instrText>
          </w:r>
          <w:r>
            <w:fldChar w:fldCharType="separate"/>
          </w:r>
          <w:r>
            <w:rPr>
              <w:rStyle w:val="63"/>
              <w:rFonts w:ascii="Times New Roman" w:hAnsi="Times New Roman" w:cs="Times New Roman"/>
              <w:szCs w:val="24"/>
            </w:rPr>
            <w:t>7 环境经济损益分析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_Toc145580455 \h </w:instrText>
          </w:r>
          <w:r>
            <w:rPr>
              <w:rFonts w:ascii="Times New Roman" w:hAnsi="Times New Roman"/>
              <w:sz w:val="24"/>
              <w:szCs w:val="24"/>
            </w:rPr>
            <w:fldChar w:fldCharType="separate"/>
          </w:r>
          <w:r>
            <w:rPr>
              <w:rFonts w:ascii="Times New Roman" w:hAnsi="Times New Roman"/>
              <w:sz w:val="24"/>
              <w:szCs w:val="24"/>
            </w:rPr>
            <w:t>116</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"_Toc145580456" </w:instrText>
          </w:r>
          <w:r>
            <w:fldChar w:fldCharType="separate"/>
          </w:r>
          <w:r>
            <w:rPr>
              <w:rStyle w:val="63"/>
              <w:rFonts w:ascii="Times New Roman" w:hAnsi="Times New Roman" w:cs="Times New Roman"/>
              <w:szCs w:val="24"/>
            </w:rPr>
            <w:t>7.1 环保设施内容及投资估算</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_Toc145580456 \h </w:instrText>
          </w:r>
          <w:r>
            <w:rPr>
              <w:rFonts w:ascii="Times New Roman" w:hAnsi="Times New Roman"/>
              <w:sz w:val="24"/>
              <w:szCs w:val="24"/>
            </w:rPr>
            <w:fldChar w:fldCharType="separate"/>
          </w:r>
          <w:r>
            <w:rPr>
              <w:rFonts w:ascii="Times New Roman" w:hAnsi="Times New Roman"/>
              <w:sz w:val="24"/>
              <w:szCs w:val="24"/>
            </w:rPr>
            <w:t>116</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"_Toc145580457" </w:instrText>
          </w:r>
          <w:r>
            <w:fldChar w:fldCharType="separate"/>
          </w:r>
          <w:r>
            <w:rPr>
              <w:rStyle w:val="63"/>
              <w:rFonts w:ascii="Times New Roman" w:hAnsi="Times New Roman" w:cs="Times New Roman"/>
              <w:szCs w:val="24"/>
            </w:rPr>
            <w:t>7.2 环境效益分析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_Toc145580457 \h </w:instrText>
          </w:r>
          <w:r>
            <w:rPr>
              <w:rFonts w:ascii="Times New Roman" w:hAnsi="Times New Roman"/>
              <w:sz w:val="24"/>
              <w:szCs w:val="24"/>
            </w:rPr>
            <w:fldChar w:fldCharType="separate"/>
          </w:r>
          <w:r>
            <w:rPr>
              <w:rFonts w:ascii="Times New Roman" w:hAnsi="Times New Roman"/>
              <w:sz w:val="24"/>
              <w:szCs w:val="24"/>
            </w:rPr>
            <w:t>116</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"_Toc145580458" </w:instrText>
          </w:r>
          <w:r>
            <w:fldChar w:fldCharType="separate"/>
          </w:r>
          <w:r>
            <w:rPr>
              <w:rStyle w:val="63"/>
              <w:rFonts w:ascii="Times New Roman" w:hAnsi="Times New Roman" w:cs="Times New Roman"/>
              <w:i w:val="0"/>
              <w:iCs w:val="0"/>
              <w:szCs w:val="24"/>
            </w:rPr>
            <w:t>7.2.1经济效益分析</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_Toc145580458 \h </w:instrText>
          </w:r>
          <w:r>
            <w:rPr>
              <w:rFonts w:ascii="Times New Roman" w:hAnsi="Times New Roman"/>
              <w:i w:val="0"/>
              <w:iCs w:val="0"/>
              <w:sz w:val="24"/>
              <w:szCs w:val="24"/>
            </w:rPr>
            <w:fldChar w:fldCharType="separate"/>
          </w:r>
          <w:r>
            <w:rPr>
              <w:rFonts w:ascii="Times New Roman" w:hAnsi="Times New Roman"/>
              <w:i w:val="0"/>
              <w:iCs w:val="0"/>
              <w:sz w:val="24"/>
              <w:szCs w:val="24"/>
            </w:rPr>
            <w:t>116</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"_Toc145580459" </w:instrText>
          </w:r>
          <w:r>
            <w:fldChar w:fldCharType="separate"/>
          </w:r>
          <w:r>
            <w:rPr>
              <w:rStyle w:val="63"/>
              <w:rFonts w:ascii="Times New Roman" w:hAnsi="Times New Roman" w:cs="Times New Roman"/>
              <w:i w:val="0"/>
              <w:iCs w:val="0"/>
              <w:szCs w:val="24"/>
            </w:rPr>
            <w:t>7.2.2社会效益分析</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_Toc145580459 \h </w:instrText>
          </w:r>
          <w:r>
            <w:rPr>
              <w:rFonts w:ascii="Times New Roman" w:hAnsi="Times New Roman"/>
              <w:i w:val="0"/>
              <w:iCs w:val="0"/>
              <w:sz w:val="24"/>
              <w:szCs w:val="24"/>
            </w:rPr>
            <w:fldChar w:fldCharType="separate"/>
          </w:r>
          <w:r>
            <w:rPr>
              <w:rFonts w:ascii="Times New Roman" w:hAnsi="Times New Roman"/>
              <w:i w:val="0"/>
              <w:iCs w:val="0"/>
              <w:sz w:val="24"/>
              <w:szCs w:val="24"/>
            </w:rPr>
            <w:t>116</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"_Toc145580460" </w:instrText>
          </w:r>
          <w:r>
            <w:fldChar w:fldCharType="separate"/>
          </w:r>
          <w:r>
            <w:rPr>
              <w:rStyle w:val="63"/>
              <w:rFonts w:ascii="Times New Roman" w:hAnsi="Times New Roman" w:cs="Times New Roman"/>
              <w:i w:val="0"/>
              <w:iCs w:val="0"/>
              <w:szCs w:val="24"/>
            </w:rPr>
            <w:t>7.2.3环境效益分析</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_Toc145580460 \h </w:instrText>
          </w:r>
          <w:r>
            <w:rPr>
              <w:rFonts w:ascii="Times New Roman" w:hAnsi="Times New Roman"/>
              <w:i w:val="0"/>
              <w:iCs w:val="0"/>
              <w:sz w:val="24"/>
              <w:szCs w:val="24"/>
            </w:rPr>
            <w:fldChar w:fldCharType="separate"/>
          </w:r>
          <w:r>
            <w:rPr>
              <w:rFonts w:ascii="Times New Roman" w:hAnsi="Times New Roman"/>
              <w:i w:val="0"/>
              <w:iCs w:val="0"/>
              <w:sz w:val="24"/>
              <w:szCs w:val="24"/>
            </w:rPr>
            <w:t>117</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"_Toc145580461" </w:instrText>
          </w:r>
          <w:r>
            <w:fldChar w:fldCharType="separate"/>
          </w:r>
          <w:r>
            <w:rPr>
              <w:rStyle w:val="63"/>
              <w:rFonts w:ascii="Times New Roman" w:hAnsi="Times New Roman" w:cs="Times New Roman"/>
              <w:szCs w:val="24"/>
            </w:rPr>
            <w:t>7.3 环境经济损益分析结论</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_Toc145580461 \h </w:instrText>
          </w:r>
          <w:r>
            <w:rPr>
              <w:rFonts w:ascii="Times New Roman" w:hAnsi="Times New Roman"/>
              <w:sz w:val="24"/>
              <w:szCs w:val="24"/>
            </w:rPr>
            <w:fldChar w:fldCharType="separate"/>
          </w:r>
          <w:r>
            <w:rPr>
              <w:rFonts w:ascii="Times New Roman" w:hAnsi="Times New Roman"/>
              <w:sz w:val="24"/>
              <w:szCs w:val="24"/>
            </w:rPr>
            <w:t>117</w:t>
          </w:r>
          <w:r>
            <w:rPr>
              <w:rFonts w:ascii="Times New Roman" w:hAnsi="Times New Roman"/>
              <w:sz w:val="24"/>
              <w:szCs w:val="24"/>
            </w:rPr>
            <w:fldChar w:fldCharType="end"/>
          </w:r>
          <w:r>
            <w:rPr>
              <w:rFonts w:ascii="Times New Roman" w:hAnsi="Times New Roman"/>
              <w:sz w:val="24"/>
              <w:szCs w:val="24"/>
            </w:rPr>
            <w:fldChar w:fldCharType="end"/>
          </w:r>
        </w:p>
        <w:p>
          <w:pPr>
            <w:pStyle w:val="37"/>
            <w:tabs>
              <w:tab w:val="right" w:leader="dot" w:pos="8211"/>
            </w:tabs>
            <w:rPr>
              <w:rFonts w:ascii="Times New Roman" w:hAnsi="Times New Roman"/>
              <w:b w:val="0"/>
              <w:bCs w:val="0"/>
              <w:caps w:val="0"/>
              <w:sz w:val="24"/>
              <w:szCs w:val="24"/>
              <w14:ligatures w14:val="standardContextual"/>
            </w:rPr>
          </w:pPr>
          <w:r>
            <w:fldChar w:fldCharType="begin"/>
          </w:r>
          <w:r>
            <w:instrText xml:space="preserve"> HYPERLINK \l "_Toc145580462" </w:instrText>
          </w:r>
          <w:r>
            <w:fldChar w:fldCharType="separate"/>
          </w:r>
          <w:r>
            <w:rPr>
              <w:rStyle w:val="63"/>
              <w:rFonts w:ascii="Times New Roman" w:hAnsi="Times New Roman" w:cs="Times New Roman"/>
              <w:szCs w:val="24"/>
            </w:rPr>
            <w:t>8 环境管理与监测计划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_Toc145580462 \h </w:instrText>
          </w:r>
          <w:r>
            <w:rPr>
              <w:rFonts w:ascii="Times New Roman" w:hAnsi="Times New Roman"/>
              <w:sz w:val="24"/>
              <w:szCs w:val="24"/>
            </w:rPr>
            <w:fldChar w:fldCharType="separate"/>
          </w:r>
          <w:r>
            <w:rPr>
              <w:rFonts w:ascii="Times New Roman" w:hAnsi="Times New Roman"/>
              <w:sz w:val="24"/>
              <w:szCs w:val="24"/>
            </w:rPr>
            <w:t>118</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"_Toc145580463" </w:instrText>
          </w:r>
          <w:r>
            <w:fldChar w:fldCharType="separate"/>
          </w:r>
          <w:r>
            <w:rPr>
              <w:rStyle w:val="63"/>
              <w:rFonts w:ascii="Times New Roman" w:hAnsi="Times New Roman" w:cs="Times New Roman"/>
              <w:szCs w:val="24"/>
            </w:rPr>
            <w:t>8.1 环境管理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_Toc145580463 \h </w:instrText>
          </w:r>
          <w:r>
            <w:rPr>
              <w:rFonts w:ascii="Times New Roman" w:hAnsi="Times New Roman"/>
              <w:sz w:val="24"/>
              <w:szCs w:val="24"/>
            </w:rPr>
            <w:fldChar w:fldCharType="separate"/>
          </w:r>
          <w:r>
            <w:rPr>
              <w:rFonts w:ascii="Times New Roman" w:hAnsi="Times New Roman"/>
              <w:sz w:val="24"/>
              <w:szCs w:val="24"/>
            </w:rPr>
            <w:t>118</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"_Toc145580464" </w:instrText>
          </w:r>
          <w:r>
            <w:fldChar w:fldCharType="separate"/>
          </w:r>
          <w:r>
            <w:rPr>
              <w:rStyle w:val="63"/>
              <w:rFonts w:ascii="Times New Roman" w:hAnsi="Times New Roman" w:cs="Times New Roman"/>
              <w:i w:val="0"/>
              <w:iCs w:val="0"/>
              <w:szCs w:val="24"/>
            </w:rPr>
            <w:t>8.1.1环境管理基本任务</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_Toc145580464 \h </w:instrText>
          </w:r>
          <w:r>
            <w:rPr>
              <w:rFonts w:ascii="Times New Roman" w:hAnsi="Times New Roman"/>
              <w:i w:val="0"/>
              <w:iCs w:val="0"/>
              <w:sz w:val="24"/>
              <w:szCs w:val="24"/>
            </w:rPr>
            <w:fldChar w:fldCharType="separate"/>
          </w:r>
          <w:r>
            <w:rPr>
              <w:rFonts w:ascii="Times New Roman" w:hAnsi="Times New Roman"/>
              <w:i w:val="0"/>
              <w:iCs w:val="0"/>
              <w:sz w:val="24"/>
              <w:szCs w:val="24"/>
            </w:rPr>
            <w:t>118</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"_Toc145580465" </w:instrText>
          </w:r>
          <w:r>
            <w:fldChar w:fldCharType="separate"/>
          </w:r>
          <w:r>
            <w:rPr>
              <w:rStyle w:val="63"/>
              <w:rFonts w:ascii="Times New Roman" w:hAnsi="Times New Roman" w:cs="Times New Roman"/>
              <w:i w:val="0"/>
              <w:iCs w:val="0"/>
              <w:szCs w:val="24"/>
            </w:rPr>
            <w:t>8.1.2环境管理基本原则</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_Toc145580465 \h </w:instrText>
          </w:r>
          <w:r>
            <w:rPr>
              <w:rFonts w:ascii="Times New Roman" w:hAnsi="Times New Roman"/>
              <w:i w:val="0"/>
              <w:iCs w:val="0"/>
              <w:sz w:val="24"/>
              <w:szCs w:val="24"/>
            </w:rPr>
            <w:fldChar w:fldCharType="separate"/>
          </w:r>
          <w:r>
            <w:rPr>
              <w:rFonts w:ascii="Times New Roman" w:hAnsi="Times New Roman"/>
              <w:i w:val="0"/>
              <w:iCs w:val="0"/>
              <w:sz w:val="24"/>
              <w:szCs w:val="24"/>
            </w:rPr>
            <w:t>118</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"_Toc145580466" </w:instrText>
          </w:r>
          <w:r>
            <w:fldChar w:fldCharType="separate"/>
          </w:r>
          <w:r>
            <w:rPr>
              <w:rStyle w:val="63"/>
              <w:rFonts w:ascii="Times New Roman" w:hAnsi="Times New Roman" w:cs="Times New Roman"/>
              <w:i w:val="0"/>
              <w:iCs w:val="0"/>
              <w:szCs w:val="24"/>
            </w:rPr>
            <w:t>8.1.3环境管理机构设置</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_Toc145580466 \h </w:instrText>
          </w:r>
          <w:r>
            <w:rPr>
              <w:rFonts w:ascii="Times New Roman" w:hAnsi="Times New Roman"/>
              <w:i w:val="0"/>
              <w:iCs w:val="0"/>
              <w:sz w:val="24"/>
              <w:szCs w:val="24"/>
            </w:rPr>
            <w:fldChar w:fldCharType="separate"/>
          </w:r>
          <w:r>
            <w:rPr>
              <w:rFonts w:ascii="Times New Roman" w:hAnsi="Times New Roman"/>
              <w:i w:val="0"/>
              <w:iCs w:val="0"/>
              <w:sz w:val="24"/>
              <w:szCs w:val="24"/>
            </w:rPr>
            <w:t>119</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"_Toc145580467" </w:instrText>
          </w:r>
          <w:r>
            <w:fldChar w:fldCharType="separate"/>
          </w:r>
          <w:r>
            <w:rPr>
              <w:rStyle w:val="63"/>
              <w:rFonts w:ascii="Times New Roman" w:hAnsi="Times New Roman" w:cs="Times New Roman"/>
              <w:i w:val="0"/>
              <w:iCs w:val="0"/>
              <w:szCs w:val="24"/>
            </w:rPr>
            <w:t>8.1.4环境管理规章制度</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_Toc145580467 \h </w:instrText>
          </w:r>
          <w:r>
            <w:rPr>
              <w:rFonts w:ascii="Times New Roman" w:hAnsi="Times New Roman"/>
              <w:i w:val="0"/>
              <w:iCs w:val="0"/>
              <w:sz w:val="24"/>
              <w:szCs w:val="24"/>
            </w:rPr>
            <w:fldChar w:fldCharType="separate"/>
          </w:r>
          <w:r>
            <w:rPr>
              <w:rFonts w:ascii="Times New Roman" w:hAnsi="Times New Roman"/>
              <w:i w:val="0"/>
              <w:iCs w:val="0"/>
              <w:sz w:val="24"/>
              <w:szCs w:val="24"/>
            </w:rPr>
            <w:t>120</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"_Toc145580468" </w:instrText>
          </w:r>
          <w:r>
            <w:fldChar w:fldCharType="separate"/>
          </w:r>
          <w:r>
            <w:rPr>
              <w:rStyle w:val="63"/>
              <w:rFonts w:ascii="Times New Roman" w:hAnsi="Times New Roman" w:cs="Times New Roman"/>
              <w:i w:val="0"/>
              <w:iCs w:val="0"/>
              <w:szCs w:val="24"/>
            </w:rPr>
            <w:t>8.1.5环境管理措施</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_Toc145580468 \h </w:instrText>
          </w:r>
          <w:r>
            <w:rPr>
              <w:rFonts w:ascii="Times New Roman" w:hAnsi="Times New Roman"/>
              <w:i w:val="0"/>
              <w:iCs w:val="0"/>
              <w:sz w:val="24"/>
              <w:szCs w:val="24"/>
            </w:rPr>
            <w:fldChar w:fldCharType="separate"/>
          </w:r>
          <w:r>
            <w:rPr>
              <w:rFonts w:ascii="Times New Roman" w:hAnsi="Times New Roman"/>
              <w:i w:val="0"/>
              <w:iCs w:val="0"/>
              <w:sz w:val="24"/>
              <w:szCs w:val="24"/>
            </w:rPr>
            <w:t>121</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"_Toc145580469" </w:instrText>
          </w:r>
          <w:r>
            <w:fldChar w:fldCharType="separate"/>
          </w:r>
          <w:r>
            <w:rPr>
              <w:rStyle w:val="63"/>
              <w:rFonts w:ascii="Times New Roman" w:hAnsi="Times New Roman" w:cs="Times New Roman"/>
              <w:i w:val="0"/>
              <w:iCs w:val="0"/>
              <w:szCs w:val="24"/>
            </w:rPr>
            <w:t>8.1.6环境管理计划</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_Toc145580469 \h </w:instrText>
          </w:r>
          <w:r>
            <w:rPr>
              <w:rFonts w:ascii="Times New Roman" w:hAnsi="Times New Roman"/>
              <w:i w:val="0"/>
              <w:iCs w:val="0"/>
              <w:sz w:val="24"/>
              <w:szCs w:val="24"/>
            </w:rPr>
            <w:fldChar w:fldCharType="separate"/>
          </w:r>
          <w:r>
            <w:rPr>
              <w:rFonts w:ascii="Times New Roman" w:hAnsi="Times New Roman"/>
              <w:i w:val="0"/>
              <w:iCs w:val="0"/>
              <w:sz w:val="24"/>
              <w:szCs w:val="24"/>
            </w:rPr>
            <w:t>121</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"_Toc145580470" </w:instrText>
          </w:r>
          <w:r>
            <w:fldChar w:fldCharType="separate"/>
          </w:r>
          <w:r>
            <w:rPr>
              <w:rStyle w:val="63"/>
              <w:rFonts w:ascii="Times New Roman" w:hAnsi="Times New Roman" w:cs="Times New Roman"/>
              <w:i w:val="0"/>
              <w:iCs w:val="0"/>
              <w:szCs w:val="24"/>
            </w:rPr>
            <w:t>8.1.7环境管理台账</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_Toc145580470 \h </w:instrText>
          </w:r>
          <w:r>
            <w:rPr>
              <w:rFonts w:ascii="Times New Roman" w:hAnsi="Times New Roman"/>
              <w:i w:val="0"/>
              <w:iCs w:val="0"/>
              <w:sz w:val="24"/>
              <w:szCs w:val="24"/>
            </w:rPr>
            <w:fldChar w:fldCharType="separate"/>
          </w:r>
          <w:r>
            <w:rPr>
              <w:rFonts w:ascii="Times New Roman" w:hAnsi="Times New Roman"/>
              <w:i w:val="0"/>
              <w:iCs w:val="0"/>
              <w:sz w:val="24"/>
              <w:szCs w:val="24"/>
            </w:rPr>
            <w:t>122</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"_Toc145580471" </w:instrText>
          </w:r>
          <w:r>
            <w:fldChar w:fldCharType="separate"/>
          </w:r>
          <w:r>
            <w:rPr>
              <w:rStyle w:val="63"/>
              <w:rFonts w:ascii="Times New Roman" w:hAnsi="Times New Roman" w:cs="Times New Roman"/>
              <w:szCs w:val="24"/>
            </w:rPr>
            <w:t>8.2 环境监测</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_Toc145580471 \h </w:instrText>
          </w:r>
          <w:r>
            <w:rPr>
              <w:rFonts w:ascii="Times New Roman" w:hAnsi="Times New Roman"/>
              <w:sz w:val="24"/>
              <w:szCs w:val="24"/>
            </w:rPr>
            <w:fldChar w:fldCharType="separate"/>
          </w:r>
          <w:r>
            <w:rPr>
              <w:rFonts w:ascii="Times New Roman" w:hAnsi="Times New Roman"/>
              <w:sz w:val="24"/>
              <w:szCs w:val="24"/>
            </w:rPr>
            <w:t>124</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"_Toc145580472" </w:instrText>
          </w:r>
          <w:r>
            <w:fldChar w:fldCharType="separate"/>
          </w:r>
          <w:r>
            <w:rPr>
              <w:rStyle w:val="63"/>
              <w:rFonts w:ascii="Times New Roman" w:hAnsi="Times New Roman" w:cs="Times New Roman"/>
              <w:i w:val="0"/>
              <w:iCs w:val="0"/>
              <w:szCs w:val="24"/>
            </w:rPr>
            <w:t>8.2.1环境监测目的</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_Toc145580472 \h </w:instrText>
          </w:r>
          <w:r>
            <w:rPr>
              <w:rFonts w:ascii="Times New Roman" w:hAnsi="Times New Roman"/>
              <w:i w:val="0"/>
              <w:iCs w:val="0"/>
              <w:sz w:val="24"/>
              <w:szCs w:val="24"/>
            </w:rPr>
            <w:fldChar w:fldCharType="separate"/>
          </w:r>
          <w:r>
            <w:rPr>
              <w:rFonts w:ascii="Times New Roman" w:hAnsi="Times New Roman"/>
              <w:i w:val="0"/>
              <w:iCs w:val="0"/>
              <w:sz w:val="24"/>
              <w:szCs w:val="24"/>
            </w:rPr>
            <w:t>124</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"_Toc145580473" </w:instrText>
          </w:r>
          <w:r>
            <w:fldChar w:fldCharType="separate"/>
          </w:r>
          <w:r>
            <w:rPr>
              <w:rStyle w:val="63"/>
              <w:rFonts w:ascii="Times New Roman" w:hAnsi="Times New Roman" w:cs="Times New Roman"/>
              <w:i w:val="0"/>
              <w:iCs w:val="0"/>
              <w:szCs w:val="24"/>
            </w:rPr>
            <w:t>8.2.2监测计划</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_Toc145580473 \h </w:instrText>
          </w:r>
          <w:r>
            <w:rPr>
              <w:rFonts w:ascii="Times New Roman" w:hAnsi="Times New Roman"/>
              <w:i w:val="0"/>
              <w:iCs w:val="0"/>
              <w:sz w:val="24"/>
              <w:szCs w:val="24"/>
            </w:rPr>
            <w:fldChar w:fldCharType="separate"/>
          </w:r>
          <w:r>
            <w:rPr>
              <w:rFonts w:ascii="Times New Roman" w:hAnsi="Times New Roman"/>
              <w:i w:val="0"/>
              <w:iCs w:val="0"/>
              <w:sz w:val="24"/>
              <w:szCs w:val="24"/>
            </w:rPr>
            <w:t>124</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"_Toc145580474" </w:instrText>
          </w:r>
          <w:r>
            <w:fldChar w:fldCharType="separate"/>
          </w:r>
          <w:r>
            <w:rPr>
              <w:rStyle w:val="63"/>
              <w:rFonts w:ascii="Times New Roman" w:hAnsi="Times New Roman" w:cs="Times New Roman"/>
              <w:szCs w:val="24"/>
            </w:rPr>
            <w:t>8.3环境监理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_Toc145580474 \h </w:instrText>
          </w:r>
          <w:r>
            <w:rPr>
              <w:rFonts w:ascii="Times New Roman" w:hAnsi="Times New Roman"/>
              <w:sz w:val="24"/>
              <w:szCs w:val="24"/>
            </w:rPr>
            <w:fldChar w:fldCharType="separate"/>
          </w:r>
          <w:r>
            <w:rPr>
              <w:rFonts w:ascii="Times New Roman" w:hAnsi="Times New Roman"/>
              <w:sz w:val="24"/>
              <w:szCs w:val="24"/>
            </w:rPr>
            <w:t>125</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"_Toc145580475" </w:instrText>
          </w:r>
          <w:r>
            <w:fldChar w:fldCharType="separate"/>
          </w:r>
          <w:r>
            <w:rPr>
              <w:rStyle w:val="63"/>
              <w:rFonts w:ascii="Times New Roman" w:hAnsi="Times New Roman" w:cs="Times New Roman"/>
              <w:i w:val="0"/>
              <w:iCs w:val="0"/>
              <w:szCs w:val="24"/>
            </w:rPr>
            <w:t>8.3.1环境监理依据</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_Toc145580475 \h </w:instrText>
          </w:r>
          <w:r>
            <w:rPr>
              <w:rFonts w:ascii="Times New Roman" w:hAnsi="Times New Roman"/>
              <w:i w:val="0"/>
              <w:iCs w:val="0"/>
              <w:sz w:val="24"/>
              <w:szCs w:val="24"/>
            </w:rPr>
            <w:fldChar w:fldCharType="separate"/>
          </w:r>
          <w:r>
            <w:rPr>
              <w:rFonts w:ascii="Times New Roman" w:hAnsi="Times New Roman"/>
              <w:i w:val="0"/>
              <w:iCs w:val="0"/>
              <w:sz w:val="24"/>
              <w:szCs w:val="24"/>
            </w:rPr>
            <w:t>125</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"_Toc145580476" </w:instrText>
          </w:r>
          <w:r>
            <w:fldChar w:fldCharType="separate"/>
          </w:r>
          <w:r>
            <w:rPr>
              <w:rStyle w:val="63"/>
              <w:rFonts w:ascii="Times New Roman" w:hAnsi="Times New Roman" w:cs="Times New Roman"/>
              <w:i w:val="0"/>
              <w:iCs w:val="0"/>
              <w:szCs w:val="24"/>
            </w:rPr>
            <w:t>8.3.2监理阶段</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_Toc145580476 \h </w:instrText>
          </w:r>
          <w:r>
            <w:rPr>
              <w:rFonts w:ascii="Times New Roman" w:hAnsi="Times New Roman"/>
              <w:i w:val="0"/>
              <w:iCs w:val="0"/>
              <w:sz w:val="24"/>
              <w:szCs w:val="24"/>
            </w:rPr>
            <w:fldChar w:fldCharType="separate"/>
          </w:r>
          <w:r>
            <w:rPr>
              <w:rFonts w:ascii="Times New Roman" w:hAnsi="Times New Roman"/>
              <w:i w:val="0"/>
              <w:iCs w:val="0"/>
              <w:sz w:val="24"/>
              <w:szCs w:val="24"/>
            </w:rPr>
            <w:t>125</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"_Toc145580477" </w:instrText>
          </w:r>
          <w:r>
            <w:fldChar w:fldCharType="separate"/>
          </w:r>
          <w:r>
            <w:rPr>
              <w:rStyle w:val="63"/>
              <w:rFonts w:ascii="Times New Roman" w:hAnsi="Times New Roman" w:cs="Times New Roman"/>
              <w:i w:val="0"/>
              <w:iCs w:val="0"/>
              <w:szCs w:val="24"/>
            </w:rPr>
            <w:t>8.3.3环境监理应遵循的原则</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_Toc145580477 \h </w:instrText>
          </w:r>
          <w:r>
            <w:rPr>
              <w:rFonts w:ascii="Times New Roman" w:hAnsi="Times New Roman"/>
              <w:i w:val="0"/>
              <w:iCs w:val="0"/>
              <w:sz w:val="24"/>
              <w:szCs w:val="24"/>
            </w:rPr>
            <w:fldChar w:fldCharType="separate"/>
          </w:r>
          <w:r>
            <w:rPr>
              <w:rFonts w:ascii="Times New Roman" w:hAnsi="Times New Roman"/>
              <w:i w:val="0"/>
              <w:iCs w:val="0"/>
              <w:sz w:val="24"/>
              <w:szCs w:val="24"/>
            </w:rPr>
            <w:t>125</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"_Toc145580478" </w:instrText>
          </w:r>
          <w:r>
            <w:fldChar w:fldCharType="separate"/>
          </w:r>
          <w:r>
            <w:rPr>
              <w:rStyle w:val="63"/>
              <w:rFonts w:ascii="Times New Roman" w:hAnsi="Times New Roman" w:cs="Times New Roman"/>
              <w:i w:val="0"/>
              <w:iCs w:val="0"/>
              <w:szCs w:val="24"/>
            </w:rPr>
            <w:t>8.3.4监理范围、内容及方式</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_Toc145580478 \h </w:instrText>
          </w:r>
          <w:r>
            <w:rPr>
              <w:rFonts w:ascii="Times New Roman" w:hAnsi="Times New Roman"/>
              <w:i w:val="0"/>
              <w:iCs w:val="0"/>
              <w:sz w:val="24"/>
              <w:szCs w:val="24"/>
            </w:rPr>
            <w:fldChar w:fldCharType="separate"/>
          </w:r>
          <w:r>
            <w:rPr>
              <w:rFonts w:ascii="Times New Roman" w:hAnsi="Times New Roman"/>
              <w:i w:val="0"/>
              <w:iCs w:val="0"/>
              <w:sz w:val="24"/>
              <w:szCs w:val="24"/>
            </w:rPr>
            <w:t>125</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"_Toc145580479" </w:instrText>
          </w:r>
          <w:r>
            <w:fldChar w:fldCharType="separate"/>
          </w:r>
          <w:r>
            <w:rPr>
              <w:rStyle w:val="63"/>
              <w:rFonts w:ascii="Times New Roman" w:hAnsi="Times New Roman" w:cs="Times New Roman"/>
              <w:i w:val="0"/>
              <w:iCs w:val="0"/>
              <w:szCs w:val="24"/>
            </w:rPr>
            <w:t>8.3.5环境监理工作内容</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_Toc145580479 \h </w:instrText>
          </w:r>
          <w:r>
            <w:rPr>
              <w:rFonts w:ascii="Times New Roman" w:hAnsi="Times New Roman"/>
              <w:i w:val="0"/>
              <w:iCs w:val="0"/>
              <w:sz w:val="24"/>
              <w:szCs w:val="24"/>
            </w:rPr>
            <w:fldChar w:fldCharType="separate"/>
          </w:r>
          <w:r>
            <w:rPr>
              <w:rFonts w:ascii="Times New Roman" w:hAnsi="Times New Roman"/>
              <w:i w:val="0"/>
              <w:iCs w:val="0"/>
              <w:sz w:val="24"/>
              <w:szCs w:val="24"/>
            </w:rPr>
            <w:t>126</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"_Toc145580480" </w:instrText>
          </w:r>
          <w:r>
            <w:fldChar w:fldCharType="separate"/>
          </w:r>
          <w:r>
            <w:rPr>
              <w:rStyle w:val="63"/>
              <w:rFonts w:ascii="Times New Roman" w:hAnsi="Times New Roman" w:cs="Times New Roman"/>
              <w:i w:val="0"/>
              <w:iCs w:val="0"/>
              <w:szCs w:val="24"/>
            </w:rPr>
            <w:t>8.3.6环境监理机构及工作制度</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_Toc145580480 \h </w:instrText>
          </w:r>
          <w:r>
            <w:rPr>
              <w:rFonts w:ascii="Times New Roman" w:hAnsi="Times New Roman"/>
              <w:i w:val="0"/>
              <w:iCs w:val="0"/>
              <w:sz w:val="24"/>
              <w:szCs w:val="24"/>
            </w:rPr>
            <w:fldChar w:fldCharType="separate"/>
          </w:r>
          <w:r>
            <w:rPr>
              <w:rFonts w:ascii="Times New Roman" w:hAnsi="Times New Roman"/>
              <w:i w:val="0"/>
              <w:iCs w:val="0"/>
              <w:sz w:val="24"/>
              <w:szCs w:val="24"/>
            </w:rPr>
            <w:t>126</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"_Toc145580481" </w:instrText>
          </w:r>
          <w:r>
            <w:fldChar w:fldCharType="separate"/>
          </w:r>
          <w:r>
            <w:rPr>
              <w:rStyle w:val="63"/>
              <w:rFonts w:ascii="Times New Roman" w:hAnsi="Times New Roman" w:cs="Times New Roman"/>
              <w:i w:val="0"/>
              <w:iCs w:val="0"/>
              <w:szCs w:val="24"/>
            </w:rPr>
            <w:t>8.3.7环境监理技术要点</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_Toc145580481 \h </w:instrText>
          </w:r>
          <w:r>
            <w:rPr>
              <w:rFonts w:ascii="Times New Roman" w:hAnsi="Times New Roman"/>
              <w:i w:val="0"/>
              <w:iCs w:val="0"/>
              <w:sz w:val="24"/>
              <w:szCs w:val="24"/>
            </w:rPr>
            <w:fldChar w:fldCharType="separate"/>
          </w:r>
          <w:r>
            <w:rPr>
              <w:rFonts w:ascii="Times New Roman" w:hAnsi="Times New Roman"/>
              <w:i w:val="0"/>
              <w:iCs w:val="0"/>
              <w:sz w:val="24"/>
              <w:szCs w:val="24"/>
            </w:rPr>
            <w:t>126</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"_Toc145580482" </w:instrText>
          </w:r>
          <w:r>
            <w:fldChar w:fldCharType="separate"/>
          </w:r>
          <w:r>
            <w:rPr>
              <w:rStyle w:val="63"/>
              <w:rFonts w:ascii="Times New Roman" w:hAnsi="Times New Roman" w:cs="Times New Roman"/>
              <w:szCs w:val="24"/>
            </w:rPr>
            <w:t>8.4 污染物排放清单</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_Toc145580482 \h </w:instrText>
          </w:r>
          <w:r>
            <w:rPr>
              <w:rFonts w:ascii="Times New Roman" w:hAnsi="Times New Roman"/>
              <w:sz w:val="24"/>
              <w:szCs w:val="24"/>
            </w:rPr>
            <w:fldChar w:fldCharType="separate"/>
          </w:r>
          <w:r>
            <w:rPr>
              <w:rFonts w:ascii="Times New Roman" w:hAnsi="Times New Roman"/>
              <w:sz w:val="24"/>
              <w:szCs w:val="24"/>
            </w:rPr>
            <w:t>128</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"_Toc145580483" </w:instrText>
          </w:r>
          <w:r>
            <w:fldChar w:fldCharType="separate"/>
          </w:r>
          <w:r>
            <w:rPr>
              <w:rStyle w:val="63"/>
              <w:rFonts w:ascii="Times New Roman" w:hAnsi="Times New Roman" w:cs="Times New Roman"/>
              <w:szCs w:val="24"/>
            </w:rPr>
            <w:t>8.5 排污口规范化管理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_Toc145580483 \h </w:instrText>
          </w:r>
          <w:r>
            <w:rPr>
              <w:rFonts w:ascii="Times New Roman" w:hAnsi="Times New Roman"/>
              <w:sz w:val="24"/>
              <w:szCs w:val="24"/>
            </w:rPr>
            <w:fldChar w:fldCharType="separate"/>
          </w:r>
          <w:r>
            <w:rPr>
              <w:rFonts w:ascii="Times New Roman" w:hAnsi="Times New Roman"/>
              <w:sz w:val="24"/>
              <w:szCs w:val="24"/>
            </w:rPr>
            <w:t>130</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"_Toc145580484" </w:instrText>
          </w:r>
          <w:r>
            <w:fldChar w:fldCharType="separate"/>
          </w:r>
          <w:r>
            <w:rPr>
              <w:rStyle w:val="63"/>
              <w:rFonts w:ascii="Times New Roman" w:hAnsi="Times New Roman" w:cs="Times New Roman"/>
              <w:szCs w:val="24"/>
            </w:rPr>
            <w:t>8.6 环境影响评价制度与排污许可制衔接分析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_Toc145580484 \h </w:instrText>
          </w:r>
          <w:r>
            <w:rPr>
              <w:rFonts w:ascii="Times New Roman" w:hAnsi="Times New Roman"/>
              <w:sz w:val="24"/>
              <w:szCs w:val="24"/>
            </w:rPr>
            <w:fldChar w:fldCharType="separate"/>
          </w:r>
          <w:r>
            <w:rPr>
              <w:rFonts w:ascii="Times New Roman" w:hAnsi="Times New Roman"/>
              <w:sz w:val="24"/>
              <w:szCs w:val="24"/>
            </w:rPr>
            <w:t>131</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"_Toc145580485" </w:instrText>
          </w:r>
          <w:r>
            <w:fldChar w:fldCharType="separate"/>
          </w:r>
          <w:r>
            <w:rPr>
              <w:rStyle w:val="63"/>
              <w:rFonts w:ascii="Times New Roman" w:hAnsi="Times New Roman" w:cs="Times New Roman"/>
              <w:szCs w:val="24"/>
            </w:rPr>
            <w:t>8.7 企业环境信息公开</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_Toc145580485 \h </w:instrText>
          </w:r>
          <w:r>
            <w:rPr>
              <w:rFonts w:ascii="Times New Roman" w:hAnsi="Times New Roman"/>
              <w:sz w:val="24"/>
              <w:szCs w:val="24"/>
            </w:rPr>
            <w:fldChar w:fldCharType="separate"/>
          </w:r>
          <w:r>
            <w:rPr>
              <w:rFonts w:ascii="Times New Roman" w:hAnsi="Times New Roman"/>
              <w:sz w:val="24"/>
              <w:szCs w:val="24"/>
            </w:rPr>
            <w:t>132</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"_Toc145580486" </w:instrText>
          </w:r>
          <w:r>
            <w:fldChar w:fldCharType="separate"/>
          </w:r>
          <w:r>
            <w:rPr>
              <w:rStyle w:val="63"/>
              <w:rFonts w:ascii="Times New Roman" w:hAnsi="Times New Roman" w:cs="Times New Roman"/>
              <w:szCs w:val="24"/>
            </w:rPr>
            <w:t>8.7 竣工验收管理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_Toc145580486 \h </w:instrText>
          </w:r>
          <w:r>
            <w:rPr>
              <w:rFonts w:ascii="Times New Roman" w:hAnsi="Times New Roman"/>
              <w:sz w:val="24"/>
              <w:szCs w:val="24"/>
            </w:rPr>
            <w:fldChar w:fldCharType="separate"/>
          </w:r>
          <w:r>
            <w:rPr>
              <w:rFonts w:ascii="Times New Roman" w:hAnsi="Times New Roman"/>
              <w:sz w:val="24"/>
              <w:szCs w:val="24"/>
            </w:rPr>
            <w:t>133</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"_Toc145580487" </w:instrText>
          </w:r>
          <w:r>
            <w:fldChar w:fldCharType="separate"/>
          </w:r>
          <w:r>
            <w:rPr>
              <w:rStyle w:val="63"/>
              <w:rFonts w:ascii="Times New Roman" w:hAnsi="Times New Roman" w:cs="Times New Roman"/>
              <w:i w:val="0"/>
              <w:iCs w:val="0"/>
              <w:szCs w:val="24"/>
            </w:rPr>
            <w:t>8.7.1竣工验收管理及要求</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_Toc145580487 \h </w:instrText>
          </w:r>
          <w:r>
            <w:rPr>
              <w:rFonts w:ascii="Times New Roman" w:hAnsi="Times New Roman"/>
              <w:i w:val="0"/>
              <w:iCs w:val="0"/>
              <w:sz w:val="24"/>
              <w:szCs w:val="24"/>
            </w:rPr>
            <w:fldChar w:fldCharType="separate"/>
          </w:r>
          <w:r>
            <w:rPr>
              <w:rFonts w:ascii="Times New Roman" w:hAnsi="Times New Roman"/>
              <w:i w:val="0"/>
              <w:iCs w:val="0"/>
              <w:sz w:val="24"/>
              <w:szCs w:val="24"/>
            </w:rPr>
            <w:t>133</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"_Toc145580488" </w:instrText>
          </w:r>
          <w:r>
            <w:fldChar w:fldCharType="separate"/>
          </w:r>
          <w:r>
            <w:rPr>
              <w:rStyle w:val="63"/>
              <w:rFonts w:ascii="Times New Roman" w:hAnsi="Times New Roman" w:cs="Times New Roman"/>
              <w:i w:val="0"/>
              <w:iCs w:val="0"/>
              <w:szCs w:val="24"/>
            </w:rPr>
            <w:t>8.7.2环境保护“三同时”验收</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_Toc145580488 \h </w:instrText>
          </w:r>
          <w:r>
            <w:rPr>
              <w:rFonts w:ascii="Times New Roman" w:hAnsi="Times New Roman"/>
              <w:i w:val="0"/>
              <w:iCs w:val="0"/>
              <w:sz w:val="24"/>
              <w:szCs w:val="24"/>
            </w:rPr>
            <w:fldChar w:fldCharType="separate"/>
          </w:r>
          <w:r>
            <w:rPr>
              <w:rFonts w:ascii="Times New Roman" w:hAnsi="Times New Roman"/>
              <w:i w:val="0"/>
              <w:iCs w:val="0"/>
              <w:sz w:val="24"/>
              <w:szCs w:val="24"/>
            </w:rPr>
            <w:t>133</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37"/>
            <w:tabs>
              <w:tab w:val="right" w:leader="dot" w:pos="8211"/>
            </w:tabs>
            <w:rPr>
              <w:rFonts w:ascii="Times New Roman" w:hAnsi="Times New Roman"/>
              <w:b w:val="0"/>
              <w:bCs w:val="0"/>
              <w:caps w:val="0"/>
              <w:sz w:val="24"/>
              <w:szCs w:val="24"/>
              <w14:ligatures w14:val="standardContextual"/>
            </w:rPr>
          </w:pPr>
          <w:r>
            <w:fldChar w:fldCharType="begin"/>
          </w:r>
          <w:r>
            <w:instrText xml:space="preserve"> HYPERLINK \l "_Toc145580489" </w:instrText>
          </w:r>
          <w:r>
            <w:fldChar w:fldCharType="separate"/>
          </w:r>
          <w:r>
            <w:rPr>
              <w:rStyle w:val="63"/>
              <w:rFonts w:ascii="Times New Roman" w:hAnsi="Times New Roman" w:cs="Times New Roman"/>
              <w:szCs w:val="24"/>
            </w:rPr>
            <w:t>9环境影响评价结论</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_Toc145580489 \h </w:instrText>
          </w:r>
          <w:r>
            <w:rPr>
              <w:rFonts w:ascii="Times New Roman" w:hAnsi="Times New Roman"/>
              <w:sz w:val="24"/>
              <w:szCs w:val="24"/>
            </w:rPr>
            <w:fldChar w:fldCharType="separate"/>
          </w:r>
          <w:r>
            <w:rPr>
              <w:rFonts w:ascii="Times New Roman" w:hAnsi="Times New Roman"/>
              <w:sz w:val="24"/>
              <w:szCs w:val="24"/>
            </w:rPr>
            <w:t>134</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"_Toc145580490" </w:instrText>
          </w:r>
          <w:r>
            <w:fldChar w:fldCharType="separate"/>
          </w:r>
          <w:r>
            <w:rPr>
              <w:rStyle w:val="63"/>
              <w:rFonts w:ascii="Times New Roman" w:hAnsi="Times New Roman" w:cs="Times New Roman"/>
              <w:szCs w:val="24"/>
            </w:rPr>
            <w:t>9.1 结论</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_Toc145580490 \h </w:instrText>
          </w:r>
          <w:r>
            <w:rPr>
              <w:rFonts w:ascii="Times New Roman" w:hAnsi="Times New Roman"/>
              <w:sz w:val="24"/>
              <w:szCs w:val="24"/>
            </w:rPr>
            <w:fldChar w:fldCharType="separate"/>
          </w:r>
          <w:r>
            <w:rPr>
              <w:rFonts w:ascii="Times New Roman" w:hAnsi="Times New Roman"/>
              <w:sz w:val="24"/>
              <w:szCs w:val="24"/>
            </w:rPr>
            <w:t>134</w:t>
          </w:r>
          <w:r>
            <w:rPr>
              <w:rFonts w:ascii="Times New Roman" w:hAnsi="Times New Roman"/>
              <w:sz w:val="24"/>
              <w:szCs w:val="24"/>
            </w:rPr>
            <w:fldChar w:fldCharType="end"/>
          </w:r>
          <w:r>
            <w:rPr>
              <w:rFonts w:ascii="Times New Roman" w:hAnsi="Times New Roman"/>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"_Toc145580491" </w:instrText>
          </w:r>
          <w:r>
            <w:fldChar w:fldCharType="separate"/>
          </w:r>
          <w:r>
            <w:rPr>
              <w:rStyle w:val="63"/>
              <w:rFonts w:ascii="Times New Roman" w:hAnsi="Times New Roman" w:cs="Times New Roman"/>
              <w:i w:val="0"/>
              <w:iCs w:val="0"/>
              <w:szCs w:val="24"/>
            </w:rPr>
            <w:t>9.1.1 项目概况</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_Toc145580491 \h </w:instrText>
          </w:r>
          <w:r>
            <w:rPr>
              <w:rFonts w:ascii="Times New Roman" w:hAnsi="Times New Roman"/>
              <w:i w:val="0"/>
              <w:iCs w:val="0"/>
              <w:sz w:val="24"/>
              <w:szCs w:val="24"/>
            </w:rPr>
            <w:fldChar w:fldCharType="separate"/>
          </w:r>
          <w:r>
            <w:rPr>
              <w:rFonts w:ascii="Times New Roman" w:hAnsi="Times New Roman"/>
              <w:i w:val="0"/>
              <w:iCs w:val="0"/>
              <w:sz w:val="24"/>
              <w:szCs w:val="24"/>
            </w:rPr>
            <w:t>134</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"_Toc145580492" </w:instrText>
          </w:r>
          <w:r>
            <w:fldChar w:fldCharType="separate"/>
          </w:r>
          <w:r>
            <w:rPr>
              <w:rStyle w:val="63"/>
              <w:rFonts w:ascii="Times New Roman" w:hAnsi="Times New Roman" w:cs="Times New Roman"/>
              <w:i w:val="0"/>
              <w:iCs w:val="0"/>
              <w:szCs w:val="24"/>
            </w:rPr>
            <w:t>9.1.2环境质量现状</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_Toc145580492 \h </w:instrText>
          </w:r>
          <w:r>
            <w:rPr>
              <w:rFonts w:ascii="Times New Roman" w:hAnsi="Times New Roman"/>
              <w:i w:val="0"/>
              <w:iCs w:val="0"/>
              <w:sz w:val="24"/>
              <w:szCs w:val="24"/>
            </w:rPr>
            <w:fldChar w:fldCharType="separate"/>
          </w:r>
          <w:r>
            <w:rPr>
              <w:rFonts w:ascii="Times New Roman" w:hAnsi="Times New Roman"/>
              <w:i w:val="0"/>
              <w:iCs w:val="0"/>
              <w:sz w:val="24"/>
              <w:szCs w:val="24"/>
            </w:rPr>
            <w:t>134</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"_Toc145580493" </w:instrText>
          </w:r>
          <w:r>
            <w:fldChar w:fldCharType="separate"/>
          </w:r>
          <w:r>
            <w:rPr>
              <w:rStyle w:val="63"/>
              <w:rFonts w:ascii="Times New Roman" w:hAnsi="Times New Roman" w:cs="Times New Roman"/>
              <w:i w:val="0"/>
              <w:iCs w:val="0"/>
              <w:szCs w:val="24"/>
            </w:rPr>
            <w:t>9.1.3环境影响分析结论</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_Toc145580493 \h </w:instrText>
          </w:r>
          <w:r>
            <w:rPr>
              <w:rFonts w:ascii="Times New Roman" w:hAnsi="Times New Roman"/>
              <w:i w:val="0"/>
              <w:iCs w:val="0"/>
              <w:sz w:val="24"/>
              <w:szCs w:val="24"/>
            </w:rPr>
            <w:fldChar w:fldCharType="separate"/>
          </w:r>
          <w:r>
            <w:rPr>
              <w:rFonts w:ascii="Times New Roman" w:hAnsi="Times New Roman"/>
              <w:i w:val="0"/>
              <w:iCs w:val="0"/>
              <w:sz w:val="24"/>
              <w:szCs w:val="24"/>
            </w:rPr>
            <w:t>135</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"_Toc145580494" </w:instrText>
          </w:r>
          <w:r>
            <w:fldChar w:fldCharType="separate"/>
          </w:r>
          <w:r>
            <w:rPr>
              <w:rStyle w:val="63"/>
              <w:rFonts w:ascii="Times New Roman" w:hAnsi="Times New Roman" w:cs="Times New Roman"/>
              <w:i w:val="0"/>
              <w:iCs w:val="0"/>
              <w:szCs w:val="24"/>
            </w:rPr>
            <w:t>9.1.4运营期污染防治措施可行性评价结论</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_Toc145580494 \h </w:instrText>
          </w:r>
          <w:r>
            <w:rPr>
              <w:rFonts w:ascii="Times New Roman" w:hAnsi="Times New Roman"/>
              <w:i w:val="0"/>
              <w:iCs w:val="0"/>
              <w:sz w:val="24"/>
              <w:szCs w:val="24"/>
            </w:rPr>
            <w:fldChar w:fldCharType="separate"/>
          </w:r>
          <w:r>
            <w:rPr>
              <w:rFonts w:ascii="Times New Roman" w:hAnsi="Times New Roman"/>
              <w:i w:val="0"/>
              <w:iCs w:val="0"/>
              <w:sz w:val="24"/>
              <w:szCs w:val="24"/>
            </w:rPr>
            <w:t>136</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"_Toc145580495" </w:instrText>
          </w:r>
          <w:r>
            <w:fldChar w:fldCharType="separate"/>
          </w:r>
          <w:r>
            <w:rPr>
              <w:rStyle w:val="63"/>
              <w:rFonts w:ascii="Times New Roman" w:hAnsi="Times New Roman" w:cs="Times New Roman"/>
              <w:i w:val="0"/>
              <w:iCs w:val="0"/>
              <w:szCs w:val="24"/>
            </w:rPr>
            <w:t>9.1.5总量控制指标</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_Toc145580495 \h </w:instrText>
          </w:r>
          <w:r>
            <w:rPr>
              <w:rFonts w:ascii="Times New Roman" w:hAnsi="Times New Roman"/>
              <w:i w:val="0"/>
              <w:iCs w:val="0"/>
              <w:sz w:val="24"/>
              <w:szCs w:val="24"/>
            </w:rPr>
            <w:fldChar w:fldCharType="separate"/>
          </w:r>
          <w:r>
            <w:rPr>
              <w:rFonts w:ascii="Times New Roman" w:hAnsi="Times New Roman"/>
              <w:i w:val="0"/>
              <w:iCs w:val="0"/>
              <w:sz w:val="24"/>
              <w:szCs w:val="24"/>
            </w:rPr>
            <w:t>137</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"_Toc145580496" </w:instrText>
          </w:r>
          <w:r>
            <w:fldChar w:fldCharType="separate"/>
          </w:r>
          <w:r>
            <w:rPr>
              <w:rStyle w:val="63"/>
              <w:rFonts w:ascii="Times New Roman" w:hAnsi="Times New Roman" w:cs="Times New Roman"/>
              <w:i w:val="0"/>
              <w:iCs w:val="0"/>
              <w:szCs w:val="24"/>
            </w:rPr>
            <w:t>9.1.6风险评价结论</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_Toc145580496 \h </w:instrText>
          </w:r>
          <w:r>
            <w:rPr>
              <w:rFonts w:ascii="Times New Roman" w:hAnsi="Times New Roman"/>
              <w:i w:val="0"/>
              <w:iCs w:val="0"/>
              <w:sz w:val="24"/>
              <w:szCs w:val="24"/>
            </w:rPr>
            <w:fldChar w:fldCharType="separate"/>
          </w:r>
          <w:r>
            <w:rPr>
              <w:rFonts w:ascii="Times New Roman" w:hAnsi="Times New Roman"/>
              <w:i w:val="0"/>
              <w:iCs w:val="0"/>
              <w:sz w:val="24"/>
              <w:szCs w:val="24"/>
            </w:rPr>
            <w:t>137</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27"/>
            <w:tabs>
              <w:tab w:val="right" w:leader="dot" w:pos="8211"/>
            </w:tabs>
            <w:rPr>
              <w:rFonts w:ascii="Times New Roman" w:hAnsi="Times New Roman"/>
              <w:i w:val="0"/>
              <w:iCs w:val="0"/>
              <w:sz w:val="24"/>
              <w:szCs w:val="24"/>
              <w14:ligatures w14:val="standardContextual"/>
            </w:rPr>
          </w:pPr>
          <w:r>
            <w:fldChar w:fldCharType="begin"/>
          </w:r>
          <w:r>
            <w:instrText xml:space="preserve"> HYPERLINK \l "_Toc145580497" </w:instrText>
          </w:r>
          <w:r>
            <w:fldChar w:fldCharType="separate"/>
          </w:r>
          <w:r>
            <w:rPr>
              <w:rStyle w:val="63"/>
              <w:rFonts w:ascii="Times New Roman" w:hAnsi="Times New Roman" w:cs="Times New Roman"/>
              <w:i w:val="0"/>
              <w:iCs w:val="0"/>
              <w:szCs w:val="24"/>
            </w:rPr>
            <w:t>9.1.7公众参与</w:t>
          </w:r>
          <w:r>
            <w:rPr>
              <w:rFonts w:ascii="Times New Roman" w:hAnsi="Times New Roman"/>
              <w:i w:val="0"/>
              <w:iCs w:val="0"/>
              <w:sz w:val="24"/>
              <w:szCs w:val="24"/>
            </w:rPr>
            <w:tab/>
          </w:r>
          <w:r>
            <w:rPr>
              <w:rFonts w:ascii="Times New Roman" w:hAnsi="Times New Roman"/>
              <w:i w:val="0"/>
              <w:iCs w:val="0"/>
              <w:sz w:val="24"/>
              <w:szCs w:val="24"/>
            </w:rPr>
            <w:fldChar w:fldCharType="begin"/>
          </w:r>
          <w:r>
            <w:rPr>
              <w:rFonts w:ascii="Times New Roman" w:hAnsi="Times New Roman"/>
              <w:i w:val="0"/>
              <w:iCs w:val="0"/>
              <w:sz w:val="24"/>
              <w:szCs w:val="24"/>
            </w:rPr>
            <w:instrText xml:space="preserve"> PAGEREF _Toc145580497 \h </w:instrText>
          </w:r>
          <w:r>
            <w:rPr>
              <w:rFonts w:ascii="Times New Roman" w:hAnsi="Times New Roman"/>
              <w:i w:val="0"/>
              <w:iCs w:val="0"/>
              <w:sz w:val="24"/>
              <w:szCs w:val="24"/>
            </w:rPr>
            <w:fldChar w:fldCharType="separate"/>
          </w:r>
          <w:r>
            <w:rPr>
              <w:rFonts w:ascii="Times New Roman" w:hAnsi="Times New Roman"/>
              <w:i w:val="0"/>
              <w:iCs w:val="0"/>
              <w:sz w:val="24"/>
              <w:szCs w:val="24"/>
            </w:rPr>
            <w:t>137</w:t>
          </w:r>
          <w:r>
            <w:rPr>
              <w:rFonts w:ascii="Times New Roman" w:hAnsi="Times New Roman"/>
              <w:i w:val="0"/>
              <w:iCs w:val="0"/>
              <w:sz w:val="24"/>
              <w:szCs w:val="24"/>
            </w:rPr>
            <w:fldChar w:fldCharType="end"/>
          </w:r>
          <w:r>
            <w:rPr>
              <w:rFonts w:ascii="Times New Roman" w:hAnsi="Times New Roman"/>
              <w:i w:val="0"/>
              <w:iCs w:val="0"/>
              <w:sz w:val="24"/>
              <w:szCs w:val="24"/>
            </w:rPr>
            <w:fldChar w:fldCharType="end"/>
          </w:r>
        </w:p>
        <w:p>
          <w:pPr>
            <w:pStyle w:val="45"/>
            <w:tabs>
              <w:tab w:val="right" w:leader="dot" w:pos="8211"/>
            </w:tabs>
            <w:rPr>
              <w:rFonts w:ascii="Times New Roman" w:hAnsi="Times New Roman"/>
              <w:smallCaps w:val="0"/>
              <w:sz w:val="24"/>
              <w:szCs w:val="24"/>
              <w14:ligatures w14:val="standardContextual"/>
            </w:rPr>
          </w:pPr>
          <w:r>
            <w:fldChar w:fldCharType="begin"/>
          </w:r>
          <w:r>
            <w:instrText xml:space="preserve"> HYPERLINK \l "_Toc145580498" </w:instrText>
          </w:r>
          <w:r>
            <w:fldChar w:fldCharType="separate"/>
          </w:r>
          <w:r>
            <w:rPr>
              <w:rStyle w:val="63"/>
              <w:rFonts w:ascii="Times New Roman" w:hAnsi="Times New Roman" w:cs="Times New Roman"/>
              <w:szCs w:val="24"/>
            </w:rPr>
            <w:t>9.2 综合评价结论</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_Toc145580498 \h </w:instrText>
          </w:r>
          <w:r>
            <w:rPr>
              <w:rFonts w:ascii="Times New Roman" w:hAnsi="Times New Roman"/>
              <w:sz w:val="24"/>
              <w:szCs w:val="24"/>
            </w:rPr>
            <w:fldChar w:fldCharType="separate"/>
          </w:r>
          <w:r>
            <w:rPr>
              <w:rFonts w:ascii="Times New Roman" w:hAnsi="Times New Roman"/>
              <w:sz w:val="24"/>
              <w:szCs w:val="24"/>
            </w:rPr>
            <w:t>137</w:t>
          </w:r>
          <w:r>
            <w:rPr>
              <w:rFonts w:ascii="Times New Roman" w:hAnsi="Times New Roman"/>
              <w:sz w:val="24"/>
              <w:szCs w:val="24"/>
            </w:rPr>
            <w:fldChar w:fldCharType="end"/>
          </w:r>
          <w:r>
            <w:rPr>
              <w:rFonts w:ascii="Times New Roman" w:hAnsi="Times New Roman"/>
              <w:sz w:val="24"/>
              <w:szCs w:val="24"/>
            </w:rPr>
            <w:fldChar w:fldCharType="end"/>
          </w:r>
        </w:p>
        <w:p>
          <w:pPr>
            <w:pStyle w:val="45"/>
            <w:tabs>
              <w:tab w:val="right" w:leader="dot" w:pos="8211"/>
            </w:tabs>
            <w:rPr>
              <w:rFonts w:ascii="Times New Roman" w:hAnsi="Times New Roman" w:eastAsiaTheme="minorEastAsia"/>
              <w:smallCaps w:val="0"/>
              <w:sz w:val="21"/>
              <w:szCs w:val="22"/>
              <w14:ligatures w14:val="standardContextual"/>
            </w:rPr>
          </w:pPr>
          <w:r>
            <w:fldChar w:fldCharType="begin"/>
          </w:r>
          <w:r>
            <w:instrText xml:space="preserve"> HYPERLINK \l "_Toc145580499" </w:instrText>
          </w:r>
          <w:r>
            <w:fldChar w:fldCharType="separate"/>
          </w:r>
          <w:r>
            <w:rPr>
              <w:rStyle w:val="63"/>
              <w:rFonts w:ascii="Times New Roman" w:hAnsi="Times New Roman" w:cs="Times New Roman"/>
              <w:szCs w:val="24"/>
            </w:rPr>
            <w:t>9.3建议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_Toc145580499 \h </w:instrText>
          </w:r>
          <w:r>
            <w:rPr>
              <w:rFonts w:ascii="Times New Roman" w:hAnsi="Times New Roman"/>
              <w:sz w:val="24"/>
              <w:szCs w:val="24"/>
            </w:rPr>
            <w:fldChar w:fldCharType="separate"/>
          </w:r>
          <w:r>
            <w:rPr>
              <w:rFonts w:ascii="Times New Roman" w:hAnsi="Times New Roman"/>
              <w:sz w:val="24"/>
              <w:szCs w:val="24"/>
            </w:rPr>
            <w:t>138</w:t>
          </w:r>
          <w:r>
            <w:rPr>
              <w:rFonts w:ascii="Times New Roman" w:hAnsi="Times New Roman"/>
              <w:sz w:val="24"/>
              <w:szCs w:val="24"/>
            </w:rPr>
            <w:fldChar w:fldCharType="end"/>
          </w:r>
          <w:r>
            <w:rPr>
              <w:rFonts w:ascii="Times New Roman" w:hAnsi="Times New Roman"/>
              <w:sz w:val="24"/>
              <w:szCs w:val="24"/>
            </w:rPr>
            <w:fldChar w:fldCharType="end"/>
          </w:r>
        </w:p>
        <w:p>
          <w:pPr>
            <w:sectPr>
              <w:headerReference r:id="rId3" w:type="default"/>
              <w:footerReference r:id="rId4" w:type="default"/>
              <w:pgSz w:w="11906" w:h="16838"/>
              <w:pgMar w:top="1440" w:right="1700" w:bottom="1440" w:left="1985" w:header="851" w:footer="992" w:gutter="0"/>
              <w:pgNumType w:fmt="upperRoman" w:start="1"/>
              <w:cols w:space="720" w:num="1"/>
              <w:docGrid w:type="lines" w:linePitch="312" w:charSpace="0"/>
            </w:sectPr>
          </w:pPr>
          <w:r>
            <w:rPr>
              <w:b/>
              <w:bCs/>
              <w:sz w:val="24"/>
              <w:lang w:val="zh-CN"/>
            </w:rPr>
            <w:fldChar w:fldCharType="end"/>
          </w:r>
        </w:p>
      </w:sdtContent>
    </w:sdt>
    <w:bookmarkEnd w:id="0"/>
    <w:bookmarkEnd w:id="1"/>
    <w:bookmarkEnd w:id="2"/>
    <w:bookmarkEnd w:id="3"/>
    <w:bookmarkEnd w:id="4"/>
    <w:bookmarkEnd w:id="5"/>
    <w:bookmarkEnd w:id="6"/>
    <w:p>
      <w:pPr>
        <w:pStyle w:val="3"/>
      </w:pPr>
      <w:bookmarkStart w:id="11" w:name="_Toc145580338"/>
      <w:bookmarkStart w:id="12" w:name="_Toc107500290"/>
      <w:r>
        <w:rPr>
          <w:rFonts w:hint="eastAsia"/>
        </w:rPr>
        <w:t>概述</w:t>
      </w:r>
      <w:bookmarkEnd w:id="11"/>
      <w:bookmarkEnd w:id="12"/>
    </w:p>
    <w:p>
      <w:pPr>
        <w:pStyle w:val="4"/>
        <w:spacing w:before="120" w:after="120"/>
      </w:pPr>
      <w:bookmarkStart w:id="13" w:name="_Toc3068"/>
      <w:bookmarkStart w:id="14" w:name="_Toc370992970"/>
      <w:bookmarkStart w:id="15" w:name="_Toc317685750"/>
      <w:bookmarkStart w:id="16" w:name="_Toc324671605"/>
      <w:bookmarkStart w:id="17" w:name="_Toc145580339"/>
      <w:bookmarkStart w:id="18" w:name="_Toc107500291"/>
      <w:r>
        <w:t>1</w:t>
      </w:r>
      <w:bookmarkEnd w:id="13"/>
      <w:bookmarkEnd w:id="14"/>
      <w:bookmarkEnd w:id="15"/>
      <w:bookmarkEnd w:id="16"/>
      <w:r>
        <w:rPr>
          <w:rFonts w:hint="eastAsia"/>
        </w:rPr>
        <w:t>建设项目特点</w:t>
      </w:r>
      <w:bookmarkEnd w:id="17"/>
      <w:bookmarkEnd w:id="18"/>
    </w:p>
    <w:p>
      <w:pPr>
        <w:pStyle w:val="488"/>
        <w:spacing w:line="460" w:lineRule="exact"/>
        <w:ind w:firstLine="480"/>
        <w:rPr>
          <w:rFonts w:ascii="Times New Roman" w:hAnsi="Times New Roman" w:eastAsia="宋体" w:cs="Times New Roman"/>
        </w:rPr>
      </w:pPr>
      <w:bookmarkStart w:id="19" w:name="_Toc14578"/>
      <w:bookmarkStart w:id="20" w:name="_Toc324671606"/>
      <w:bookmarkStart w:id="21" w:name="_Toc370992971"/>
      <w:bookmarkStart w:id="22" w:name="_Toc317685751"/>
      <w:r>
        <w:rPr>
          <w:rFonts w:ascii="Times New Roman" w:hAnsi="Times New Roman" w:eastAsia="宋体" w:cs="Times New Roman"/>
        </w:rPr>
        <w:t>新疆天安鑫业油气技术服务有限公司成立于2021年03月19日，主要从事石油天然气技术服务等。通过对董 701 区块董701-X1井场放空天然气的调研，</w:t>
      </w:r>
      <w:r>
        <w:rPr>
          <w:rFonts w:hint="eastAsia" w:ascii="Times New Roman" w:hAnsi="Times New Roman" w:eastAsia="宋体" w:cs="Times New Roman"/>
        </w:rPr>
        <w:t>经“</w:t>
      </w:r>
      <w:r>
        <w:rPr>
          <w:rFonts w:hint="eastAsia" w:ascii="Times New Roman" w:hAnsi="Times New Roman" w:cs="Times New Roman"/>
        </w:rPr>
        <w:t>准中董</w:t>
      </w:r>
      <w:r>
        <w:rPr>
          <w:rFonts w:ascii="Times New Roman" w:hAnsi="Times New Roman" w:cs="Times New Roman"/>
        </w:rPr>
        <w:t>701</w:t>
      </w:r>
      <w:r>
        <w:rPr>
          <w:rFonts w:hint="eastAsia" w:ascii="Times New Roman" w:hAnsi="Times New Roman" w:cs="Times New Roman"/>
        </w:rPr>
        <w:t>井区产能建设工程</w:t>
      </w:r>
      <w:r>
        <w:rPr>
          <w:rFonts w:hint="eastAsia" w:ascii="Times New Roman" w:hAnsi="Times New Roman" w:eastAsia="宋体" w:cs="Times New Roman"/>
        </w:rPr>
        <w:t>”中天然气处理站处理后的</w:t>
      </w:r>
      <w:r>
        <w:rPr>
          <w:rFonts w:ascii="Times New Roman" w:hAnsi="Times New Roman" w:eastAsia="宋体" w:cs="Times New Roman"/>
        </w:rPr>
        <w:t>放空天然气可达13×10</w:t>
      </w:r>
      <w:r>
        <w:rPr>
          <w:rFonts w:ascii="Times New Roman" w:hAnsi="Times New Roman" w:eastAsia="宋体" w:cs="Times New Roman"/>
          <w:vertAlign w:val="superscript"/>
        </w:rPr>
        <w:t>4</w:t>
      </w:r>
      <w:r>
        <w:rPr>
          <w:rFonts w:ascii="Times New Roman" w:hAnsi="Times New Roman" w:eastAsia="宋体" w:cs="Times New Roman"/>
        </w:rPr>
        <w:t>Nm</w:t>
      </w:r>
      <w:r>
        <w:rPr>
          <w:rFonts w:ascii="Times New Roman" w:hAnsi="Times New Roman" w:eastAsia="宋体" w:cs="Times New Roman"/>
          <w:vertAlign w:val="superscript"/>
        </w:rPr>
        <w:t>3</w:t>
      </w:r>
      <w:r>
        <w:rPr>
          <w:rFonts w:ascii="Times New Roman" w:hAnsi="Times New Roman" w:eastAsia="宋体" w:cs="Times New Roman"/>
        </w:rPr>
        <w:t>，本着节约能源，充分利用有限</w:t>
      </w:r>
      <w:r>
        <w:rPr>
          <w:rFonts w:hint="eastAsia" w:ascii="Times New Roman" w:hAnsi="Times New Roman" w:eastAsia="宋体" w:cs="Times New Roman"/>
        </w:rPr>
        <w:t>的</w:t>
      </w:r>
      <w:r>
        <w:rPr>
          <w:rFonts w:ascii="Times New Roman" w:hAnsi="Times New Roman" w:eastAsia="宋体" w:cs="Times New Roman"/>
        </w:rPr>
        <w:t>资源的目的，为了有效的回收和利用该区域的油田伴生气，</w:t>
      </w:r>
      <w:r>
        <w:rPr>
          <w:rFonts w:ascii="Times New Roman" w:hAnsi="Times New Roman" w:eastAsia="宋体" w:cs="Times New Roman"/>
          <w:color w:val="FF0000"/>
        </w:rPr>
        <w:t>企业于2021年9月委托乌鲁木齐众智安环工程咨询有限公司编制了《新疆天安鑫业油气技术服务有限公司董701区块零散天然气回收项目环境影响报告书》，于2021年11月23日取得了昌吉回族自治州生态环境局下发的《关于新疆天安鑫业油气技术服务有限公司董701区块零散天然气回收项目环境影响报告书的批复》（昌州环评﹝2021﹞155号），同意该项目建设。建设内容主要为建设处理规模为3×10</w:t>
      </w:r>
      <w:r>
        <w:rPr>
          <w:rFonts w:ascii="Times New Roman" w:hAnsi="Times New Roman" w:eastAsia="宋体" w:cs="Times New Roman"/>
          <w:color w:val="FF0000"/>
          <w:vertAlign w:val="superscript"/>
        </w:rPr>
        <w:t>4</w:t>
      </w:r>
      <w:r>
        <w:rPr>
          <w:rFonts w:ascii="Times New Roman" w:hAnsi="Times New Roman" w:eastAsia="宋体" w:cs="Times New Roman"/>
          <w:color w:val="FF0000"/>
        </w:rPr>
        <w:t>Nm³/d 的天然气处理站，对董701-X1井场天然气处理站处理后放空的天然气进行回收并综合处置，将产生的</w:t>
      </w:r>
      <w:r>
        <w:rPr>
          <w:rFonts w:hint="eastAsia" w:ascii="Times New Roman" w:hAnsi="Times New Roman" w:eastAsia="宋体" w:cs="Times New Roman"/>
          <w:color w:val="FF0000"/>
        </w:rPr>
        <w:t>原料</w:t>
      </w:r>
      <w:r>
        <w:rPr>
          <w:rFonts w:ascii="Times New Roman" w:hAnsi="Times New Roman" w:eastAsia="宋体" w:cs="Times New Roman"/>
          <w:color w:val="FF0000"/>
        </w:rPr>
        <w:t>气经处置净化后的CNG以及混烃分别经专用罐车拉运至下游用户外售</w:t>
      </w:r>
      <w:r>
        <w:rPr>
          <w:rFonts w:hint="eastAsia" w:ascii="Times New Roman" w:hAnsi="Times New Roman" w:eastAsia="宋体" w:cs="Times New Roman"/>
          <w:color w:val="FF0000"/>
        </w:rPr>
        <w:t>。2</w:t>
      </w:r>
      <w:r>
        <w:rPr>
          <w:rFonts w:ascii="Times New Roman" w:hAnsi="Times New Roman" w:eastAsia="宋体" w:cs="Times New Roman"/>
          <w:color w:val="FF0000"/>
        </w:rPr>
        <w:t>023</w:t>
      </w:r>
      <w:r>
        <w:rPr>
          <w:rFonts w:hint="eastAsia" w:ascii="Times New Roman" w:hAnsi="Times New Roman" w:eastAsia="宋体" w:cs="Times New Roman"/>
          <w:color w:val="FF0000"/>
        </w:rPr>
        <w:t>年</w:t>
      </w:r>
      <w:r>
        <w:rPr>
          <w:rFonts w:ascii="Times New Roman" w:hAnsi="Times New Roman" w:eastAsia="宋体" w:cs="Times New Roman"/>
          <w:color w:val="FF0000"/>
        </w:rPr>
        <w:t>8</w:t>
      </w:r>
      <w:r>
        <w:rPr>
          <w:rFonts w:hint="eastAsia" w:ascii="Times New Roman" w:hAnsi="Times New Roman" w:eastAsia="宋体" w:cs="Times New Roman"/>
          <w:color w:val="FF0000"/>
        </w:rPr>
        <w:t>月委托新疆众智安环工程咨询服务有限公司完成了</w:t>
      </w:r>
      <w:r>
        <w:rPr>
          <w:rFonts w:ascii="Times New Roman" w:hAnsi="Times New Roman" w:eastAsia="宋体" w:cs="Times New Roman"/>
          <w:color w:val="FF0000"/>
        </w:rPr>
        <w:t>《新疆天安鑫业油气技术服务有限公司董701区块零散天然气回收项目</w:t>
      </w:r>
      <w:r>
        <w:rPr>
          <w:rFonts w:hint="eastAsia" w:ascii="Times New Roman" w:hAnsi="Times New Roman" w:eastAsia="宋体" w:cs="Times New Roman"/>
          <w:color w:val="FF0000"/>
        </w:rPr>
        <w:t>竣工环境保护验收监测报告</w:t>
      </w:r>
      <w:r>
        <w:rPr>
          <w:rFonts w:ascii="Times New Roman" w:hAnsi="Times New Roman" w:eastAsia="宋体" w:cs="Times New Roman"/>
          <w:color w:val="FF0000"/>
        </w:rPr>
        <w:t>》</w:t>
      </w:r>
      <w:r>
        <w:rPr>
          <w:rFonts w:hint="eastAsia" w:ascii="Times New Roman" w:hAnsi="Times New Roman" w:eastAsia="宋体" w:cs="Times New Roman"/>
          <w:color w:val="FF0000"/>
        </w:rPr>
        <w:t>，同意竣工环境保护验收。</w:t>
      </w:r>
    </w:p>
    <w:p>
      <w:pPr>
        <w:pStyle w:val="488"/>
        <w:spacing w:line="460" w:lineRule="exact"/>
        <w:ind w:firstLine="480"/>
        <w:rPr>
          <w:rFonts w:ascii="Times New Roman" w:hAnsi="Times New Roman" w:eastAsia="宋体" w:cs="Times New Roman"/>
        </w:rPr>
      </w:pPr>
      <w:r>
        <w:rPr>
          <w:rFonts w:ascii="Times New Roman" w:hAnsi="Times New Roman" w:eastAsia="宋体" w:cs="Times New Roman"/>
        </w:rPr>
        <w:t>本着节约能源，充分利用有限资源的目的，新疆天安鑫业油气技术服务有限公司董决定对现有工程进行技术改造，拆除现有工程的前置压缩机及高压压缩机，新建2台压缩机、1座风冷式天然气冰机以及1座干燥制冷脱烃撬，天然气处理规模由3×10</w:t>
      </w:r>
      <w:r>
        <w:rPr>
          <w:rFonts w:ascii="Times New Roman" w:hAnsi="Times New Roman" w:eastAsia="宋体" w:cs="Times New Roman"/>
          <w:vertAlign w:val="superscript"/>
        </w:rPr>
        <w:t>4</w:t>
      </w:r>
      <w:r>
        <w:rPr>
          <w:rFonts w:ascii="Times New Roman" w:hAnsi="Times New Roman" w:eastAsia="宋体" w:cs="Times New Roman"/>
        </w:rPr>
        <w:t>Nm³/d增至6×10</w:t>
      </w:r>
      <w:r>
        <w:rPr>
          <w:rFonts w:ascii="Times New Roman" w:hAnsi="Times New Roman" w:eastAsia="宋体" w:cs="Times New Roman"/>
          <w:vertAlign w:val="superscript"/>
        </w:rPr>
        <w:t>4</w:t>
      </w:r>
      <w:r>
        <w:rPr>
          <w:rFonts w:ascii="Times New Roman" w:hAnsi="Times New Roman" w:eastAsia="宋体" w:cs="Times New Roman"/>
        </w:rPr>
        <w:t>Nm³/d。</w:t>
      </w:r>
    </w:p>
    <w:p>
      <w:pPr>
        <w:pStyle w:val="488"/>
        <w:spacing w:line="460" w:lineRule="exact"/>
        <w:ind w:firstLine="480"/>
        <w:rPr>
          <w:rFonts w:ascii="Times New Roman" w:hAnsi="Times New Roman" w:eastAsia="宋体" w:cs="Times New Roman"/>
        </w:rPr>
      </w:pPr>
      <w:r>
        <w:rPr>
          <w:rFonts w:ascii="Times New Roman" w:hAnsi="Times New Roman" w:eastAsia="宋体" w:cs="Times New Roman"/>
        </w:rPr>
        <w:t xml:space="preserve">项目的建设将充分利用当地的天然气资源，对提高油田的综合经济效益和增加地方财政收入，带动当地产业发展等将起到积极的推动作用。 </w:t>
      </w:r>
    </w:p>
    <w:p>
      <w:pPr>
        <w:pStyle w:val="488"/>
        <w:spacing w:line="460" w:lineRule="exact"/>
        <w:ind w:firstLine="480"/>
        <w:rPr>
          <w:rFonts w:ascii="Times New Roman" w:hAnsi="Times New Roman" w:eastAsia="宋体" w:cs="Times New Roman"/>
          <w:bCs/>
        </w:rPr>
      </w:pPr>
      <w:r>
        <w:rPr>
          <w:rFonts w:ascii="Times New Roman" w:hAnsi="Times New Roman" w:eastAsia="宋体" w:cs="Times New Roman"/>
        </w:rPr>
        <w:t>根据《中华人民共和国环境保护法》、《中华人民共和国环境影响评价法》、《建设项目环境保护管理条例》的规定，本项目应进行环境影响评价。根据《建设项目环境影响评价分类管理名录》（2021年本）规定，项目类别为“五、石油和天然气开采业07——陆地天然气开采0721——涉及敏感区的。本项目位于新疆</w:t>
      </w:r>
      <w:r>
        <w:rPr>
          <w:rFonts w:ascii="Times New Roman" w:hAnsi="Times New Roman" w:eastAsia="宋体" w:cs="Times New Roman"/>
          <w:bCs/>
        </w:rPr>
        <w:t>昌吉回族自治州阜康市境内北部沙漠区</w:t>
      </w:r>
      <w:r>
        <w:rPr>
          <w:rFonts w:ascii="Times New Roman" w:hAnsi="Times New Roman" w:eastAsia="宋体" w:cs="Times New Roman"/>
        </w:rPr>
        <w:t>，根据《关于印发新疆自治区级水土流失重点预防区和重点治理区复核划分成果的通知》（新水水保〔2019〕4号），阜康属于</w:t>
      </w:r>
      <w:r>
        <w:rPr>
          <w:rFonts w:ascii="Times New Roman" w:hAnsi="Times New Roman" w:eastAsia="宋体" w:cs="Times New Roman"/>
        </w:rPr>
        <w:fldChar w:fldCharType="begin"/>
      </w:r>
      <w:r>
        <w:rPr>
          <w:rFonts w:ascii="Times New Roman" w:hAnsi="Times New Roman" w:eastAsia="宋体" w:cs="Times New Roman"/>
        </w:rPr>
        <w:instrText xml:space="preserve"> = 2 \* ROMAN </w:instrText>
      </w:r>
      <w:r>
        <w:rPr>
          <w:rFonts w:ascii="Times New Roman" w:hAnsi="Times New Roman" w:eastAsia="宋体" w:cs="Times New Roman"/>
        </w:rPr>
        <w:fldChar w:fldCharType="separate"/>
      </w:r>
      <w:r>
        <w:rPr>
          <w:rFonts w:ascii="Times New Roman" w:hAnsi="Times New Roman" w:eastAsia="宋体" w:cs="Times New Roman"/>
        </w:rPr>
        <w:t>II</w:t>
      </w:r>
      <w:r>
        <w:rPr>
          <w:rFonts w:ascii="Times New Roman" w:hAnsi="Times New Roman" w:eastAsia="宋体" w:cs="Times New Roman"/>
        </w:rPr>
        <w:fldChar w:fldCharType="end"/>
      </w:r>
      <w:r>
        <w:rPr>
          <w:rFonts w:ascii="Times New Roman" w:hAnsi="Times New Roman" w:eastAsia="宋体" w:cs="Times New Roman"/>
          <w:vertAlign w:val="subscript"/>
        </w:rPr>
        <w:t>2</w:t>
      </w:r>
      <w:r>
        <w:rPr>
          <w:rFonts w:ascii="Times New Roman" w:hAnsi="Times New Roman" w:eastAsia="宋体" w:cs="Times New Roman"/>
        </w:rPr>
        <w:t>天山北坡诸小河流域重点治理区，属于《名录》中规定的敏感区的范围。因此，本项目应编制环境影响报告书。受</w:t>
      </w:r>
      <w:r>
        <w:rPr>
          <w:rFonts w:ascii="Times New Roman" w:hAnsi="Times New Roman" w:eastAsia="宋体" w:cs="Times New Roman"/>
          <w:bCs/>
        </w:rPr>
        <w:t>新疆天安鑫业油气技术服务有限公司委托，</w:t>
      </w:r>
      <w:r>
        <w:rPr>
          <w:rFonts w:hint="eastAsia" w:ascii="Times New Roman" w:hAnsi="Times New Roman" w:eastAsia="宋体" w:cs="Times New Roman"/>
          <w:bCs/>
        </w:rPr>
        <w:t>新疆</w:t>
      </w:r>
      <w:r>
        <w:rPr>
          <w:rFonts w:ascii="Times New Roman" w:hAnsi="Times New Roman" w:eastAsia="宋体" w:cs="Times New Roman"/>
          <w:bCs/>
        </w:rPr>
        <w:t>众智安环工程咨询</w:t>
      </w:r>
      <w:r>
        <w:rPr>
          <w:rFonts w:hint="eastAsia" w:ascii="Times New Roman" w:hAnsi="Times New Roman" w:eastAsia="宋体" w:cs="Times New Roman"/>
          <w:bCs/>
        </w:rPr>
        <w:t>服务</w:t>
      </w:r>
      <w:r>
        <w:rPr>
          <w:rFonts w:ascii="Times New Roman" w:hAnsi="Times New Roman" w:eastAsia="宋体" w:cs="Times New Roman"/>
          <w:bCs/>
        </w:rPr>
        <w:t>有限公司承担该项目环境影响评价工作。我单位接受委托后，对工程情况进行了认真的调研，并踏勘了工程及周围的环境概况，对项目周围环境空气、厂区现状、地下水、噪声、土壤等进行了监测，在充分收集、整理相关资料的基础上，编制完成了该项目的环境影响报告书。</w:t>
      </w:r>
    </w:p>
    <w:p>
      <w:pPr>
        <w:pStyle w:val="4"/>
        <w:spacing w:before="120" w:after="120"/>
      </w:pPr>
      <w:bookmarkStart w:id="23" w:name="_Toc145580340"/>
      <w:r>
        <w:rPr>
          <w:rFonts w:hint="eastAsia"/>
        </w:rPr>
        <w:t>2</w:t>
      </w:r>
      <w:r>
        <w:t>环境影响评价工作过程</w:t>
      </w:r>
      <w:bookmarkEnd w:id="23"/>
    </w:p>
    <w:p>
      <w:pPr>
        <w:pStyle w:val="494"/>
        <w:ind w:firstLine="480"/>
        <w:rPr>
          <w:rFonts w:cs="Times New Roman" w:eastAsiaTheme="minorEastAsia"/>
        </w:rPr>
      </w:pPr>
      <w:r>
        <w:rPr>
          <w:rFonts w:cs="Times New Roman" w:eastAsiaTheme="minorEastAsia"/>
        </w:rPr>
        <w:t>环境影响评价一般分为三个阶段，即调查分析和工作方案制定阶段，分析论证和预测评价阶段，环境影响报告书编制阶段。</w:t>
      </w:r>
    </w:p>
    <w:p>
      <w:pPr>
        <w:pStyle w:val="494"/>
        <w:ind w:firstLine="480"/>
        <w:rPr>
          <w:rFonts w:cs="Times New Roman" w:eastAsiaTheme="minorEastAsia"/>
        </w:rPr>
      </w:pPr>
      <w:r>
        <w:rPr>
          <w:rFonts w:cs="Times New Roman" w:eastAsiaTheme="minorEastAsia"/>
        </w:rPr>
        <w:t>（1）前期准备、调研和工作方案阶段</w:t>
      </w:r>
    </w:p>
    <w:p>
      <w:pPr>
        <w:pStyle w:val="494"/>
        <w:ind w:firstLine="480"/>
        <w:rPr>
          <w:rFonts w:cs="Times New Roman" w:eastAsiaTheme="minorEastAsia"/>
        </w:rPr>
      </w:pPr>
      <w:r>
        <w:rPr>
          <w:rFonts w:cs="Times New Roman" w:eastAsiaTheme="minorEastAsia"/>
        </w:rPr>
        <w:t>评价单位接受环评委托后，进行了现场踏勘和资料收集工作，根据国家政策以及环境影响评价技术导则、规范的要求，开展该项目的环境影响评价工作。通过初步的工程分析以及环境现状调查，识别本项目的环境影响因素，筛选主要的环境影响评价因子，明确评价重点和环境保护目标，确定环境影响评价的范围、工作等级和评价标准，最后制订工作方案。</w:t>
      </w:r>
    </w:p>
    <w:p>
      <w:pPr>
        <w:pStyle w:val="494"/>
        <w:ind w:firstLine="480"/>
        <w:rPr>
          <w:rFonts w:cs="Times New Roman" w:eastAsiaTheme="minorEastAsia"/>
        </w:rPr>
      </w:pPr>
      <w:r>
        <w:rPr>
          <w:rFonts w:cs="Times New Roman" w:eastAsiaTheme="minorEastAsia"/>
        </w:rPr>
        <w:t>（2）分析论证和预测评价阶段</w:t>
      </w:r>
    </w:p>
    <w:p>
      <w:pPr>
        <w:pStyle w:val="494"/>
        <w:ind w:firstLine="480"/>
        <w:rPr>
          <w:rFonts w:cs="Times New Roman" w:eastAsiaTheme="minorEastAsia"/>
        </w:rPr>
      </w:pPr>
      <w:r>
        <w:rPr>
          <w:rFonts w:cs="Times New Roman" w:eastAsiaTheme="minorEastAsia"/>
        </w:rPr>
        <w:t>在准备阶段的基础上，做进一步的工程分析，进行充分的环境现状调查、监测并开展环境质量现状评价，之后根据污染源强和环境现状资料进行环境影响预测及评价。</w:t>
      </w:r>
    </w:p>
    <w:p>
      <w:pPr>
        <w:pStyle w:val="494"/>
        <w:ind w:firstLine="480"/>
        <w:rPr>
          <w:rFonts w:cs="Times New Roman" w:eastAsiaTheme="minorEastAsia"/>
        </w:rPr>
      </w:pPr>
      <w:r>
        <w:rPr>
          <w:rFonts w:cs="Times New Roman" w:eastAsiaTheme="minorEastAsia"/>
        </w:rPr>
        <w:t>（3）环境影响评价文件编制阶段</w:t>
      </w:r>
    </w:p>
    <w:p>
      <w:pPr>
        <w:pStyle w:val="488"/>
        <w:spacing w:line="460" w:lineRule="exact"/>
        <w:ind w:firstLine="480"/>
        <w:rPr>
          <w:rFonts w:ascii="Times New Roman" w:hAnsi="Times New Roman" w:cs="Times New Roman"/>
        </w:rPr>
      </w:pPr>
      <w:r>
        <w:rPr>
          <w:rFonts w:ascii="Times New Roman" w:hAnsi="Times New Roman" w:cs="Times New Roman"/>
        </w:rPr>
        <w:t>汇总、分析论证和预测评价阶段工作所得的各种资料、数据，根据项目的环境影响、法律法规和标准等的要求，提出减少环境污染的管理措施和工程措施。从环境保护的角度确定项目建设的可行性，给出评价结论和提出进一步减缓环境影响的建议，并最终完成环境影响报告书编制。环境影响评价的工作程序见图1。</w:t>
      </w:r>
    </w:p>
    <w:p>
      <w:pPr>
        <w:pStyle w:val="672"/>
        <w:spacing w:before="120"/>
        <w:ind w:firstLine="2520" w:firstLineChars="1200"/>
        <w:rPr>
          <w:color w:val="auto"/>
        </w:rPr>
      </w:pPr>
      <w:r>
        <w:rPr>
          <w:color w:val="auto"/>
        </w:rPr>
        <w:drawing>
          <wp:anchor distT="0" distB="0" distL="114300" distR="114300" simplePos="0" relativeHeight="251660288" behindDoc="0" locked="0" layoutInCell="1" allowOverlap="1">
            <wp:simplePos x="0" y="0"/>
            <wp:positionH relativeFrom="column">
              <wp:posOffset>-104775</wp:posOffset>
            </wp:positionH>
            <wp:positionV relativeFrom="paragraph">
              <wp:posOffset>131445</wp:posOffset>
            </wp:positionV>
            <wp:extent cx="5274310" cy="5661660"/>
            <wp:effectExtent l="0" t="0" r="2540" b="0"/>
            <wp:wrapSquare wrapText="bothSides"/>
            <wp:docPr id="8" name="图片 8" descr="环评编制程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环评编制程序.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5661660"/>
                    </a:xfrm>
                    <a:prstGeom prst="rect">
                      <a:avLst/>
                    </a:prstGeom>
                    <a:noFill/>
                  </pic:spPr>
                </pic:pic>
              </a:graphicData>
            </a:graphic>
          </wp:anchor>
        </w:drawing>
      </w:r>
      <w:r>
        <w:rPr>
          <w:color w:val="auto"/>
        </w:rPr>
        <w:t>图1 环境影响评价工作程序图</w:t>
      </w:r>
    </w:p>
    <w:p>
      <w:pPr>
        <w:pStyle w:val="4"/>
        <w:spacing w:before="120" w:after="120"/>
      </w:pPr>
      <w:bookmarkStart w:id="24" w:name="_Toc145580341"/>
      <w:bookmarkStart w:id="25" w:name="_Toc107500292"/>
      <w:r>
        <w:rPr>
          <w:rFonts w:hint="eastAsia"/>
        </w:rPr>
        <w:t>3</w:t>
      </w:r>
      <w:r>
        <w:t>分析判定相关情况</w:t>
      </w:r>
      <w:bookmarkEnd w:id="24"/>
      <w:bookmarkEnd w:id="25"/>
    </w:p>
    <w:p>
      <w:pPr>
        <w:pStyle w:val="494"/>
        <w:ind w:firstLine="480"/>
      </w:pPr>
      <w:r>
        <w:rPr>
          <w:rFonts w:hint="eastAsia"/>
        </w:rPr>
        <w:t>（1）产业政策符合性</w:t>
      </w:r>
    </w:p>
    <w:p>
      <w:pPr>
        <w:pStyle w:val="494"/>
        <w:ind w:firstLine="480"/>
        <w:rPr>
          <w:lang w:bidi="en-US"/>
        </w:rPr>
      </w:pPr>
      <w:r>
        <w:rPr>
          <w:rFonts w:hint="eastAsia"/>
          <w:lang w:bidi="en-US"/>
        </w:rPr>
        <w:t>根据《产业结构调整指导目录（2</w:t>
      </w:r>
      <w:r>
        <w:rPr>
          <w:lang w:bidi="en-US"/>
        </w:rPr>
        <w:t>019</w:t>
      </w:r>
      <w:r>
        <w:rPr>
          <w:rFonts w:hint="eastAsia"/>
          <w:lang w:bidi="en-US"/>
        </w:rPr>
        <w:t>年本）》（2</w:t>
      </w:r>
      <w:r>
        <w:rPr>
          <w:lang w:bidi="en-US"/>
        </w:rPr>
        <w:t>021</w:t>
      </w:r>
      <w:r>
        <w:rPr>
          <w:rFonts w:hint="eastAsia"/>
          <w:lang w:bidi="en-US"/>
        </w:rPr>
        <w:t>年修订），</w:t>
      </w:r>
      <w:r>
        <w:rPr>
          <w:lang w:bidi="en-US"/>
        </w:rPr>
        <w:t>本项目属于该目录鼓励类中“第一类 鼓励类 七、石油、天然气  油气伴生资源综合利用”，本项目属于鼓励类，项目符合国家产业政策要求</w:t>
      </w:r>
      <w:r>
        <w:rPr>
          <w:rFonts w:hint="eastAsia"/>
          <w:lang w:bidi="en-US"/>
        </w:rPr>
        <w:t>。</w:t>
      </w:r>
    </w:p>
    <w:p>
      <w:pPr>
        <w:pStyle w:val="494"/>
        <w:ind w:firstLine="480"/>
      </w:pPr>
      <w:r>
        <w:rPr>
          <w:rFonts w:hint="eastAsia"/>
        </w:rPr>
        <w:t>（2）规划符合性分析</w:t>
      </w:r>
    </w:p>
    <w:p>
      <w:pPr>
        <w:pStyle w:val="488"/>
        <w:ind w:firstLine="480"/>
        <w:rPr>
          <w:rFonts w:ascii="Times New Roman" w:hAnsi="Times New Roman" w:cs="Times New Roman"/>
        </w:rPr>
      </w:pPr>
      <w:r>
        <w:rPr>
          <w:rFonts w:ascii="Times New Roman" w:hAnsi="Times New Roman" w:cs="Times New Roman"/>
        </w:rPr>
        <w:t>本项目属于天然气开采项目，符合新疆维吾尔自治区国民经济和社会发展第十四个五年规划纲要》、《新疆维吾尔自治区主体功能区规划》、《新疆维吾尔自治区煤炭石油天然气开发环境保护条例》、</w:t>
      </w:r>
      <w:r>
        <w:rPr>
          <w:rFonts w:ascii="Times New Roman" w:hAnsi="Times New Roman" w:cs="Times New Roman"/>
          <w:lang w:bidi="en-US"/>
        </w:rPr>
        <w:t>《新疆维吾尔自治区大气污染防治条例》、</w:t>
      </w:r>
      <w:r>
        <w:rPr>
          <w:rFonts w:ascii="Times New Roman" w:hAnsi="Times New Roman" w:cs="Times New Roman"/>
        </w:rPr>
        <w:t>《石油天然气开采业污染防治技术政策》等文件的相关要求。</w:t>
      </w:r>
    </w:p>
    <w:p>
      <w:pPr>
        <w:pStyle w:val="494"/>
        <w:ind w:firstLine="480"/>
        <w:rPr>
          <w:lang w:bidi="en-US"/>
        </w:rPr>
      </w:pPr>
      <w:r>
        <w:rPr>
          <w:rFonts w:hint="eastAsia"/>
          <w:lang w:bidi="en-US"/>
        </w:rPr>
        <w:t>（3）“三线一单”符合性</w:t>
      </w:r>
    </w:p>
    <w:p>
      <w:pPr>
        <w:pStyle w:val="494"/>
        <w:ind w:firstLine="480"/>
        <w:rPr>
          <w:bCs/>
          <w:lang w:bidi="en-US"/>
        </w:rPr>
      </w:pPr>
      <w:r>
        <w:rPr>
          <w:rFonts w:hint="eastAsia"/>
          <w:bCs/>
          <w:lang w:bidi="en-US"/>
        </w:rPr>
        <w:t>根据分析，项目选址满足区域生态保护红线的管控要求；项目运营后周边环境满足相应的环境质量标准，符合环境质量底线的要求，不会对环境质量底线产生冲击；本项目能源利用均在区域供水、供电负荷范围内，能源消耗均未超出区域负荷上限，不会给该地区造成资源负担，满足资源利用上线要求。项目符合《自治区生态环境分区管控方案和七大片区管控要求》以及</w:t>
      </w:r>
      <w:r>
        <w:rPr>
          <w:rFonts w:hint="eastAsia" w:cs="宋体" w:asciiTheme="minorEastAsia" w:hAnsiTheme="minorEastAsia" w:eastAsiaTheme="minorEastAsia"/>
          <w:kern w:val="0"/>
        </w:rPr>
        <w:t>《昌吉回族自治州“三线一单”生态环境分区管控方案及生态环境准入清单》要求，因此</w:t>
      </w:r>
      <w:r>
        <w:rPr>
          <w:rFonts w:hint="eastAsia"/>
          <w:bCs/>
          <w:lang w:bidi="en-US"/>
        </w:rPr>
        <w:t>本项目的建设符合“三线一单”要求。</w:t>
      </w:r>
    </w:p>
    <w:p>
      <w:pPr>
        <w:pStyle w:val="494"/>
        <w:ind w:firstLine="480"/>
      </w:pPr>
      <w:r>
        <w:rPr>
          <w:rFonts w:hint="eastAsia"/>
        </w:rPr>
        <w:t>（4）</w:t>
      </w:r>
      <w:r>
        <w:t>选址</w:t>
      </w:r>
      <w:r>
        <w:rPr>
          <w:rFonts w:hint="eastAsia"/>
        </w:rPr>
        <w:t>合理性</w:t>
      </w:r>
      <w:r>
        <w:t>分析</w:t>
      </w:r>
    </w:p>
    <w:p>
      <w:pPr>
        <w:pStyle w:val="494"/>
        <w:ind w:firstLine="480"/>
        <w:rPr>
          <w:lang w:bidi="en-US"/>
        </w:rPr>
      </w:pPr>
      <w:r>
        <w:rPr>
          <w:lang w:bidi="en-US"/>
        </w:rPr>
        <w:t>本项目位于</w:t>
      </w:r>
      <w:r>
        <w:rPr>
          <w:bCs/>
          <w:lang w:bidi="en-US"/>
        </w:rPr>
        <w:t>新疆维吾尔自治区昌吉回族自治州阜康市境内北部沙漠区，阜康市董701区块董701-X1井场东侧</w:t>
      </w:r>
      <w:r>
        <w:rPr>
          <w:rFonts w:hint="eastAsia"/>
          <w:bCs/>
          <w:lang w:bidi="en-US"/>
        </w:rPr>
        <w:t>新疆天安鑫业油气技术服务有限公司现有厂区内</w:t>
      </w:r>
      <w:r>
        <w:rPr>
          <w:lang w:bidi="en-US"/>
        </w:rPr>
        <w:t>。</w:t>
      </w:r>
      <w:r>
        <w:rPr>
          <w:rFonts w:hint="eastAsia"/>
          <w:lang w:bidi="en-US"/>
        </w:rPr>
        <w:t>根据现场勘查，项目区</w:t>
      </w:r>
      <w:r>
        <w:rPr>
          <w:lang w:bidi="en-US"/>
        </w:rPr>
        <w:t>选址远离人群居住区，周围无地表水系，无不良地质现象</w:t>
      </w:r>
      <w:r>
        <w:rPr>
          <w:rFonts w:hint="eastAsia"/>
          <w:lang w:bidi="en-US"/>
        </w:rPr>
        <w:t>，占地类型为林地，已与阜康市林业和草原局签订林地补偿协议（详见附件）</w:t>
      </w:r>
      <w:r>
        <w:rPr>
          <w:lang w:bidi="en-US"/>
        </w:rPr>
        <w:t>。</w:t>
      </w:r>
    </w:p>
    <w:p>
      <w:pPr>
        <w:pStyle w:val="488"/>
        <w:spacing w:line="460" w:lineRule="exact"/>
        <w:ind w:firstLine="480"/>
        <w:rPr>
          <w:rFonts w:ascii="Times New Roman" w:hAnsi="Times New Roman" w:eastAsia="宋体" w:cs="Times New Roman"/>
        </w:rPr>
      </w:pPr>
      <w:r>
        <w:rPr>
          <w:rFonts w:hint="eastAsia"/>
          <w:lang w:bidi="en-US"/>
        </w:rPr>
        <w:t>本项目建设完成后</w:t>
      </w:r>
      <w:r>
        <w:rPr>
          <w:rFonts w:ascii="Times New Roman" w:hAnsi="Times New Roman" w:eastAsia="宋体" w:cs="Times New Roman"/>
        </w:rPr>
        <w:t>天然气处理规模由3×10</w:t>
      </w:r>
      <w:r>
        <w:rPr>
          <w:rFonts w:ascii="Times New Roman" w:hAnsi="Times New Roman" w:eastAsia="宋体" w:cs="Times New Roman"/>
          <w:vertAlign w:val="superscript"/>
        </w:rPr>
        <w:t>4</w:t>
      </w:r>
      <w:r>
        <w:rPr>
          <w:rFonts w:ascii="Times New Roman" w:hAnsi="Times New Roman" w:eastAsia="宋体" w:cs="Times New Roman"/>
        </w:rPr>
        <w:t>Nm³/d增至6×10</w:t>
      </w:r>
      <w:r>
        <w:rPr>
          <w:rFonts w:ascii="Times New Roman" w:hAnsi="Times New Roman" w:eastAsia="宋体" w:cs="Times New Roman"/>
          <w:vertAlign w:val="superscript"/>
        </w:rPr>
        <w:t>4</w:t>
      </w:r>
      <w:r>
        <w:rPr>
          <w:rFonts w:ascii="Times New Roman" w:hAnsi="Times New Roman" w:eastAsia="宋体" w:cs="Times New Roman"/>
        </w:rPr>
        <w:t>Nm³/d</w:t>
      </w:r>
      <w:r>
        <w:rPr>
          <w:rFonts w:hint="eastAsia" w:ascii="Times New Roman" w:hAnsi="Times New Roman" w:eastAsia="宋体" w:cs="Times New Roman"/>
        </w:rPr>
        <w:t>，可</w:t>
      </w:r>
      <w:r>
        <w:rPr>
          <w:rFonts w:ascii="Times New Roman" w:hAnsi="Times New Roman" w:eastAsia="宋体" w:cs="Times New Roman"/>
        </w:rPr>
        <w:t>充分</w:t>
      </w:r>
      <w:r>
        <w:rPr>
          <w:rFonts w:hint="eastAsia" w:ascii="Times New Roman" w:hAnsi="Times New Roman" w:eastAsia="宋体" w:cs="Times New Roman"/>
        </w:rPr>
        <w:t>回收和</w:t>
      </w:r>
      <w:r>
        <w:rPr>
          <w:rFonts w:ascii="Times New Roman" w:hAnsi="Times New Roman" w:eastAsia="宋体" w:cs="Times New Roman"/>
        </w:rPr>
        <w:t>利用当地的天然气资源</w:t>
      </w:r>
      <w:r>
        <w:rPr>
          <w:rFonts w:hint="eastAsia" w:ascii="Times New Roman" w:hAnsi="Times New Roman" w:eastAsia="宋体" w:cs="Times New Roman"/>
        </w:rPr>
        <w:t>。根据工程分析，</w:t>
      </w:r>
      <w:r>
        <w:rPr>
          <w:lang w:bidi="en-US"/>
        </w:rPr>
        <w:t>项目</w:t>
      </w:r>
      <w:r>
        <w:rPr>
          <w:rFonts w:hint="eastAsia"/>
          <w:lang w:bidi="en-US"/>
        </w:rPr>
        <w:t>运营期间产生的非甲烷总烃最大落地浓度远小于《大气污染物综合排放标准详解》中的环境管理推荐值要求</w:t>
      </w:r>
      <w:r>
        <w:rPr>
          <w:lang w:bidi="en-US"/>
        </w:rPr>
        <w:t>；</w:t>
      </w:r>
      <w:r>
        <w:rPr>
          <w:rFonts w:hint="eastAsia"/>
          <w:lang w:bidi="en-US"/>
        </w:rPr>
        <w:t>项目生产废水全部排入排污罐中，定期由罐车拉运至春风一号联合站处理达标后进行回注处置；优先选用低噪声设备，采取</w:t>
      </w:r>
      <w:r>
        <w:t>基础减震、消声器</w:t>
      </w:r>
      <w:r>
        <w:rPr>
          <w:rFonts w:hint="eastAsia"/>
        </w:rPr>
        <w:t>等措施，</w:t>
      </w:r>
      <w:r>
        <w:rPr>
          <w:rFonts w:ascii="Times New Roman" w:hAnsi="Times New Roman" w:cs="Times New Roman"/>
        </w:rPr>
        <w:t>厂界噪声满足《工业企业厂界环境噪声排放标准》（GB12348-2008）中2类标准</w:t>
      </w:r>
      <w:r>
        <w:rPr>
          <w:rFonts w:hint="eastAsia" w:ascii="Times New Roman" w:hAnsi="Times New Roman" w:cs="Times New Roman"/>
          <w:lang w:bidi="en-US"/>
        </w:rPr>
        <w:t>；废分子筛及废润滑油产生后暂存与现有危废暂存间内，委托</w:t>
      </w:r>
      <w:r>
        <w:rPr>
          <w:rFonts w:hint="eastAsia" w:ascii="Times New Roman" w:hAnsi="Times New Roman" w:cs="Times New Roman"/>
          <w:bCs/>
          <w:lang w:bidi="en-US"/>
        </w:rPr>
        <w:t>新疆诺客蒙鑫环境技术有限公司处置，项目运营期产生的各类固体废物均能得到有效的处理处置，不会产生二次污染。</w:t>
      </w:r>
    </w:p>
    <w:p>
      <w:pPr>
        <w:pStyle w:val="494"/>
        <w:ind w:firstLine="480"/>
        <w:rPr>
          <w:lang w:bidi="en-US"/>
        </w:rPr>
      </w:pPr>
      <w:r>
        <w:rPr>
          <w:lang w:bidi="en-US"/>
        </w:rPr>
        <w:t>综上所述，项目周边外环境关系简单，无明显环境制约因素。从环境保护角度而言，本项目的选址是合理可行的。</w:t>
      </w:r>
    </w:p>
    <w:p>
      <w:pPr>
        <w:pStyle w:val="4"/>
        <w:spacing w:before="120" w:after="120"/>
      </w:pPr>
      <w:bookmarkStart w:id="26" w:name="_Toc2551"/>
      <w:bookmarkStart w:id="27" w:name="_Toc370992972"/>
      <w:bookmarkStart w:id="28" w:name="_Toc324671611"/>
      <w:bookmarkStart w:id="29" w:name="_Toc145580342"/>
      <w:bookmarkStart w:id="30" w:name="_Toc107500293"/>
      <w:r>
        <w:rPr>
          <w:rFonts w:hint="eastAsia"/>
        </w:rPr>
        <w:t>4</w:t>
      </w:r>
      <w:r>
        <w:t>关注的主要环境问题及</w:t>
      </w:r>
      <w:bookmarkEnd w:id="26"/>
      <w:bookmarkEnd w:id="27"/>
      <w:bookmarkEnd w:id="28"/>
      <w:r>
        <w:t>环境影响</w:t>
      </w:r>
      <w:bookmarkEnd w:id="29"/>
      <w:bookmarkEnd w:id="30"/>
    </w:p>
    <w:p>
      <w:pPr>
        <w:pStyle w:val="494"/>
        <w:ind w:firstLine="480"/>
      </w:pPr>
      <w:r>
        <w:rPr>
          <w:rFonts w:hint="eastAsia"/>
        </w:rPr>
        <w:t>根据本项目特点，本次环境影响评价</w:t>
      </w:r>
      <w:r>
        <w:t>主要关注的环境问题</w:t>
      </w:r>
      <w:r>
        <w:rPr>
          <w:rFonts w:hint="eastAsia"/>
        </w:rPr>
        <w:t>为以下几个方面：</w:t>
      </w:r>
    </w:p>
    <w:p>
      <w:pPr>
        <w:pStyle w:val="494"/>
        <w:ind w:firstLine="480"/>
      </w:pPr>
      <w:r>
        <w:t>（1）运营期间</w:t>
      </w:r>
      <w:r>
        <w:rPr>
          <w:rFonts w:hint="eastAsia"/>
        </w:rPr>
        <w:t>废气排放</w:t>
      </w:r>
      <w:r>
        <w:t>对周边环境</w:t>
      </w:r>
      <w:r>
        <w:rPr>
          <w:rFonts w:hint="eastAsia"/>
        </w:rPr>
        <w:t>的</w:t>
      </w:r>
      <w:r>
        <w:t>影响；</w:t>
      </w:r>
    </w:p>
    <w:p>
      <w:pPr>
        <w:pStyle w:val="494"/>
        <w:ind w:firstLine="480"/>
      </w:pPr>
      <w:r>
        <w:t>（2）</w:t>
      </w:r>
      <w:r>
        <w:rPr>
          <w:rFonts w:hint="eastAsia"/>
        </w:rPr>
        <w:t>运营期生产废水</w:t>
      </w:r>
      <w:r>
        <w:t>处理措施去向</w:t>
      </w:r>
      <w:r>
        <w:rPr>
          <w:rFonts w:hint="eastAsia"/>
        </w:rPr>
        <w:t>及对区域水环境的影响</w:t>
      </w:r>
      <w:r>
        <w:t>；</w:t>
      </w:r>
    </w:p>
    <w:p>
      <w:pPr>
        <w:pStyle w:val="494"/>
        <w:ind w:firstLine="480"/>
      </w:pPr>
      <w:r>
        <w:t>（3）运营期</w:t>
      </w:r>
      <w:r>
        <w:rPr>
          <w:rFonts w:hint="eastAsia"/>
        </w:rPr>
        <w:t>各</w:t>
      </w:r>
      <w:r>
        <w:t>固体废弃物的处置合理性及其对</w:t>
      </w:r>
      <w:r>
        <w:rPr>
          <w:rFonts w:hint="eastAsia"/>
        </w:rPr>
        <w:t>外</w:t>
      </w:r>
      <w:r>
        <w:t>环境的影响。</w:t>
      </w:r>
    </w:p>
    <w:p>
      <w:pPr>
        <w:pStyle w:val="4"/>
        <w:spacing w:before="120" w:after="120"/>
      </w:pPr>
      <w:bookmarkStart w:id="31" w:name="_Toc145580343"/>
      <w:bookmarkStart w:id="32" w:name="_Toc107500294"/>
      <w:r>
        <w:rPr>
          <w:rFonts w:hint="eastAsia"/>
        </w:rPr>
        <w:t>5</w:t>
      </w:r>
      <w:r>
        <w:t>环境影响报告书的主要结论</w:t>
      </w:r>
      <w:bookmarkEnd w:id="19"/>
      <w:bookmarkEnd w:id="20"/>
      <w:bookmarkEnd w:id="21"/>
      <w:bookmarkEnd w:id="22"/>
      <w:bookmarkEnd w:id="31"/>
      <w:bookmarkEnd w:id="32"/>
    </w:p>
    <w:p>
      <w:pPr>
        <w:pStyle w:val="488"/>
        <w:ind w:firstLine="480"/>
        <w:rPr>
          <w:rFonts w:ascii="Times New Roman" w:hAnsi="Times New Roman" w:cs="Times New Roman"/>
        </w:rPr>
      </w:pPr>
      <w:r>
        <w:rPr>
          <w:rFonts w:ascii="Times New Roman" w:hAnsi="Times New Roman" w:cs="Times New Roman"/>
        </w:rPr>
        <w:t>本项目为天然气开采类项目，属于</w:t>
      </w:r>
      <w:r>
        <w:rPr>
          <w:rFonts w:ascii="Times New Roman" w:hAnsi="Times New Roman" w:cs="Times New Roman"/>
          <w:lang w:bidi="en-US"/>
        </w:rPr>
        <w:t>《产业结构调整指导目录(2019年本)》</w:t>
      </w:r>
      <w:r>
        <w:rPr>
          <w:rFonts w:ascii="Times New Roman" w:hAnsi="Times New Roman" w:cs="Times New Roman"/>
        </w:rPr>
        <w:t>中的鼓励类项目，符合国家产业政策要求。本工程采取了行之有效的环境保护措施，总体布局合理，在坚持“三同时”原则的基础上，严格执行国家和自治区的环境保护要求，切实落实报告书中提出的各项环保措施后，可以做到达标排放。</w:t>
      </w:r>
    </w:p>
    <w:p>
      <w:pPr>
        <w:pStyle w:val="488"/>
        <w:ind w:firstLine="480"/>
        <w:rPr>
          <w:rFonts w:ascii="Times New Roman" w:hAnsi="Times New Roman" w:cs="Times New Roman"/>
        </w:rPr>
      </w:pPr>
      <w:r>
        <w:rPr>
          <w:rFonts w:ascii="Times New Roman" w:hAnsi="Times New Roman" w:cs="Times New Roman"/>
        </w:rPr>
        <w:t>本工程具有很好的环境效益和社会效益，</w:t>
      </w:r>
      <w:r>
        <w:rPr>
          <w:rFonts w:hint="eastAsia" w:ascii="Times New Roman" w:hAnsi="Times New Roman" w:cs="Times New Roman"/>
        </w:rPr>
        <w:t>厂</w:t>
      </w:r>
      <w:r>
        <w:rPr>
          <w:rFonts w:ascii="Times New Roman" w:hAnsi="Times New Roman" w:cs="Times New Roman"/>
        </w:rPr>
        <w:t>区布置合理，从环境现状监测结果和环境空气、地下水环境、生态环境和声环境预测及评价结果看，在严格执行国家和自治区的环境保护要求，切实落实报告书中提出的各项环保措施的前提下，区域内的环境质量不会因为本工程的建设而改变。本工程建设后，排放的各种污染物对周围环境造成的影响较小，不会导致本地区环境质量的下降，环境空气质量、水环境质量、声环境质量可以符合相应的环境功能区划要求。</w:t>
      </w:r>
    </w:p>
    <w:p>
      <w:pPr>
        <w:pStyle w:val="488"/>
        <w:ind w:firstLine="480"/>
        <w:rPr>
          <w:rFonts w:ascii="Times New Roman" w:hAnsi="Times New Roman" w:cs="Times New Roman"/>
        </w:rPr>
      </w:pPr>
      <w:r>
        <w:rPr>
          <w:rFonts w:ascii="Times New Roman" w:hAnsi="Times New Roman" w:cs="Times New Roman"/>
        </w:rPr>
        <w:t>综上所述，本项目符合国家的产业政策导向，选址合理。只要有效实施本环评报告所提出的有关防治措施，保证废弃物资源化利用，对周围环境影响较小。因此，从环保角度来讲，本建设项目实施是可行的。</w:t>
      </w:r>
    </w:p>
    <w:p>
      <w:pPr>
        <w:pStyle w:val="3"/>
      </w:pPr>
      <w:r>
        <w:rPr>
          <w:sz w:val="24"/>
        </w:rPr>
        <w:br w:type="column"/>
      </w:r>
      <w:bookmarkStart w:id="33" w:name="_Toc437732078"/>
      <w:bookmarkStart w:id="34" w:name="_Toc430033214"/>
      <w:bookmarkStart w:id="35" w:name="_Toc145580344"/>
      <w:bookmarkStart w:id="36" w:name="_Toc107500295"/>
      <w:bookmarkStart w:id="37" w:name="_Toc149705125"/>
      <w:bookmarkStart w:id="38" w:name="_Toc188349428"/>
      <w:bookmarkStart w:id="39" w:name="_Toc2471"/>
      <w:bookmarkStart w:id="40" w:name="_Toc146967226"/>
      <w:bookmarkStart w:id="41" w:name="_Toc327365456"/>
      <w:r>
        <w:t xml:space="preserve">1  </w:t>
      </w:r>
      <w:bookmarkEnd w:id="33"/>
      <w:bookmarkEnd w:id="34"/>
      <w:r>
        <w:rPr>
          <w:rFonts w:hint="eastAsia"/>
        </w:rPr>
        <w:t>总则</w:t>
      </w:r>
      <w:bookmarkEnd w:id="35"/>
      <w:bookmarkEnd w:id="36"/>
    </w:p>
    <w:p>
      <w:pPr>
        <w:pStyle w:val="4"/>
        <w:spacing w:before="120" w:after="120"/>
      </w:pPr>
      <w:bookmarkStart w:id="42" w:name="_Toc145580345"/>
      <w:bookmarkStart w:id="43" w:name="_Toc107500296"/>
      <w:bookmarkStart w:id="44" w:name="_Toc430033215"/>
      <w:bookmarkStart w:id="45" w:name="_Toc437732079"/>
      <w:r>
        <w:t>1.1 编制依据</w:t>
      </w:r>
      <w:bookmarkEnd w:id="42"/>
      <w:bookmarkEnd w:id="43"/>
      <w:bookmarkEnd w:id="44"/>
      <w:bookmarkEnd w:id="45"/>
    </w:p>
    <w:bookmarkEnd w:id="37"/>
    <w:bookmarkEnd w:id="38"/>
    <w:bookmarkEnd w:id="39"/>
    <w:bookmarkEnd w:id="40"/>
    <w:bookmarkEnd w:id="41"/>
    <w:p>
      <w:pPr>
        <w:pStyle w:val="494"/>
        <w:ind w:firstLine="480"/>
      </w:pPr>
      <w:r>
        <w:rPr>
          <w:rFonts w:hint="eastAsia"/>
        </w:rPr>
        <w:t>本项目环境影响评价相关依据汇总见表</w:t>
      </w:r>
      <w:r>
        <w:t>1.1-1</w:t>
      </w:r>
      <w:r>
        <w:rPr>
          <w:rFonts w:hint="eastAsia"/>
        </w:rPr>
        <w:t>。</w:t>
      </w:r>
    </w:p>
    <w:p>
      <w:pPr>
        <w:pStyle w:val="400"/>
        <w:ind w:firstLine="420"/>
      </w:pPr>
      <w:r>
        <w:rPr>
          <w:rFonts w:hint="eastAsia"/>
        </w:rPr>
        <w:t>表</w:t>
      </w:r>
      <w:r>
        <w:t xml:space="preserve">1.1-1               </w:t>
      </w:r>
      <w:r>
        <w:rPr>
          <w:rFonts w:hint="eastAsia"/>
        </w:rPr>
        <w:t>环境影响评价相关依据汇总一览表</w:t>
      </w:r>
    </w:p>
    <w:tbl>
      <w:tblPr>
        <w:tblStyle w:val="55"/>
        <w:tblW w:w="9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4492"/>
        <w:gridCol w:w="2596"/>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序号</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pPr>
            <w:r>
              <w:t>依据名称</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文号或标准号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实施编制时间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0" w:type="dxa"/>
            <w:gridSpan w:val="4"/>
            <w:tcBorders>
              <w:top w:val="single" w:color="auto" w:sz="4" w:space="0"/>
              <w:left w:val="single" w:color="auto" w:sz="4" w:space="0"/>
              <w:bottom w:val="single" w:color="auto" w:sz="4" w:space="0"/>
              <w:right w:val="single" w:color="auto" w:sz="4" w:space="0"/>
            </w:tcBorders>
            <w:vAlign w:val="center"/>
          </w:tcPr>
          <w:p>
            <w:pPr>
              <w:pStyle w:val="670"/>
            </w:pPr>
            <w:r>
              <w:rPr>
                <w:bCs/>
              </w:rPr>
              <w:t>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1</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中华人民共和国环境保护法</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2014年　主席令第9号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 xml:space="preserve">2015.1.1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2</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中华人民共和国环境影响评价法</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2018年 主席令第24号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2018.12.29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3</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中华人民共和国大气污染防治法</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13届人大第6次会议</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2018.10.26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4</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中华人民共和国水污染防治法</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2017年 主席令第70号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5</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中华人民共和国噪声污染防治法</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2021年 主席令第104号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2022.6.5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6</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中华人民共和国固体废物污染环境防治法</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13届人大第17次会议</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2020.9.1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7</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中华人民共和国土壤污染防治法</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13届人大第5次会议</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8</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中华人民共和国土地管理法</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13届人大第12次会议</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9</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中华人民共和国安全生产法</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13届人大第29次会议</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10</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中华人民共和国清洁生产促进法</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2012年 主席令第54号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11</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中华人民共和国循环经济促进法</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13届人大第6次会议</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2018.10.26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12</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中华人民共和国节约能源法</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13届人大第6次会议</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2018.10.26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13</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 xml:space="preserve">中华人民共和国水土保持法 </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2010年 主席令第39号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14</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中华人民共和国环境保护税法</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12届人大第25次会议</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15</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突发环境事件应急管理办法</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rPr>
                <w:lang w:eastAsia="zh-CN"/>
              </w:rPr>
              <w:t>/</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rPr>
                <w:lang w:eastAsia="zh-CN"/>
              </w:rPr>
              <w:t>2015.6.5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16</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中华人民共和国石油天然气管道保护法</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2010.10.01</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0" w:type="dxa"/>
            <w:gridSpan w:val="4"/>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bCs/>
                <w:lang w:eastAsia="zh-CN"/>
              </w:rPr>
              <w:t>行政规范与国务院发布的规范性文件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1</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建设项目环境保护管理条例</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国务院令第682号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 xml:space="preserve">2017.8.1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2</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国务院关于加强环境保护重点工作的意见</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国发[2011]35号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3</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关于全面加强生态环境保护坚决打好污染防治攻坚战的意见</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国务院</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2018.6.16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4</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rStyle w:val="58"/>
                <w:b w:val="0"/>
                <w:bCs w:val="0"/>
                <w:lang w:eastAsia="zh-CN"/>
              </w:rPr>
            </w:pPr>
            <w:r>
              <w:rPr>
                <w:rStyle w:val="58"/>
                <w:b w:val="0"/>
                <w:bCs w:val="0"/>
                <w:lang w:eastAsia="zh-CN"/>
              </w:rPr>
              <w:t>国务院关于印发水污染防治行动计划的通知</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国发[2015]17号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rFonts w:hint="eastAsia"/>
                <w:lang w:eastAsia="zh-CN"/>
              </w:rPr>
              <w:t>5</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国务院关于加强环境保护重点工作的意见</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国发[2011]35号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2011.11.17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6</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国务院关于印发土壤污染防治行动计划的通知</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国发[2016]31号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2016.5.28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7</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关于划定并严守生态保护红线的若干意见</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中共中央办公厅 国务院办公厅印发</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t>8</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国务院关于印发大气污染防治行动计划的通知</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国发[2013]37号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 xml:space="preserve">2013.9.10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9</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国务院关于印发全国主体功能区规划的通知</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国发[2010]46 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 xml:space="preserve">2010.12.21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0" w:type="dxa"/>
            <w:gridSpan w:val="4"/>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bCs/>
                <w:lang w:eastAsia="zh-CN"/>
              </w:rPr>
              <w:t>部门规章与部门发布的规范性文件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1</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建设项目环境影响评价分类管理名录</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生态环境部 部令第16号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2</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建设项目竣工环境保护验收暂行办法</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国环规环评[2017]4号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2017.11.22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3</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关于切实加强环境影响评价管理防范环境风险的通知</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环发[2012]77号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4</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关于印发《企业事业单位突发环境事件应急预案备案管理办法（试行）》</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环发[2015]4号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5</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关于切实加强风险防范严格环境影响评价管理的通知</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环发[2012]98号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6</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关于落实大气污染防治行动计划严格环境影响评价准入的通知</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环办[2014]30号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2014.3.25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7</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关于以改善环境质量为核心加强环境影响评价管理的通知</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环环评[2016]150号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2016.10.27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8</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建设项目环境影响评价信息公开机制方案</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环发[2015]162号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2015.12.10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9</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关于以改善环境质量为核心加强环境影响评价管理的通知</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环环评[2016]150号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2016.10.27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10</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bCs/>
                <w:lang w:eastAsia="zh-CN"/>
              </w:rPr>
              <w:t>环境影响评价公众参与办法</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生态环境部令第4号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11</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bCs/>
                <w:lang w:eastAsia="zh-CN"/>
              </w:rPr>
            </w:pPr>
            <w:r>
              <w:rPr>
                <w:lang w:eastAsia="zh-CN"/>
              </w:rPr>
              <w:t>《国家危险废物名录（2021年版）》</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部令第15号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rPr>
                <w:lang w:eastAsia="zh-CN"/>
              </w:rPr>
              <w:t>2021.1.1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0" w:type="dxa"/>
            <w:gridSpan w:val="4"/>
            <w:tcBorders>
              <w:top w:val="single" w:color="auto" w:sz="4" w:space="0"/>
              <w:left w:val="single" w:color="auto" w:sz="4" w:space="0"/>
              <w:bottom w:val="single" w:color="auto" w:sz="4" w:space="0"/>
              <w:right w:val="single" w:color="auto" w:sz="4" w:space="0"/>
            </w:tcBorders>
            <w:vAlign w:val="center"/>
          </w:tcPr>
          <w:p>
            <w:pPr>
              <w:pStyle w:val="670"/>
            </w:pPr>
            <w:r>
              <w:rPr>
                <w:bCs/>
              </w:rPr>
              <w:t>产业及技术政策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1</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产业结构调整指导目录</w:t>
            </w:r>
            <w:r>
              <w:rPr>
                <w:rFonts w:hint="eastAsia"/>
                <w:lang w:eastAsia="zh-CN"/>
              </w:rPr>
              <w:t>(</w:t>
            </w:r>
            <w:r>
              <w:rPr>
                <w:lang w:eastAsia="zh-CN"/>
              </w:rPr>
              <w:t>2019年本)</w:t>
            </w:r>
            <w:r>
              <w:rPr>
                <w:rFonts w:hint="eastAsia"/>
                <w:lang w:eastAsia="zh-CN"/>
              </w:rPr>
              <w:t>( 2</w:t>
            </w:r>
            <w:r>
              <w:rPr>
                <w:lang w:eastAsia="zh-CN"/>
              </w:rPr>
              <w:t>021</w:t>
            </w:r>
            <w:r>
              <w:rPr>
                <w:rFonts w:hint="eastAsia"/>
                <w:lang w:eastAsia="zh-CN"/>
              </w:rPr>
              <w:t>年修订</w:t>
            </w:r>
            <w:r>
              <w:rPr>
                <w:lang w:eastAsia="zh-CN"/>
              </w:rPr>
              <w:t>)</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中华人民共和国国家发展和改革委员会令 第49号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2021.12.30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0" w:type="dxa"/>
            <w:gridSpan w:val="4"/>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bCs/>
                <w:lang w:eastAsia="zh-CN"/>
              </w:rPr>
              <w:t>地方法规及政府规范文件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1</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bCs/>
                <w:lang w:eastAsia="zh-CN"/>
              </w:rPr>
            </w:pPr>
            <w:r>
              <w:rPr>
                <w:lang w:eastAsia="zh-CN"/>
              </w:rPr>
              <w:t>新疆维吾尔自治区环境保护管理条例</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新疆维吾尔自治区十三届人大常委会第六次会议</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2018.9.21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2</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关于进一步加强我区建设项目环境管理的通知</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原新疆维吾尔自治区环境保护厅</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rFonts w:hint="eastAsia"/>
                <w:lang w:eastAsia="zh-CN"/>
              </w:rPr>
              <w:t>3</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新疆维吾尔自治区大气污染防治条例</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rFonts w:hint="eastAsia"/>
                <w:lang w:eastAsia="zh-CN"/>
              </w:rPr>
              <w:t>新疆维吾尔自治区第十三届人民代表大会常务委员会公告（第1</w:t>
            </w:r>
            <w:r>
              <w:rPr>
                <w:lang w:eastAsia="zh-CN"/>
              </w:rPr>
              <w:t>5</w:t>
            </w:r>
            <w:r>
              <w:rPr>
                <w:rFonts w:hint="eastAsia"/>
                <w:lang w:eastAsia="zh-CN"/>
              </w:rPr>
              <w:t>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4</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关于印发新疆维吾尔自治区水污染防治工作方案的通知</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新政发[2016]21号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2016.1.29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5</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关于印发新疆维吾尔自治区土壤污染防治工作方案的通知</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新政发〔2017〕25号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6</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新疆维吾尔自治区水环境功能区划</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7</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pPr>
            <w:r>
              <w:t>新疆生态功能区划</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新政函[2005]96号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8</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新疆维吾尔自治区主体功能区规划</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自治区 发展和改革委员会</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2012.12.27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9</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bCs/>
                <w:lang w:eastAsia="zh-CN"/>
              </w:rPr>
              <w:t>关于印发《新疆维吾尔自治区“三线一单”生态环境分区管控方案》的通知</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rPr>
                <w:bCs/>
                <w:lang w:eastAsia="zh-CN"/>
              </w:rPr>
              <w:t>新政发〔2021〕18号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rPr>
                <w:lang w:eastAsia="zh-CN"/>
              </w:rPr>
              <w:t>2021.2.21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t>10</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bCs/>
                <w:lang w:eastAsia="zh-CN"/>
              </w:rPr>
            </w:pPr>
            <w:r>
              <w:rPr>
                <w:bCs/>
                <w:lang w:eastAsia="zh-CN"/>
              </w:rPr>
              <w:t>新疆维吾尔自治区煤炭石油天然气开发环境保护条例</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rPr>
                <w:bCs/>
                <w:lang w:eastAsia="zh-CN"/>
              </w:rPr>
            </w:pPr>
            <w:r>
              <w:rPr>
                <w:bCs/>
                <w:lang w:eastAsia="zh-CN"/>
              </w:rPr>
              <w:t>新疆维吾尔自治区第十三届人民代表大会常务委员会第六次会议</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 xml:space="preserve">2018.9.21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11</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bCs/>
                <w:lang w:eastAsia="zh-CN"/>
              </w:rPr>
            </w:pPr>
            <w:r>
              <w:rPr>
                <w:bCs/>
                <w:lang w:eastAsia="zh-CN"/>
              </w:rPr>
              <w:t>关于印发新疆自治区级水土流失重点预防区和重点治理区复核划分成果的通知</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rPr>
                <w:bCs/>
                <w:lang w:eastAsia="zh-CN"/>
              </w:rPr>
            </w:pPr>
            <w:r>
              <w:rPr>
                <w:bCs/>
                <w:lang w:eastAsia="zh-CN"/>
              </w:rPr>
              <w:t>新水水保〔2019〕4号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2019.1.21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12</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bCs/>
                <w:lang w:eastAsia="zh-CN"/>
              </w:rPr>
            </w:pPr>
            <w:r>
              <w:rPr>
                <w:bCs/>
                <w:lang w:eastAsia="zh-CN"/>
              </w:rPr>
              <w:t>关于进一步加强和规范油气田勘探开采废弃物污染防治工作的通知</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rPr>
                <w:bCs/>
                <w:lang w:eastAsia="zh-CN"/>
              </w:rPr>
            </w:pPr>
            <w:r>
              <w:rPr>
                <w:bCs/>
                <w:lang w:eastAsia="zh-CN"/>
              </w:rPr>
              <w:t>新环发[2016]360号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t>2016</w:t>
            </w:r>
            <w:r>
              <w:rPr>
                <w:lang w:eastAsia="zh-CN"/>
              </w:rPr>
              <w:t>.</w:t>
            </w:r>
            <w:r>
              <w:t xml:space="preserve"> 11</w:t>
            </w:r>
            <w:r>
              <w:rPr>
                <w:lang w:eastAsia="zh-CN"/>
              </w:rPr>
              <w:t>.</w:t>
            </w:r>
            <w:r>
              <w:t xml:space="preserve">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13</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bCs/>
                <w:lang w:eastAsia="zh-CN"/>
              </w:rPr>
            </w:pPr>
            <w:r>
              <w:rPr>
                <w:bCs/>
                <w:lang w:eastAsia="zh-CN"/>
              </w:rPr>
              <w:t>新疆维吾尔自治区水土保持规划(2018-2030年)</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rPr>
                <w:bCs/>
                <w:lang w:eastAsia="zh-CN"/>
              </w:rPr>
            </w:pPr>
            <w:r>
              <w:rPr>
                <w:bCs/>
                <w:lang w:eastAsia="zh-CN"/>
              </w:rPr>
              <w:t>新政函 [2018]146号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2018.8.24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14</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bCs/>
                <w:lang w:eastAsia="zh-CN"/>
              </w:rPr>
              <w:t>昌吉回族自治州“三线一单”生态环境分区管控方案及生态环境准入清单</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rPr>
                <w:bCs/>
                <w:lang w:eastAsia="zh-CN"/>
              </w:rPr>
              <w:t>昌州政办发〔2021〕41号</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rPr>
                <w:lang w:eastAsia="zh-CN"/>
              </w:rPr>
              <w:t>2021.7.1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0" w:type="dxa"/>
            <w:gridSpan w:val="4"/>
            <w:tcBorders>
              <w:top w:val="single" w:color="auto" w:sz="4" w:space="0"/>
              <w:left w:val="single" w:color="auto" w:sz="4" w:space="0"/>
              <w:bottom w:val="single" w:color="auto" w:sz="4" w:space="0"/>
              <w:right w:val="single" w:color="auto" w:sz="4" w:space="0"/>
            </w:tcBorders>
            <w:vAlign w:val="center"/>
          </w:tcPr>
          <w:p>
            <w:pPr>
              <w:pStyle w:val="670"/>
            </w:pPr>
            <w:r>
              <w:rPr>
                <w:bCs/>
              </w:rPr>
              <w:t>导则及行业技术规范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1</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环境影响评价技术导则  总纲</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HJ2.1-2016</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2</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环境影响评价技术导则  大气环境</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HJ2.2-2018</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2018.12.1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3</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环境影响评价技术导则 地表水环境</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HJ2.3-2018</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4</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环境影响评价技术导则 地下水环境</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HJ610-2016</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5</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环境影响评价技术导则 声环境</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HJ2.4-2021</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2022.7.1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6</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环境影响评价技术导则 生态影响</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HJ19-2022</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2022.7.1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7</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环境影响评价技术导则  土壤环境（试行）</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HJ964-2018</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8</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建设项目环境风险评价技术导则</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HJ 169-2018</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9</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建设项目竣工环境保护验收技术</w:t>
            </w:r>
            <w:r>
              <w:rPr>
                <w:rFonts w:hint="eastAsia"/>
                <w:lang w:eastAsia="zh-CN"/>
              </w:rPr>
              <w:t>规范</w:t>
            </w:r>
            <w:r>
              <w:rPr>
                <w:lang w:eastAsia="zh-CN"/>
              </w:rPr>
              <w:t xml:space="preserve"> 石油天然气开采</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HJ612-2011</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t>10</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环境影响评价技术导则 陆地石油天然气开发建设项目</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HJ/T 349-2007</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2007.8.1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11</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陆上石油天然气开采工业大气污染物排放标准</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GB39728-2020</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2021.1.1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rPr>
                <w:lang w:eastAsia="zh-CN"/>
              </w:rPr>
              <w:t>12</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排污许可证申请与核发技术规范 总则</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HJ942-2018</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13</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排污单位自行监测技术指南 总则</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HJ819-2017</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pPr>
            <w:r>
              <w:t>14</w:t>
            </w:r>
          </w:p>
        </w:tc>
        <w:tc>
          <w:tcPr>
            <w:tcW w:w="4492"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污染源源强核算技术指南 准则</w:t>
            </w:r>
          </w:p>
        </w:tc>
        <w:tc>
          <w:tcPr>
            <w:tcW w:w="2596" w:type="dxa"/>
            <w:tcBorders>
              <w:top w:val="single" w:color="auto" w:sz="4" w:space="0"/>
              <w:left w:val="single" w:color="auto" w:sz="4" w:space="0"/>
              <w:bottom w:val="single" w:color="auto" w:sz="4" w:space="0"/>
              <w:right w:val="single" w:color="auto" w:sz="4" w:space="0"/>
            </w:tcBorders>
            <w:vAlign w:val="center"/>
          </w:tcPr>
          <w:p>
            <w:pPr>
              <w:pStyle w:val="670"/>
            </w:pPr>
            <w:r>
              <w:t>HJ884-2018</w:t>
            </w:r>
          </w:p>
        </w:tc>
        <w:tc>
          <w:tcPr>
            <w:tcW w:w="1515" w:type="dxa"/>
            <w:tcBorders>
              <w:top w:val="single" w:color="auto" w:sz="4" w:space="0"/>
              <w:left w:val="single" w:color="auto" w:sz="4" w:space="0"/>
              <w:bottom w:val="single" w:color="auto" w:sz="4" w:space="0"/>
              <w:right w:val="single" w:color="auto" w:sz="4" w:space="0"/>
            </w:tcBorders>
            <w:vAlign w:val="center"/>
          </w:tcPr>
          <w:p>
            <w:pPr>
              <w:pStyle w:val="670"/>
            </w:pPr>
            <w:r>
              <w:t>2018.3.27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0" w:type="dxa"/>
            <w:gridSpan w:val="4"/>
            <w:tcBorders>
              <w:top w:val="single" w:color="auto" w:sz="4" w:space="0"/>
              <w:left w:val="single" w:color="auto" w:sz="4" w:space="0"/>
              <w:bottom w:val="single" w:color="auto" w:sz="4" w:space="0"/>
              <w:right w:val="single" w:color="auto" w:sz="4" w:space="0"/>
            </w:tcBorders>
            <w:vAlign w:val="center"/>
          </w:tcPr>
          <w:p>
            <w:pPr>
              <w:pStyle w:val="670"/>
              <w:rPr>
                <w:bCs/>
              </w:rPr>
            </w:pPr>
            <w:r>
              <w:rPr>
                <w:bCs/>
              </w:rPr>
              <w:t>其他文件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rPr>
                <w:rStyle w:val="58"/>
                <w:b w:val="0"/>
                <w:bCs w:val="0"/>
              </w:rPr>
            </w:pPr>
            <w:r>
              <w:rPr>
                <w:rStyle w:val="58"/>
                <w:b w:val="0"/>
                <w:bCs w:val="0"/>
              </w:rPr>
              <w:t>1</w:t>
            </w:r>
          </w:p>
        </w:tc>
        <w:tc>
          <w:tcPr>
            <w:tcW w:w="8603" w:type="dxa"/>
            <w:gridSpan w:val="3"/>
            <w:tcBorders>
              <w:top w:val="single" w:color="auto" w:sz="4" w:space="0"/>
              <w:left w:val="single" w:color="auto" w:sz="4" w:space="0"/>
              <w:bottom w:val="single" w:color="auto" w:sz="4" w:space="0"/>
              <w:right w:val="single" w:color="auto" w:sz="4" w:space="0"/>
            </w:tcBorders>
            <w:vAlign w:val="center"/>
          </w:tcPr>
          <w:p>
            <w:pPr>
              <w:pStyle w:val="670"/>
              <w:rPr>
                <w:bCs/>
                <w:lang w:eastAsia="zh-CN"/>
              </w:rPr>
            </w:pPr>
            <w:r>
              <w:rPr>
                <w:bCs/>
                <w:lang w:eastAsia="zh-CN"/>
              </w:rPr>
              <w:t>项目环境影响评价委托书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rPr>
                <w:rStyle w:val="58"/>
                <w:b w:val="0"/>
                <w:bCs w:val="0"/>
                <w:lang w:eastAsia="zh-CN"/>
              </w:rPr>
            </w:pPr>
            <w:r>
              <w:rPr>
                <w:rStyle w:val="58"/>
                <w:b w:val="0"/>
                <w:bCs w:val="0"/>
                <w:lang w:eastAsia="zh-CN"/>
              </w:rPr>
              <w:t>2</w:t>
            </w:r>
          </w:p>
        </w:tc>
        <w:tc>
          <w:tcPr>
            <w:tcW w:w="8603" w:type="dxa"/>
            <w:gridSpan w:val="3"/>
            <w:tcBorders>
              <w:top w:val="single" w:color="auto" w:sz="4" w:space="0"/>
              <w:left w:val="single" w:color="auto" w:sz="4" w:space="0"/>
              <w:bottom w:val="single" w:color="auto" w:sz="4" w:space="0"/>
              <w:right w:val="single" w:color="auto" w:sz="4" w:space="0"/>
            </w:tcBorders>
            <w:vAlign w:val="center"/>
          </w:tcPr>
          <w:p>
            <w:pPr>
              <w:pStyle w:val="670"/>
              <w:rPr>
                <w:bCs/>
                <w:lang w:eastAsia="zh-CN"/>
              </w:rPr>
            </w:pPr>
            <w:r>
              <w:rPr>
                <w:bCs/>
                <w:lang w:eastAsia="zh-CN"/>
              </w:rPr>
              <w:t>新疆天安鑫业油气技术服务有限公司董701区块零散天然气回收项目环境影响报告书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rPr>
                <w:rStyle w:val="58"/>
                <w:b w:val="0"/>
                <w:bCs w:val="0"/>
                <w:lang w:eastAsia="zh-CN"/>
              </w:rPr>
            </w:pPr>
            <w:r>
              <w:rPr>
                <w:rStyle w:val="58"/>
                <w:rFonts w:hint="eastAsia"/>
                <w:b w:val="0"/>
                <w:bCs w:val="0"/>
                <w:lang w:eastAsia="zh-CN"/>
              </w:rPr>
              <w:t>3</w:t>
            </w:r>
          </w:p>
        </w:tc>
        <w:tc>
          <w:tcPr>
            <w:tcW w:w="8603" w:type="dxa"/>
            <w:gridSpan w:val="3"/>
            <w:tcBorders>
              <w:top w:val="single" w:color="auto" w:sz="4" w:space="0"/>
              <w:left w:val="single" w:color="auto" w:sz="4" w:space="0"/>
              <w:bottom w:val="single" w:color="auto" w:sz="4" w:space="0"/>
              <w:right w:val="single" w:color="auto" w:sz="4" w:space="0"/>
            </w:tcBorders>
            <w:vAlign w:val="center"/>
          </w:tcPr>
          <w:p>
            <w:pPr>
              <w:pStyle w:val="670"/>
              <w:rPr>
                <w:bCs/>
                <w:lang w:eastAsia="zh-CN"/>
              </w:rPr>
            </w:pPr>
            <w:r>
              <w:rPr>
                <w:rFonts w:hint="eastAsia"/>
                <w:bCs/>
                <w:lang w:eastAsia="zh-CN"/>
              </w:rPr>
              <w:t>关于</w:t>
            </w:r>
            <w:r>
              <w:rPr>
                <w:bCs/>
                <w:lang w:eastAsia="zh-CN"/>
              </w:rPr>
              <w:t>新疆天安鑫业油气技术服务有限公司董701区块零散天然气回收项目环境影响报告书</w:t>
            </w:r>
            <w:r>
              <w:rPr>
                <w:rFonts w:hint="eastAsia"/>
                <w:bCs/>
                <w:lang w:eastAsia="zh-CN"/>
              </w:rPr>
              <w:t>的批复（昌州环评﹝2</w:t>
            </w:r>
            <w:r>
              <w:rPr>
                <w:bCs/>
                <w:lang w:eastAsia="zh-CN"/>
              </w:rPr>
              <w:t>021</w:t>
            </w:r>
            <w:r>
              <w:rPr>
                <w:rFonts w:hint="eastAsia"/>
                <w:bCs/>
                <w:lang w:eastAsia="zh-CN"/>
              </w:rPr>
              <w:t>﹞1</w:t>
            </w:r>
            <w:r>
              <w:rPr>
                <w:bCs/>
                <w:lang w:eastAsia="zh-CN"/>
              </w:rPr>
              <w:t>55</w:t>
            </w:r>
            <w:r>
              <w:rPr>
                <w:rFonts w:hint="eastAsia"/>
                <w:bCs/>
                <w:lang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rPr>
                <w:rStyle w:val="58"/>
                <w:b w:val="0"/>
                <w:bCs w:val="0"/>
                <w:lang w:eastAsia="zh-CN"/>
              </w:rPr>
            </w:pPr>
            <w:r>
              <w:rPr>
                <w:rStyle w:val="58"/>
                <w:rFonts w:hint="eastAsia"/>
                <w:b w:val="0"/>
                <w:bCs w:val="0"/>
                <w:lang w:eastAsia="zh-CN"/>
              </w:rPr>
              <w:t>4</w:t>
            </w:r>
          </w:p>
        </w:tc>
        <w:tc>
          <w:tcPr>
            <w:tcW w:w="8603" w:type="dxa"/>
            <w:gridSpan w:val="3"/>
            <w:tcBorders>
              <w:top w:val="single" w:color="auto" w:sz="4" w:space="0"/>
              <w:left w:val="single" w:color="auto" w:sz="4" w:space="0"/>
              <w:bottom w:val="single" w:color="auto" w:sz="4" w:space="0"/>
              <w:right w:val="single" w:color="auto" w:sz="4" w:space="0"/>
            </w:tcBorders>
            <w:vAlign w:val="center"/>
          </w:tcPr>
          <w:p>
            <w:pPr>
              <w:pStyle w:val="670"/>
              <w:rPr>
                <w:bCs/>
                <w:lang w:eastAsia="zh-CN"/>
              </w:rPr>
            </w:pPr>
            <w:r>
              <w:rPr>
                <w:bCs/>
                <w:lang w:eastAsia="zh-CN"/>
              </w:rPr>
              <w:t>新疆天安鑫业油气技术服务有限公司董701区块零散天然气回收项目</w:t>
            </w:r>
            <w:r>
              <w:rPr>
                <w:rFonts w:hint="eastAsia"/>
                <w:bCs/>
                <w:lang w:eastAsia="zh-CN"/>
              </w:rPr>
              <w:t>竣工环境保护验收监测</w:t>
            </w:r>
            <w:r>
              <w:rPr>
                <w:bCs/>
                <w:lang w:eastAsia="zh-CN"/>
              </w:rPr>
              <w:t>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rPr>
                <w:rStyle w:val="58"/>
                <w:b w:val="0"/>
                <w:bCs w:val="0"/>
                <w:lang w:eastAsia="zh-CN"/>
              </w:rPr>
            </w:pPr>
            <w:r>
              <w:rPr>
                <w:rStyle w:val="58"/>
                <w:rFonts w:hint="eastAsia"/>
                <w:b w:val="0"/>
                <w:bCs w:val="0"/>
                <w:lang w:eastAsia="zh-CN"/>
              </w:rPr>
              <w:t>5</w:t>
            </w:r>
          </w:p>
        </w:tc>
        <w:tc>
          <w:tcPr>
            <w:tcW w:w="8603" w:type="dxa"/>
            <w:gridSpan w:val="3"/>
            <w:tcBorders>
              <w:top w:val="single" w:color="auto" w:sz="4" w:space="0"/>
              <w:left w:val="single" w:color="auto" w:sz="4" w:space="0"/>
              <w:bottom w:val="single" w:color="auto" w:sz="4" w:space="0"/>
              <w:right w:val="single" w:color="auto" w:sz="4" w:space="0"/>
            </w:tcBorders>
            <w:vAlign w:val="center"/>
          </w:tcPr>
          <w:p>
            <w:pPr>
              <w:pStyle w:val="670"/>
              <w:rPr>
                <w:bCs/>
                <w:highlight w:val="yellow"/>
                <w:lang w:eastAsia="zh-CN"/>
              </w:rPr>
            </w:pPr>
            <w:r>
              <w:rPr>
                <w:bCs/>
                <w:lang w:eastAsia="zh-CN"/>
              </w:rPr>
              <w:t>新疆天安鑫业油气技术服务有限公司董701区块零散天然气回收项目</w:t>
            </w:r>
            <w:r>
              <w:rPr>
                <w:rFonts w:hint="eastAsia"/>
                <w:bCs/>
                <w:lang w:eastAsia="zh-CN"/>
              </w:rPr>
              <w:t>（二期）</w:t>
            </w:r>
            <w:r>
              <w:rPr>
                <w:bCs/>
                <w:lang w:eastAsia="zh-CN"/>
              </w:rPr>
              <w:t>可行性研究报告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pStyle w:val="670"/>
              <w:rPr>
                <w:rStyle w:val="58"/>
                <w:b w:val="0"/>
                <w:bCs w:val="0"/>
              </w:rPr>
            </w:pPr>
            <w:r>
              <w:rPr>
                <w:rStyle w:val="58"/>
                <w:b w:val="0"/>
                <w:bCs w:val="0"/>
              </w:rPr>
              <w:t>6</w:t>
            </w:r>
          </w:p>
        </w:tc>
        <w:tc>
          <w:tcPr>
            <w:tcW w:w="8603" w:type="dxa"/>
            <w:gridSpan w:val="3"/>
            <w:tcBorders>
              <w:top w:val="single" w:color="auto" w:sz="4" w:space="0"/>
              <w:left w:val="single" w:color="auto" w:sz="4" w:space="0"/>
              <w:bottom w:val="single" w:color="auto" w:sz="4" w:space="0"/>
              <w:right w:val="single" w:color="auto" w:sz="4" w:space="0"/>
            </w:tcBorders>
            <w:vAlign w:val="center"/>
          </w:tcPr>
          <w:p>
            <w:pPr>
              <w:pStyle w:val="670"/>
              <w:rPr>
                <w:bCs/>
              </w:rPr>
            </w:pPr>
            <w:r>
              <w:rPr>
                <w:bCs/>
              </w:rPr>
              <w:t>其他相关资料</w:t>
            </w:r>
          </w:p>
        </w:tc>
      </w:tr>
    </w:tbl>
    <w:p>
      <w:pPr>
        <w:pStyle w:val="4"/>
        <w:spacing w:before="120" w:after="120"/>
      </w:pPr>
      <w:bookmarkStart w:id="46" w:name="_Toc145580346"/>
      <w:bookmarkStart w:id="47" w:name="_Toc107500297"/>
      <w:bookmarkStart w:id="48" w:name="_Toc507155707"/>
      <w:bookmarkStart w:id="49" w:name="_Toc327365461"/>
      <w:bookmarkStart w:id="50" w:name="_Toc188349433"/>
      <w:bookmarkStart w:id="51" w:name="_Toc149705130"/>
      <w:bookmarkStart w:id="52" w:name="_Toc9409"/>
      <w:bookmarkStart w:id="53" w:name="_Toc146967231"/>
      <w:r>
        <w:t>1.2</w:t>
      </w:r>
      <w:r>
        <w:rPr>
          <w:rFonts w:hint="eastAsia"/>
        </w:rPr>
        <w:t xml:space="preserve"> </w:t>
      </w:r>
      <w:r>
        <w:t>评价目的与原则</w:t>
      </w:r>
      <w:bookmarkEnd w:id="46"/>
      <w:bookmarkEnd w:id="47"/>
      <w:bookmarkEnd w:id="48"/>
    </w:p>
    <w:p>
      <w:pPr>
        <w:pStyle w:val="5"/>
        <w:spacing w:before="120" w:after="120"/>
        <w:rPr>
          <w:spacing w:val="0"/>
        </w:rPr>
      </w:pPr>
      <w:bookmarkStart w:id="54" w:name="_Toc107500298"/>
      <w:bookmarkStart w:id="55" w:name="_Toc145580347"/>
      <w:r>
        <w:rPr>
          <w:spacing w:val="0"/>
        </w:rPr>
        <w:t>1.2.1评价目的</w:t>
      </w:r>
      <w:bookmarkEnd w:id="54"/>
      <w:bookmarkEnd w:id="55"/>
    </w:p>
    <w:p>
      <w:pPr>
        <w:pStyle w:val="494"/>
        <w:ind w:firstLine="480"/>
      </w:pPr>
      <w:r>
        <w:rPr>
          <w:rFonts w:hint="eastAsia"/>
        </w:rPr>
        <w:t>（1）</w:t>
      </w:r>
      <w:r>
        <w:t>通过调查、收集资料与实测，了解本项目评价范围内的社会环境、自然环境和环境质量现状；</w:t>
      </w:r>
    </w:p>
    <w:p>
      <w:pPr>
        <w:pStyle w:val="494"/>
        <w:ind w:firstLine="480"/>
      </w:pPr>
      <w:r>
        <w:rPr>
          <w:rFonts w:hint="eastAsia"/>
        </w:rPr>
        <w:t>（2）通过工程分析，明确本项目的主要污染源、污染物种类、排放强度，并对污染物达标排放进行分析</w:t>
      </w:r>
      <w:r>
        <w:t>；</w:t>
      </w:r>
    </w:p>
    <w:p>
      <w:pPr>
        <w:pStyle w:val="494"/>
        <w:ind w:firstLine="480"/>
      </w:pPr>
      <w:r>
        <w:rPr>
          <w:rFonts w:hint="eastAsia"/>
        </w:rPr>
        <w:t>（3）论证本项目采取的环境保护措施的可行性及合理性，并针对存在的问题，提出预防或者减轻不利影响的对策和措施</w:t>
      </w:r>
      <w:r>
        <w:t>；</w:t>
      </w:r>
    </w:p>
    <w:p>
      <w:pPr>
        <w:pStyle w:val="494"/>
        <w:ind w:firstLine="480"/>
      </w:pPr>
      <w:r>
        <w:rPr>
          <w:rFonts w:hint="eastAsia"/>
        </w:rPr>
        <w:t>（4）论证项目与产业政策的符合性、与当地相关规划的相容性、资源利用可行性以及环境可行性；</w:t>
      </w:r>
    </w:p>
    <w:p>
      <w:pPr>
        <w:pStyle w:val="494"/>
        <w:ind w:firstLine="480"/>
      </w:pPr>
      <w:r>
        <w:rPr>
          <w:rFonts w:hint="eastAsia"/>
        </w:rPr>
        <w:t>（5）分析本项目可能存在的事故隐患，预测可能产生的环境风险程度，提出具体的环境风险防范措施。</w:t>
      </w:r>
    </w:p>
    <w:p>
      <w:pPr>
        <w:pStyle w:val="494"/>
        <w:ind w:firstLine="480"/>
      </w:pPr>
      <w:r>
        <w:rPr>
          <w:rFonts w:hint="eastAsia"/>
        </w:rPr>
        <w:t>通过上述评价，论证项目在环境方面的可行性，给出环境影响评价结论，为生态环境主管部门提供决策依据。</w:t>
      </w:r>
    </w:p>
    <w:p>
      <w:pPr>
        <w:pStyle w:val="5"/>
        <w:spacing w:before="120" w:after="120"/>
        <w:rPr>
          <w:spacing w:val="0"/>
        </w:rPr>
      </w:pPr>
      <w:bookmarkStart w:id="56" w:name="_Toc107500299"/>
      <w:bookmarkStart w:id="57" w:name="_Toc145580348"/>
      <w:r>
        <w:rPr>
          <w:spacing w:val="0"/>
        </w:rPr>
        <w:t>1.2.2评价原则</w:t>
      </w:r>
      <w:bookmarkEnd w:id="56"/>
      <w:bookmarkEnd w:id="57"/>
    </w:p>
    <w:p>
      <w:pPr>
        <w:pStyle w:val="494"/>
        <w:ind w:firstLine="480"/>
      </w:pPr>
      <w:r>
        <w:t>突出环境影响评价的源头预防作用，坚持保护和改善环境质量。</w:t>
      </w:r>
    </w:p>
    <w:p>
      <w:pPr>
        <w:pStyle w:val="494"/>
        <w:ind w:firstLine="480"/>
      </w:pPr>
      <w:r>
        <w:rPr>
          <w:rFonts w:hint="eastAsia"/>
        </w:rPr>
        <w:t>（1）</w:t>
      </w:r>
      <w:r>
        <w:t>依法评价</w:t>
      </w:r>
    </w:p>
    <w:p>
      <w:pPr>
        <w:pStyle w:val="494"/>
        <w:ind w:firstLine="480"/>
      </w:pPr>
      <w:r>
        <w:t>贯彻执行我国环境保护相关法律法规、标准、政策和规划等，优化项目建设，服务环境管理。</w:t>
      </w:r>
    </w:p>
    <w:p>
      <w:pPr>
        <w:pStyle w:val="494"/>
        <w:ind w:firstLine="480"/>
      </w:pPr>
      <w:r>
        <w:rPr>
          <w:rFonts w:hint="eastAsia"/>
        </w:rPr>
        <w:t>（2）</w:t>
      </w:r>
      <w:r>
        <w:t>科学评价</w:t>
      </w:r>
    </w:p>
    <w:p>
      <w:pPr>
        <w:pStyle w:val="494"/>
        <w:ind w:firstLine="480"/>
      </w:pPr>
      <w:r>
        <w:t>规范环境影响评价方法，科学分析项目建设对环境质量的影响。</w:t>
      </w:r>
    </w:p>
    <w:p>
      <w:pPr>
        <w:pStyle w:val="494"/>
        <w:ind w:firstLine="480"/>
      </w:pPr>
      <w:r>
        <w:rPr>
          <w:rFonts w:hint="eastAsia"/>
        </w:rPr>
        <w:t>（3）</w:t>
      </w:r>
      <w:r>
        <w:t>突出重点</w:t>
      </w:r>
    </w:p>
    <w:p>
      <w:pPr>
        <w:pStyle w:val="494"/>
        <w:ind w:firstLine="480"/>
      </w:pPr>
      <w:r>
        <w:t>根据建设项目的工程内容及其特点，明确与环境要素间的作用效应关系，充分利用符合时效的数据资料及成果，对建设项目主要环境影响予以重点分析和评价。</w:t>
      </w:r>
    </w:p>
    <w:p>
      <w:pPr>
        <w:pStyle w:val="4"/>
        <w:spacing w:before="120" w:after="120"/>
      </w:pPr>
      <w:bookmarkStart w:id="58" w:name="_Toc107500300"/>
      <w:bookmarkStart w:id="59" w:name="_Toc145580349"/>
      <w:r>
        <w:t>1.3</w:t>
      </w:r>
      <w:r>
        <w:rPr>
          <w:rFonts w:hint="eastAsia"/>
        </w:rPr>
        <w:t xml:space="preserve"> </w:t>
      </w:r>
      <w:r>
        <w:t>环境影响</w:t>
      </w:r>
      <w:r>
        <w:rPr>
          <w:rFonts w:hint="eastAsia"/>
        </w:rPr>
        <w:t>要素</w:t>
      </w:r>
      <w:r>
        <w:t>识别及评价因子</w:t>
      </w:r>
      <w:r>
        <w:rPr>
          <w:rFonts w:hint="eastAsia"/>
        </w:rPr>
        <w:t>变化</w:t>
      </w:r>
      <w:bookmarkEnd w:id="58"/>
      <w:bookmarkEnd w:id="59"/>
    </w:p>
    <w:p>
      <w:pPr>
        <w:pStyle w:val="5"/>
        <w:spacing w:before="120" w:after="120"/>
        <w:rPr>
          <w:spacing w:val="0"/>
        </w:rPr>
      </w:pPr>
      <w:bookmarkStart w:id="60" w:name="_Toc107500301"/>
      <w:bookmarkStart w:id="61" w:name="_Toc145580350"/>
      <w:r>
        <w:rPr>
          <w:spacing w:val="0"/>
        </w:rPr>
        <w:t>1.3.1环境影响要素识别</w:t>
      </w:r>
      <w:bookmarkEnd w:id="60"/>
      <w:bookmarkEnd w:id="61"/>
    </w:p>
    <w:p>
      <w:pPr>
        <w:pStyle w:val="494"/>
        <w:ind w:firstLine="480"/>
      </w:pPr>
      <w:r>
        <w:rPr>
          <w:rFonts w:hint="eastAsia"/>
        </w:rPr>
        <w:t>根据项目的污染物排放特征及所在区域的环境特征，识别出项目对厂址周围的环境空气、地下水环境及声环境等产生不同程度的影响，具体</w:t>
      </w:r>
      <w:r>
        <w:t>见</w:t>
      </w:r>
      <w:r>
        <w:rPr>
          <w:rFonts w:hint="eastAsia"/>
        </w:rPr>
        <w:t>下</w:t>
      </w:r>
      <w:r>
        <w:t>表。</w:t>
      </w:r>
    </w:p>
    <w:p>
      <w:pPr>
        <w:ind w:firstLine="420" w:firstLineChars="200"/>
        <w:rPr>
          <w:rFonts w:eastAsia="黑体"/>
          <w:szCs w:val="21"/>
        </w:rPr>
      </w:pPr>
      <w:bookmarkStart w:id="62" w:name="_Toc107500302"/>
      <w:r>
        <w:rPr>
          <w:rFonts w:eastAsia="黑体"/>
          <w:szCs w:val="21"/>
        </w:rPr>
        <w:t xml:space="preserve">表1.3-1          </w:t>
      </w:r>
      <w:r>
        <w:rPr>
          <w:rFonts w:hint="eastAsia" w:eastAsia="黑体"/>
          <w:szCs w:val="21"/>
        </w:rPr>
        <w:t xml:space="preserve">   </w:t>
      </w:r>
      <w:r>
        <w:rPr>
          <w:rFonts w:eastAsia="黑体"/>
          <w:szCs w:val="21"/>
        </w:rPr>
        <w:t xml:space="preserve">       环境影响要素判别表</w:t>
      </w:r>
    </w:p>
    <w:tbl>
      <w:tblPr>
        <w:tblStyle w:val="55"/>
        <w:tblW w:w="517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791"/>
        <w:gridCol w:w="637"/>
        <w:gridCol w:w="637"/>
        <w:gridCol w:w="638"/>
        <w:gridCol w:w="637"/>
        <w:gridCol w:w="640"/>
        <w:gridCol w:w="579"/>
        <w:gridCol w:w="580"/>
        <w:gridCol w:w="580"/>
        <w:gridCol w:w="580"/>
        <w:gridCol w:w="580"/>
        <w:gridCol w:w="548"/>
        <w:gridCol w:w="550"/>
        <w:gridCol w:w="53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65" w:type="pct"/>
            <w:vMerge w:val="restart"/>
            <w:tcBorders>
              <w:top w:val="single" w:color="auto" w:sz="4" w:space="0"/>
              <w:left w:val="single" w:color="auto" w:sz="4" w:space="0"/>
              <w:bottom w:val="single" w:color="auto" w:sz="4" w:space="0"/>
              <w:right w:val="single" w:color="auto" w:sz="4" w:space="0"/>
              <w:tl2br w:val="single" w:color="auto" w:sz="4" w:space="0"/>
            </w:tcBorders>
            <w:tcMar>
              <w:top w:w="0" w:type="dxa"/>
              <w:left w:w="0" w:type="dxa"/>
              <w:bottom w:w="0" w:type="dxa"/>
              <w:right w:w="0" w:type="dxa"/>
            </w:tcMar>
            <w:vAlign w:val="center"/>
          </w:tcPr>
          <w:p>
            <w:pPr>
              <w:pStyle w:val="670"/>
            </w:pPr>
            <w:r>
              <w:rPr>
                <w:lang w:eastAsia="zh-CN"/>
              </w:rPr>
              <w:t xml:space="preserve">   </w:t>
            </w:r>
            <w:bookmarkStart w:id="63" w:name="_Toc158114361"/>
            <w:bookmarkStart w:id="64" w:name="_Toc157675736"/>
            <w:bookmarkStart w:id="65" w:name="_Toc172077789"/>
            <w:bookmarkStart w:id="66" w:name="_Toc178760657"/>
            <w:bookmarkStart w:id="67" w:name="_Toc266187621"/>
            <w:bookmarkStart w:id="68" w:name="_Toc220229226"/>
            <w:r>
              <w:t>环境</w:t>
            </w:r>
          </w:p>
          <w:p>
            <w:pPr>
              <w:pStyle w:val="670"/>
            </w:pPr>
            <w:r>
              <w:t xml:space="preserve">   因素</w:t>
            </w:r>
          </w:p>
          <w:p>
            <w:pPr>
              <w:pStyle w:val="670"/>
            </w:pPr>
          </w:p>
          <w:p>
            <w:pPr>
              <w:pStyle w:val="670"/>
              <w:jc w:val="both"/>
            </w:pPr>
            <w:r>
              <w:t>影响</w:t>
            </w:r>
          </w:p>
          <w:p>
            <w:pPr>
              <w:pStyle w:val="670"/>
              <w:jc w:val="both"/>
            </w:pPr>
            <w:r>
              <w:t>因素</w:t>
            </w:r>
          </w:p>
        </w:tc>
        <w:tc>
          <w:tcPr>
            <w:tcW w:w="1873" w:type="pct"/>
            <w:gridSpan w:val="5"/>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施工期</w:t>
            </w:r>
          </w:p>
        </w:tc>
        <w:tc>
          <w:tcPr>
            <w:tcW w:w="1703" w:type="pct"/>
            <w:gridSpan w:val="5"/>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运营期</w:t>
            </w:r>
          </w:p>
        </w:tc>
        <w:tc>
          <w:tcPr>
            <w:tcW w:w="959" w:type="pct"/>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退役期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6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生态</w:t>
            </w: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废气</w:t>
            </w:r>
          </w:p>
        </w:tc>
        <w:tc>
          <w:tcPr>
            <w:tcW w:w="375" w:type="pct"/>
            <w:tcBorders>
              <w:top w:val="single" w:color="auto" w:sz="4" w:space="0"/>
              <w:left w:val="single" w:color="auto" w:sz="4" w:space="0"/>
              <w:bottom w:val="single" w:color="auto" w:sz="4" w:space="0"/>
              <w:right w:val="single" w:color="auto" w:sz="4" w:space="0"/>
            </w:tcBorders>
            <w:vAlign w:val="center"/>
          </w:tcPr>
          <w:p>
            <w:pPr>
              <w:pStyle w:val="670"/>
            </w:pPr>
            <w:r>
              <w:t>废水</w:t>
            </w: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固废</w:t>
            </w:r>
          </w:p>
        </w:tc>
        <w:tc>
          <w:tcPr>
            <w:tcW w:w="37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噪声</w:t>
            </w:r>
          </w:p>
        </w:tc>
        <w:tc>
          <w:tcPr>
            <w:tcW w:w="34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废气</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废水</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固废</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噪声</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风险</w:t>
            </w:r>
          </w:p>
          <w:p>
            <w:pPr>
              <w:pStyle w:val="670"/>
            </w:pPr>
            <w:r>
              <w:t>事故</w:t>
            </w:r>
          </w:p>
        </w:tc>
        <w:tc>
          <w:tcPr>
            <w:tcW w:w="32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废气</w:t>
            </w:r>
          </w:p>
        </w:tc>
        <w:tc>
          <w:tcPr>
            <w:tcW w:w="32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噪声</w:t>
            </w:r>
          </w:p>
        </w:tc>
        <w:tc>
          <w:tcPr>
            <w:tcW w:w="31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固废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6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占地</w:t>
            </w: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rPr>
                <w:lang w:eastAsia="zh-CN"/>
              </w:rPr>
            </w:pPr>
            <w:r>
              <w:rPr>
                <w:lang w:eastAsia="zh-CN"/>
              </w:rPr>
              <w:t>汽车尾气、扬尘</w:t>
            </w:r>
          </w:p>
        </w:tc>
        <w:tc>
          <w:tcPr>
            <w:tcW w:w="375" w:type="pct"/>
            <w:tcBorders>
              <w:top w:val="single" w:color="auto" w:sz="4" w:space="0"/>
              <w:left w:val="single" w:color="auto" w:sz="4" w:space="0"/>
              <w:bottom w:val="single" w:color="auto" w:sz="4" w:space="0"/>
              <w:right w:val="single" w:color="auto" w:sz="4" w:space="0"/>
            </w:tcBorders>
            <w:vAlign w:val="center"/>
          </w:tcPr>
          <w:p>
            <w:pPr>
              <w:pStyle w:val="670"/>
            </w:pPr>
            <w:r>
              <w:t>生活污水、</w:t>
            </w:r>
            <w:r>
              <w:rPr>
                <w:lang w:eastAsia="zh-CN"/>
              </w:rPr>
              <w:t>施工</w:t>
            </w:r>
            <w:r>
              <w:t>废水</w:t>
            </w: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rPr>
                <w:lang w:eastAsia="zh-CN"/>
              </w:rPr>
            </w:pPr>
            <w:r>
              <w:rPr>
                <w:lang w:eastAsia="zh-CN"/>
              </w:rPr>
              <w:t>建筑垃圾、生活垃圾</w:t>
            </w:r>
          </w:p>
        </w:tc>
        <w:tc>
          <w:tcPr>
            <w:tcW w:w="37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施工</w:t>
            </w:r>
          </w:p>
          <w:p>
            <w:pPr>
              <w:pStyle w:val="670"/>
            </w:pPr>
            <w:r>
              <w:t>车辆、</w:t>
            </w:r>
          </w:p>
          <w:p>
            <w:pPr>
              <w:pStyle w:val="670"/>
            </w:pPr>
            <w:r>
              <w:t>施</w:t>
            </w:r>
          </w:p>
          <w:p>
            <w:pPr>
              <w:pStyle w:val="670"/>
            </w:pPr>
            <w:r>
              <w:t>工设备</w:t>
            </w:r>
          </w:p>
        </w:tc>
        <w:tc>
          <w:tcPr>
            <w:tcW w:w="34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rPr>
                <w:lang w:eastAsia="zh-CN"/>
              </w:rPr>
            </w:pPr>
            <w:r>
              <w:rPr>
                <w:lang w:eastAsia="zh-CN"/>
              </w:rPr>
              <w:t>无组织挥发烃类</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rPr>
                <w:lang w:eastAsia="zh-CN"/>
              </w:rPr>
            </w:pPr>
            <w:r>
              <w:rPr>
                <w:lang w:eastAsia="zh-CN"/>
              </w:rPr>
              <w:t>生产废水</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rPr>
                <w:lang w:eastAsia="zh-CN"/>
              </w:rPr>
            </w:pPr>
            <w:r>
              <w:rPr>
                <w:lang w:eastAsia="zh-CN"/>
              </w:rPr>
              <w:t>废分子筛、废润滑油</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rPr>
                <w:lang w:eastAsia="zh-CN"/>
              </w:rPr>
            </w:pPr>
            <w:r>
              <w:rPr>
                <w:lang w:eastAsia="zh-CN"/>
              </w:rPr>
              <w:t>干燥塔、压缩机、泵、运输车辆</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rPr>
                <w:lang w:eastAsia="zh-CN"/>
              </w:rPr>
            </w:pPr>
            <w:r>
              <w:rPr>
                <w:lang w:eastAsia="zh-CN"/>
              </w:rPr>
              <w:t>天然气泄漏、危废泄漏</w:t>
            </w:r>
          </w:p>
        </w:tc>
        <w:tc>
          <w:tcPr>
            <w:tcW w:w="32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施工扬尘、汽车尾气</w:t>
            </w:r>
          </w:p>
        </w:tc>
        <w:tc>
          <w:tcPr>
            <w:tcW w:w="32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施工车辆、施工设备</w:t>
            </w:r>
          </w:p>
        </w:tc>
        <w:tc>
          <w:tcPr>
            <w:tcW w:w="31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rPr>
                <w:lang w:eastAsia="zh-CN"/>
              </w:rPr>
            </w:pPr>
            <w:r>
              <w:rPr>
                <w:lang w:eastAsia="zh-CN"/>
              </w:rPr>
              <w:t>拆卸后的建筑垃圾、废弃管线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环境空气</w:t>
            </w: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75" w:type="pct"/>
            <w:tcBorders>
              <w:top w:val="single" w:color="auto" w:sz="4" w:space="0"/>
              <w:left w:val="single" w:color="auto" w:sz="4" w:space="0"/>
              <w:bottom w:val="single" w:color="auto" w:sz="4" w:space="0"/>
              <w:right w:val="single" w:color="auto" w:sz="4" w:space="0"/>
            </w:tcBorders>
            <w:vAlign w:val="center"/>
          </w:tcPr>
          <w:p>
            <w:pPr>
              <w:pStyle w:val="670"/>
            </w:pPr>
            <w:r>
              <w:t>0</w:t>
            </w: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7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4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2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2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1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地下水</w:t>
            </w: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75" w:type="pct"/>
            <w:tcBorders>
              <w:top w:val="single" w:color="auto" w:sz="4" w:space="0"/>
              <w:left w:val="single" w:color="auto" w:sz="4" w:space="0"/>
              <w:bottom w:val="single" w:color="auto" w:sz="4" w:space="0"/>
              <w:right w:val="single" w:color="auto" w:sz="4" w:space="0"/>
            </w:tcBorders>
            <w:vAlign w:val="center"/>
          </w:tcPr>
          <w:p>
            <w:pPr>
              <w:pStyle w:val="670"/>
            </w:pPr>
            <w:r>
              <w:t>0</w:t>
            </w: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7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4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2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2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1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声环境</w:t>
            </w: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75" w:type="pct"/>
            <w:tcBorders>
              <w:top w:val="single" w:color="auto" w:sz="4" w:space="0"/>
              <w:left w:val="single" w:color="auto" w:sz="4" w:space="0"/>
              <w:bottom w:val="single" w:color="auto" w:sz="4" w:space="0"/>
              <w:right w:val="single" w:color="auto" w:sz="4" w:space="0"/>
            </w:tcBorders>
            <w:vAlign w:val="center"/>
          </w:tcPr>
          <w:p>
            <w:pPr>
              <w:pStyle w:val="670"/>
            </w:pPr>
            <w:r>
              <w:t>0</w:t>
            </w: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7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4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2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2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1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土壤</w:t>
            </w: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75" w:type="pct"/>
            <w:tcBorders>
              <w:top w:val="single" w:color="auto" w:sz="4" w:space="0"/>
              <w:left w:val="single" w:color="auto" w:sz="4" w:space="0"/>
              <w:bottom w:val="single" w:color="auto" w:sz="4" w:space="0"/>
              <w:right w:val="single" w:color="auto" w:sz="4" w:space="0"/>
            </w:tcBorders>
            <w:vAlign w:val="center"/>
          </w:tcPr>
          <w:p>
            <w:pPr>
              <w:pStyle w:val="670"/>
            </w:pPr>
            <w:r>
              <w:t>0</w:t>
            </w: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7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4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2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2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1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植被</w:t>
            </w: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75" w:type="pct"/>
            <w:tcBorders>
              <w:top w:val="single" w:color="auto" w:sz="4" w:space="0"/>
              <w:left w:val="single" w:color="auto" w:sz="4" w:space="0"/>
              <w:bottom w:val="single" w:color="auto" w:sz="4" w:space="0"/>
              <w:right w:val="single" w:color="auto" w:sz="4" w:space="0"/>
            </w:tcBorders>
            <w:vAlign w:val="center"/>
          </w:tcPr>
          <w:p>
            <w:pPr>
              <w:pStyle w:val="670"/>
            </w:pPr>
            <w:r>
              <w:t>0</w:t>
            </w: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7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4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2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2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1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动物</w:t>
            </w: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75" w:type="pct"/>
            <w:tcBorders>
              <w:top w:val="single" w:color="auto" w:sz="4" w:space="0"/>
              <w:left w:val="single" w:color="auto" w:sz="4" w:space="0"/>
              <w:bottom w:val="single" w:color="auto" w:sz="4" w:space="0"/>
              <w:right w:val="single" w:color="auto" w:sz="4" w:space="0"/>
            </w:tcBorders>
            <w:vAlign w:val="center"/>
          </w:tcPr>
          <w:p>
            <w:pPr>
              <w:pStyle w:val="670"/>
            </w:pPr>
            <w:r>
              <w:t>0</w:t>
            </w:r>
          </w:p>
        </w:tc>
        <w:tc>
          <w:tcPr>
            <w:tcW w:w="3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7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4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O</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2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2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c>
          <w:tcPr>
            <w:tcW w:w="31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670"/>
            </w:pPr>
            <w:r>
              <w:t>+</w:t>
            </w:r>
          </w:p>
        </w:tc>
      </w:tr>
    </w:tbl>
    <w:p>
      <w:pPr>
        <w:pStyle w:val="488"/>
        <w:spacing w:line="240" w:lineRule="auto"/>
        <w:ind w:firstLine="0" w:firstLineChars="0"/>
        <w:rPr>
          <w:rFonts w:ascii="Times New Roman" w:hAnsi="Times New Roman" w:cs="Times New Roman"/>
          <w:b/>
          <w:kern w:val="0"/>
          <w:sz w:val="18"/>
          <w:szCs w:val="18"/>
        </w:rPr>
      </w:pPr>
      <w:r>
        <w:rPr>
          <w:rFonts w:ascii="Times New Roman" w:hAnsi="Times New Roman" w:cs="Times New Roman"/>
          <w:b/>
          <w:sz w:val="21"/>
          <w:szCs w:val="21"/>
        </w:rPr>
        <w:t>注：O：无影响；+：短期不利影响；++：长期不利影响</w:t>
      </w:r>
      <w:r>
        <w:rPr>
          <w:rFonts w:ascii="Times New Roman" w:hAnsi="Times New Roman" w:cs="Times New Roman"/>
          <w:b/>
          <w:sz w:val="18"/>
          <w:szCs w:val="18"/>
        </w:rPr>
        <w:t>。</w:t>
      </w:r>
      <w:bookmarkEnd w:id="63"/>
      <w:bookmarkEnd w:id="64"/>
      <w:bookmarkEnd w:id="65"/>
      <w:bookmarkEnd w:id="66"/>
      <w:bookmarkEnd w:id="67"/>
      <w:bookmarkEnd w:id="68"/>
    </w:p>
    <w:p>
      <w:pPr>
        <w:pStyle w:val="5"/>
        <w:spacing w:before="120" w:after="120"/>
        <w:rPr>
          <w:spacing w:val="0"/>
        </w:rPr>
      </w:pPr>
      <w:bookmarkStart w:id="69" w:name="_Toc145580351"/>
      <w:r>
        <w:rPr>
          <w:spacing w:val="0"/>
        </w:rPr>
        <w:t>1.3.2评价因子筛选</w:t>
      </w:r>
      <w:bookmarkEnd w:id="62"/>
      <w:bookmarkEnd w:id="69"/>
    </w:p>
    <w:p>
      <w:pPr>
        <w:pStyle w:val="494"/>
        <w:ind w:firstLine="480"/>
      </w:pPr>
      <w:r>
        <w:t>根据项目运营期的特点，结合本地区环境功能及各环境因子的重要性和可能受影响的程度，在环境影响因素识别的基础上，从环境要素方面进行环境因子的识别与筛选</w:t>
      </w:r>
      <w:r>
        <w:rPr>
          <w:rFonts w:hint="eastAsia"/>
        </w:rPr>
        <w:t>。</w:t>
      </w:r>
      <w:r>
        <w:t>本</w:t>
      </w:r>
      <w:r>
        <w:rPr>
          <w:rFonts w:hint="eastAsia"/>
        </w:rPr>
        <w:t>项目</w:t>
      </w:r>
      <w:r>
        <w:t>评价因子筛选从环境空气、声环境、水环境、环境风险等几方面进行，评价因子筛选见表1.3-2。</w:t>
      </w:r>
    </w:p>
    <w:p>
      <w:pPr>
        <w:pStyle w:val="400"/>
        <w:ind w:firstLine="420"/>
        <w:rPr>
          <w:color w:val="FF0000"/>
        </w:rPr>
      </w:pPr>
      <w:r>
        <w:rPr>
          <w:color w:val="FF0000"/>
        </w:rPr>
        <w:t>表1.3</w:t>
      </w:r>
      <w:r>
        <w:rPr>
          <w:rFonts w:hint="eastAsia"/>
          <w:color w:val="FF0000"/>
        </w:rPr>
        <w:t>-</w:t>
      </w:r>
      <w:r>
        <w:rPr>
          <w:color w:val="FF0000"/>
        </w:rPr>
        <w:t>2                环境现状及环境影响评价因子</w:t>
      </w:r>
    </w:p>
    <w:bookmarkEnd w:id="49"/>
    <w:bookmarkEnd w:id="50"/>
    <w:bookmarkEnd w:id="51"/>
    <w:bookmarkEnd w:id="52"/>
    <w:bookmarkEnd w:id="53"/>
    <w:tbl>
      <w:tblPr>
        <w:tblStyle w:val="55"/>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1022"/>
        <w:gridCol w:w="1328"/>
        <w:gridCol w:w="5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pStyle w:val="674"/>
              <w:rPr>
                <w:color w:val="FF0000"/>
                <w:sz w:val="21"/>
              </w:rPr>
            </w:pPr>
            <w:bookmarkStart w:id="70" w:name="_Toc430033216"/>
            <w:bookmarkStart w:id="71" w:name="_Toc437732080"/>
            <w:bookmarkStart w:id="72" w:name="_Toc107500303"/>
            <w:bookmarkStart w:id="73" w:name="_Toc146967233"/>
            <w:bookmarkStart w:id="74" w:name="_Toc149705132"/>
            <w:bookmarkStart w:id="75" w:name="_Toc188349435"/>
            <w:bookmarkStart w:id="76" w:name="_Toc327365463"/>
            <w:bookmarkStart w:id="77" w:name="_Toc1588"/>
            <w:r>
              <w:rPr>
                <w:color w:val="FF0000"/>
                <w:sz w:val="21"/>
              </w:rPr>
              <w:t>序号</w:t>
            </w:r>
          </w:p>
        </w:tc>
        <w:tc>
          <w:tcPr>
            <w:tcW w:w="1022" w:type="dxa"/>
            <w:tcBorders>
              <w:top w:val="single" w:color="auto" w:sz="4" w:space="0"/>
              <w:left w:val="single" w:color="auto" w:sz="4" w:space="0"/>
              <w:bottom w:val="single" w:color="auto" w:sz="4" w:space="0"/>
              <w:right w:val="single" w:color="auto" w:sz="4" w:space="0"/>
            </w:tcBorders>
            <w:vAlign w:val="center"/>
          </w:tcPr>
          <w:p>
            <w:pPr>
              <w:pStyle w:val="674"/>
              <w:rPr>
                <w:color w:val="FF0000"/>
                <w:sz w:val="21"/>
              </w:rPr>
            </w:pPr>
            <w:r>
              <w:rPr>
                <w:color w:val="FF0000"/>
                <w:sz w:val="21"/>
              </w:rPr>
              <w:t>环境</w:t>
            </w:r>
          </w:p>
          <w:p>
            <w:pPr>
              <w:pStyle w:val="674"/>
              <w:rPr>
                <w:color w:val="FF0000"/>
                <w:sz w:val="21"/>
              </w:rPr>
            </w:pPr>
            <w:r>
              <w:rPr>
                <w:color w:val="FF0000"/>
                <w:sz w:val="21"/>
              </w:rPr>
              <w:t>要素</w:t>
            </w:r>
          </w:p>
        </w:tc>
        <w:tc>
          <w:tcPr>
            <w:tcW w:w="1328" w:type="dxa"/>
            <w:tcBorders>
              <w:top w:val="single" w:color="auto" w:sz="4" w:space="0"/>
              <w:left w:val="single" w:color="auto" w:sz="4" w:space="0"/>
              <w:bottom w:val="single" w:color="auto" w:sz="4" w:space="0"/>
              <w:right w:val="single" w:color="auto" w:sz="4" w:space="0"/>
            </w:tcBorders>
            <w:vAlign w:val="center"/>
          </w:tcPr>
          <w:p>
            <w:pPr>
              <w:pStyle w:val="674"/>
              <w:rPr>
                <w:color w:val="FF0000"/>
                <w:sz w:val="21"/>
              </w:rPr>
            </w:pPr>
            <w:r>
              <w:rPr>
                <w:color w:val="FF0000"/>
                <w:sz w:val="21"/>
              </w:rPr>
              <w:t>项目</w:t>
            </w:r>
          </w:p>
        </w:tc>
        <w:tc>
          <w:tcPr>
            <w:tcW w:w="5477" w:type="dxa"/>
            <w:tcBorders>
              <w:top w:val="single" w:color="auto" w:sz="4" w:space="0"/>
              <w:left w:val="single" w:color="auto" w:sz="4" w:space="0"/>
              <w:bottom w:val="single" w:color="auto" w:sz="4" w:space="0"/>
              <w:right w:val="single" w:color="auto" w:sz="4" w:space="0"/>
            </w:tcBorders>
            <w:vAlign w:val="center"/>
          </w:tcPr>
          <w:p>
            <w:pPr>
              <w:pStyle w:val="674"/>
              <w:rPr>
                <w:color w:val="FF0000"/>
                <w:sz w:val="21"/>
              </w:rPr>
            </w:pPr>
            <w:r>
              <w:rPr>
                <w:color w:val="FF0000"/>
                <w:sz w:val="21"/>
              </w:rPr>
              <w:t>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dxa"/>
            <w:vMerge w:val="restart"/>
            <w:tcBorders>
              <w:top w:val="single" w:color="auto" w:sz="4" w:space="0"/>
              <w:left w:val="single" w:color="auto" w:sz="4" w:space="0"/>
              <w:bottom w:val="single" w:color="auto" w:sz="4" w:space="0"/>
              <w:right w:val="single" w:color="auto" w:sz="4" w:space="0"/>
            </w:tcBorders>
            <w:vAlign w:val="center"/>
          </w:tcPr>
          <w:p>
            <w:pPr>
              <w:pStyle w:val="674"/>
              <w:rPr>
                <w:color w:val="FF0000"/>
                <w:sz w:val="21"/>
              </w:rPr>
            </w:pPr>
            <w:r>
              <w:rPr>
                <w:color w:val="FF0000"/>
                <w:sz w:val="21"/>
              </w:rPr>
              <w:t>1</w:t>
            </w:r>
          </w:p>
        </w:tc>
        <w:tc>
          <w:tcPr>
            <w:tcW w:w="1022" w:type="dxa"/>
            <w:vMerge w:val="restart"/>
            <w:tcBorders>
              <w:top w:val="single" w:color="auto" w:sz="4" w:space="0"/>
              <w:left w:val="single" w:color="auto" w:sz="4" w:space="0"/>
              <w:bottom w:val="single" w:color="auto" w:sz="4" w:space="0"/>
              <w:right w:val="single" w:color="auto" w:sz="4" w:space="0"/>
            </w:tcBorders>
            <w:vAlign w:val="center"/>
          </w:tcPr>
          <w:p>
            <w:pPr>
              <w:pStyle w:val="674"/>
              <w:rPr>
                <w:color w:val="FF0000"/>
                <w:sz w:val="21"/>
              </w:rPr>
            </w:pPr>
            <w:r>
              <w:rPr>
                <w:color w:val="FF0000"/>
                <w:sz w:val="21"/>
              </w:rPr>
              <w:t>环境</w:t>
            </w:r>
          </w:p>
          <w:p>
            <w:pPr>
              <w:pStyle w:val="674"/>
              <w:rPr>
                <w:color w:val="FF0000"/>
                <w:sz w:val="21"/>
              </w:rPr>
            </w:pPr>
            <w:r>
              <w:rPr>
                <w:color w:val="FF0000"/>
                <w:sz w:val="21"/>
              </w:rPr>
              <w:t>空气</w:t>
            </w:r>
          </w:p>
        </w:tc>
        <w:tc>
          <w:tcPr>
            <w:tcW w:w="1328" w:type="dxa"/>
            <w:tcBorders>
              <w:top w:val="single" w:color="auto" w:sz="4" w:space="0"/>
              <w:left w:val="single" w:color="auto" w:sz="4" w:space="0"/>
              <w:bottom w:val="single" w:color="auto" w:sz="4" w:space="0"/>
              <w:right w:val="single" w:color="auto" w:sz="4" w:space="0"/>
            </w:tcBorders>
            <w:vAlign w:val="center"/>
          </w:tcPr>
          <w:p>
            <w:pPr>
              <w:pStyle w:val="674"/>
              <w:rPr>
                <w:color w:val="FF0000"/>
                <w:sz w:val="21"/>
              </w:rPr>
            </w:pPr>
            <w:r>
              <w:rPr>
                <w:color w:val="FF0000"/>
                <w:sz w:val="21"/>
              </w:rPr>
              <w:t>现状评价</w:t>
            </w:r>
          </w:p>
        </w:tc>
        <w:tc>
          <w:tcPr>
            <w:tcW w:w="5477" w:type="dxa"/>
            <w:tcBorders>
              <w:top w:val="single" w:color="auto" w:sz="4" w:space="0"/>
              <w:left w:val="single" w:color="auto" w:sz="4" w:space="0"/>
              <w:bottom w:val="single" w:color="auto" w:sz="4" w:space="0"/>
              <w:right w:val="single" w:color="auto" w:sz="4" w:space="0"/>
            </w:tcBorders>
            <w:vAlign w:val="center"/>
          </w:tcPr>
          <w:p>
            <w:pPr>
              <w:pStyle w:val="674"/>
              <w:rPr>
                <w:bCs/>
                <w:color w:val="FF0000"/>
                <w:sz w:val="21"/>
                <w:lang w:eastAsia="zh-CN"/>
              </w:rPr>
            </w:pPr>
            <w:r>
              <w:rPr>
                <w:snapToGrid w:val="0"/>
                <w:color w:val="FF0000"/>
                <w:sz w:val="21"/>
              </w:rPr>
              <w:t>SO</w:t>
            </w:r>
            <w:r>
              <w:rPr>
                <w:snapToGrid w:val="0"/>
                <w:color w:val="FF0000"/>
                <w:sz w:val="21"/>
                <w:vertAlign w:val="subscript"/>
              </w:rPr>
              <w:t>2</w:t>
            </w:r>
            <w:r>
              <w:rPr>
                <w:snapToGrid w:val="0"/>
                <w:color w:val="FF0000"/>
                <w:sz w:val="21"/>
              </w:rPr>
              <w:t>、NO</w:t>
            </w:r>
            <w:r>
              <w:rPr>
                <w:snapToGrid w:val="0"/>
                <w:color w:val="FF0000"/>
                <w:sz w:val="21"/>
                <w:vertAlign w:val="subscript"/>
              </w:rPr>
              <w:t>2</w:t>
            </w:r>
            <w:r>
              <w:rPr>
                <w:snapToGrid w:val="0"/>
                <w:color w:val="FF0000"/>
                <w:sz w:val="21"/>
              </w:rPr>
              <w:t>、</w:t>
            </w:r>
            <w:r>
              <w:rPr>
                <w:color w:val="FF0000"/>
                <w:sz w:val="21"/>
              </w:rPr>
              <w:t>PM</w:t>
            </w:r>
            <w:r>
              <w:rPr>
                <w:color w:val="FF0000"/>
                <w:sz w:val="21"/>
                <w:vertAlign w:val="subscript"/>
              </w:rPr>
              <w:t>10</w:t>
            </w:r>
            <w:r>
              <w:rPr>
                <w:snapToGrid w:val="0"/>
                <w:color w:val="FF0000"/>
                <w:sz w:val="21"/>
              </w:rPr>
              <w:t>、</w:t>
            </w:r>
            <w:r>
              <w:rPr>
                <w:color w:val="FF0000"/>
                <w:sz w:val="21"/>
              </w:rPr>
              <w:t>PM</w:t>
            </w:r>
            <w:r>
              <w:rPr>
                <w:color w:val="FF0000"/>
                <w:sz w:val="21"/>
                <w:vertAlign w:val="subscript"/>
              </w:rPr>
              <w:t>2.5</w:t>
            </w:r>
            <w:r>
              <w:rPr>
                <w:color w:val="FF0000"/>
                <w:sz w:val="21"/>
              </w:rPr>
              <w:t>、CO、O</w:t>
            </w:r>
            <w:r>
              <w:rPr>
                <w:color w:val="FF0000"/>
                <w:sz w:val="21"/>
                <w:vertAlign w:val="subscript"/>
              </w:rPr>
              <w:t>3</w:t>
            </w:r>
            <w:r>
              <w:rPr>
                <w:color w:val="FF0000"/>
                <w:sz w:val="21"/>
              </w:rPr>
              <w:t>、</w:t>
            </w:r>
            <w:r>
              <w:rPr>
                <w:color w:val="FF0000"/>
                <w:sz w:val="21"/>
                <w:lang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eastAsia="en-US" w:bidi="en-US"/>
              </w:rPr>
            </w:pPr>
          </w:p>
        </w:tc>
        <w:tc>
          <w:tcPr>
            <w:tcW w:w="102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eastAsia="en-US" w:bidi="en-US"/>
              </w:rPr>
            </w:pPr>
          </w:p>
        </w:tc>
        <w:tc>
          <w:tcPr>
            <w:tcW w:w="1328" w:type="dxa"/>
            <w:tcBorders>
              <w:top w:val="single" w:color="auto" w:sz="4" w:space="0"/>
              <w:left w:val="single" w:color="auto" w:sz="4" w:space="0"/>
              <w:bottom w:val="single" w:color="auto" w:sz="4" w:space="0"/>
              <w:right w:val="single" w:color="auto" w:sz="4" w:space="0"/>
            </w:tcBorders>
            <w:vAlign w:val="center"/>
          </w:tcPr>
          <w:p>
            <w:pPr>
              <w:pStyle w:val="674"/>
              <w:rPr>
                <w:color w:val="FF0000"/>
                <w:sz w:val="21"/>
              </w:rPr>
            </w:pPr>
            <w:r>
              <w:rPr>
                <w:color w:val="FF0000"/>
                <w:sz w:val="21"/>
              </w:rPr>
              <w:t>影响评价</w:t>
            </w:r>
          </w:p>
        </w:tc>
        <w:tc>
          <w:tcPr>
            <w:tcW w:w="5477" w:type="dxa"/>
            <w:tcBorders>
              <w:top w:val="single" w:color="auto" w:sz="4" w:space="0"/>
              <w:left w:val="single" w:color="auto" w:sz="4" w:space="0"/>
              <w:bottom w:val="single" w:color="auto" w:sz="4" w:space="0"/>
              <w:right w:val="single" w:color="auto" w:sz="4" w:space="0"/>
            </w:tcBorders>
            <w:vAlign w:val="center"/>
          </w:tcPr>
          <w:p>
            <w:pPr>
              <w:pStyle w:val="674"/>
              <w:rPr>
                <w:color w:val="FF0000"/>
                <w:sz w:val="21"/>
                <w:lang w:eastAsia="zh-CN"/>
              </w:rPr>
            </w:pPr>
            <w:r>
              <w:rPr>
                <w:color w:val="FF0000"/>
                <w:sz w:val="21"/>
                <w:lang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dxa"/>
            <w:vMerge w:val="restart"/>
            <w:tcBorders>
              <w:top w:val="single" w:color="auto" w:sz="4" w:space="0"/>
              <w:left w:val="single" w:color="auto" w:sz="4" w:space="0"/>
              <w:bottom w:val="single" w:color="auto" w:sz="4" w:space="0"/>
              <w:right w:val="single" w:color="auto" w:sz="4" w:space="0"/>
            </w:tcBorders>
            <w:vAlign w:val="center"/>
          </w:tcPr>
          <w:p>
            <w:pPr>
              <w:pStyle w:val="674"/>
              <w:rPr>
                <w:color w:val="FF0000"/>
                <w:sz w:val="21"/>
              </w:rPr>
            </w:pPr>
            <w:r>
              <w:rPr>
                <w:color w:val="FF0000"/>
                <w:sz w:val="21"/>
              </w:rPr>
              <w:t>2</w:t>
            </w:r>
          </w:p>
        </w:tc>
        <w:tc>
          <w:tcPr>
            <w:tcW w:w="1022" w:type="dxa"/>
            <w:vMerge w:val="restart"/>
            <w:tcBorders>
              <w:top w:val="single" w:color="auto" w:sz="4" w:space="0"/>
              <w:left w:val="single" w:color="auto" w:sz="4" w:space="0"/>
              <w:bottom w:val="single" w:color="auto" w:sz="4" w:space="0"/>
              <w:right w:val="single" w:color="auto" w:sz="4" w:space="0"/>
            </w:tcBorders>
            <w:vAlign w:val="center"/>
          </w:tcPr>
          <w:p>
            <w:pPr>
              <w:pStyle w:val="674"/>
              <w:rPr>
                <w:color w:val="FF0000"/>
                <w:sz w:val="21"/>
              </w:rPr>
            </w:pPr>
            <w:r>
              <w:rPr>
                <w:color w:val="FF0000"/>
                <w:sz w:val="21"/>
              </w:rPr>
              <w:t>地下水环境</w:t>
            </w:r>
          </w:p>
        </w:tc>
        <w:tc>
          <w:tcPr>
            <w:tcW w:w="1328" w:type="dxa"/>
            <w:tcBorders>
              <w:top w:val="single" w:color="auto" w:sz="4" w:space="0"/>
              <w:left w:val="single" w:color="auto" w:sz="4" w:space="0"/>
              <w:bottom w:val="single" w:color="auto" w:sz="4" w:space="0"/>
              <w:right w:val="single" w:color="auto" w:sz="4" w:space="0"/>
            </w:tcBorders>
            <w:vAlign w:val="center"/>
          </w:tcPr>
          <w:p>
            <w:pPr>
              <w:pStyle w:val="674"/>
              <w:rPr>
                <w:color w:val="FF0000"/>
                <w:sz w:val="21"/>
              </w:rPr>
            </w:pPr>
            <w:r>
              <w:rPr>
                <w:color w:val="FF0000"/>
                <w:sz w:val="21"/>
              </w:rPr>
              <w:t>现状评价</w:t>
            </w:r>
          </w:p>
        </w:tc>
        <w:tc>
          <w:tcPr>
            <w:tcW w:w="5477" w:type="dxa"/>
            <w:tcBorders>
              <w:top w:val="single" w:color="auto" w:sz="4" w:space="0"/>
              <w:left w:val="single" w:color="auto" w:sz="4" w:space="0"/>
              <w:bottom w:val="single" w:color="auto" w:sz="4" w:space="0"/>
              <w:right w:val="single" w:color="auto" w:sz="4" w:space="0"/>
            </w:tcBorders>
            <w:vAlign w:val="center"/>
          </w:tcPr>
          <w:p>
            <w:pPr>
              <w:pStyle w:val="674"/>
              <w:rPr>
                <w:color w:val="FF0000"/>
                <w:sz w:val="21"/>
                <w:lang w:eastAsia="zh-CN"/>
              </w:rPr>
            </w:pPr>
            <w:r>
              <w:rPr>
                <w:color w:val="FF0000"/>
                <w:sz w:val="21"/>
                <w:lang w:eastAsia="zh-CN"/>
              </w:rPr>
              <w:t>K</w:t>
            </w:r>
            <w:r>
              <w:rPr>
                <w:color w:val="FF0000"/>
                <w:sz w:val="21"/>
                <w:vertAlign w:val="superscript"/>
                <w:lang w:eastAsia="zh-CN"/>
              </w:rPr>
              <w:t>+</w:t>
            </w:r>
            <w:r>
              <w:rPr>
                <w:rFonts w:hint="eastAsia"/>
                <w:color w:val="FF0000"/>
                <w:sz w:val="21"/>
                <w:lang w:eastAsia="zh-CN"/>
              </w:rPr>
              <w:t>、</w:t>
            </w:r>
            <w:r>
              <w:rPr>
                <w:color w:val="FF0000"/>
                <w:sz w:val="21"/>
                <w:lang w:eastAsia="zh-CN"/>
              </w:rPr>
              <w:t>Na</w:t>
            </w:r>
            <w:r>
              <w:rPr>
                <w:color w:val="FF0000"/>
                <w:sz w:val="21"/>
                <w:vertAlign w:val="superscript"/>
                <w:lang w:eastAsia="zh-CN"/>
              </w:rPr>
              <w:t>+</w:t>
            </w:r>
            <w:r>
              <w:rPr>
                <w:rFonts w:hint="eastAsia"/>
                <w:color w:val="FF0000"/>
                <w:sz w:val="21"/>
                <w:lang w:eastAsia="zh-CN"/>
              </w:rPr>
              <w:t>、</w:t>
            </w:r>
            <w:r>
              <w:rPr>
                <w:color w:val="FF0000"/>
                <w:sz w:val="21"/>
                <w:lang w:eastAsia="zh-CN"/>
              </w:rPr>
              <w:t>Ca</w:t>
            </w:r>
            <w:r>
              <w:rPr>
                <w:color w:val="FF0000"/>
                <w:sz w:val="21"/>
                <w:vertAlign w:val="superscript"/>
                <w:lang w:eastAsia="zh-CN"/>
              </w:rPr>
              <w:t>2+</w:t>
            </w:r>
            <w:r>
              <w:rPr>
                <w:rFonts w:hint="eastAsia"/>
                <w:color w:val="FF0000"/>
                <w:sz w:val="21"/>
                <w:lang w:eastAsia="zh-CN"/>
              </w:rPr>
              <w:t>、</w:t>
            </w:r>
            <w:r>
              <w:rPr>
                <w:color w:val="FF0000"/>
                <w:sz w:val="21"/>
                <w:lang w:eastAsia="zh-CN"/>
              </w:rPr>
              <w:t>Mg</w:t>
            </w:r>
            <w:r>
              <w:rPr>
                <w:color w:val="FF0000"/>
                <w:sz w:val="21"/>
                <w:vertAlign w:val="superscript"/>
                <w:lang w:eastAsia="zh-CN"/>
              </w:rPr>
              <w:t>2+</w:t>
            </w:r>
            <w:r>
              <w:rPr>
                <w:rFonts w:hint="eastAsia"/>
                <w:color w:val="FF0000"/>
                <w:sz w:val="21"/>
                <w:lang w:eastAsia="zh-CN"/>
              </w:rPr>
              <w:t>、</w:t>
            </w:r>
            <w:r>
              <w:rPr>
                <w:color w:val="FF0000"/>
                <w:sz w:val="21"/>
                <w:lang w:eastAsia="zh-CN"/>
              </w:rPr>
              <w:t>CO</w:t>
            </w:r>
            <w:r>
              <w:rPr>
                <w:color w:val="FF0000"/>
                <w:sz w:val="21"/>
                <w:vertAlign w:val="subscript"/>
                <w:lang w:eastAsia="zh-CN"/>
              </w:rPr>
              <w:t>3</w:t>
            </w:r>
            <w:r>
              <w:rPr>
                <w:color w:val="FF0000"/>
                <w:sz w:val="21"/>
                <w:vertAlign w:val="superscript"/>
                <w:lang w:eastAsia="zh-CN"/>
              </w:rPr>
              <w:t>2-</w:t>
            </w:r>
            <w:r>
              <w:rPr>
                <w:rFonts w:hint="eastAsia"/>
                <w:color w:val="FF0000"/>
                <w:sz w:val="21"/>
                <w:lang w:eastAsia="zh-CN"/>
              </w:rPr>
              <w:t>、</w:t>
            </w:r>
            <w:r>
              <w:rPr>
                <w:color w:val="FF0000"/>
                <w:sz w:val="21"/>
                <w:lang w:eastAsia="zh-CN"/>
              </w:rPr>
              <w:t>HCO</w:t>
            </w:r>
            <w:r>
              <w:rPr>
                <w:color w:val="FF0000"/>
                <w:sz w:val="21"/>
                <w:vertAlign w:val="subscript"/>
                <w:lang w:eastAsia="zh-CN"/>
              </w:rPr>
              <w:t>3</w:t>
            </w:r>
            <w:r>
              <w:rPr>
                <w:color w:val="FF0000"/>
                <w:sz w:val="21"/>
                <w:vertAlign w:val="superscript"/>
                <w:lang w:eastAsia="zh-CN"/>
              </w:rPr>
              <w:t>-</w:t>
            </w:r>
            <w:r>
              <w:rPr>
                <w:rFonts w:hint="eastAsia"/>
                <w:color w:val="FF0000"/>
                <w:sz w:val="21"/>
                <w:lang w:eastAsia="zh-CN"/>
              </w:rPr>
              <w:t>、</w:t>
            </w:r>
            <w:r>
              <w:rPr>
                <w:color w:val="FF0000"/>
                <w:sz w:val="21"/>
                <w:lang w:eastAsia="zh-CN"/>
              </w:rPr>
              <w:t>Cl</w:t>
            </w:r>
            <w:r>
              <w:rPr>
                <w:color w:val="FF0000"/>
                <w:sz w:val="21"/>
                <w:vertAlign w:val="superscript"/>
                <w:lang w:eastAsia="zh-CN"/>
              </w:rPr>
              <w:t>-</w:t>
            </w:r>
            <w:r>
              <w:rPr>
                <w:rFonts w:hint="eastAsia"/>
                <w:color w:val="FF0000"/>
                <w:sz w:val="21"/>
                <w:lang w:eastAsia="zh-CN"/>
              </w:rPr>
              <w:t>、</w:t>
            </w:r>
            <w:r>
              <w:rPr>
                <w:color w:val="FF0000"/>
                <w:sz w:val="21"/>
                <w:lang w:eastAsia="zh-CN"/>
              </w:rPr>
              <w:t>SO</w:t>
            </w:r>
            <w:r>
              <w:rPr>
                <w:color w:val="FF0000"/>
                <w:sz w:val="21"/>
                <w:vertAlign w:val="subscript"/>
                <w:lang w:eastAsia="zh-CN"/>
              </w:rPr>
              <w:t>4</w:t>
            </w:r>
            <w:r>
              <w:rPr>
                <w:color w:val="FF0000"/>
                <w:sz w:val="21"/>
                <w:vertAlign w:val="superscript"/>
                <w:lang w:eastAsia="zh-CN"/>
              </w:rPr>
              <w:t>2-</w:t>
            </w:r>
            <w:r>
              <w:rPr>
                <w:rFonts w:hint="eastAsia"/>
                <w:color w:val="FF0000"/>
                <w:sz w:val="21"/>
                <w:lang w:eastAsia="zh-CN"/>
              </w:rPr>
              <w:t>、</w:t>
            </w:r>
            <w:r>
              <w:rPr>
                <w:color w:val="FF0000"/>
                <w:sz w:val="21"/>
                <w:lang w:eastAsia="zh-CN"/>
              </w:rPr>
              <w:t>pH</w:t>
            </w:r>
            <w:r>
              <w:rPr>
                <w:rFonts w:hint="eastAsia"/>
                <w:color w:val="FF0000"/>
                <w:sz w:val="21"/>
                <w:lang w:eastAsia="zh-CN"/>
              </w:rPr>
              <w:t>、总硬度、溶解性总固体、硫酸盐、氯化物、铁、锰、铜、锌、挥发酚、阴离子表面活性剂、硝酸盐、亚硝酸盐、氨氮、硫化物、氟化物、氰化物、汞、砷、镉、六价铬、铅、总大肠菌群等</w:t>
            </w:r>
            <w:r>
              <w:rPr>
                <w:color w:val="FF0000"/>
                <w:sz w:val="21"/>
                <w:lang w:eastAsia="zh-CN"/>
              </w:rPr>
              <w:t>共计31项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bidi="en-US"/>
              </w:rPr>
            </w:pPr>
          </w:p>
        </w:tc>
        <w:tc>
          <w:tcPr>
            <w:tcW w:w="102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bidi="en-US"/>
              </w:rPr>
            </w:pPr>
          </w:p>
        </w:tc>
        <w:tc>
          <w:tcPr>
            <w:tcW w:w="1328" w:type="dxa"/>
            <w:tcBorders>
              <w:top w:val="single" w:color="auto" w:sz="4" w:space="0"/>
              <w:left w:val="single" w:color="auto" w:sz="4" w:space="0"/>
              <w:bottom w:val="single" w:color="auto" w:sz="4" w:space="0"/>
              <w:right w:val="single" w:color="auto" w:sz="4" w:space="0"/>
            </w:tcBorders>
            <w:vAlign w:val="center"/>
          </w:tcPr>
          <w:p>
            <w:pPr>
              <w:pStyle w:val="674"/>
              <w:rPr>
                <w:color w:val="FF0000"/>
                <w:sz w:val="21"/>
              </w:rPr>
            </w:pPr>
            <w:r>
              <w:rPr>
                <w:color w:val="FF0000"/>
                <w:sz w:val="21"/>
              </w:rPr>
              <w:t>影响分析</w:t>
            </w:r>
          </w:p>
        </w:tc>
        <w:tc>
          <w:tcPr>
            <w:tcW w:w="5477" w:type="dxa"/>
            <w:tcBorders>
              <w:top w:val="single" w:color="auto" w:sz="4" w:space="0"/>
              <w:left w:val="single" w:color="auto" w:sz="4" w:space="0"/>
              <w:bottom w:val="single" w:color="auto" w:sz="4" w:space="0"/>
              <w:right w:val="single" w:color="auto" w:sz="4" w:space="0"/>
            </w:tcBorders>
            <w:vAlign w:val="center"/>
          </w:tcPr>
          <w:p>
            <w:pPr>
              <w:pStyle w:val="674"/>
              <w:rPr>
                <w:color w:val="FF0000"/>
                <w:sz w:val="21"/>
                <w:lang w:eastAsia="zh-CN"/>
              </w:rPr>
            </w:pPr>
            <w:r>
              <w:rPr>
                <w:color w:val="FF0000"/>
                <w:sz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dxa"/>
            <w:vMerge w:val="restart"/>
            <w:tcBorders>
              <w:top w:val="single" w:color="auto" w:sz="4" w:space="0"/>
              <w:left w:val="single" w:color="auto" w:sz="4" w:space="0"/>
              <w:bottom w:val="single" w:color="auto" w:sz="4" w:space="0"/>
              <w:right w:val="single" w:color="auto" w:sz="4" w:space="0"/>
            </w:tcBorders>
            <w:vAlign w:val="center"/>
          </w:tcPr>
          <w:p>
            <w:pPr>
              <w:pStyle w:val="674"/>
              <w:rPr>
                <w:color w:val="FF0000"/>
                <w:sz w:val="21"/>
              </w:rPr>
            </w:pPr>
            <w:r>
              <w:rPr>
                <w:color w:val="FF0000"/>
                <w:sz w:val="21"/>
              </w:rPr>
              <w:t>3</w:t>
            </w:r>
          </w:p>
        </w:tc>
        <w:tc>
          <w:tcPr>
            <w:tcW w:w="1022" w:type="dxa"/>
            <w:vMerge w:val="restart"/>
            <w:tcBorders>
              <w:top w:val="single" w:color="auto" w:sz="4" w:space="0"/>
              <w:left w:val="single" w:color="auto" w:sz="4" w:space="0"/>
              <w:bottom w:val="single" w:color="auto" w:sz="4" w:space="0"/>
              <w:right w:val="single" w:color="auto" w:sz="4" w:space="0"/>
            </w:tcBorders>
            <w:vAlign w:val="center"/>
          </w:tcPr>
          <w:p>
            <w:pPr>
              <w:pStyle w:val="674"/>
              <w:rPr>
                <w:color w:val="FF0000"/>
                <w:sz w:val="21"/>
              </w:rPr>
            </w:pPr>
            <w:r>
              <w:rPr>
                <w:color w:val="FF0000"/>
                <w:sz w:val="21"/>
              </w:rPr>
              <w:t>声环境</w:t>
            </w:r>
          </w:p>
        </w:tc>
        <w:tc>
          <w:tcPr>
            <w:tcW w:w="1328" w:type="dxa"/>
            <w:tcBorders>
              <w:top w:val="single" w:color="auto" w:sz="4" w:space="0"/>
              <w:left w:val="single" w:color="auto" w:sz="4" w:space="0"/>
              <w:bottom w:val="single" w:color="auto" w:sz="4" w:space="0"/>
              <w:right w:val="single" w:color="auto" w:sz="4" w:space="0"/>
            </w:tcBorders>
            <w:vAlign w:val="center"/>
          </w:tcPr>
          <w:p>
            <w:pPr>
              <w:pStyle w:val="674"/>
              <w:rPr>
                <w:color w:val="FF0000"/>
                <w:sz w:val="21"/>
              </w:rPr>
            </w:pPr>
            <w:r>
              <w:rPr>
                <w:color w:val="FF0000"/>
                <w:sz w:val="21"/>
              </w:rPr>
              <w:t>现状评价</w:t>
            </w:r>
          </w:p>
        </w:tc>
        <w:tc>
          <w:tcPr>
            <w:tcW w:w="5477" w:type="dxa"/>
            <w:tcBorders>
              <w:top w:val="single" w:color="auto" w:sz="4" w:space="0"/>
              <w:left w:val="single" w:color="auto" w:sz="4" w:space="0"/>
              <w:bottom w:val="single" w:color="auto" w:sz="4" w:space="0"/>
              <w:right w:val="single" w:color="auto" w:sz="4" w:space="0"/>
            </w:tcBorders>
            <w:vAlign w:val="center"/>
          </w:tcPr>
          <w:p>
            <w:pPr>
              <w:pStyle w:val="674"/>
              <w:rPr>
                <w:color w:val="FF0000"/>
                <w:sz w:val="21"/>
                <w:lang w:eastAsia="zh-CN"/>
              </w:rPr>
            </w:pPr>
            <w:r>
              <w:rPr>
                <w:color w:val="FF0000"/>
                <w:sz w:val="21"/>
                <w:lang w:eastAsia="zh-CN"/>
              </w:rPr>
              <w:t>等效连续A声级（Lep）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bidi="en-US"/>
              </w:rPr>
            </w:pPr>
          </w:p>
        </w:tc>
        <w:tc>
          <w:tcPr>
            <w:tcW w:w="102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bidi="en-US"/>
              </w:rPr>
            </w:pPr>
          </w:p>
        </w:tc>
        <w:tc>
          <w:tcPr>
            <w:tcW w:w="1328" w:type="dxa"/>
            <w:tcBorders>
              <w:top w:val="single" w:color="auto" w:sz="4" w:space="0"/>
              <w:left w:val="single" w:color="auto" w:sz="4" w:space="0"/>
              <w:bottom w:val="single" w:color="auto" w:sz="4" w:space="0"/>
              <w:right w:val="single" w:color="auto" w:sz="4" w:space="0"/>
            </w:tcBorders>
            <w:vAlign w:val="center"/>
          </w:tcPr>
          <w:p>
            <w:pPr>
              <w:pStyle w:val="674"/>
              <w:rPr>
                <w:color w:val="FF0000"/>
                <w:sz w:val="21"/>
              </w:rPr>
            </w:pPr>
            <w:r>
              <w:rPr>
                <w:color w:val="FF0000"/>
                <w:sz w:val="21"/>
              </w:rPr>
              <w:t>影响评价</w:t>
            </w:r>
          </w:p>
        </w:tc>
        <w:tc>
          <w:tcPr>
            <w:tcW w:w="5477" w:type="dxa"/>
            <w:tcBorders>
              <w:top w:val="single" w:color="auto" w:sz="4" w:space="0"/>
              <w:left w:val="single" w:color="auto" w:sz="4" w:space="0"/>
              <w:bottom w:val="single" w:color="auto" w:sz="4" w:space="0"/>
              <w:right w:val="single" w:color="auto" w:sz="4" w:space="0"/>
            </w:tcBorders>
            <w:vAlign w:val="center"/>
          </w:tcPr>
          <w:p>
            <w:pPr>
              <w:pStyle w:val="674"/>
              <w:rPr>
                <w:color w:val="FF0000"/>
                <w:sz w:val="21"/>
                <w:lang w:eastAsia="zh-CN"/>
              </w:rPr>
            </w:pPr>
            <w:r>
              <w:rPr>
                <w:color w:val="FF0000"/>
                <w:sz w:val="21"/>
                <w:lang w:eastAsia="zh-CN"/>
              </w:rPr>
              <w:t>等效连续A声级（Lep）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pStyle w:val="674"/>
              <w:rPr>
                <w:color w:val="FF0000"/>
                <w:sz w:val="21"/>
              </w:rPr>
            </w:pPr>
            <w:r>
              <w:rPr>
                <w:color w:val="FF0000"/>
                <w:sz w:val="21"/>
              </w:rPr>
              <w:t>4</w:t>
            </w:r>
          </w:p>
        </w:tc>
        <w:tc>
          <w:tcPr>
            <w:tcW w:w="1022" w:type="dxa"/>
            <w:tcBorders>
              <w:top w:val="single" w:color="auto" w:sz="4" w:space="0"/>
              <w:left w:val="single" w:color="auto" w:sz="4" w:space="0"/>
              <w:bottom w:val="single" w:color="auto" w:sz="4" w:space="0"/>
              <w:right w:val="single" w:color="auto" w:sz="4" w:space="0"/>
            </w:tcBorders>
            <w:vAlign w:val="center"/>
          </w:tcPr>
          <w:p>
            <w:pPr>
              <w:pStyle w:val="674"/>
              <w:rPr>
                <w:color w:val="FF0000"/>
                <w:sz w:val="21"/>
              </w:rPr>
            </w:pPr>
            <w:r>
              <w:rPr>
                <w:color w:val="FF0000"/>
                <w:sz w:val="21"/>
              </w:rPr>
              <w:t>固体</w:t>
            </w:r>
          </w:p>
          <w:p>
            <w:pPr>
              <w:pStyle w:val="674"/>
              <w:rPr>
                <w:color w:val="FF0000"/>
                <w:sz w:val="21"/>
              </w:rPr>
            </w:pPr>
            <w:r>
              <w:rPr>
                <w:color w:val="FF0000"/>
                <w:sz w:val="21"/>
              </w:rPr>
              <w:t>废物</w:t>
            </w:r>
          </w:p>
        </w:tc>
        <w:tc>
          <w:tcPr>
            <w:tcW w:w="1328" w:type="dxa"/>
            <w:tcBorders>
              <w:top w:val="single" w:color="auto" w:sz="4" w:space="0"/>
              <w:left w:val="single" w:color="auto" w:sz="4" w:space="0"/>
              <w:bottom w:val="single" w:color="auto" w:sz="4" w:space="0"/>
              <w:right w:val="single" w:color="auto" w:sz="4" w:space="0"/>
            </w:tcBorders>
            <w:vAlign w:val="center"/>
          </w:tcPr>
          <w:p>
            <w:pPr>
              <w:pStyle w:val="674"/>
              <w:rPr>
                <w:color w:val="FF0000"/>
                <w:sz w:val="21"/>
              </w:rPr>
            </w:pPr>
            <w:r>
              <w:rPr>
                <w:color w:val="FF0000"/>
                <w:sz w:val="21"/>
              </w:rPr>
              <w:t>污染源评价</w:t>
            </w:r>
          </w:p>
        </w:tc>
        <w:tc>
          <w:tcPr>
            <w:tcW w:w="5477" w:type="dxa"/>
            <w:tcBorders>
              <w:top w:val="single" w:color="auto" w:sz="4" w:space="0"/>
              <w:left w:val="single" w:color="auto" w:sz="4" w:space="0"/>
              <w:bottom w:val="single" w:color="auto" w:sz="4" w:space="0"/>
              <w:right w:val="single" w:color="auto" w:sz="4" w:space="0"/>
            </w:tcBorders>
            <w:vAlign w:val="center"/>
          </w:tcPr>
          <w:p>
            <w:pPr>
              <w:pStyle w:val="674"/>
              <w:rPr>
                <w:color w:val="FF0000"/>
                <w:sz w:val="21"/>
                <w:lang w:eastAsia="zh-CN"/>
              </w:rPr>
            </w:pPr>
            <w:r>
              <w:rPr>
                <w:color w:val="FF0000"/>
                <w:sz w:val="21"/>
                <w:lang w:eastAsia="zh-CN"/>
              </w:rPr>
              <w:t>废分子筛、废润滑油等固体废物处置措施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dxa"/>
            <w:vMerge w:val="restart"/>
            <w:tcBorders>
              <w:top w:val="single" w:color="auto" w:sz="4" w:space="0"/>
              <w:left w:val="single" w:color="auto" w:sz="4" w:space="0"/>
              <w:bottom w:val="single" w:color="auto" w:sz="4" w:space="0"/>
              <w:right w:val="single" w:color="auto" w:sz="4" w:space="0"/>
            </w:tcBorders>
            <w:vAlign w:val="center"/>
          </w:tcPr>
          <w:p>
            <w:pPr>
              <w:pStyle w:val="674"/>
              <w:rPr>
                <w:color w:val="FF0000"/>
                <w:sz w:val="21"/>
              </w:rPr>
            </w:pPr>
            <w:r>
              <w:rPr>
                <w:color w:val="FF0000"/>
                <w:sz w:val="21"/>
              </w:rPr>
              <w:t>5</w:t>
            </w:r>
          </w:p>
        </w:tc>
        <w:tc>
          <w:tcPr>
            <w:tcW w:w="1022" w:type="dxa"/>
            <w:vMerge w:val="restart"/>
            <w:tcBorders>
              <w:top w:val="single" w:color="auto" w:sz="4" w:space="0"/>
              <w:left w:val="single" w:color="auto" w:sz="4" w:space="0"/>
              <w:bottom w:val="single" w:color="auto" w:sz="4" w:space="0"/>
              <w:right w:val="single" w:color="auto" w:sz="4" w:space="0"/>
            </w:tcBorders>
            <w:vAlign w:val="center"/>
          </w:tcPr>
          <w:p>
            <w:pPr>
              <w:pStyle w:val="674"/>
              <w:rPr>
                <w:color w:val="FF0000"/>
                <w:sz w:val="21"/>
                <w:lang w:eastAsia="zh-CN"/>
              </w:rPr>
            </w:pPr>
            <w:r>
              <w:rPr>
                <w:color w:val="FF0000"/>
                <w:sz w:val="21"/>
                <w:lang w:eastAsia="zh-CN"/>
              </w:rPr>
              <w:t>土壤</w:t>
            </w:r>
          </w:p>
          <w:p>
            <w:pPr>
              <w:pStyle w:val="674"/>
              <w:rPr>
                <w:color w:val="FF0000"/>
                <w:sz w:val="21"/>
                <w:lang w:eastAsia="zh-CN"/>
              </w:rPr>
            </w:pPr>
            <w:r>
              <w:rPr>
                <w:color w:val="FF0000"/>
                <w:sz w:val="21"/>
                <w:lang w:eastAsia="zh-CN"/>
              </w:rPr>
              <w:t>环境</w:t>
            </w:r>
          </w:p>
        </w:tc>
        <w:tc>
          <w:tcPr>
            <w:tcW w:w="1328" w:type="dxa"/>
            <w:tcBorders>
              <w:top w:val="single" w:color="auto" w:sz="4" w:space="0"/>
              <w:left w:val="single" w:color="auto" w:sz="4" w:space="0"/>
              <w:bottom w:val="single" w:color="auto" w:sz="4" w:space="0"/>
              <w:right w:val="single" w:color="auto" w:sz="4" w:space="0"/>
            </w:tcBorders>
            <w:vAlign w:val="center"/>
          </w:tcPr>
          <w:p>
            <w:pPr>
              <w:pStyle w:val="674"/>
              <w:rPr>
                <w:color w:val="FF0000"/>
                <w:sz w:val="21"/>
              </w:rPr>
            </w:pPr>
            <w:r>
              <w:rPr>
                <w:color w:val="FF0000"/>
                <w:sz w:val="21"/>
              </w:rPr>
              <w:t>现状评价</w:t>
            </w:r>
          </w:p>
        </w:tc>
        <w:tc>
          <w:tcPr>
            <w:tcW w:w="5477" w:type="dxa"/>
            <w:tcBorders>
              <w:top w:val="single" w:color="auto" w:sz="4" w:space="0"/>
              <w:left w:val="single" w:color="auto" w:sz="4" w:space="0"/>
              <w:bottom w:val="single" w:color="auto" w:sz="4" w:space="0"/>
              <w:right w:val="single" w:color="auto" w:sz="4" w:space="0"/>
            </w:tcBorders>
            <w:vAlign w:val="center"/>
          </w:tcPr>
          <w:p>
            <w:pPr>
              <w:pStyle w:val="674"/>
              <w:rPr>
                <w:bCs/>
                <w:color w:val="FF0000"/>
                <w:sz w:val="21"/>
                <w:lang w:eastAsia="zh-CN"/>
              </w:rPr>
            </w:pPr>
            <w:r>
              <w:rPr>
                <w:bCs/>
                <w:color w:val="FF0000"/>
                <w:sz w:val="21"/>
                <w:lang w:eastAsia="zh-CN"/>
              </w:rPr>
              <w:t>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pH、石油烃，共47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bidi="en-US"/>
              </w:rPr>
            </w:pPr>
          </w:p>
        </w:tc>
        <w:tc>
          <w:tcPr>
            <w:tcW w:w="102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bidi="en-US"/>
              </w:rPr>
            </w:pPr>
          </w:p>
        </w:tc>
        <w:tc>
          <w:tcPr>
            <w:tcW w:w="1328" w:type="dxa"/>
            <w:tcBorders>
              <w:top w:val="single" w:color="auto" w:sz="4" w:space="0"/>
              <w:left w:val="single" w:color="auto" w:sz="4" w:space="0"/>
              <w:bottom w:val="single" w:color="auto" w:sz="4" w:space="0"/>
              <w:right w:val="single" w:color="auto" w:sz="4" w:space="0"/>
            </w:tcBorders>
            <w:vAlign w:val="center"/>
          </w:tcPr>
          <w:p>
            <w:pPr>
              <w:pStyle w:val="674"/>
              <w:rPr>
                <w:color w:val="FF0000"/>
                <w:sz w:val="21"/>
              </w:rPr>
            </w:pPr>
            <w:r>
              <w:rPr>
                <w:color w:val="FF0000"/>
                <w:sz w:val="21"/>
              </w:rPr>
              <w:t>影响评价</w:t>
            </w:r>
          </w:p>
        </w:tc>
        <w:tc>
          <w:tcPr>
            <w:tcW w:w="5477" w:type="dxa"/>
            <w:tcBorders>
              <w:top w:val="single" w:color="auto" w:sz="4" w:space="0"/>
              <w:left w:val="single" w:color="auto" w:sz="4" w:space="0"/>
              <w:bottom w:val="single" w:color="auto" w:sz="4" w:space="0"/>
              <w:right w:val="single" w:color="auto" w:sz="4" w:space="0"/>
            </w:tcBorders>
            <w:vAlign w:val="center"/>
          </w:tcPr>
          <w:p>
            <w:pPr>
              <w:pStyle w:val="674"/>
              <w:rPr>
                <w:color w:val="FF0000"/>
                <w:sz w:val="21"/>
                <w:lang w:eastAsia="zh-CN"/>
              </w:rPr>
            </w:pPr>
            <w:r>
              <w:rPr>
                <w:color w:val="FF0000"/>
                <w:sz w:val="21"/>
                <w:lang w:eastAsia="zh-CN"/>
              </w:rPr>
              <w:t>/</w:t>
            </w:r>
          </w:p>
        </w:tc>
      </w:tr>
    </w:tbl>
    <w:p>
      <w:pPr>
        <w:pStyle w:val="4"/>
        <w:spacing w:before="120" w:after="120"/>
      </w:pPr>
      <w:bookmarkStart w:id="78" w:name="_Toc145580352"/>
      <w:r>
        <w:t>1.</w:t>
      </w:r>
      <w:r>
        <w:rPr>
          <w:rFonts w:hint="eastAsia"/>
        </w:rPr>
        <w:t xml:space="preserve">4 </w:t>
      </w:r>
      <w:r>
        <w:t>环境功能区划</w:t>
      </w:r>
      <w:bookmarkEnd w:id="70"/>
      <w:bookmarkEnd w:id="71"/>
      <w:r>
        <w:t>及评价标准</w:t>
      </w:r>
      <w:bookmarkEnd w:id="72"/>
      <w:bookmarkEnd w:id="78"/>
    </w:p>
    <w:p>
      <w:pPr>
        <w:pStyle w:val="5"/>
        <w:spacing w:before="120" w:after="120"/>
        <w:rPr>
          <w:spacing w:val="0"/>
        </w:rPr>
      </w:pPr>
      <w:bookmarkStart w:id="79" w:name="_Toc107500304"/>
      <w:bookmarkStart w:id="80" w:name="_Toc145580353"/>
      <w:r>
        <w:rPr>
          <w:spacing w:val="0"/>
        </w:rPr>
        <w:t>1.</w:t>
      </w:r>
      <w:r>
        <w:rPr>
          <w:rFonts w:hint="eastAsia"/>
          <w:spacing w:val="0"/>
        </w:rPr>
        <w:t>4</w:t>
      </w:r>
      <w:r>
        <w:rPr>
          <w:spacing w:val="0"/>
        </w:rPr>
        <w:t>.1环境功能区划</w:t>
      </w:r>
      <w:bookmarkEnd w:id="79"/>
      <w:bookmarkEnd w:id="80"/>
    </w:p>
    <w:p>
      <w:pPr>
        <w:pStyle w:val="494"/>
        <w:ind w:firstLine="480"/>
      </w:pPr>
      <w:r>
        <w:rPr>
          <w:rFonts w:hint="eastAsia"/>
        </w:rPr>
        <w:t xml:space="preserve">（1） </w:t>
      </w:r>
      <w:r>
        <w:t>生态环境</w:t>
      </w:r>
    </w:p>
    <w:p>
      <w:pPr>
        <w:pStyle w:val="494"/>
        <w:ind w:firstLine="480"/>
      </w:pPr>
      <w:r>
        <w:t>根据《新疆生态功能区划》，本项目所在区域属于“准噶尔盆地温性荒漠与绿洲农业生态区（</w:t>
      </w:r>
      <w:r>
        <w:rPr>
          <w:rFonts w:hint="eastAsia" w:ascii="宋体" w:hAnsi="宋体" w:cs="宋体"/>
        </w:rPr>
        <w:t>Ⅱ</w:t>
      </w:r>
      <w:r>
        <w:t>） 准噶尔盆地中部固定、半固定沙漠生态亚区（</w:t>
      </w:r>
      <w:r>
        <w:rPr>
          <w:rFonts w:hint="eastAsia" w:ascii="宋体" w:hAnsi="宋体" w:cs="宋体"/>
        </w:rPr>
        <w:t>Ⅱ</w:t>
      </w:r>
      <w:r>
        <w:rPr>
          <w:vertAlign w:val="subscript"/>
        </w:rPr>
        <w:t>3</w:t>
      </w:r>
      <w:r>
        <w:t>） 23古尔班通古特沙漠化敏感及植被保护生态功能区”。</w:t>
      </w:r>
    </w:p>
    <w:p>
      <w:pPr>
        <w:pStyle w:val="494"/>
        <w:ind w:firstLine="480"/>
      </w:pPr>
      <w:r>
        <w:rPr>
          <w:rFonts w:hint="eastAsia"/>
        </w:rPr>
        <w:t>（2）</w:t>
      </w:r>
      <w:r>
        <w:t>环境空气</w:t>
      </w:r>
    </w:p>
    <w:p>
      <w:pPr>
        <w:pStyle w:val="494"/>
        <w:ind w:firstLine="480"/>
      </w:pPr>
      <w:r>
        <w:t>本项目位于新疆维吾尔自治区昌吉回族自治州阜康市境内北部沙漠区，阜康市董701区块董701-X1井场东侧</w:t>
      </w:r>
      <w:r>
        <w:rPr>
          <w:rFonts w:hint="eastAsia"/>
          <w:bCs/>
          <w:lang w:bidi="en-US"/>
        </w:rPr>
        <w:t>新疆天安鑫业油气技术服务有限公司现有厂区内</w:t>
      </w:r>
      <w:r>
        <w:t>，周边无自然保护区、风景名胜区和其他需要特殊保护的区域。根据环境空气功能区分类，评价区环境空气功能区为二类区，执行《环境空气质量标准》（GB3095-2012）中二级标准。</w:t>
      </w:r>
    </w:p>
    <w:p>
      <w:pPr>
        <w:pStyle w:val="494"/>
        <w:ind w:firstLine="480"/>
      </w:pPr>
      <w:r>
        <w:rPr>
          <w:rFonts w:hint="eastAsia"/>
        </w:rPr>
        <w:t>（3）</w:t>
      </w:r>
      <w:r>
        <w:t>水环境</w:t>
      </w:r>
    </w:p>
    <w:p>
      <w:pPr>
        <w:pStyle w:val="494"/>
        <w:ind w:firstLine="480"/>
      </w:pPr>
      <w:r>
        <w:rPr>
          <w:rFonts w:hint="eastAsia"/>
        </w:rPr>
        <w:t>根据《地下水质量标准》（</w:t>
      </w:r>
      <w:r>
        <w:t>GB/T14848-2017）</w:t>
      </w:r>
      <w:r>
        <w:rPr>
          <w:rFonts w:hint="eastAsia"/>
        </w:rPr>
        <w:t>中</w:t>
      </w:r>
      <w:r>
        <w:t>地下水质量分类</w:t>
      </w:r>
      <w:r>
        <w:rPr>
          <w:rFonts w:ascii="宋体" w:hAnsi="宋体"/>
        </w:rPr>
        <w:t>“以人体健康基准值为依据”</w:t>
      </w:r>
      <w:r>
        <w:t>的要求，主要适用于集中式生活饮用水水源及工、农业用水的地下水为</w:t>
      </w:r>
      <w:r>
        <w:rPr>
          <w:rFonts w:hint="eastAsia"/>
        </w:rPr>
        <w:t>Ⅲ</w:t>
      </w:r>
      <w:r>
        <w:t>类水质</w:t>
      </w:r>
      <w:r>
        <w:rPr>
          <w:rFonts w:hint="eastAsia"/>
        </w:rPr>
        <w:t>。</w:t>
      </w:r>
      <w:r>
        <w:t>本项目所在区</w:t>
      </w:r>
      <w:r>
        <w:rPr>
          <w:rFonts w:hint="eastAsia"/>
        </w:rPr>
        <w:t>域</w:t>
      </w:r>
      <w:r>
        <w:t>地下水执行《地下水质量标准》（GB/T14848-2017）中的</w:t>
      </w:r>
      <w:r>
        <w:rPr>
          <w:rFonts w:hint="eastAsia"/>
        </w:rPr>
        <w:t>Ⅲ</w:t>
      </w:r>
      <w:r>
        <w:t>类标准。</w:t>
      </w:r>
    </w:p>
    <w:p>
      <w:pPr>
        <w:pStyle w:val="494"/>
        <w:ind w:firstLine="480"/>
      </w:pPr>
      <w:r>
        <w:rPr>
          <w:rFonts w:hint="eastAsia"/>
        </w:rPr>
        <w:t xml:space="preserve">（4） </w:t>
      </w:r>
      <w:r>
        <w:t>声环境</w:t>
      </w:r>
    </w:p>
    <w:p>
      <w:pPr>
        <w:pStyle w:val="494"/>
        <w:ind w:firstLine="480"/>
      </w:pPr>
      <w:bookmarkStart w:id="81" w:name="_Toc437732081"/>
      <w:bookmarkStart w:id="82" w:name="_Toc430033217"/>
      <w:r>
        <w:rPr>
          <w:rFonts w:hint="eastAsia"/>
        </w:rPr>
        <w:t>根据声环境功能区划分，项目所在地为</w:t>
      </w:r>
      <w:r>
        <w:t>2</w:t>
      </w:r>
      <w:r>
        <w:rPr>
          <w:rFonts w:hint="eastAsia"/>
        </w:rPr>
        <w:t>类声环境功能区，</w:t>
      </w:r>
      <w:r>
        <w:t>执行《声环境质量标准》（GB3096-2008）</w:t>
      </w:r>
      <w:r>
        <w:rPr>
          <w:rFonts w:hint="eastAsia"/>
        </w:rPr>
        <w:t>中</w:t>
      </w:r>
      <w:r>
        <w:t>2类标准</w:t>
      </w:r>
      <w:r>
        <w:rPr>
          <w:rFonts w:hint="eastAsia"/>
        </w:rPr>
        <w:t>要求。</w:t>
      </w:r>
    </w:p>
    <w:p>
      <w:pPr>
        <w:pStyle w:val="5"/>
        <w:spacing w:before="120" w:after="120"/>
        <w:rPr>
          <w:spacing w:val="0"/>
        </w:rPr>
      </w:pPr>
      <w:bookmarkStart w:id="83" w:name="_Toc145580354"/>
      <w:bookmarkStart w:id="84" w:name="_Toc107500305"/>
      <w:r>
        <w:rPr>
          <w:spacing w:val="0"/>
        </w:rPr>
        <w:t>1.</w:t>
      </w:r>
      <w:r>
        <w:rPr>
          <w:rFonts w:hint="eastAsia"/>
          <w:spacing w:val="0"/>
        </w:rPr>
        <w:t>4</w:t>
      </w:r>
      <w:r>
        <w:rPr>
          <w:spacing w:val="0"/>
        </w:rPr>
        <w:t>.2评价标准</w:t>
      </w:r>
      <w:bookmarkEnd w:id="81"/>
      <w:bookmarkEnd w:id="82"/>
      <w:bookmarkEnd w:id="83"/>
      <w:bookmarkEnd w:id="84"/>
    </w:p>
    <w:p>
      <w:pPr>
        <w:pStyle w:val="494"/>
        <w:ind w:firstLine="480"/>
      </w:pPr>
      <w:r>
        <w:rPr>
          <w:rFonts w:hint="eastAsia"/>
        </w:rPr>
        <w:t>（1）</w:t>
      </w:r>
      <w:r>
        <w:t>环境质量标准</w:t>
      </w:r>
    </w:p>
    <w:p>
      <w:pPr>
        <w:pStyle w:val="494"/>
        <w:ind w:firstLine="480"/>
      </w:pPr>
      <w:r>
        <w:t>根据本项目的行业特点，结合项目所在区域环境功能，采用以下标准进行本项目环境影响评价。</w:t>
      </w:r>
    </w:p>
    <w:p>
      <w:pPr>
        <w:pStyle w:val="494"/>
        <w:ind w:firstLine="480"/>
      </w:pPr>
      <w:r>
        <w:rPr>
          <w:rFonts w:hint="eastAsia" w:ascii="宋体" w:hAnsi="宋体" w:cs="宋体"/>
          <w:lang w:eastAsia="ja-JP"/>
        </w:rPr>
        <w:t>①</w:t>
      </w:r>
      <w:r>
        <w:t>环境空气质量</w:t>
      </w:r>
      <w:r>
        <w:rPr>
          <w:rFonts w:hint="eastAsia"/>
        </w:rPr>
        <w:t>标准</w:t>
      </w:r>
    </w:p>
    <w:p>
      <w:pPr>
        <w:pStyle w:val="494"/>
        <w:ind w:firstLine="480"/>
      </w:pPr>
      <w:r>
        <w:rPr>
          <w:rFonts w:cs="Times New Roman"/>
        </w:rPr>
        <w:t>本项目所在区域SO</w:t>
      </w:r>
      <w:r>
        <w:rPr>
          <w:rFonts w:cs="Times New Roman"/>
          <w:vertAlign w:val="subscript"/>
        </w:rPr>
        <w:t>2</w:t>
      </w:r>
      <w:r>
        <w:rPr>
          <w:rFonts w:cs="Times New Roman"/>
        </w:rPr>
        <w:t>、NO</w:t>
      </w:r>
      <w:r>
        <w:rPr>
          <w:rFonts w:cs="Times New Roman"/>
          <w:vertAlign w:val="subscript"/>
        </w:rPr>
        <w:t>2</w:t>
      </w:r>
      <w:r>
        <w:rPr>
          <w:rFonts w:cs="Times New Roman"/>
        </w:rPr>
        <w:t>、PM</w:t>
      </w:r>
      <w:r>
        <w:rPr>
          <w:rFonts w:cs="Times New Roman"/>
          <w:vertAlign w:val="subscript"/>
        </w:rPr>
        <w:t>10</w:t>
      </w:r>
      <w:r>
        <w:rPr>
          <w:rFonts w:cs="Times New Roman"/>
        </w:rPr>
        <w:t>、PM</w:t>
      </w:r>
      <w:r>
        <w:rPr>
          <w:rFonts w:cs="Times New Roman"/>
          <w:vertAlign w:val="subscript"/>
        </w:rPr>
        <w:t>2.5</w:t>
      </w:r>
      <w:r>
        <w:rPr>
          <w:rFonts w:cs="Times New Roman"/>
        </w:rPr>
        <w:t>、CO、O</w:t>
      </w:r>
      <w:r>
        <w:rPr>
          <w:rFonts w:cs="Times New Roman"/>
          <w:vertAlign w:val="subscript"/>
        </w:rPr>
        <w:t>3</w:t>
      </w:r>
      <w:r>
        <w:rPr>
          <w:rFonts w:cs="Times New Roman"/>
        </w:rPr>
        <w:t>执行《环境空气质量标准》（GB3095-2012）中二级标准；非甲烷总烃执行《大气污染物综合排放标准》（GB16297-1996）详解中2.0mg/m</w:t>
      </w:r>
      <w:r>
        <w:rPr>
          <w:rFonts w:cs="Times New Roman"/>
          <w:vertAlign w:val="superscript"/>
        </w:rPr>
        <w:t>3</w:t>
      </w:r>
      <w:r>
        <w:rPr>
          <w:rFonts w:cs="Times New Roman"/>
        </w:rPr>
        <w:t>限值要求。</w:t>
      </w:r>
      <w:r>
        <w:t>有关污染物及其浓度限值见表1.4-1。</w:t>
      </w:r>
    </w:p>
    <w:p>
      <w:pPr>
        <w:pStyle w:val="400"/>
        <w:ind w:firstLine="420"/>
      </w:pPr>
      <w:r>
        <w:t>表1.</w:t>
      </w:r>
      <w:r>
        <w:rPr>
          <w:rFonts w:hint="eastAsia"/>
        </w:rPr>
        <w:t>4</w:t>
      </w:r>
      <w:r>
        <w:t>-1              环境空气中各项污染物的浓度限值</w:t>
      </w:r>
    </w:p>
    <w:tbl>
      <w:tblPr>
        <w:tblStyle w:val="55"/>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1383"/>
        <w:gridCol w:w="1980"/>
        <w:gridCol w:w="778"/>
        <w:gridCol w:w="1173"/>
        <w:gridCol w:w="26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52"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序号</w:t>
            </w:r>
          </w:p>
        </w:tc>
        <w:tc>
          <w:tcPr>
            <w:tcW w:w="820"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污染物</w:t>
            </w:r>
          </w:p>
        </w:tc>
        <w:tc>
          <w:tcPr>
            <w:tcW w:w="1174"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取值时间</w:t>
            </w:r>
          </w:p>
        </w:tc>
        <w:tc>
          <w:tcPr>
            <w:tcW w:w="461"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lang w:eastAsia="zh-CN"/>
              </w:rPr>
            </w:pPr>
            <w:r>
              <w:rPr>
                <w:color w:val="auto"/>
                <w:sz w:val="21"/>
                <w:lang w:eastAsia="zh-CN"/>
              </w:rPr>
              <w:t>单位</w:t>
            </w:r>
          </w:p>
        </w:tc>
        <w:tc>
          <w:tcPr>
            <w:tcW w:w="695"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lang w:eastAsia="zh-CN"/>
              </w:rPr>
            </w:pPr>
            <w:r>
              <w:rPr>
                <w:color w:val="auto"/>
                <w:sz w:val="21"/>
                <w:lang w:eastAsia="zh-CN"/>
              </w:rPr>
              <w:t>浓度限值</w:t>
            </w:r>
          </w:p>
        </w:tc>
        <w:tc>
          <w:tcPr>
            <w:tcW w:w="1598"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lang w:eastAsia="zh-CN"/>
              </w:rPr>
            </w:pPr>
            <w:r>
              <w:rPr>
                <w:color w:val="auto"/>
                <w:sz w:val="21"/>
                <w:lang w:eastAsia="zh-CN"/>
              </w:rPr>
              <w:t>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2" w:type="pct"/>
            <w:vMerge w:val="restar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1</w:t>
            </w:r>
          </w:p>
        </w:tc>
        <w:tc>
          <w:tcPr>
            <w:tcW w:w="820" w:type="pct"/>
            <w:vMerge w:val="restar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SO</w:t>
            </w:r>
            <w:r>
              <w:rPr>
                <w:color w:val="auto"/>
                <w:sz w:val="21"/>
                <w:vertAlign w:val="subscript"/>
              </w:rPr>
              <w:t>2</w:t>
            </w:r>
          </w:p>
        </w:tc>
        <w:tc>
          <w:tcPr>
            <w:tcW w:w="1174"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年平均</w:t>
            </w:r>
          </w:p>
        </w:tc>
        <w:tc>
          <w:tcPr>
            <w:tcW w:w="461" w:type="pct"/>
            <w:vMerge w:val="restar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µg/m</w:t>
            </w:r>
            <w:r>
              <w:rPr>
                <w:color w:val="auto"/>
                <w:sz w:val="21"/>
                <w:vertAlign w:val="superscript"/>
              </w:rPr>
              <w:t>3</w:t>
            </w:r>
          </w:p>
        </w:tc>
        <w:tc>
          <w:tcPr>
            <w:tcW w:w="695"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60</w:t>
            </w:r>
          </w:p>
        </w:tc>
        <w:tc>
          <w:tcPr>
            <w:tcW w:w="1598" w:type="pct"/>
            <w:vMerge w:val="restart"/>
            <w:tcBorders>
              <w:top w:val="single" w:color="auto" w:sz="6" w:space="0"/>
              <w:left w:val="single" w:color="auto" w:sz="6" w:space="0"/>
              <w:bottom w:val="single" w:color="auto" w:sz="6" w:space="0"/>
              <w:right w:val="single" w:color="auto" w:sz="6" w:space="0"/>
            </w:tcBorders>
            <w:vAlign w:val="center"/>
          </w:tcPr>
          <w:p>
            <w:pPr>
              <w:pStyle w:val="674"/>
              <w:rPr>
                <w:color w:val="auto"/>
                <w:sz w:val="21"/>
                <w:lang w:eastAsia="zh-CN"/>
              </w:rPr>
            </w:pPr>
            <w:r>
              <w:rPr>
                <w:color w:val="auto"/>
                <w:sz w:val="21"/>
                <w:lang w:eastAsia="zh-CN"/>
              </w:rPr>
              <w:t>《环境空气质量标准》（GB3095-2012）中二级标准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2"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bidi="en-US"/>
              </w:rPr>
            </w:pPr>
          </w:p>
        </w:tc>
        <w:tc>
          <w:tcPr>
            <w:tcW w:w="820"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bidi="en-US"/>
              </w:rPr>
            </w:pPr>
          </w:p>
        </w:tc>
        <w:tc>
          <w:tcPr>
            <w:tcW w:w="1174"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24小时平均</w:t>
            </w:r>
          </w:p>
        </w:tc>
        <w:tc>
          <w:tcPr>
            <w:tcW w:w="461"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eastAsia="en-US" w:bidi="en-US"/>
              </w:rPr>
            </w:pPr>
          </w:p>
        </w:tc>
        <w:tc>
          <w:tcPr>
            <w:tcW w:w="695"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150</w:t>
            </w:r>
          </w:p>
        </w:tc>
        <w:tc>
          <w:tcPr>
            <w:tcW w:w="1598"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bidi="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2"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eastAsia="en-US" w:bidi="en-US"/>
              </w:rPr>
            </w:pPr>
          </w:p>
        </w:tc>
        <w:tc>
          <w:tcPr>
            <w:tcW w:w="820"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eastAsia="en-US" w:bidi="en-US"/>
              </w:rPr>
            </w:pPr>
          </w:p>
        </w:tc>
        <w:tc>
          <w:tcPr>
            <w:tcW w:w="1174"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1小时平均</w:t>
            </w:r>
          </w:p>
        </w:tc>
        <w:tc>
          <w:tcPr>
            <w:tcW w:w="461"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eastAsia="en-US" w:bidi="en-US"/>
              </w:rPr>
            </w:pPr>
          </w:p>
        </w:tc>
        <w:tc>
          <w:tcPr>
            <w:tcW w:w="695"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500</w:t>
            </w:r>
          </w:p>
        </w:tc>
        <w:tc>
          <w:tcPr>
            <w:tcW w:w="1598"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bidi="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2" w:type="pct"/>
            <w:vMerge w:val="restar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2</w:t>
            </w:r>
          </w:p>
        </w:tc>
        <w:tc>
          <w:tcPr>
            <w:tcW w:w="820" w:type="pct"/>
            <w:vMerge w:val="restar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NO</w:t>
            </w:r>
            <w:r>
              <w:rPr>
                <w:color w:val="auto"/>
                <w:sz w:val="21"/>
                <w:vertAlign w:val="subscript"/>
              </w:rPr>
              <w:t>2</w:t>
            </w:r>
          </w:p>
        </w:tc>
        <w:tc>
          <w:tcPr>
            <w:tcW w:w="1174"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年平均</w:t>
            </w:r>
          </w:p>
        </w:tc>
        <w:tc>
          <w:tcPr>
            <w:tcW w:w="461" w:type="pct"/>
            <w:vMerge w:val="restar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µg/m</w:t>
            </w:r>
            <w:r>
              <w:rPr>
                <w:color w:val="auto"/>
                <w:sz w:val="21"/>
                <w:vertAlign w:val="superscript"/>
              </w:rPr>
              <w:t>3</w:t>
            </w:r>
          </w:p>
        </w:tc>
        <w:tc>
          <w:tcPr>
            <w:tcW w:w="695"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40</w:t>
            </w:r>
          </w:p>
        </w:tc>
        <w:tc>
          <w:tcPr>
            <w:tcW w:w="1598"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bidi="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2"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eastAsia="en-US" w:bidi="en-US"/>
              </w:rPr>
            </w:pPr>
          </w:p>
        </w:tc>
        <w:tc>
          <w:tcPr>
            <w:tcW w:w="820"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eastAsia="en-US" w:bidi="en-US"/>
              </w:rPr>
            </w:pPr>
          </w:p>
        </w:tc>
        <w:tc>
          <w:tcPr>
            <w:tcW w:w="1174"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24小时平均</w:t>
            </w:r>
          </w:p>
        </w:tc>
        <w:tc>
          <w:tcPr>
            <w:tcW w:w="461"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eastAsia="en-US" w:bidi="en-US"/>
              </w:rPr>
            </w:pPr>
          </w:p>
        </w:tc>
        <w:tc>
          <w:tcPr>
            <w:tcW w:w="695"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80</w:t>
            </w:r>
          </w:p>
        </w:tc>
        <w:tc>
          <w:tcPr>
            <w:tcW w:w="1598"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bidi="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2"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eastAsia="en-US" w:bidi="en-US"/>
              </w:rPr>
            </w:pPr>
          </w:p>
        </w:tc>
        <w:tc>
          <w:tcPr>
            <w:tcW w:w="820"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eastAsia="en-US" w:bidi="en-US"/>
              </w:rPr>
            </w:pPr>
          </w:p>
        </w:tc>
        <w:tc>
          <w:tcPr>
            <w:tcW w:w="1174"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1小时平均</w:t>
            </w:r>
          </w:p>
        </w:tc>
        <w:tc>
          <w:tcPr>
            <w:tcW w:w="461"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eastAsia="en-US" w:bidi="en-US"/>
              </w:rPr>
            </w:pPr>
          </w:p>
        </w:tc>
        <w:tc>
          <w:tcPr>
            <w:tcW w:w="695"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200</w:t>
            </w:r>
          </w:p>
        </w:tc>
        <w:tc>
          <w:tcPr>
            <w:tcW w:w="1598"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bidi="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2" w:type="pct"/>
            <w:vMerge w:val="restar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3</w:t>
            </w:r>
          </w:p>
        </w:tc>
        <w:tc>
          <w:tcPr>
            <w:tcW w:w="820" w:type="pct"/>
            <w:vMerge w:val="restar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PM</w:t>
            </w:r>
            <w:r>
              <w:rPr>
                <w:color w:val="auto"/>
                <w:sz w:val="21"/>
                <w:vertAlign w:val="subscript"/>
              </w:rPr>
              <w:t>10</w:t>
            </w:r>
          </w:p>
        </w:tc>
        <w:tc>
          <w:tcPr>
            <w:tcW w:w="1174"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年平均</w:t>
            </w:r>
          </w:p>
        </w:tc>
        <w:tc>
          <w:tcPr>
            <w:tcW w:w="461" w:type="pct"/>
            <w:vMerge w:val="restar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µg/m</w:t>
            </w:r>
            <w:r>
              <w:rPr>
                <w:color w:val="auto"/>
                <w:sz w:val="21"/>
                <w:vertAlign w:val="superscript"/>
              </w:rPr>
              <w:t>3</w:t>
            </w:r>
          </w:p>
        </w:tc>
        <w:tc>
          <w:tcPr>
            <w:tcW w:w="695"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70</w:t>
            </w:r>
          </w:p>
        </w:tc>
        <w:tc>
          <w:tcPr>
            <w:tcW w:w="1598"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bidi="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2"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eastAsia="en-US" w:bidi="en-US"/>
              </w:rPr>
            </w:pPr>
          </w:p>
        </w:tc>
        <w:tc>
          <w:tcPr>
            <w:tcW w:w="820"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eastAsia="en-US" w:bidi="en-US"/>
              </w:rPr>
            </w:pPr>
          </w:p>
        </w:tc>
        <w:tc>
          <w:tcPr>
            <w:tcW w:w="1174"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24小时平均</w:t>
            </w:r>
          </w:p>
        </w:tc>
        <w:tc>
          <w:tcPr>
            <w:tcW w:w="461"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eastAsia="en-US" w:bidi="en-US"/>
              </w:rPr>
            </w:pPr>
          </w:p>
        </w:tc>
        <w:tc>
          <w:tcPr>
            <w:tcW w:w="695"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150</w:t>
            </w:r>
          </w:p>
        </w:tc>
        <w:tc>
          <w:tcPr>
            <w:tcW w:w="1598"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bidi="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2" w:type="pct"/>
            <w:vMerge w:val="restart"/>
            <w:tcBorders>
              <w:top w:val="single" w:color="auto" w:sz="6" w:space="0"/>
              <w:left w:val="single" w:color="auto" w:sz="6" w:space="0"/>
              <w:bottom w:val="single" w:color="auto" w:sz="6" w:space="0"/>
              <w:right w:val="single" w:color="auto" w:sz="6" w:space="0"/>
            </w:tcBorders>
            <w:vAlign w:val="center"/>
          </w:tcPr>
          <w:p>
            <w:pPr>
              <w:pStyle w:val="674"/>
              <w:rPr>
                <w:color w:val="auto"/>
                <w:sz w:val="21"/>
                <w:lang w:eastAsia="zh-CN"/>
              </w:rPr>
            </w:pPr>
            <w:r>
              <w:rPr>
                <w:color w:val="auto"/>
                <w:sz w:val="21"/>
                <w:lang w:eastAsia="zh-CN"/>
              </w:rPr>
              <w:t>4</w:t>
            </w:r>
          </w:p>
        </w:tc>
        <w:tc>
          <w:tcPr>
            <w:tcW w:w="820" w:type="pct"/>
            <w:vMerge w:val="restar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PM</w:t>
            </w:r>
            <w:r>
              <w:rPr>
                <w:color w:val="auto"/>
                <w:sz w:val="21"/>
                <w:vertAlign w:val="subscript"/>
              </w:rPr>
              <w:t>2.5</w:t>
            </w:r>
          </w:p>
        </w:tc>
        <w:tc>
          <w:tcPr>
            <w:tcW w:w="1174"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年平均</w:t>
            </w:r>
          </w:p>
        </w:tc>
        <w:tc>
          <w:tcPr>
            <w:tcW w:w="461" w:type="pct"/>
            <w:vMerge w:val="restar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µg/m</w:t>
            </w:r>
            <w:r>
              <w:rPr>
                <w:color w:val="auto"/>
                <w:sz w:val="21"/>
                <w:vertAlign w:val="superscript"/>
              </w:rPr>
              <w:t>3</w:t>
            </w:r>
          </w:p>
        </w:tc>
        <w:tc>
          <w:tcPr>
            <w:tcW w:w="695"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lang w:eastAsia="zh-CN"/>
              </w:rPr>
            </w:pPr>
            <w:r>
              <w:rPr>
                <w:color w:val="auto"/>
                <w:sz w:val="21"/>
                <w:lang w:eastAsia="zh-CN"/>
              </w:rPr>
              <w:t>35</w:t>
            </w:r>
          </w:p>
        </w:tc>
        <w:tc>
          <w:tcPr>
            <w:tcW w:w="1598"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bidi="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2"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bidi="en-US"/>
              </w:rPr>
            </w:pPr>
          </w:p>
        </w:tc>
        <w:tc>
          <w:tcPr>
            <w:tcW w:w="820"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eastAsia="en-US" w:bidi="en-US"/>
              </w:rPr>
            </w:pPr>
          </w:p>
        </w:tc>
        <w:tc>
          <w:tcPr>
            <w:tcW w:w="1174"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24小时平均</w:t>
            </w:r>
          </w:p>
        </w:tc>
        <w:tc>
          <w:tcPr>
            <w:tcW w:w="461"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eastAsia="en-US" w:bidi="en-US"/>
              </w:rPr>
            </w:pPr>
          </w:p>
        </w:tc>
        <w:tc>
          <w:tcPr>
            <w:tcW w:w="695"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lang w:eastAsia="zh-CN"/>
              </w:rPr>
            </w:pPr>
            <w:r>
              <w:rPr>
                <w:color w:val="auto"/>
                <w:sz w:val="21"/>
                <w:lang w:eastAsia="zh-CN"/>
              </w:rPr>
              <w:t>75</w:t>
            </w:r>
          </w:p>
        </w:tc>
        <w:tc>
          <w:tcPr>
            <w:tcW w:w="1598"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bidi="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2" w:type="pct"/>
            <w:vMerge w:val="restart"/>
            <w:tcBorders>
              <w:top w:val="single" w:color="auto" w:sz="6" w:space="0"/>
              <w:left w:val="single" w:color="auto" w:sz="6" w:space="0"/>
              <w:bottom w:val="single" w:color="auto" w:sz="6" w:space="0"/>
              <w:right w:val="single" w:color="auto" w:sz="6" w:space="0"/>
            </w:tcBorders>
            <w:vAlign w:val="center"/>
          </w:tcPr>
          <w:p>
            <w:pPr>
              <w:pStyle w:val="674"/>
              <w:rPr>
                <w:color w:val="auto"/>
                <w:sz w:val="21"/>
                <w:lang w:eastAsia="zh-CN"/>
              </w:rPr>
            </w:pPr>
            <w:r>
              <w:rPr>
                <w:color w:val="auto"/>
                <w:sz w:val="21"/>
                <w:lang w:eastAsia="zh-CN"/>
              </w:rPr>
              <w:t>5</w:t>
            </w:r>
          </w:p>
        </w:tc>
        <w:tc>
          <w:tcPr>
            <w:tcW w:w="820" w:type="pct"/>
            <w:vMerge w:val="restart"/>
            <w:tcBorders>
              <w:top w:val="single" w:color="auto" w:sz="6" w:space="0"/>
              <w:left w:val="single" w:color="auto" w:sz="6" w:space="0"/>
              <w:bottom w:val="single" w:color="auto" w:sz="6" w:space="0"/>
              <w:right w:val="single" w:color="auto" w:sz="6" w:space="0"/>
            </w:tcBorders>
            <w:vAlign w:val="center"/>
          </w:tcPr>
          <w:p>
            <w:pPr>
              <w:pStyle w:val="674"/>
              <w:rPr>
                <w:color w:val="auto"/>
                <w:sz w:val="21"/>
                <w:lang w:eastAsia="zh-CN"/>
              </w:rPr>
            </w:pPr>
            <w:r>
              <w:rPr>
                <w:color w:val="auto"/>
                <w:sz w:val="21"/>
                <w:lang w:eastAsia="zh-CN"/>
              </w:rPr>
              <w:t>CO</w:t>
            </w:r>
          </w:p>
        </w:tc>
        <w:tc>
          <w:tcPr>
            <w:tcW w:w="1174"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24小时平均</w:t>
            </w:r>
          </w:p>
        </w:tc>
        <w:tc>
          <w:tcPr>
            <w:tcW w:w="461" w:type="pct"/>
            <w:vMerge w:val="restar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mg/m</w:t>
            </w:r>
            <w:r>
              <w:rPr>
                <w:color w:val="auto"/>
                <w:sz w:val="21"/>
                <w:vertAlign w:val="superscript"/>
              </w:rPr>
              <w:t>3</w:t>
            </w:r>
          </w:p>
        </w:tc>
        <w:tc>
          <w:tcPr>
            <w:tcW w:w="695"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lang w:eastAsia="zh-CN"/>
              </w:rPr>
            </w:pPr>
            <w:r>
              <w:rPr>
                <w:color w:val="auto"/>
                <w:sz w:val="21"/>
                <w:lang w:eastAsia="zh-CN"/>
              </w:rPr>
              <w:t>4</w:t>
            </w:r>
          </w:p>
        </w:tc>
        <w:tc>
          <w:tcPr>
            <w:tcW w:w="1598"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bidi="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2"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bidi="en-US"/>
              </w:rPr>
            </w:pPr>
          </w:p>
        </w:tc>
        <w:tc>
          <w:tcPr>
            <w:tcW w:w="820"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bidi="en-US"/>
              </w:rPr>
            </w:pPr>
          </w:p>
        </w:tc>
        <w:tc>
          <w:tcPr>
            <w:tcW w:w="1174"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1小时平均</w:t>
            </w:r>
          </w:p>
        </w:tc>
        <w:tc>
          <w:tcPr>
            <w:tcW w:w="461"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eastAsia="en-US" w:bidi="en-US"/>
              </w:rPr>
            </w:pPr>
          </w:p>
        </w:tc>
        <w:tc>
          <w:tcPr>
            <w:tcW w:w="695"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lang w:eastAsia="zh-CN"/>
              </w:rPr>
            </w:pPr>
            <w:r>
              <w:rPr>
                <w:color w:val="auto"/>
                <w:sz w:val="21"/>
                <w:lang w:eastAsia="zh-CN"/>
              </w:rPr>
              <w:t>10</w:t>
            </w:r>
          </w:p>
        </w:tc>
        <w:tc>
          <w:tcPr>
            <w:tcW w:w="1598"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bidi="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2" w:type="pct"/>
            <w:vMerge w:val="restart"/>
            <w:tcBorders>
              <w:top w:val="single" w:color="auto" w:sz="6" w:space="0"/>
              <w:left w:val="single" w:color="auto" w:sz="6" w:space="0"/>
              <w:bottom w:val="single" w:color="auto" w:sz="6" w:space="0"/>
              <w:right w:val="single" w:color="auto" w:sz="6" w:space="0"/>
            </w:tcBorders>
            <w:vAlign w:val="center"/>
          </w:tcPr>
          <w:p>
            <w:pPr>
              <w:pStyle w:val="674"/>
              <w:rPr>
                <w:color w:val="auto"/>
                <w:sz w:val="21"/>
                <w:lang w:eastAsia="zh-CN"/>
              </w:rPr>
            </w:pPr>
            <w:r>
              <w:rPr>
                <w:color w:val="auto"/>
                <w:sz w:val="21"/>
                <w:lang w:eastAsia="zh-CN"/>
              </w:rPr>
              <w:t>6</w:t>
            </w:r>
          </w:p>
        </w:tc>
        <w:tc>
          <w:tcPr>
            <w:tcW w:w="820" w:type="pct"/>
            <w:vMerge w:val="restart"/>
            <w:tcBorders>
              <w:top w:val="single" w:color="auto" w:sz="6" w:space="0"/>
              <w:left w:val="single" w:color="auto" w:sz="6" w:space="0"/>
              <w:bottom w:val="single" w:color="auto" w:sz="6" w:space="0"/>
              <w:right w:val="single" w:color="auto" w:sz="6" w:space="0"/>
            </w:tcBorders>
            <w:vAlign w:val="center"/>
          </w:tcPr>
          <w:p>
            <w:pPr>
              <w:pStyle w:val="674"/>
              <w:rPr>
                <w:color w:val="auto"/>
                <w:sz w:val="21"/>
                <w:lang w:eastAsia="zh-CN"/>
              </w:rPr>
            </w:pPr>
            <w:r>
              <w:rPr>
                <w:color w:val="auto"/>
                <w:sz w:val="21"/>
                <w:lang w:eastAsia="zh-CN"/>
              </w:rPr>
              <w:t>O</w:t>
            </w:r>
            <w:r>
              <w:rPr>
                <w:color w:val="auto"/>
                <w:sz w:val="21"/>
                <w:vertAlign w:val="subscript"/>
                <w:lang w:eastAsia="zh-CN"/>
              </w:rPr>
              <w:t>3</w:t>
            </w:r>
          </w:p>
        </w:tc>
        <w:tc>
          <w:tcPr>
            <w:tcW w:w="1174"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lang w:eastAsia="zh-CN"/>
              </w:rPr>
              <w:t>日最大8h</w:t>
            </w:r>
            <w:r>
              <w:rPr>
                <w:color w:val="auto"/>
                <w:sz w:val="21"/>
              </w:rPr>
              <w:t>小时平均</w:t>
            </w:r>
          </w:p>
        </w:tc>
        <w:tc>
          <w:tcPr>
            <w:tcW w:w="461" w:type="pct"/>
            <w:vMerge w:val="restar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µg/m</w:t>
            </w:r>
            <w:r>
              <w:rPr>
                <w:color w:val="auto"/>
                <w:sz w:val="21"/>
                <w:vertAlign w:val="superscript"/>
              </w:rPr>
              <w:t>3</w:t>
            </w:r>
          </w:p>
        </w:tc>
        <w:tc>
          <w:tcPr>
            <w:tcW w:w="695"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lang w:eastAsia="zh-CN"/>
              </w:rPr>
            </w:pPr>
            <w:r>
              <w:rPr>
                <w:color w:val="auto"/>
                <w:sz w:val="21"/>
                <w:lang w:eastAsia="zh-CN"/>
              </w:rPr>
              <w:t>160</w:t>
            </w:r>
          </w:p>
        </w:tc>
        <w:tc>
          <w:tcPr>
            <w:tcW w:w="1598"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bidi="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2"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bidi="en-US"/>
              </w:rPr>
            </w:pPr>
          </w:p>
        </w:tc>
        <w:tc>
          <w:tcPr>
            <w:tcW w:w="820"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bidi="en-US"/>
              </w:rPr>
            </w:pPr>
          </w:p>
        </w:tc>
        <w:tc>
          <w:tcPr>
            <w:tcW w:w="1174"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1小时平均</w:t>
            </w:r>
          </w:p>
        </w:tc>
        <w:tc>
          <w:tcPr>
            <w:tcW w:w="461"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eastAsia="en-US" w:bidi="en-US"/>
              </w:rPr>
            </w:pPr>
          </w:p>
        </w:tc>
        <w:tc>
          <w:tcPr>
            <w:tcW w:w="695"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lang w:eastAsia="zh-CN"/>
              </w:rPr>
            </w:pPr>
            <w:r>
              <w:rPr>
                <w:color w:val="auto"/>
                <w:sz w:val="21"/>
                <w:lang w:eastAsia="zh-CN"/>
              </w:rPr>
              <w:t>200</w:t>
            </w:r>
          </w:p>
        </w:tc>
        <w:tc>
          <w:tcPr>
            <w:tcW w:w="1598"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kern w:val="0"/>
                <w:szCs w:val="21"/>
                <w:lang w:bidi="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2"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7</w:t>
            </w:r>
          </w:p>
        </w:tc>
        <w:tc>
          <w:tcPr>
            <w:tcW w:w="820"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lang w:eastAsia="zh-CN"/>
              </w:rPr>
            </w:pPr>
            <w:r>
              <w:rPr>
                <w:color w:val="auto"/>
                <w:sz w:val="21"/>
                <w:lang w:eastAsia="zh-CN"/>
              </w:rPr>
              <w:t>非甲烷总烃</w:t>
            </w:r>
          </w:p>
        </w:tc>
        <w:tc>
          <w:tcPr>
            <w:tcW w:w="1174"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1小时平均</w:t>
            </w:r>
          </w:p>
        </w:tc>
        <w:tc>
          <w:tcPr>
            <w:tcW w:w="461"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µg/m</w:t>
            </w:r>
            <w:r>
              <w:rPr>
                <w:color w:val="auto"/>
                <w:sz w:val="21"/>
                <w:vertAlign w:val="superscript"/>
              </w:rPr>
              <w:t>3</w:t>
            </w:r>
          </w:p>
        </w:tc>
        <w:tc>
          <w:tcPr>
            <w:tcW w:w="695"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rPr>
            </w:pPr>
            <w:r>
              <w:rPr>
                <w:color w:val="auto"/>
                <w:sz w:val="21"/>
              </w:rPr>
              <w:t>2000</w:t>
            </w:r>
          </w:p>
        </w:tc>
        <w:tc>
          <w:tcPr>
            <w:tcW w:w="1598" w:type="pct"/>
            <w:tcBorders>
              <w:top w:val="single" w:color="auto" w:sz="6" w:space="0"/>
              <w:left w:val="single" w:color="auto" w:sz="6" w:space="0"/>
              <w:bottom w:val="single" w:color="auto" w:sz="6" w:space="0"/>
              <w:right w:val="single" w:color="auto" w:sz="6" w:space="0"/>
            </w:tcBorders>
            <w:vAlign w:val="center"/>
          </w:tcPr>
          <w:p>
            <w:pPr>
              <w:pStyle w:val="674"/>
              <w:rPr>
                <w:color w:val="auto"/>
                <w:sz w:val="21"/>
                <w:lang w:eastAsia="zh-CN"/>
              </w:rPr>
            </w:pPr>
            <w:r>
              <w:rPr>
                <w:color w:val="auto"/>
                <w:sz w:val="21"/>
                <w:lang w:eastAsia="zh-CN"/>
              </w:rPr>
              <w:t>《大气污染物综合排放标准》（GB16297-1996）详解</w:t>
            </w:r>
          </w:p>
        </w:tc>
      </w:tr>
    </w:tbl>
    <w:p>
      <w:pPr>
        <w:pStyle w:val="494"/>
        <w:ind w:firstLine="480"/>
      </w:pPr>
      <w:r>
        <w:rPr>
          <w:rFonts w:hint="eastAsia" w:ascii="宋体" w:hAnsi="宋体" w:cs="宋体"/>
        </w:rPr>
        <w:t>②</w:t>
      </w:r>
      <w:r>
        <w:t>地下水执行《地下水质量标准》（GB/T14848-2017）</w:t>
      </w:r>
      <w:r>
        <w:rPr>
          <w:rFonts w:hint="eastAsia" w:ascii="宋体" w:hAnsi="宋体" w:cs="宋体"/>
        </w:rPr>
        <w:t>Ⅲ</w:t>
      </w:r>
      <w:r>
        <w:t>类标准，详见表1.4-2。</w:t>
      </w:r>
    </w:p>
    <w:p>
      <w:pPr>
        <w:pStyle w:val="400"/>
        <w:ind w:firstLine="420"/>
      </w:pPr>
      <w:r>
        <w:t>表1.</w:t>
      </w:r>
      <w:r>
        <w:rPr>
          <w:rFonts w:hint="eastAsia"/>
        </w:rPr>
        <w:t>4</w:t>
      </w:r>
      <w:r>
        <w:t>-2                 地下水质量标准限值</w:t>
      </w:r>
    </w:p>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1"/>
        <w:gridCol w:w="2163"/>
        <w:gridCol w:w="2308"/>
        <w:gridCol w:w="2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序号</w:t>
            </w:r>
          </w:p>
        </w:tc>
        <w:tc>
          <w:tcPr>
            <w:tcW w:w="1282" w:type="pct"/>
            <w:vAlign w:val="center"/>
          </w:tcPr>
          <w:p>
            <w:pPr>
              <w:pStyle w:val="670"/>
              <w:rPr>
                <w:rFonts w:eastAsiaTheme="minorEastAsia"/>
                <w:snapToGrid w:val="0"/>
                <w:lang w:eastAsia="zh-CN"/>
              </w:rPr>
            </w:pPr>
            <w:r>
              <w:rPr>
                <w:rFonts w:eastAsiaTheme="minorEastAsia"/>
                <w:snapToGrid w:val="0"/>
                <w:lang w:eastAsia="zh-CN"/>
              </w:rPr>
              <w:t>项目</w:t>
            </w:r>
          </w:p>
        </w:tc>
        <w:tc>
          <w:tcPr>
            <w:tcW w:w="1368" w:type="pct"/>
            <w:vAlign w:val="center"/>
          </w:tcPr>
          <w:p>
            <w:pPr>
              <w:pStyle w:val="670"/>
              <w:rPr>
                <w:rFonts w:eastAsiaTheme="minorEastAsia"/>
                <w:snapToGrid w:val="0"/>
                <w:lang w:eastAsia="zh-CN"/>
              </w:rPr>
            </w:pPr>
            <w:r>
              <w:rPr>
                <w:rFonts w:eastAsiaTheme="minorEastAsia"/>
                <w:snapToGrid w:val="0"/>
                <w:lang w:eastAsia="zh-CN"/>
              </w:rPr>
              <w:t>单位</w:t>
            </w:r>
          </w:p>
        </w:tc>
        <w:tc>
          <w:tcPr>
            <w:tcW w:w="1585" w:type="pct"/>
            <w:vAlign w:val="center"/>
          </w:tcPr>
          <w:p>
            <w:pPr>
              <w:pStyle w:val="670"/>
              <w:rPr>
                <w:rFonts w:eastAsiaTheme="minorEastAsia"/>
                <w:snapToGrid w:val="0"/>
                <w:lang w:eastAsia="zh-CN"/>
              </w:rPr>
            </w:pPr>
            <w:r>
              <w:rPr>
                <w:rFonts w:eastAsiaTheme="minorEastAsia"/>
                <w:snapToGrid w:val="0"/>
                <w:lang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1</w:t>
            </w:r>
          </w:p>
        </w:tc>
        <w:tc>
          <w:tcPr>
            <w:tcW w:w="1282" w:type="pct"/>
            <w:vAlign w:val="center"/>
          </w:tcPr>
          <w:p>
            <w:pPr>
              <w:pStyle w:val="670"/>
              <w:rPr>
                <w:rFonts w:eastAsiaTheme="minorEastAsia"/>
                <w:snapToGrid w:val="0"/>
              </w:rPr>
            </w:pPr>
            <w:r>
              <w:rPr>
                <w:rFonts w:eastAsiaTheme="minorEastAsia"/>
              </w:rPr>
              <w:t>pH值</w:t>
            </w:r>
          </w:p>
        </w:tc>
        <w:tc>
          <w:tcPr>
            <w:tcW w:w="1368" w:type="pct"/>
            <w:vAlign w:val="center"/>
          </w:tcPr>
          <w:p>
            <w:pPr>
              <w:pStyle w:val="670"/>
              <w:rPr>
                <w:rFonts w:eastAsiaTheme="minorEastAsia"/>
                <w:snapToGrid w:val="0"/>
              </w:rPr>
            </w:pPr>
            <w:r>
              <w:rPr>
                <w:rFonts w:eastAsiaTheme="minorEastAsia"/>
              </w:rPr>
              <w:t>无量纲</w:t>
            </w:r>
          </w:p>
        </w:tc>
        <w:tc>
          <w:tcPr>
            <w:tcW w:w="1585" w:type="pct"/>
            <w:vAlign w:val="center"/>
          </w:tcPr>
          <w:p>
            <w:pPr>
              <w:pStyle w:val="670"/>
              <w:rPr>
                <w:rFonts w:eastAsiaTheme="minorEastAsia"/>
                <w:snapToGrid w:val="0"/>
              </w:rPr>
            </w:pPr>
            <w:r>
              <w:rPr>
                <w:rFonts w:eastAsiaTheme="minorEastAsia"/>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2</w:t>
            </w:r>
          </w:p>
        </w:tc>
        <w:tc>
          <w:tcPr>
            <w:tcW w:w="1282" w:type="pct"/>
            <w:vAlign w:val="center"/>
          </w:tcPr>
          <w:p>
            <w:pPr>
              <w:pStyle w:val="670"/>
              <w:rPr>
                <w:rFonts w:eastAsiaTheme="minorEastAsia"/>
                <w:snapToGrid w:val="0"/>
              </w:rPr>
            </w:pPr>
            <w:r>
              <w:rPr>
                <w:rFonts w:eastAsiaTheme="minorEastAsia"/>
              </w:rPr>
              <w:t>溶解性总固体</w:t>
            </w:r>
          </w:p>
        </w:tc>
        <w:tc>
          <w:tcPr>
            <w:tcW w:w="1368" w:type="pct"/>
            <w:vAlign w:val="center"/>
          </w:tcPr>
          <w:p>
            <w:pPr>
              <w:pStyle w:val="670"/>
              <w:rPr>
                <w:rFonts w:eastAsiaTheme="minorEastAsia"/>
                <w:snapToGrid w:val="0"/>
              </w:rPr>
            </w:pPr>
            <w:r>
              <w:rPr>
                <w:rFonts w:eastAsiaTheme="minorEastAsia"/>
              </w:rPr>
              <w:t>mg/L</w:t>
            </w:r>
          </w:p>
        </w:tc>
        <w:tc>
          <w:tcPr>
            <w:tcW w:w="1585" w:type="pct"/>
            <w:vAlign w:val="center"/>
          </w:tcPr>
          <w:p>
            <w:pPr>
              <w:pStyle w:val="670"/>
              <w:rPr>
                <w:rFonts w:eastAsiaTheme="minorEastAsia"/>
                <w:snapToGrid w:val="0"/>
              </w:rPr>
            </w:pPr>
            <w:r>
              <w:rPr>
                <w:rFonts w:eastAsiaTheme="minorEastAsia"/>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3</w:t>
            </w:r>
          </w:p>
        </w:tc>
        <w:tc>
          <w:tcPr>
            <w:tcW w:w="1282" w:type="pct"/>
            <w:vAlign w:val="center"/>
          </w:tcPr>
          <w:p>
            <w:pPr>
              <w:pStyle w:val="670"/>
              <w:rPr>
                <w:rFonts w:eastAsiaTheme="minorEastAsia"/>
                <w:snapToGrid w:val="0"/>
              </w:rPr>
            </w:pPr>
            <w:r>
              <w:rPr>
                <w:rFonts w:eastAsiaTheme="minorEastAsia"/>
              </w:rPr>
              <w:t>总硬度</w:t>
            </w:r>
          </w:p>
        </w:tc>
        <w:tc>
          <w:tcPr>
            <w:tcW w:w="1368" w:type="pct"/>
            <w:vAlign w:val="center"/>
          </w:tcPr>
          <w:p>
            <w:pPr>
              <w:pStyle w:val="670"/>
              <w:rPr>
                <w:rFonts w:eastAsiaTheme="minorEastAsia"/>
                <w:snapToGrid w:val="0"/>
              </w:rPr>
            </w:pPr>
            <w:r>
              <w:rPr>
                <w:rFonts w:eastAsiaTheme="minorEastAsia"/>
              </w:rPr>
              <w:t>mg/L</w:t>
            </w:r>
          </w:p>
        </w:tc>
        <w:tc>
          <w:tcPr>
            <w:tcW w:w="1585" w:type="pct"/>
            <w:vAlign w:val="center"/>
          </w:tcPr>
          <w:p>
            <w:pPr>
              <w:pStyle w:val="670"/>
              <w:rPr>
                <w:rFonts w:eastAsiaTheme="minorEastAsia"/>
                <w:snapToGrid w:val="0"/>
              </w:rPr>
            </w:pPr>
            <w:r>
              <w:rPr>
                <w:rFonts w:eastAsiaTheme="minorEastAsia"/>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4</w:t>
            </w:r>
          </w:p>
        </w:tc>
        <w:tc>
          <w:tcPr>
            <w:tcW w:w="1282" w:type="pct"/>
            <w:vAlign w:val="center"/>
          </w:tcPr>
          <w:p>
            <w:pPr>
              <w:pStyle w:val="670"/>
              <w:rPr>
                <w:rFonts w:eastAsiaTheme="minorEastAsia"/>
                <w:snapToGrid w:val="0"/>
              </w:rPr>
            </w:pPr>
            <w:r>
              <w:rPr>
                <w:rFonts w:eastAsiaTheme="minorEastAsia"/>
              </w:rPr>
              <w:t>挥发酚</w:t>
            </w:r>
          </w:p>
        </w:tc>
        <w:tc>
          <w:tcPr>
            <w:tcW w:w="1368" w:type="pct"/>
            <w:vAlign w:val="center"/>
          </w:tcPr>
          <w:p>
            <w:pPr>
              <w:pStyle w:val="670"/>
              <w:rPr>
                <w:rFonts w:eastAsiaTheme="minorEastAsia"/>
                <w:snapToGrid w:val="0"/>
              </w:rPr>
            </w:pPr>
            <w:r>
              <w:rPr>
                <w:rFonts w:eastAsiaTheme="minorEastAsia"/>
              </w:rPr>
              <w:t>mg/L</w:t>
            </w:r>
          </w:p>
        </w:tc>
        <w:tc>
          <w:tcPr>
            <w:tcW w:w="1585" w:type="pct"/>
            <w:vAlign w:val="center"/>
          </w:tcPr>
          <w:p>
            <w:pPr>
              <w:pStyle w:val="670"/>
              <w:rPr>
                <w:rFonts w:eastAsiaTheme="minorEastAsia"/>
                <w:snapToGrid w:val="0"/>
              </w:rPr>
            </w:pPr>
            <w:r>
              <w:rPr>
                <w:rFonts w:eastAsiaTheme="minorEastAsia"/>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5</w:t>
            </w:r>
          </w:p>
        </w:tc>
        <w:tc>
          <w:tcPr>
            <w:tcW w:w="1282" w:type="pct"/>
            <w:vAlign w:val="center"/>
          </w:tcPr>
          <w:p>
            <w:pPr>
              <w:pStyle w:val="670"/>
              <w:rPr>
                <w:rFonts w:eastAsiaTheme="minorEastAsia"/>
                <w:lang w:eastAsia="zh-CN"/>
              </w:rPr>
            </w:pPr>
            <w:r>
              <w:rPr>
                <w:rFonts w:eastAsiaTheme="minorEastAsia"/>
                <w:lang w:eastAsia="zh-CN"/>
              </w:rPr>
              <w:t>阴离子表面活性剂</w:t>
            </w:r>
          </w:p>
        </w:tc>
        <w:tc>
          <w:tcPr>
            <w:tcW w:w="1368" w:type="pct"/>
            <w:vAlign w:val="center"/>
          </w:tcPr>
          <w:p>
            <w:pPr>
              <w:pStyle w:val="670"/>
              <w:rPr>
                <w:rFonts w:eastAsiaTheme="minorEastAsia"/>
              </w:rPr>
            </w:pPr>
            <w:r>
              <w:rPr>
                <w:rFonts w:eastAsiaTheme="minorEastAsia"/>
              </w:rPr>
              <w:t>mg/L</w:t>
            </w:r>
          </w:p>
        </w:tc>
        <w:tc>
          <w:tcPr>
            <w:tcW w:w="1585" w:type="pct"/>
            <w:vAlign w:val="center"/>
          </w:tcPr>
          <w:p>
            <w:pPr>
              <w:pStyle w:val="670"/>
              <w:rPr>
                <w:rFonts w:eastAsiaTheme="minorEastAsia"/>
                <w:lang w:eastAsia="zh-CN"/>
              </w:rPr>
            </w:pPr>
            <w:r>
              <w:rPr>
                <w:rFonts w:eastAsiaTheme="minorEastAsia"/>
              </w:rPr>
              <w:t>≤</w:t>
            </w:r>
            <w:r>
              <w:rPr>
                <w:rFonts w:eastAsiaTheme="minorEastAsia"/>
                <w:lang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6</w:t>
            </w:r>
          </w:p>
        </w:tc>
        <w:tc>
          <w:tcPr>
            <w:tcW w:w="1282" w:type="pct"/>
            <w:vAlign w:val="center"/>
          </w:tcPr>
          <w:p>
            <w:pPr>
              <w:pStyle w:val="670"/>
              <w:rPr>
                <w:rFonts w:eastAsiaTheme="minorEastAsia"/>
                <w:snapToGrid w:val="0"/>
              </w:rPr>
            </w:pPr>
            <w:r>
              <w:rPr>
                <w:rFonts w:eastAsiaTheme="minorEastAsia"/>
              </w:rPr>
              <w:t>氨氮</w:t>
            </w:r>
          </w:p>
        </w:tc>
        <w:tc>
          <w:tcPr>
            <w:tcW w:w="1368" w:type="pct"/>
            <w:vAlign w:val="center"/>
          </w:tcPr>
          <w:p>
            <w:pPr>
              <w:pStyle w:val="670"/>
              <w:rPr>
                <w:rFonts w:eastAsiaTheme="minorEastAsia"/>
                <w:snapToGrid w:val="0"/>
              </w:rPr>
            </w:pPr>
            <w:r>
              <w:rPr>
                <w:rFonts w:eastAsiaTheme="minorEastAsia"/>
              </w:rPr>
              <w:t>mg/L</w:t>
            </w:r>
          </w:p>
        </w:tc>
        <w:tc>
          <w:tcPr>
            <w:tcW w:w="1585" w:type="pct"/>
            <w:vAlign w:val="center"/>
          </w:tcPr>
          <w:p>
            <w:pPr>
              <w:pStyle w:val="670"/>
              <w:rPr>
                <w:rFonts w:eastAsiaTheme="minorEastAsia"/>
                <w:snapToGrid w:val="0"/>
              </w:rPr>
            </w:pPr>
            <w:r>
              <w:rPr>
                <w:rFonts w:eastAsiaTheme="minorEastAsi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7</w:t>
            </w:r>
          </w:p>
        </w:tc>
        <w:tc>
          <w:tcPr>
            <w:tcW w:w="1282" w:type="pct"/>
            <w:vAlign w:val="center"/>
          </w:tcPr>
          <w:p>
            <w:pPr>
              <w:pStyle w:val="670"/>
              <w:rPr>
                <w:rFonts w:eastAsiaTheme="minorEastAsia"/>
                <w:snapToGrid w:val="0"/>
              </w:rPr>
            </w:pPr>
            <w:r>
              <w:rPr>
                <w:rFonts w:eastAsiaTheme="minorEastAsia"/>
              </w:rPr>
              <w:t>氰化物</w:t>
            </w:r>
          </w:p>
        </w:tc>
        <w:tc>
          <w:tcPr>
            <w:tcW w:w="1368" w:type="pct"/>
            <w:vAlign w:val="center"/>
          </w:tcPr>
          <w:p>
            <w:pPr>
              <w:pStyle w:val="670"/>
              <w:rPr>
                <w:rFonts w:eastAsiaTheme="minorEastAsia"/>
                <w:snapToGrid w:val="0"/>
              </w:rPr>
            </w:pPr>
            <w:r>
              <w:rPr>
                <w:rFonts w:eastAsiaTheme="minorEastAsia"/>
              </w:rPr>
              <w:t>mg/L</w:t>
            </w:r>
          </w:p>
        </w:tc>
        <w:tc>
          <w:tcPr>
            <w:tcW w:w="1585" w:type="pct"/>
            <w:vAlign w:val="center"/>
          </w:tcPr>
          <w:p>
            <w:pPr>
              <w:pStyle w:val="670"/>
              <w:rPr>
                <w:rFonts w:eastAsiaTheme="minorEastAsia"/>
                <w:snapToGrid w:val="0"/>
              </w:rPr>
            </w:pPr>
            <w:r>
              <w:rPr>
                <w:rFonts w:eastAsiaTheme="minor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8</w:t>
            </w:r>
          </w:p>
        </w:tc>
        <w:tc>
          <w:tcPr>
            <w:tcW w:w="1282" w:type="pct"/>
            <w:vAlign w:val="center"/>
          </w:tcPr>
          <w:p>
            <w:pPr>
              <w:pStyle w:val="670"/>
              <w:rPr>
                <w:rFonts w:eastAsiaTheme="minorEastAsia"/>
                <w:snapToGrid w:val="0"/>
              </w:rPr>
            </w:pPr>
            <w:r>
              <w:rPr>
                <w:rFonts w:eastAsiaTheme="minorEastAsia"/>
              </w:rPr>
              <w:t>硫化物</w:t>
            </w:r>
          </w:p>
        </w:tc>
        <w:tc>
          <w:tcPr>
            <w:tcW w:w="1368" w:type="pct"/>
            <w:vAlign w:val="center"/>
          </w:tcPr>
          <w:p>
            <w:pPr>
              <w:pStyle w:val="670"/>
              <w:rPr>
                <w:rFonts w:eastAsiaTheme="minorEastAsia"/>
                <w:snapToGrid w:val="0"/>
              </w:rPr>
            </w:pPr>
            <w:r>
              <w:rPr>
                <w:rFonts w:eastAsiaTheme="minorEastAsia"/>
              </w:rPr>
              <w:t>mg/L</w:t>
            </w:r>
          </w:p>
        </w:tc>
        <w:tc>
          <w:tcPr>
            <w:tcW w:w="1585" w:type="pct"/>
            <w:vAlign w:val="center"/>
          </w:tcPr>
          <w:p>
            <w:pPr>
              <w:pStyle w:val="670"/>
              <w:rPr>
                <w:rFonts w:eastAsiaTheme="minorEastAsia"/>
                <w:snapToGrid w:val="0"/>
              </w:rPr>
            </w:pPr>
            <w:r>
              <w:rPr>
                <w:rFonts w:eastAsiaTheme="minorEastAsia"/>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9</w:t>
            </w:r>
          </w:p>
        </w:tc>
        <w:tc>
          <w:tcPr>
            <w:tcW w:w="1282" w:type="pct"/>
            <w:vAlign w:val="center"/>
          </w:tcPr>
          <w:p>
            <w:pPr>
              <w:pStyle w:val="670"/>
              <w:rPr>
                <w:rFonts w:eastAsiaTheme="minorEastAsia"/>
                <w:snapToGrid w:val="0"/>
              </w:rPr>
            </w:pPr>
            <w:r>
              <w:rPr>
                <w:rFonts w:eastAsiaTheme="minorEastAsia"/>
              </w:rPr>
              <w:t>氟化物</w:t>
            </w:r>
          </w:p>
        </w:tc>
        <w:tc>
          <w:tcPr>
            <w:tcW w:w="1368" w:type="pct"/>
            <w:vAlign w:val="center"/>
          </w:tcPr>
          <w:p>
            <w:pPr>
              <w:pStyle w:val="670"/>
              <w:rPr>
                <w:rFonts w:eastAsiaTheme="minorEastAsia"/>
                <w:snapToGrid w:val="0"/>
              </w:rPr>
            </w:pPr>
            <w:r>
              <w:rPr>
                <w:rFonts w:eastAsiaTheme="minorEastAsia"/>
              </w:rPr>
              <w:t>mg/L</w:t>
            </w:r>
          </w:p>
        </w:tc>
        <w:tc>
          <w:tcPr>
            <w:tcW w:w="1585" w:type="pct"/>
            <w:vAlign w:val="center"/>
          </w:tcPr>
          <w:p>
            <w:pPr>
              <w:pStyle w:val="670"/>
              <w:rPr>
                <w:rFonts w:eastAsiaTheme="minorEastAsia"/>
                <w:snapToGrid w:val="0"/>
                <w:lang w:eastAsia="zh-CN"/>
              </w:rPr>
            </w:pPr>
            <w:r>
              <w:rPr>
                <w:rFonts w:eastAsiaTheme="minorEastAsia"/>
              </w:rPr>
              <w:t>≤1</w:t>
            </w:r>
            <w:r>
              <w:rPr>
                <w:rFonts w:eastAsiaTheme="minorEastAsia"/>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10</w:t>
            </w:r>
          </w:p>
        </w:tc>
        <w:tc>
          <w:tcPr>
            <w:tcW w:w="1282" w:type="pct"/>
            <w:vAlign w:val="center"/>
          </w:tcPr>
          <w:p>
            <w:pPr>
              <w:pStyle w:val="670"/>
              <w:rPr>
                <w:rFonts w:eastAsiaTheme="minorEastAsia"/>
                <w:snapToGrid w:val="0"/>
              </w:rPr>
            </w:pPr>
            <w:r>
              <w:rPr>
                <w:rFonts w:eastAsiaTheme="minorEastAsia"/>
              </w:rPr>
              <w:t>氯化物</w:t>
            </w:r>
          </w:p>
        </w:tc>
        <w:tc>
          <w:tcPr>
            <w:tcW w:w="1368" w:type="pct"/>
            <w:vAlign w:val="center"/>
          </w:tcPr>
          <w:p>
            <w:pPr>
              <w:pStyle w:val="670"/>
              <w:rPr>
                <w:rFonts w:eastAsiaTheme="minorEastAsia"/>
                <w:snapToGrid w:val="0"/>
              </w:rPr>
            </w:pPr>
            <w:r>
              <w:rPr>
                <w:rFonts w:eastAsiaTheme="minorEastAsia"/>
              </w:rPr>
              <w:t>mg/L</w:t>
            </w:r>
          </w:p>
        </w:tc>
        <w:tc>
          <w:tcPr>
            <w:tcW w:w="1585" w:type="pct"/>
            <w:vAlign w:val="center"/>
          </w:tcPr>
          <w:p>
            <w:pPr>
              <w:pStyle w:val="670"/>
              <w:rPr>
                <w:rFonts w:eastAsiaTheme="minorEastAsia"/>
                <w:snapToGrid w:val="0"/>
              </w:rPr>
            </w:pPr>
            <w:r>
              <w:rPr>
                <w:rFonts w:eastAsiaTheme="minorEastAsia"/>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11</w:t>
            </w:r>
          </w:p>
        </w:tc>
        <w:tc>
          <w:tcPr>
            <w:tcW w:w="1282" w:type="pct"/>
            <w:vAlign w:val="center"/>
          </w:tcPr>
          <w:p>
            <w:pPr>
              <w:pStyle w:val="670"/>
              <w:rPr>
                <w:rFonts w:eastAsiaTheme="minorEastAsia"/>
                <w:lang w:eastAsia="zh-CN"/>
              </w:rPr>
            </w:pPr>
            <w:r>
              <w:rPr>
                <w:rFonts w:eastAsiaTheme="minorEastAsia"/>
                <w:lang w:eastAsia="zh-CN"/>
              </w:rPr>
              <w:t>氯离子</w:t>
            </w:r>
          </w:p>
        </w:tc>
        <w:tc>
          <w:tcPr>
            <w:tcW w:w="1368" w:type="pct"/>
            <w:vAlign w:val="center"/>
          </w:tcPr>
          <w:p>
            <w:pPr>
              <w:pStyle w:val="670"/>
              <w:rPr>
                <w:rFonts w:eastAsiaTheme="minorEastAsia"/>
                <w:lang w:eastAsia="zh-CN"/>
              </w:rPr>
            </w:pPr>
            <w:r>
              <w:rPr>
                <w:rFonts w:eastAsiaTheme="minorEastAsia"/>
                <w:lang w:eastAsia="zh-CN"/>
              </w:rPr>
              <w:t>/</w:t>
            </w:r>
          </w:p>
        </w:tc>
        <w:tc>
          <w:tcPr>
            <w:tcW w:w="1585" w:type="pct"/>
            <w:vAlign w:val="center"/>
          </w:tcPr>
          <w:p>
            <w:pPr>
              <w:pStyle w:val="670"/>
              <w:rPr>
                <w:rFonts w:eastAsiaTheme="minorEastAsia"/>
                <w:lang w:eastAsia="zh-CN"/>
              </w:rPr>
            </w:pPr>
            <w:r>
              <w:rPr>
                <w:rFonts w:eastAsiaTheme="minor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12</w:t>
            </w:r>
          </w:p>
        </w:tc>
        <w:tc>
          <w:tcPr>
            <w:tcW w:w="1282" w:type="pct"/>
            <w:vAlign w:val="center"/>
          </w:tcPr>
          <w:p>
            <w:pPr>
              <w:pStyle w:val="670"/>
              <w:rPr>
                <w:rFonts w:eastAsiaTheme="minorEastAsia"/>
                <w:snapToGrid w:val="0"/>
              </w:rPr>
            </w:pPr>
            <w:r>
              <w:rPr>
                <w:rFonts w:eastAsiaTheme="minorEastAsia"/>
              </w:rPr>
              <w:t>硫酸盐</w:t>
            </w:r>
          </w:p>
        </w:tc>
        <w:tc>
          <w:tcPr>
            <w:tcW w:w="1368" w:type="pct"/>
            <w:vAlign w:val="center"/>
          </w:tcPr>
          <w:p>
            <w:pPr>
              <w:pStyle w:val="670"/>
              <w:rPr>
                <w:rFonts w:eastAsiaTheme="minorEastAsia"/>
                <w:snapToGrid w:val="0"/>
              </w:rPr>
            </w:pPr>
            <w:r>
              <w:rPr>
                <w:rFonts w:eastAsiaTheme="minorEastAsia"/>
              </w:rPr>
              <w:t>mg/L</w:t>
            </w:r>
          </w:p>
        </w:tc>
        <w:tc>
          <w:tcPr>
            <w:tcW w:w="1585" w:type="pct"/>
            <w:vAlign w:val="center"/>
          </w:tcPr>
          <w:p>
            <w:pPr>
              <w:pStyle w:val="670"/>
              <w:rPr>
                <w:rFonts w:eastAsiaTheme="minorEastAsia"/>
                <w:snapToGrid w:val="0"/>
              </w:rPr>
            </w:pPr>
            <w:r>
              <w:rPr>
                <w:rFonts w:eastAsiaTheme="minorEastAsia"/>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13</w:t>
            </w:r>
          </w:p>
        </w:tc>
        <w:tc>
          <w:tcPr>
            <w:tcW w:w="1282" w:type="pct"/>
            <w:vAlign w:val="center"/>
          </w:tcPr>
          <w:p>
            <w:pPr>
              <w:pStyle w:val="670"/>
              <w:rPr>
                <w:rFonts w:eastAsiaTheme="minorEastAsia"/>
                <w:lang w:eastAsia="zh-CN"/>
              </w:rPr>
            </w:pPr>
            <w:r>
              <w:rPr>
                <w:rFonts w:eastAsiaTheme="minorEastAsia"/>
                <w:lang w:eastAsia="zh-CN"/>
              </w:rPr>
              <w:t>硫酸根</w:t>
            </w:r>
          </w:p>
        </w:tc>
        <w:tc>
          <w:tcPr>
            <w:tcW w:w="1368" w:type="pct"/>
            <w:vAlign w:val="center"/>
          </w:tcPr>
          <w:p>
            <w:pPr>
              <w:pStyle w:val="670"/>
              <w:rPr>
                <w:rFonts w:eastAsiaTheme="minorEastAsia"/>
                <w:lang w:eastAsia="zh-CN"/>
              </w:rPr>
            </w:pPr>
            <w:r>
              <w:rPr>
                <w:rFonts w:eastAsiaTheme="minorEastAsia"/>
                <w:lang w:eastAsia="zh-CN"/>
              </w:rPr>
              <w:t>/</w:t>
            </w:r>
          </w:p>
        </w:tc>
        <w:tc>
          <w:tcPr>
            <w:tcW w:w="1585" w:type="pct"/>
            <w:vAlign w:val="center"/>
          </w:tcPr>
          <w:p>
            <w:pPr>
              <w:pStyle w:val="670"/>
              <w:rPr>
                <w:rFonts w:eastAsiaTheme="minorEastAsia"/>
                <w:lang w:eastAsia="zh-CN"/>
              </w:rPr>
            </w:pPr>
            <w:r>
              <w:rPr>
                <w:rFonts w:eastAsiaTheme="minor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14</w:t>
            </w:r>
          </w:p>
        </w:tc>
        <w:tc>
          <w:tcPr>
            <w:tcW w:w="1282" w:type="pct"/>
            <w:vAlign w:val="center"/>
          </w:tcPr>
          <w:p>
            <w:pPr>
              <w:pStyle w:val="670"/>
              <w:rPr>
                <w:rFonts w:eastAsiaTheme="minorEastAsia"/>
                <w:snapToGrid w:val="0"/>
              </w:rPr>
            </w:pPr>
            <w:r>
              <w:rPr>
                <w:rFonts w:eastAsiaTheme="minorEastAsia"/>
              </w:rPr>
              <w:t>硝酸盐氮</w:t>
            </w:r>
          </w:p>
        </w:tc>
        <w:tc>
          <w:tcPr>
            <w:tcW w:w="1368" w:type="pct"/>
            <w:vAlign w:val="center"/>
          </w:tcPr>
          <w:p>
            <w:pPr>
              <w:pStyle w:val="670"/>
              <w:rPr>
                <w:rFonts w:eastAsiaTheme="minorEastAsia"/>
                <w:snapToGrid w:val="0"/>
              </w:rPr>
            </w:pPr>
            <w:r>
              <w:rPr>
                <w:rFonts w:eastAsiaTheme="minorEastAsia"/>
              </w:rPr>
              <w:t>mg/L</w:t>
            </w:r>
          </w:p>
        </w:tc>
        <w:tc>
          <w:tcPr>
            <w:tcW w:w="1585" w:type="pct"/>
            <w:vAlign w:val="center"/>
          </w:tcPr>
          <w:p>
            <w:pPr>
              <w:pStyle w:val="670"/>
              <w:rPr>
                <w:rFonts w:eastAsiaTheme="minorEastAsia"/>
                <w:snapToGrid w:val="0"/>
                <w:lang w:eastAsia="zh-CN"/>
              </w:rPr>
            </w:pPr>
            <w:r>
              <w:rPr>
                <w:rFonts w:eastAsiaTheme="minorEastAsia"/>
              </w:rPr>
              <w:t>≤20</w:t>
            </w:r>
            <w:r>
              <w:rPr>
                <w:rFonts w:eastAsiaTheme="minorEastAsia"/>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15</w:t>
            </w:r>
          </w:p>
        </w:tc>
        <w:tc>
          <w:tcPr>
            <w:tcW w:w="1282" w:type="pct"/>
            <w:vAlign w:val="center"/>
          </w:tcPr>
          <w:p>
            <w:pPr>
              <w:pStyle w:val="670"/>
              <w:rPr>
                <w:rFonts w:eastAsiaTheme="minorEastAsia"/>
                <w:snapToGrid w:val="0"/>
              </w:rPr>
            </w:pPr>
            <w:r>
              <w:rPr>
                <w:rFonts w:eastAsiaTheme="minorEastAsia"/>
              </w:rPr>
              <w:t>亚硝酸盐氮</w:t>
            </w:r>
          </w:p>
        </w:tc>
        <w:tc>
          <w:tcPr>
            <w:tcW w:w="1368" w:type="pct"/>
            <w:vAlign w:val="center"/>
          </w:tcPr>
          <w:p>
            <w:pPr>
              <w:pStyle w:val="670"/>
              <w:rPr>
                <w:rFonts w:eastAsiaTheme="minorEastAsia"/>
                <w:snapToGrid w:val="0"/>
              </w:rPr>
            </w:pPr>
            <w:r>
              <w:rPr>
                <w:rFonts w:eastAsiaTheme="minorEastAsia"/>
              </w:rPr>
              <w:t>mg/L</w:t>
            </w:r>
          </w:p>
        </w:tc>
        <w:tc>
          <w:tcPr>
            <w:tcW w:w="1585" w:type="pct"/>
            <w:vAlign w:val="center"/>
          </w:tcPr>
          <w:p>
            <w:pPr>
              <w:pStyle w:val="670"/>
              <w:rPr>
                <w:rFonts w:eastAsiaTheme="minorEastAsia"/>
                <w:snapToGrid w:val="0"/>
                <w:lang w:eastAsia="zh-CN"/>
              </w:rPr>
            </w:pPr>
            <w:r>
              <w:rPr>
                <w:rFonts w:eastAsiaTheme="minorEastAsia"/>
              </w:rPr>
              <w:t>≤1</w:t>
            </w:r>
            <w:r>
              <w:rPr>
                <w:rFonts w:eastAsiaTheme="minorEastAsia"/>
                <w:lang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16</w:t>
            </w:r>
          </w:p>
        </w:tc>
        <w:tc>
          <w:tcPr>
            <w:tcW w:w="1282" w:type="pct"/>
            <w:vAlign w:val="center"/>
          </w:tcPr>
          <w:p>
            <w:pPr>
              <w:pStyle w:val="670"/>
              <w:rPr>
                <w:rFonts w:eastAsiaTheme="minorEastAsia"/>
                <w:lang w:eastAsia="zh-CN"/>
              </w:rPr>
            </w:pPr>
            <w:r>
              <w:rPr>
                <w:rFonts w:eastAsiaTheme="minorEastAsia"/>
                <w:lang w:eastAsia="zh-CN"/>
              </w:rPr>
              <w:t>碳酸根</w:t>
            </w:r>
          </w:p>
        </w:tc>
        <w:tc>
          <w:tcPr>
            <w:tcW w:w="1368" w:type="pct"/>
            <w:vAlign w:val="center"/>
          </w:tcPr>
          <w:p>
            <w:pPr>
              <w:pStyle w:val="670"/>
              <w:rPr>
                <w:rFonts w:eastAsiaTheme="minorEastAsia"/>
                <w:lang w:eastAsia="zh-CN"/>
              </w:rPr>
            </w:pPr>
            <w:r>
              <w:rPr>
                <w:rFonts w:eastAsiaTheme="minorEastAsia"/>
                <w:lang w:eastAsia="zh-CN"/>
              </w:rPr>
              <w:t>/</w:t>
            </w:r>
          </w:p>
        </w:tc>
        <w:tc>
          <w:tcPr>
            <w:tcW w:w="1585" w:type="pct"/>
            <w:vAlign w:val="center"/>
          </w:tcPr>
          <w:p>
            <w:pPr>
              <w:pStyle w:val="670"/>
              <w:rPr>
                <w:rFonts w:eastAsiaTheme="minorEastAsia"/>
                <w:lang w:eastAsia="zh-CN"/>
              </w:rPr>
            </w:pPr>
            <w:r>
              <w:rPr>
                <w:rFonts w:eastAsiaTheme="minor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17</w:t>
            </w:r>
          </w:p>
        </w:tc>
        <w:tc>
          <w:tcPr>
            <w:tcW w:w="1282" w:type="pct"/>
            <w:vAlign w:val="center"/>
          </w:tcPr>
          <w:p>
            <w:pPr>
              <w:pStyle w:val="670"/>
              <w:rPr>
                <w:rFonts w:eastAsiaTheme="minorEastAsia"/>
                <w:lang w:eastAsia="zh-CN"/>
              </w:rPr>
            </w:pPr>
            <w:r>
              <w:rPr>
                <w:rFonts w:eastAsiaTheme="minorEastAsia"/>
                <w:lang w:eastAsia="zh-CN"/>
              </w:rPr>
              <w:t>碳酸氢根</w:t>
            </w:r>
          </w:p>
        </w:tc>
        <w:tc>
          <w:tcPr>
            <w:tcW w:w="1368" w:type="pct"/>
            <w:vAlign w:val="center"/>
          </w:tcPr>
          <w:p>
            <w:pPr>
              <w:pStyle w:val="670"/>
              <w:rPr>
                <w:rFonts w:eastAsiaTheme="minorEastAsia"/>
                <w:lang w:eastAsia="zh-CN"/>
              </w:rPr>
            </w:pPr>
            <w:r>
              <w:rPr>
                <w:rFonts w:eastAsiaTheme="minorEastAsia"/>
                <w:lang w:eastAsia="zh-CN"/>
              </w:rPr>
              <w:t>/</w:t>
            </w:r>
          </w:p>
        </w:tc>
        <w:tc>
          <w:tcPr>
            <w:tcW w:w="1585" w:type="pct"/>
            <w:vAlign w:val="center"/>
          </w:tcPr>
          <w:p>
            <w:pPr>
              <w:pStyle w:val="670"/>
              <w:rPr>
                <w:rFonts w:eastAsiaTheme="minorEastAsia"/>
                <w:lang w:eastAsia="zh-CN"/>
              </w:rPr>
            </w:pPr>
            <w:r>
              <w:rPr>
                <w:rFonts w:eastAsiaTheme="minor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18</w:t>
            </w:r>
          </w:p>
        </w:tc>
        <w:tc>
          <w:tcPr>
            <w:tcW w:w="1282" w:type="pct"/>
            <w:vAlign w:val="center"/>
          </w:tcPr>
          <w:p>
            <w:pPr>
              <w:pStyle w:val="670"/>
              <w:rPr>
                <w:rFonts w:eastAsiaTheme="minorEastAsia"/>
                <w:snapToGrid w:val="0"/>
              </w:rPr>
            </w:pPr>
            <w:r>
              <w:rPr>
                <w:rFonts w:eastAsiaTheme="minorEastAsia"/>
              </w:rPr>
              <w:t>总大肠菌群</w:t>
            </w:r>
          </w:p>
        </w:tc>
        <w:tc>
          <w:tcPr>
            <w:tcW w:w="1368" w:type="pct"/>
            <w:vAlign w:val="center"/>
          </w:tcPr>
          <w:p>
            <w:pPr>
              <w:pStyle w:val="670"/>
              <w:rPr>
                <w:rFonts w:eastAsiaTheme="minorEastAsia"/>
                <w:snapToGrid w:val="0"/>
              </w:rPr>
            </w:pPr>
            <w:r>
              <w:rPr>
                <w:rFonts w:eastAsiaTheme="minorEastAsia"/>
              </w:rPr>
              <w:t>MPN/100mL</w:t>
            </w:r>
          </w:p>
        </w:tc>
        <w:tc>
          <w:tcPr>
            <w:tcW w:w="1585" w:type="pct"/>
            <w:vAlign w:val="center"/>
          </w:tcPr>
          <w:p>
            <w:pPr>
              <w:pStyle w:val="670"/>
              <w:rPr>
                <w:rFonts w:eastAsiaTheme="minorEastAsia"/>
                <w:snapToGrid w:val="0"/>
              </w:rPr>
            </w:pPr>
            <w:r>
              <w:rPr>
                <w:rFonts w:eastAsiaTheme="minor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19</w:t>
            </w:r>
          </w:p>
        </w:tc>
        <w:tc>
          <w:tcPr>
            <w:tcW w:w="1282" w:type="pct"/>
            <w:vAlign w:val="center"/>
          </w:tcPr>
          <w:p>
            <w:pPr>
              <w:pStyle w:val="670"/>
              <w:rPr>
                <w:rFonts w:eastAsiaTheme="minorEastAsia"/>
                <w:snapToGrid w:val="0"/>
              </w:rPr>
            </w:pPr>
            <w:r>
              <w:rPr>
                <w:rFonts w:eastAsiaTheme="minorEastAsia"/>
              </w:rPr>
              <w:t>六价铬</w:t>
            </w:r>
          </w:p>
        </w:tc>
        <w:tc>
          <w:tcPr>
            <w:tcW w:w="1368" w:type="pct"/>
            <w:vAlign w:val="center"/>
          </w:tcPr>
          <w:p>
            <w:pPr>
              <w:pStyle w:val="670"/>
              <w:rPr>
                <w:rFonts w:eastAsiaTheme="minorEastAsia"/>
                <w:snapToGrid w:val="0"/>
              </w:rPr>
            </w:pPr>
            <w:r>
              <w:rPr>
                <w:rFonts w:eastAsiaTheme="minorEastAsia"/>
              </w:rPr>
              <w:t>mg/L</w:t>
            </w:r>
          </w:p>
        </w:tc>
        <w:tc>
          <w:tcPr>
            <w:tcW w:w="1585" w:type="pct"/>
            <w:vAlign w:val="center"/>
          </w:tcPr>
          <w:p>
            <w:pPr>
              <w:pStyle w:val="670"/>
              <w:rPr>
                <w:rFonts w:eastAsiaTheme="minorEastAsia"/>
                <w:snapToGrid w:val="0"/>
              </w:rPr>
            </w:pPr>
            <w:r>
              <w:rPr>
                <w:rFonts w:eastAsiaTheme="minor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20</w:t>
            </w:r>
          </w:p>
        </w:tc>
        <w:tc>
          <w:tcPr>
            <w:tcW w:w="1282" w:type="pct"/>
            <w:vAlign w:val="center"/>
          </w:tcPr>
          <w:p>
            <w:pPr>
              <w:pStyle w:val="670"/>
              <w:rPr>
                <w:rFonts w:eastAsiaTheme="minorEastAsia"/>
                <w:snapToGrid w:val="0"/>
              </w:rPr>
            </w:pPr>
            <w:r>
              <w:rPr>
                <w:rFonts w:eastAsiaTheme="minorEastAsia"/>
              </w:rPr>
              <w:t>铁</w:t>
            </w:r>
          </w:p>
        </w:tc>
        <w:tc>
          <w:tcPr>
            <w:tcW w:w="1368" w:type="pct"/>
            <w:vAlign w:val="center"/>
          </w:tcPr>
          <w:p>
            <w:pPr>
              <w:pStyle w:val="670"/>
              <w:rPr>
                <w:rFonts w:eastAsiaTheme="minorEastAsia"/>
                <w:snapToGrid w:val="0"/>
              </w:rPr>
            </w:pPr>
            <w:r>
              <w:rPr>
                <w:rFonts w:eastAsiaTheme="minorEastAsia"/>
              </w:rPr>
              <w:t>mg/L</w:t>
            </w:r>
          </w:p>
        </w:tc>
        <w:tc>
          <w:tcPr>
            <w:tcW w:w="1585" w:type="pct"/>
            <w:vAlign w:val="center"/>
          </w:tcPr>
          <w:p>
            <w:pPr>
              <w:pStyle w:val="670"/>
              <w:rPr>
                <w:rFonts w:eastAsiaTheme="minorEastAsia"/>
                <w:snapToGrid w:val="0"/>
              </w:rPr>
            </w:pPr>
            <w:r>
              <w:rPr>
                <w:rFonts w:eastAsiaTheme="minorEastAsia"/>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21</w:t>
            </w:r>
          </w:p>
        </w:tc>
        <w:tc>
          <w:tcPr>
            <w:tcW w:w="1282" w:type="pct"/>
            <w:vAlign w:val="center"/>
          </w:tcPr>
          <w:p>
            <w:pPr>
              <w:pStyle w:val="670"/>
              <w:rPr>
                <w:rFonts w:eastAsiaTheme="minorEastAsia"/>
                <w:snapToGrid w:val="0"/>
              </w:rPr>
            </w:pPr>
            <w:r>
              <w:rPr>
                <w:rFonts w:eastAsiaTheme="minorEastAsia"/>
              </w:rPr>
              <w:t>锰</w:t>
            </w:r>
          </w:p>
        </w:tc>
        <w:tc>
          <w:tcPr>
            <w:tcW w:w="1368" w:type="pct"/>
            <w:vAlign w:val="center"/>
          </w:tcPr>
          <w:p>
            <w:pPr>
              <w:pStyle w:val="670"/>
              <w:rPr>
                <w:rFonts w:eastAsiaTheme="minorEastAsia"/>
                <w:snapToGrid w:val="0"/>
              </w:rPr>
            </w:pPr>
            <w:r>
              <w:rPr>
                <w:rFonts w:eastAsiaTheme="minorEastAsia"/>
              </w:rPr>
              <w:t>mg/L</w:t>
            </w:r>
          </w:p>
        </w:tc>
        <w:tc>
          <w:tcPr>
            <w:tcW w:w="1585" w:type="pct"/>
            <w:vAlign w:val="center"/>
          </w:tcPr>
          <w:p>
            <w:pPr>
              <w:pStyle w:val="670"/>
              <w:rPr>
                <w:rFonts w:eastAsiaTheme="minorEastAsia"/>
                <w:snapToGrid w:val="0"/>
              </w:rPr>
            </w:pPr>
            <w:r>
              <w:rPr>
                <w:rFonts w:eastAsiaTheme="minorEastAsia"/>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22</w:t>
            </w:r>
          </w:p>
        </w:tc>
        <w:tc>
          <w:tcPr>
            <w:tcW w:w="1282" w:type="pct"/>
            <w:vAlign w:val="center"/>
          </w:tcPr>
          <w:p>
            <w:pPr>
              <w:pStyle w:val="670"/>
              <w:rPr>
                <w:rFonts w:eastAsiaTheme="minorEastAsia"/>
                <w:snapToGrid w:val="0"/>
                <w:lang w:eastAsia="zh-CN"/>
              </w:rPr>
            </w:pPr>
            <w:r>
              <w:rPr>
                <w:rFonts w:eastAsiaTheme="minorEastAsia"/>
                <w:snapToGrid w:val="0"/>
                <w:lang w:eastAsia="zh-CN"/>
              </w:rPr>
              <w:t>铜</w:t>
            </w:r>
          </w:p>
        </w:tc>
        <w:tc>
          <w:tcPr>
            <w:tcW w:w="1368" w:type="pct"/>
          </w:tcPr>
          <w:p>
            <w:pPr>
              <w:jc w:val="center"/>
              <w:rPr>
                <w:szCs w:val="21"/>
              </w:rPr>
            </w:pPr>
            <w:r>
              <w:rPr>
                <w:rFonts w:eastAsiaTheme="minorEastAsia"/>
                <w:szCs w:val="21"/>
              </w:rPr>
              <w:t>mg/L</w:t>
            </w:r>
          </w:p>
        </w:tc>
        <w:tc>
          <w:tcPr>
            <w:tcW w:w="1585" w:type="pct"/>
            <w:vAlign w:val="center"/>
          </w:tcPr>
          <w:p>
            <w:pPr>
              <w:pStyle w:val="670"/>
              <w:rPr>
                <w:rFonts w:eastAsiaTheme="minorEastAsia"/>
                <w:snapToGrid w:val="0"/>
                <w:lang w:eastAsia="zh-CN"/>
              </w:rPr>
            </w:pPr>
            <w:r>
              <w:rPr>
                <w:rFonts w:eastAsiaTheme="minorEastAsia"/>
              </w:rPr>
              <w:t>≤</w:t>
            </w:r>
            <w:r>
              <w:rPr>
                <w:rFonts w:eastAsiaTheme="minorEastAsia"/>
                <w:lang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23</w:t>
            </w:r>
          </w:p>
        </w:tc>
        <w:tc>
          <w:tcPr>
            <w:tcW w:w="1282" w:type="pct"/>
            <w:vAlign w:val="center"/>
          </w:tcPr>
          <w:p>
            <w:pPr>
              <w:pStyle w:val="670"/>
              <w:rPr>
                <w:rFonts w:eastAsiaTheme="minorEastAsia"/>
                <w:snapToGrid w:val="0"/>
                <w:lang w:eastAsia="zh-CN"/>
              </w:rPr>
            </w:pPr>
            <w:r>
              <w:rPr>
                <w:rFonts w:eastAsiaTheme="minorEastAsia"/>
                <w:snapToGrid w:val="0"/>
                <w:lang w:eastAsia="zh-CN"/>
              </w:rPr>
              <w:t>锌</w:t>
            </w:r>
          </w:p>
        </w:tc>
        <w:tc>
          <w:tcPr>
            <w:tcW w:w="1368" w:type="pct"/>
          </w:tcPr>
          <w:p>
            <w:pPr>
              <w:jc w:val="center"/>
              <w:rPr>
                <w:szCs w:val="21"/>
              </w:rPr>
            </w:pPr>
            <w:r>
              <w:rPr>
                <w:rFonts w:eastAsiaTheme="minorEastAsia"/>
                <w:szCs w:val="21"/>
              </w:rPr>
              <w:t>mg/L</w:t>
            </w:r>
          </w:p>
        </w:tc>
        <w:tc>
          <w:tcPr>
            <w:tcW w:w="1585" w:type="pct"/>
            <w:vAlign w:val="center"/>
          </w:tcPr>
          <w:p>
            <w:pPr>
              <w:pStyle w:val="670"/>
              <w:rPr>
                <w:rFonts w:eastAsiaTheme="minorEastAsia"/>
                <w:snapToGrid w:val="0"/>
                <w:lang w:eastAsia="zh-CN"/>
              </w:rPr>
            </w:pPr>
            <w:r>
              <w:rPr>
                <w:rFonts w:eastAsiaTheme="minorEastAsia"/>
              </w:rPr>
              <w:t>≤</w:t>
            </w:r>
            <w:r>
              <w:rPr>
                <w:rFonts w:eastAsiaTheme="minorEastAsia"/>
                <w:lang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24</w:t>
            </w:r>
          </w:p>
        </w:tc>
        <w:tc>
          <w:tcPr>
            <w:tcW w:w="1282" w:type="pct"/>
            <w:vAlign w:val="center"/>
          </w:tcPr>
          <w:p>
            <w:pPr>
              <w:pStyle w:val="670"/>
              <w:rPr>
                <w:rFonts w:eastAsiaTheme="minorEastAsia"/>
                <w:snapToGrid w:val="0"/>
              </w:rPr>
            </w:pPr>
            <w:r>
              <w:rPr>
                <w:rFonts w:eastAsiaTheme="minorEastAsia"/>
              </w:rPr>
              <w:t>汞</w:t>
            </w:r>
          </w:p>
        </w:tc>
        <w:tc>
          <w:tcPr>
            <w:tcW w:w="1368" w:type="pct"/>
            <w:vAlign w:val="center"/>
          </w:tcPr>
          <w:p>
            <w:pPr>
              <w:pStyle w:val="670"/>
              <w:rPr>
                <w:rFonts w:eastAsiaTheme="minorEastAsia"/>
                <w:snapToGrid w:val="0"/>
              </w:rPr>
            </w:pPr>
            <w:r>
              <w:rPr>
                <w:rFonts w:eastAsiaTheme="minorEastAsia"/>
                <w:lang w:eastAsia="zh-CN"/>
              </w:rPr>
              <w:t>m</w:t>
            </w:r>
            <w:r>
              <w:rPr>
                <w:rFonts w:eastAsiaTheme="minorEastAsia"/>
              </w:rPr>
              <w:t>g/L</w:t>
            </w:r>
          </w:p>
        </w:tc>
        <w:tc>
          <w:tcPr>
            <w:tcW w:w="1585" w:type="pct"/>
            <w:vAlign w:val="center"/>
          </w:tcPr>
          <w:p>
            <w:pPr>
              <w:pStyle w:val="670"/>
              <w:rPr>
                <w:rFonts w:eastAsiaTheme="minorEastAsia"/>
                <w:snapToGrid w:val="0"/>
              </w:rPr>
            </w:pPr>
            <w:r>
              <w:rPr>
                <w:rFonts w:eastAsiaTheme="minorEastAsia"/>
              </w:rPr>
              <w:t>≤0.</w:t>
            </w:r>
            <w:r>
              <w:rPr>
                <w:rFonts w:eastAsiaTheme="minorEastAsia"/>
                <w:lang w:eastAsia="zh-CN"/>
              </w:rPr>
              <w:t>00</w:t>
            </w:r>
            <w:r>
              <w:rPr>
                <w:rFonts w:eastAsiaTheme="minor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25</w:t>
            </w:r>
          </w:p>
        </w:tc>
        <w:tc>
          <w:tcPr>
            <w:tcW w:w="1282" w:type="pct"/>
            <w:vAlign w:val="center"/>
          </w:tcPr>
          <w:p>
            <w:pPr>
              <w:pStyle w:val="670"/>
              <w:rPr>
                <w:rFonts w:eastAsiaTheme="minorEastAsia"/>
                <w:snapToGrid w:val="0"/>
              </w:rPr>
            </w:pPr>
            <w:r>
              <w:rPr>
                <w:rFonts w:eastAsiaTheme="minorEastAsia"/>
              </w:rPr>
              <w:t>砷</w:t>
            </w:r>
          </w:p>
        </w:tc>
        <w:tc>
          <w:tcPr>
            <w:tcW w:w="1368" w:type="pct"/>
            <w:vAlign w:val="center"/>
          </w:tcPr>
          <w:p>
            <w:pPr>
              <w:pStyle w:val="670"/>
              <w:rPr>
                <w:rFonts w:eastAsiaTheme="minorEastAsia"/>
                <w:snapToGrid w:val="0"/>
              </w:rPr>
            </w:pPr>
            <w:r>
              <w:rPr>
                <w:rFonts w:eastAsiaTheme="minorEastAsia"/>
                <w:lang w:eastAsia="zh-CN"/>
              </w:rPr>
              <w:t>m</w:t>
            </w:r>
            <w:r>
              <w:rPr>
                <w:rFonts w:eastAsiaTheme="minorEastAsia"/>
              </w:rPr>
              <w:t>g/L</w:t>
            </w:r>
          </w:p>
        </w:tc>
        <w:tc>
          <w:tcPr>
            <w:tcW w:w="1585" w:type="pct"/>
            <w:vAlign w:val="center"/>
          </w:tcPr>
          <w:p>
            <w:pPr>
              <w:pStyle w:val="670"/>
              <w:rPr>
                <w:rFonts w:eastAsiaTheme="minorEastAsia"/>
                <w:snapToGrid w:val="0"/>
                <w:lang w:eastAsia="zh-CN"/>
              </w:rPr>
            </w:pPr>
            <w:r>
              <w:rPr>
                <w:rFonts w:eastAsiaTheme="minorEastAsia"/>
              </w:rPr>
              <w:t>≤</w:t>
            </w:r>
            <w:r>
              <w:rPr>
                <w:rFonts w:eastAsiaTheme="minorEastAsia"/>
                <w:lang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26</w:t>
            </w:r>
          </w:p>
        </w:tc>
        <w:tc>
          <w:tcPr>
            <w:tcW w:w="1282" w:type="pct"/>
            <w:vAlign w:val="center"/>
          </w:tcPr>
          <w:p>
            <w:pPr>
              <w:pStyle w:val="670"/>
              <w:rPr>
                <w:rFonts w:eastAsiaTheme="minorEastAsia"/>
                <w:snapToGrid w:val="0"/>
              </w:rPr>
            </w:pPr>
            <w:r>
              <w:rPr>
                <w:rFonts w:eastAsiaTheme="minorEastAsia"/>
              </w:rPr>
              <w:t>铅</w:t>
            </w:r>
          </w:p>
        </w:tc>
        <w:tc>
          <w:tcPr>
            <w:tcW w:w="1368" w:type="pct"/>
            <w:vAlign w:val="center"/>
          </w:tcPr>
          <w:p>
            <w:pPr>
              <w:pStyle w:val="670"/>
              <w:rPr>
                <w:rFonts w:eastAsiaTheme="minorEastAsia"/>
                <w:snapToGrid w:val="0"/>
              </w:rPr>
            </w:pPr>
            <w:r>
              <w:rPr>
                <w:rFonts w:eastAsiaTheme="minorEastAsia"/>
                <w:lang w:eastAsia="zh-CN"/>
              </w:rPr>
              <w:t>m</w:t>
            </w:r>
            <w:r>
              <w:rPr>
                <w:rFonts w:eastAsiaTheme="minorEastAsia"/>
              </w:rPr>
              <w:t>g/L</w:t>
            </w:r>
          </w:p>
        </w:tc>
        <w:tc>
          <w:tcPr>
            <w:tcW w:w="1585" w:type="pct"/>
            <w:vAlign w:val="center"/>
          </w:tcPr>
          <w:p>
            <w:pPr>
              <w:pStyle w:val="670"/>
              <w:rPr>
                <w:rFonts w:eastAsiaTheme="minorEastAsia"/>
                <w:snapToGrid w:val="0"/>
                <w:lang w:eastAsia="zh-CN"/>
              </w:rPr>
            </w:pPr>
            <w:r>
              <w:rPr>
                <w:rFonts w:eastAsiaTheme="minorEastAsia"/>
              </w:rPr>
              <w:t>≤</w:t>
            </w:r>
            <w:r>
              <w:rPr>
                <w:rFonts w:eastAsiaTheme="minorEastAsia"/>
                <w:lang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27</w:t>
            </w:r>
          </w:p>
        </w:tc>
        <w:tc>
          <w:tcPr>
            <w:tcW w:w="1282" w:type="pct"/>
            <w:vAlign w:val="center"/>
          </w:tcPr>
          <w:p>
            <w:pPr>
              <w:pStyle w:val="670"/>
              <w:rPr>
                <w:rFonts w:eastAsiaTheme="minorEastAsia"/>
                <w:snapToGrid w:val="0"/>
              </w:rPr>
            </w:pPr>
            <w:r>
              <w:rPr>
                <w:rFonts w:eastAsiaTheme="minorEastAsia"/>
              </w:rPr>
              <w:t>镉</w:t>
            </w:r>
          </w:p>
        </w:tc>
        <w:tc>
          <w:tcPr>
            <w:tcW w:w="1368" w:type="pct"/>
            <w:vAlign w:val="center"/>
          </w:tcPr>
          <w:p>
            <w:pPr>
              <w:pStyle w:val="670"/>
              <w:rPr>
                <w:rFonts w:eastAsiaTheme="minorEastAsia"/>
                <w:snapToGrid w:val="0"/>
              </w:rPr>
            </w:pPr>
            <w:r>
              <w:rPr>
                <w:rFonts w:eastAsiaTheme="minorEastAsia"/>
                <w:lang w:eastAsia="zh-CN"/>
              </w:rPr>
              <w:t>m</w:t>
            </w:r>
            <w:r>
              <w:rPr>
                <w:rFonts w:eastAsiaTheme="minorEastAsia"/>
              </w:rPr>
              <w:t>g/L</w:t>
            </w:r>
          </w:p>
        </w:tc>
        <w:tc>
          <w:tcPr>
            <w:tcW w:w="1585" w:type="pct"/>
            <w:vAlign w:val="center"/>
          </w:tcPr>
          <w:p>
            <w:pPr>
              <w:pStyle w:val="670"/>
              <w:rPr>
                <w:rFonts w:eastAsiaTheme="minorEastAsia"/>
                <w:snapToGrid w:val="0"/>
              </w:rPr>
            </w:pPr>
            <w:r>
              <w:rPr>
                <w:rFonts w:eastAsiaTheme="minorEastAsia"/>
              </w:rPr>
              <w:t>≤</w:t>
            </w:r>
            <w:r>
              <w:rPr>
                <w:rFonts w:eastAsiaTheme="minorEastAsia"/>
                <w:lang w:eastAsia="zh-CN"/>
              </w:rPr>
              <w:t>0.00</w:t>
            </w:r>
            <w:r>
              <w:rPr>
                <w:rFonts w:eastAsiaTheme="minor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28</w:t>
            </w:r>
          </w:p>
        </w:tc>
        <w:tc>
          <w:tcPr>
            <w:tcW w:w="1282" w:type="pct"/>
            <w:vAlign w:val="center"/>
          </w:tcPr>
          <w:p>
            <w:pPr>
              <w:pStyle w:val="670"/>
              <w:rPr>
                <w:rFonts w:eastAsiaTheme="minorEastAsia"/>
                <w:lang w:eastAsia="zh-CN"/>
              </w:rPr>
            </w:pPr>
            <w:r>
              <w:rPr>
                <w:rFonts w:eastAsiaTheme="minorEastAsia"/>
                <w:lang w:eastAsia="zh-CN"/>
              </w:rPr>
              <w:t>钾</w:t>
            </w:r>
          </w:p>
        </w:tc>
        <w:tc>
          <w:tcPr>
            <w:tcW w:w="1368" w:type="pct"/>
            <w:vAlign w:val="center"/>
          </w:tcPr>
          <w:p>
            <w:pPr>
              <w:pStyle w:val="670"/>
              <w:rPr>
                <w:rFonts w:eastAsiaTheme="minorEastAsia"/>
                <w:lang w:eastAsia="zh-CN"/>
              </w:rPr>
            </w:pPr>
            <w:r>
              <w:rPr>
                <w:rFonts w:eastAsiaTheme="minorEastAsia"/>
                <w:lang w:eastAsia="zh-CN"/>
              </w:rPr>
              <w:t>/</w:t>
            </w:r>
          </w:p>
        </w:tc>
        <w:tc>
          <w:tcPr>
            <w:tcW w:w="1585" w:type="pct"/>
            <w:vAlign w:val="center"/>
          </w:tcPr>
          <w:p>
            <w:pPr>
              <w:pStyle w:val="670"/>
              <w:rPr>
                <w:rFonts w:eastAsiaTheme="minorEastAsia"/>
                <w:lang w:eastAsia="zh-CN"/>
              </w:rPr>
            </w:pPr>
            <w:r>
              <w:rPr>
                <w:rFonts w:eastAsiaTheme="minor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29</w:t>
            </w:r>
          </w:p>
        </w:tc>
        <w:tc>
          <w:tcPr>
            <w:tcW w:w="1282" w:type="pct"/>
            <w:vAlign w:val="center"/>
          </w:tcPr>
          <w:p>
            <w:pPr>
              <w:pStyle w:val="670"/>
              <w:rPr>
                <w:rFonts w:eastAsiaTheme="minorEastAsia"/>
                <w:lang w:eastAsia="zh-CN"/>
              </w:rPr>
            </w:pPr>
            <w:r>
              <w:rPr>
                <w:rFonts w:eastAsiaTheme="minorEastAsia"/>
                <w:lang w:eastAsia="zh-CN"/>
              </w:rPr>
              <w:t>钠</w:t>
            </w:r>
          </w:p>
        </w:tc>
        <w:tc>
          <w:tcPr>
            <w:tcW w:w="1368" w:type="pct"/>
            <w:vAlign w:val="center"/>
          </w:tcPr>
          <w:p>
            <w:pPr>
              <w:pStyle w:val="670"/>
              <w:rPr>
                <w:rFonts w:eastAsiaTheme="minorEastAsia"/>
                <w:lang w:eastAsia="zh-CN"/>
              </w:rPr>
            </w:pPr>
            <w:r>
              <w:rPr>
                <w:rFonts w:eastAsiaTheme="minorEastAsia"/>
                <w:lang w:eastAsia="zh-CN"/>
              </w:rPr>
              <w:t>/</w:t>
            </w:r>
          </w:p>
        </w:tc>
        <w:tc>
          <w:tcPr>
            <w:tcW w:w="1585" w:type="pct"/>
            <w:vAlign w:val="center"/>
          </w:tcPr>
          <w:p>
            <w:pPr>
              <w:pStyle w:val="670"/>
              <w:rPr>
                <w:rFonts w:eastAsiaTheme="minorEastAsia"/>
                <w:lang w:eastAsia="zh-CN"/>
              </w:rPr>
            </w:pPr>
            <w:r>
              <w:rPr>
                <w:rFonts w:eastAsiaTheme="minor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30</w:t>
            </w:r>
          </w:p>
        </w:tc>
        <w:tc>
          <w:tcPr>
            <w:tcW w:w="1282" w:type="pct"/>
            <w:vAlign w:val="center"/>
          </w:tcPr>
          <w:p>
            <w:pPr>
              <w:pStyle w:val="670"/>
              <w:rPr>
                <w:rFonts w:eastAsiaTheme="minorEastAsia"/>
                <w:lang w:eastAsia="zh-CN"/>
              </w:rPr>
            </w:pPr>
            <w:r>
              <w:rPr>
                <w:rFonts w:eastAsiaTheme="minorEastAsia"/>
                <w:lang w:eastAsia="zh-CN"/>
              </w:rPr>
              <w:t>钙</w:t>
            </w:r>
          </w:p>
        </w:tc>
        <w:tc>
          <w:tcPr>
            <w:tcW w:w="1368" w:type="pct"/>
            <w:vAlign w:val="center"/>
          </w:tcPr>
          <w:p>
            <w:pPr>
              <w:pStyle w:val="670"/>
              <w:rPr>
                <w:rFonts w:eastAsiaTheme="minorEastAsia"/>
                <w:lang w:eastAsia="zh-CN"/>
              </w:rPr>
            </w:pPr>
            <w:r>
              <w:rPr>
                <w:rFonts w:eastAsiaTheme="minorEastAsia"/>
                <w:lang w:eastAsia="zh-CN"/>
              </w:rPr>
              <w:t>/</w:t>
            </w:r>
          </w:p>
        </w:tc>
        <w:tc>
          <w:tcPr>
            <w:tcW w:w="1585" w:type="pct"/>
            <w:vAlign w:val="center"/>
          </w:tcPr>
          <w:p>
            <w:pPr>
              <w:pStyle w:val="670"/>
              <w:rPr>
                <w:rFonts w:eastAsiaTheme="minorEastAsia"/>
                <w:lang w:eastAsia="zh-CN"/>
              </w:rPr>
            </w:pPr>
            <w:r>
              <w:rPr>
                <w:rFonts w:eastAsiaTheme="minor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Align w:val="center"/>
          </w:tcPr>
          <w:p>
            <w:pPr>
              <w:pStyle w:val="670"/>
              <w:rPr>
                <w:rFonts w:eastAsiaTheme="minorEastAsia"/>
                <w:snapToGrid w:val="0"/>
                <w:lang w:eastAsia="zh-CN"/>
              </w:rPr>
            </w:pPr>
            <w:r>
              <w:rPr>
                <w:rFonts w:eastAsiaTheme="minorEastAsia"/>
                <w:snapToGrid w:val="0"/>
                <w:lang w:eastAsia="zh-CN"/>
              </w:rPr>
              <w:t>31</w:t>
            </w:r>
          </w:p>
        </w:tc>
        <w:tc>
          <w:tcPr>
            <w:tcW w:w="1282" w:type="pct"/>
            <w:vAlign w:val="center"/>
          </w:tcPr>
          <w:p>
            <w:pPr>
              <w:pStyle w:val="670"/>
              <w:rPr>
                <w:rFonts w:eastAsiaTheme="minorEastAsia"/>
                <w:lang w:eastAsia="zh-CN"/>
              </w:rPr>
            </w:pPr>
            <w:r>
              <w:rPr>
                <w:rFonts w:eastAsiaTheme="minorEastAsia"/>
                <w:lang w:eastAsia="zh-CN"/>
              </w:rPr>
              <w:t>镁</w:t>
            </w:r>
          </w:p>
        </w:tc>
        <w:tc>
          <w:tcPr>
            <w:tcW w:w="1368" w:type="pct"/>
            <w:vAlign w:val="center"/>
          </w:tcPr>
          <w:p>
            <w:pPr>
              <w:pStyle w:val="670"/>
              <w:rPr>
                <w:rFonts w:eastAsiaTheme="minorEastAsia"/>
                <w:lang w:eastAsia="zh-CN"/>
              </w:rPr>
            </w:pPr>
            <w:r>
              <w:rPr>
                <w:rFonts w:eastAsiaTheme="minorEastAsia"/>
                <w:lang w:eastAsia="zh-CN"/>
              </w:rPr>
              <w:t>/</w:t>
            </w:r>
          </w:p>
        </w:tc>
        <w:tc>
          <w:tcPr>
            <w:tcW w:w="1585" w:type="pct"/>
            <w:vAlign w:val="center"/>
          </w:tcPr>
          <w:p>
            <w:pPr>
              <w:pStyle w:val="670"/>
              <w:rPr>
                <w:rFonts w:eastAsiaTheme="minorEastAsia"/>
                <w:lang w:eastAsia="zh-CN"/>
              </w:rPr>
            </w:pPr>
            <w:r>
              <w:rPr>
                <w:rFonts w:eastAsiaTheme="minorEastAsia"/>
                <w:lang w:eastAsia="zh-CN"/>
              </w:rPr>
              <w:t>/</w:t>
            </w:r>
          </w:p>
        </w:tc>
      </w:tr>
    </w:tbl>
    <w:p>
      <w:pPr>
        <w:pStyle w:val="494"/>
        <w:ind w:firstLine="480"/>
      </w:pPr>
      <w:r>
        <w:rPr>
          <w:rFonts w:hint="eastAsia" w:ascii="宋体" w:hAnsi="宋体" w:cs="宋体"/>
        </w:rPr>
        <w:t>③</w:t>
      </w:r>
      <w:r>
        <w:t>根据声环境功能区划分，项目所在地为2类声环境功能区，执行《声环境质量标准》（GB3096-2008）的2类标准，详见表1.4-3。</w:t>
      </w:r>
    </w:p>
    <w:p>
      <w:pPr>
        <w:pStyle w:val="400"/>
        <w:ind w:firstLine="420"/>
      </w:pPr>
      <w:r>
        <w:t>表1.</w:t>
      </w:r>
      <w:r>
        <w:rPr>
          <w:rFonts w:hint="eastAsia"/>
        </w:rPr>
        <w:t>4</w:t>
      </w:r>
      <w:r>
        <w:t>-3                    声环境质量标准</w:t>
      </w:r>
    </w:p>
    <w:tbl>
      <w:tblPr>
        <w:tblStyle w:val="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5"/>
        <w:gridCol w:w="2860"/>
        <w:gridCol w:w="2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9" w:type="pct"/>
            <w:vAlign w:val="center"/>
          </w:tcPr>
          <w:p>
            <w:pPr>
              <w:overflowPunct w:val="0"/>
              <w:jc w:val="center"/>
              <w:rPr>
                <w:rFonts w:eastAsiaTheme="minorEastAsia"/>
                <w:kern w:val="0"/>
                <w:sz w:val="21"/>
                <w:szCs w:val="21"/>
              </w:rPr>
            </w:pPr>
            <w:r>
              <w:rPr>
                <w:rFonts w:eastAsiaTheme="minorEastAsia"/>
                <w:kern w:val="0"/>
                <w:sz w:val="21"/>
                <w:szCs w:val="21"/>
              </w:rPr>
              <w:t>类别</w:t>
            </w:r>
          </w:p>
        </w:tc>
        <w:tc>
          <w:tcPr>
            <w:tcW w:w="1695" w:type="pct"/>
            <w:vAlign w:val="center"/>
          </w:tcPr>
          <w:p>
            <w:pPr>
              <w:overflowPunct w:val="0"/>
              <w:jc w:val="center"/>
              <w:rPr>
                <w:rFonts w:eastAsiaTheme="minorEastAsia"/>
                <w:kern w:val="0"/>
                <w:sz w:val="21"/>
                <w:szCs w:val="21"/>
              </w:rPr>
            </w:pPr>
            <w:r>
              <w:rPr>
                <w:rFonts w:eastAsiaTheme="minorEastAsia"/>
                <w:kern w:val="0"/>
                <w:sz w:val="21"/>
                <w:szCs w:val="21"/>
              </w:rPr>
              <w:t>昼间/dB（A）</w:t>
            </w:r>
          </w:p>
        </w:tc>
        <w:tc>
          <w:tcPr>
            <w:tcW w:w="1696" w:type="pct"/>
            <w:vAlign w:val="center"/>
          </w:tcPr>
          <w:p>
            <w:pPr>
              <w:overflowPunct w:val="0"/>
              <w:jc w:val="center"/>
              <w:rPr>
                <w:rFonts w:eastAsiaTheme="minorEastAsia"/>
                <w:kern w:val="0"/>
                <w:sz w:val="21"/>
                <w:szCs w:val="21"/>
              </w:rPr>
            </w:pPr>
            <w:r>
              <w:rPr>
                <w:rFonts w:eastAsiaTheme="minorEastAsia"/>
                <w:kern w:val="0"/>
                <w:sz w:val="21"/>
                <w:szCs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609" w:type="pct"/>
            <w:vAlign w:val="center"/>
          </w:tcPr>
          <w:p>
            <w:pPr>
              <w:overflowPunct w:val="0"/>
              <w:jc w:val="center"/>
              <w:rPr>
                <w:rFonts w:eastAsiaTheme="minorEastAsia"/>
                <w:kern w:val="0"/>
                <w:sz w:val="21"/>
                <w:szCs w:val="21"/>
              </w:rPr>
            </w:pPr>
            <w:r>
              <w:rPr>
                <w:rFonts w:eastAsiaTheme="minorEastAsia"/>
                <w:kern w:val="0"/>
                <w:sz w:val="21"/>
                <w:szCs w:val="21"/>
              </w:rPr>
              <w:t>2</w:t>
            </w:r>
          </w:p>
        </w:tc>
        <w:tc>
          <w:tcPr>
            <w:tcW w:w="1695" w:type="pct"/>
            <w:vAlign w:val="center"/>
          </w:tcPr>
          <w:p>
            <w:pPr>
              <w:overflowPunct w:val="0"/>
              <w:jc w:val="center"/>
              <w:rPr>
                <w:rFonts w:eastAsiaTheme="minorEastAsia"/>
                <w:kern w:val="0"/>
                <w:sz w:val="21"/>
                <w:szCs w:val="21"/>
              </w:rPr>
            </w:pPr>
            <w:r>
              <w:rPr>
                <w:rFonts w:eastAsiaTheme="minorEastAsia"/>
                <w:kern w:val="0"/>
                <w:sz w:val="21"/>
                <w:szCs w:val="21"/>
              </w:rPr>
              <w:t>60</w:t>
            </w:r>
          </w:p>
        </w:tc>
        <w:tc>
          <w:tcPr>
            <w:tcW w:w="1696" w:type="pct"/>
            <w:vAlign w:val="center"/>
          </w:tcPr>
          <w:p>
            <w:pPr>
              <w:overflowPunct w:val="0"/>
              <w:jc w:val="center"/>
              <w:rPr>
                <w:rFonts w:eastAsiaTheme="minorEastAsia"/>
                <w:kern w:val="0"/>
                <w:sz w:val="21"/>
                <w:szCs w:val="21"/>
              </w:rPr>
            </w:pPr>
            <w:r>
              <w:rPr>
                <w:rFonts w:eastAsiaTheme="minorEastAsia"/>
                <w:kern w:val="0"/>
                <w:sz w:val="21"/>
                <w:szCs w:val="21"/>
              </w:rPr>
              <w:t>50</w:t>
            </w:r>
          </w:p>
        </w:tc>
      </w:tr>
    </w:tbl>
    <w:p>
      <w:pPr>
        <w:pStyle w:val="494"/>
        <w:ind w:firstLine="480"/>
      </w:pPr>
      <w:r>
        <w:rPr>
          <w:rFonts w:hint="eastAsia"/>
        </w:rPr>
        <w:t>④</w:t>
      </w:r>
      <w:r>
        <w:t>土壤环境执行</w:t>
      </w:r>
      <w:r>
        <w:rPr>
          <w:rFonts w:hint="eastAsia"/>
        </w:rPr>
        <w:t>《土壤</w:t>
      </w:r>
      <w:r>
        <w:t>环境质量</w:t>
      </w:r>
      <w:r>
        <w:rPr>
          <w:rFonts w:hint="eastAsia"/>
        </w:rPr>
        <w:t xml:space="preserve"> 建设</w:t>
      </w:r>
      <w:r>
        <w:t>用地土壤污染</w:t>
      </w:r>
      <w:r>
        <w:rPr>
          <w:rFonts w:hint="eastAsia"/>
        </w:rPr>
        <w:t>风险管控</w:t>
      </w:r>
      <w:r>
        <w:t>标准</w:t>
      </w:r>
      <w:r>
        <w:rPr>
          <w:rFonts w:hint="eastAsia"/>
        </w:rPr>
        <w:t>（试行）》（GB36600-2018）表1限值</w:t>
      </w:r>
      <w:r>
        <w:t>要求</w:t>
      </w:r>
      <w:r>
        <w:rPr>
          <w:rFonts w:hint="eastAsia"/>
        </w:rPr>
        <w:t>，详见</w:t>
      </w:r>
      <w:r>
        <w:t>表</w:t>
      </w:r>
      <w:r>
        <w:rPr>
          <w:rFonts w:hint="eastAsia"/>
        </w:rPr>
        <w:t>1.4-4。</w:t>
      </w:r>
    </w:p>
    <w:p>
      <w:pPr>
        <w:pStyle w:val="400"/>
        <w:ind w:firstLine="420"/>
      </w:pPr>
      <w:r>
        <w:t>表1.</w:t>
      </w:r>
      <w:r>
        <w:rPr>
          <w:rFonts w:hint="eastAsia"/>
        </w:rPr>
        <w:t>4</w:t>
      </w:r>
      <w:r>
        <w:t xml:space="preserve">-4          </w:t>
      </w:r>
      <w:r>
        <w:rPr>
          <w:rFonts w:hint="eastAsia"/>
        </w:rPr>
        <w:t>建设用地</w:t>
      </w:r>
      <w:r>
        <w:t>土壤污染</w:t>
      </w:r>
      <w:r>
        <w:rPr>
          <w:rFonts w:hint="eastAsia"/>
        </w:rPr>
        <w:t>风险管控</w:t>
      </w:r>
      <w:r>
        <w:t>标准</w:t>
      </w:r>
      <w:r>
        <w:rPr>
          <w:rFonts w:hint="eastAsia"/>
        </w:rPr>
        <w:t xml:space="preserve">   </w:t>
      </w:r>
      <w:r>
        <w:t xml:space="preserve">         </w:t>
      </w:r>
      <w:r>
        <w:rPr>
          <w:rFonts w:hint="eastAsia"/>
        </w:rPr>
        <w:t>单位：</w:t>
      </w:r>
      <w:r>
        <w:t>mg/kg</w:t>
      </w:r>
    </w:p>
    <w:tbl>
      <w:tblPr>
        <w:tblStyle w:val="55"/>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3050"/>
        <w:gridCol w:w="3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vMerge w:val="restart"/>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序号</w:t>
            </w:r>
          </w:p>
        </w:tc>
        <w:tc>
          <w:tcPr>
            <w:tcW w:w="3053" w:type="dxa"/>
            <w:vMerge w:val="restart"/>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污染物项目</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szCs w:val="21"/>
              </w:rPr>
            </w:pPr>
          </w:p>
        </w:tc>
        <w:tc>
          <w:tcPr>
            <w:tcW w:w="30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szCs w:val="21"/>
              </w:rPr>
            </w:pP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砷</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60</w:t>
            </w:r>
            <w:r>
              <w:rPr>
                <w:rFonts w:ascii="Times New Roman" w:hAnsi="Times New Roman" w:cs="Times New Roman"/>
              </w:rPr>
              <w:fldChar w:fldCharType="begin"/>
            </w:r>
            <w:r>
              <w:rPr>
                <w:rFonts w:ascii="Times New Roman" w:hAnsi="Times New Roman" w:eastAsia="等线" w:cs="Times New Roman"/>
                <w:b/>
                <w:vertAlign w:val="superscript"/>
              </w:rPr>
              <w:instrText xml:space="preserve"> = 1 \* GB3 </w:instrText>
            </w:r>
            <w:r>
              <w:rPr>
                <w:rFonts w:ascii="Times New Roman" w:hAnsi="Times New Roman" w:cs="Times New Roman"/>
              </w:rPr>
              <w:fldChar w:fldCharType="separate"/>
            </w:r>
            <w:r>
              <w:rPr>
                <w:rFonts w:hint="eastAsia" w:ascii="Times New Roman" w:hAnsi="Times New Roman" w:eastAsia="等线" w:cs="Times New Roman"/>
                <w:b/>
                <w:vertAlign w:val="superscript"/>
              </w:rPr>
              <w:t>①</w:t>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2</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镉</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3</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铬（六价）</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4</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铜</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5</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铅</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6</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汞</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bookmarkStart w:id="85" w:name="OLE_LINK1"/>
            <w:r>
              <w:rPr>
                <w:rFonts w:ascii="Times New Roman" w:hAnsi="Times New Roman" w:eastAsia="等线" w:cs="Times New Roman"/>
              </w:rPr>
              <w:t>38</w:t>
            </w:r>
            <w:bookmarkEnd w:id="8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7</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镍</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8</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四氯化碳</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9</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氯仿</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10</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氯甲烷</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11</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1,1-</w:t>
            </w:r>
            <w:r>
              <w:rPr>
                <w:rFonts w:ascii="Times New Roman" w:hAnsi="Times New Roman" w:cs="Times New Roman"/>
              </w:rPr>
              <w:t>二氯乙烷</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12</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1,2-</w:t>
            </w:r>
            <w:r>
              <w:rPr>
                <w:rFonts w:ascii="Times New Roman" w:hAnsi="Times New Roman" w:cs="Times New Roman"/>
              </w:rPr>
              <w:t>二氯乙烷</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13</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1,1-</w:t>
            </w:r>
            <w:r>
              <w:rPr>
                <w:rFonts w:ascii="Times New Roman" w:hAnsi="Times New Roman" w:cs="Times New Roman"/>
              </w:rPr>
              <w:t>二氯乙烯</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14</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顺-1,2-二氯乙烯</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15</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反-1,2-二氯乙烯</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16</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二氯甲烷</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17</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1,2-</w:t>
            </w:r>
            <w:r>
              <w:rPr>
                <w:rFonts w:ascii="Times New Roman" w:hAnsi="Times New Roman" w:cs="Times New Roman"/>
              </w:rPr>
              <w:t>二氯丙烷</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18</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1,1,1,2-</w:t>
            </w:r>
            <w:r>
              <w:rPr>
                <w:rFonts w:ascii="Times New Roman" w:hAnsi="Times New Roman" w:cs="Times New Roman"/>
              </w:rPr>
              <w:t>四氯乙烷</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19</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1,1,2,2-</w:t>
            </w:r>
            <w:r>
              <w:rPr>
                <w:rFonts w:ascii="Times New Roman" w:hAnsi="Times New Roman" w:cs="Times New Roman"/>
              </w:rPr>
              <w:t>四氯乙烷</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20</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四氯乙烯</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21</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1,1,1-</w:t>
            </w:r>
            <w:r>
              <w:rPr>
                <w:rFonts w:ascii="Times New Roman" w:hAnsi="Times New Roman" w:cs="Times New Roman"/>
              </w:rPr>
              <w:t>三氯乙烷</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22</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1,1,2-</w:t>
            </w:r>
            <w:r>
              <w:rPr>
                <w:rFonts w:ascii="Times New Roman" w:hAnsi="Times New Roman" w:cs="Times New Roman"/>
              </w:rPr>
              <w:t>三氯乙烷</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23</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三氯乙烯</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24</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1,2,3-</w:t>
            </w:r>
            <w:r>
              <w:rPr>
                <w:rFonts w:ascii="Times New Roman" w:hAnsi="Times New Roman" w:cs="Times New Roman"/>
              </w:rPr>
              <w:t>三氯丙烷</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25</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氯乙烯</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26</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苯</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27</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氯苯</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28</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1,2-</w:t>
            </w:r>
            <w:r>
              <w:rPr>
                <w:rFonts w:ascii="Times New Roman" w:hAnsi="Times New Roman" w:cs="Times New Roman"/>
              </w:rPr>
              <w:t>二氯苯</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29</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1,4-</w:t>
            </w:r>
            <w:r>
              <w:rPr>
                <w:rFonts w:ascii="Times New Roman" w:hAnsi="Times New Roman" w:cs="Times New Roman"/>
              </w:rPr>
              <w:t>二氯苯</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30</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乙苯</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31</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苯乙烯</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32</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甲苯</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33</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间二甲苯+对二甲苯</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34</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邻二甲苯</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35</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硝基苯</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36</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苯胺</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37</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2-</w:t>
            </w:r>
            <w:r>
              <w:rPr>
                <w:rFonts w:ascii="Times New Roman" w:hAnsi="Times New Roman" w:cs="Times New Roman"/>
              </w:rPr>
              <w:t>氯酚</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38</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苯并[a]蒽</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39</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苯并[a]芘</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40</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苯并[b]荧蒽</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41</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苯并[k]荧蒽</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42</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䓛</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43</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二苯并[a, h]蒽</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44</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茚并[1,2,3-cd]芘</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45</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萘</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46</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pH</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9"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47</w:t>
            </w:r>
          </w:p>
        </w:tc>
        <w:tc>
          <w:tcPr>
            <w:tcW w:w="3053"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cs="Times New Roman"/>
              </w:rPr>
            </w:pPr>
            <w:r>
              <w:rPr>
                <w:rFonts w:ascii="Times New Roman" w:hAnsi="Times New Roman" w:cs="Times New Roman"/>
              </w:rPr>
              <w:t>石油烃</w:t>
            </w:r>
          </w:p>
        </w:tc>
        <w:tc>
          <w:tcPr>
            <w:tcW w:w="3870" w:type="dxa"/>
            <w:tcBorders>
              <w:top w:val="single" w:color="auto" w:sz="4" w:space="0"/>
              <w:left w:val="single" w:color="auto" w:sz="4" w:space="0"/>
              <w:bottom w:val="single" w:color="auto" w:sz="4" w:space="0"/>
              <w:right w:val="single" w:color="auto" w:sz="4" w:space="0"/>
            </w:tcBorders>
            <w:vAlign w:val="center"/>
          </w:tcPr>
          <w:p>
            <w:pPr>
              <w:pStyle w:val="666"/>
              <w:rPr>
                <w:rFonts w:ascii="Times New Roman" w:hAnsi="Times New Roman" w:eastAsia="等线" w:cs="Times New Roman"/>
              </w:rPr>
            </w:pPr>
            <w:r>
              <w:rPr>
                <w:rFonts w:ascii="Times New Roman" w:hAnsi="Times New Roman" w:eastAsia="等线" w:cs="Times New Roman"/>
              </w:rPr>
              <w:t>4500</w:t>
            </w:r>
          </w:p>
        </w:tc>
      </w:tr>
    </w:tbl>
    <w:p>
      <w:pPr>
        <w:pStyle w:val="494"/>
        <w:ind w:firstLine="480"/>
      </w:pPr>
      <w:r>
        <w:rPr>
          <w:rFonts w:hint="eastAsia"/>
        </w:rPr>
        <w:t>（2）</w:t>
      </w:r>
      <w:r>
        <w:t>污染物排放标准</w:t>
      </w:r>
    </w:p>
    <w:p>
      <w:pPr>
        <w:pStyle w:val="494"/>
        <w:ind w:firstLine="480"/>
      </w:pPr>
      <w:r>
        <w:rPr>
          <w:rFonts w:hint="eastAsia"/>
        </w:rPr>
        <w:t>①</w:t>
      </w:r>
      <w:r>
        <w:t>大气污染物排放标准</w:t>
      </w:r>
    </w:p>
    <w:p>
      <w:pPr>
        <w:pStyle w:val="494"/>
        <w:ind w:firstLine="480"/>
      </w:pPr>
      <w:r>
        <w:rPr>
          <w:rFonts w:cs="Times New Roman"/>
        </w:rPr>
        <w:t>根据本项目废气排放特征，非甲烷总烃厂界排放浓度执行《陆上石油天然气开采工业大气污染物排放标准》（GB39728-2020）中标准限值要求</w:t>
      </w:r>
      <w:r>
        <w:rPr>
          <w:rFonts w:hint="eastAsia"/>
        </w:rPr>
        <w:t>，详</w:t>
      </w:r>
      <w:r>
        <w:t>见表1.</w:t>
      </w:r>
      <w:r>
        <w:rPr>
          <w:rFonts w:hint="eastAsia"/>
        </w:rPr>
        <w:t>4</w:t>
      </w:r>
      <w:r>
        <w:t>-5。</w:t>
      </w:r>
    </w:p>
    <w:p>
      <w:pPr>
        <w:pStyle w:val="400"/>
        <w:ind w:firstLine="420"/>
      </w:pPr>
      <w:r>
        <w:t>表1.</w:t>
      </w:r>
      <w:r>
        <w:rPr>
          <w:rFonts w:hint="eastAsia"/>
        </w:rPr>
        <w:t>4</w:t>
      </w:r>
      <w:r>
        <w:t xml:space="preserve">-5               </w:t>
      </w:r>
      <w:r>
        <w:rPr>
          <w:rFonts w:hint="eastAsia"/>
        </w:rPr>
        <w:t xml:space="preserve"> </w:t>
      </w:r>
      <w:r>
        <w:t xml:space="preserve"> </w:t>
      </w:r>
      <w:r>
        <w:rPr>
          <w:rFonts w:hint="eastAsia"/>
        </w:rPr>
        <w:t>废气</w:t>
      </w:r>
      <w:r>
        <w:t>污染物排放浓度限值</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1201"/>
        <w:gridCol w:w="1279"/>
        <w:gridCol w:w="1135"/>
        <w:gridCol w:w="850"/>
        <w:gridCol w:w="3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360" w:type="pct"/>
            <w:vMerge w:val="restart"/>
            <w:tcBorders>
              <w:top w:val="single" w:color="auto" w:sz="4" w:space="0"/>
              <w:left w:val="single" w:color="auto" w:sz="4" w:space="0"/>
              <w:bottom w:val="single" w:color="auto" w:sz="4" w:space="0"/>
              <w:right w:val="single" w:color="auto" w:sz="4" w:space="0"/>
            </w:tcBorders>
            <w:vAlign w:val="center"/>
          </w:tcPr>
          <w:p>
            <w:pPr>
              <w:pStyle w:val="674"/>
              <w:rPr>
                <w:color w:val="auto"/>
                <w:sz w:val="21"/>
                <w:szCs w:val="18"/>
                <w:lang w:eastAsia="zh-CN"/>
              </w:rPr>
            </w:pPr>
            <w:r>
              <w:rPr>
                <w:color w:val="auto"/>
                <w:sz w:val="21"/>
                <w:szCs w:val="18"/>
              </w:rPr>
              <w:t>序号</w:t>
            </w:r>
          </w:p>
        </w:tc>
        <w:tc>
          <w:tcPr>
            <w:tcW w:w="1470" w:type="pct"/>
            <w:gridSpan w:val="2"/>
            <w:vMerge w:val="restart"/>
            <w:tcBorders>
              <w:top w:val="single" w:color="auto" w:sz="4" w:space="0"/>
              <w:left w:val="single" w:color="auto" w:sz="4" w:space="0"/>
              <w:bottom w:val="single" w:color="auto" w:sz="4" w:space="0"/>
              <w:right w:val="single" w:color="auto" w:sz="4" w:space="0"/>
            </w:tcBorders>
            <w:vAlign w:val="center"/>
          </w:tcPr>
          <w:p>
            <w:pPr>
              <w:pStyle w:val="674"/>
              <w:rPr>
                <w:color w:val="auto"/>
                <w:sz w:val="21"/>
                <w:szCs w:val="18"/>
              </w:rPr>
            </w:pPr>
            <w:r>
              <w:rPr>
                <w:color w:val="auto"/>
                <w:sz w:val="21"/>
                <w:szCs w:val="18"/>
              </w:rPr>
              <w:t>污染物</w:t>
            </w:r>
          </w:p>
        </w:tc>
        <w:tc>
          <w:tcPr>
            <w:tcW w:w="1177" w:type="pct"/>
            <w:gridSpan w:val="2"/>
            <w:tcBorders>
              <w:top w:val="single" w:color="auto" w:sz="4" w:space="0"/>
              <w:left w:val="single" w:color="auto" w:sz="4" w:space="0"/>
              <w:bottom w:val="single" w:color="auto" w:sz="4" w:space="0"/>
              <w:right w:val="single" w:color="auto" w:sz="4" w:space="0"/>
            </w:tcBorders>
            <w:vAlign w:val="center"/>
          </w:tcPr>
          <w:p>
            <w:pPr>
              <w:pStyle w:val="674"/>
              <w:rPr>
                <w:color w:val="auto"/>
                <w:sz w:val="21"/>
                <w:szCs w:val="18"/>
                <w:lang w:eastAsia="zh-CN"/>
              </w:rPr>
            </w:pPr>
            <w:r>
              <w:rPr>
                <w:color w:val="auto"/>
                <w:sz w:val="21"/>
                <w:szCs w:val="18"/>
                <w:lang w:eastAsia="zh-CN"/>
              </w:rPr>
              <w:t>标准值</w:t>
            </w:r>
          </w:p>
        </w:tc>
        <w:tc>
          <w:tcPr>
            <w:tcW w:w="1994" w:type="pct"/>
            <w:vMerge w:val="restart"/>
            <w:tcBorders>
              <w:top w:val="single" w:color="auto" w:sz="4" w:space="0"/>
              <w:left w:val="single" w:color="auto" w:sz="4" w:space="0"/>
              <w:bottom w:val="single" w:color="auto" w:sz="4" w:space="0"/>
              <w:right w:val="single" w:color="auto" w:sz="4" w:space="0"/>
            </w:tcBorders>
            <w:vAlign w:val="center"/>
          </w:tcPr>
          <w:p>
            <w:pPr>
              <w:pStyle w:val="674"/>
              <w:rPr>
                <w:color w:val="auto"/>
                <w:sz w:val="21"/>
                <w:szCs w:val="18"/>
              </w:rPr>
            </w:pPr>
            <w:r>
              <w:rPr>
                <w:color w:val="auto"/>
                <w:sz w:val="21"/>
                <w:szCs w:val="18"/>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36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18"/>
                <w:lang w:bidi="en-US"/>
              </w:rPr>
            </w:pPr>
          </w:p>
        </w:tc>
        <w:tc>
          <w:tcPr>
            <w:tcW w:w="1470"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18"/>
                <w:lang w:eastAsia="en-US" w:bidi="en-US"/>
              </w:rPr>
            </w:pPr>
          </w:p>
        </w:tc>
        <w:tc>
          <w:tcPr>
            <w:tcW w:w="673" w:type="pct"/>
            <w:tcBorders>
              <w:top w:val="single" w:color="auto" w:sz="4" w:space="0"/>
              <w:left w:val="single" w:color="auto" w:sz="4" w:space="0"/>
              <w:bottom w:val="single" w:color="auto" w:sz="4" w:space="0"/>
              <w:right w:val="single" w:color="auto" w:sz="4" w:space="0"/>
            </w:tcBorders>
            <w:vAlign w:val="center"/>
          </w:tcPr>
          <w:p>
            <w:pPr>
              <w:pStyle w:val="674"/>
              <w:rPr>
                <w:color w:val="auto"/>
                <w:sz w:val="21"/>
                <w:szCs w:val="18"/>
                <w:lang w:eastAsia="zh-CN"/>
              </w:rPr>
            </w:pPr>
            <w:r>
              <w:rPr>
                <w:color w:val="auto"/>
                <w:sz w:val="21"/>
                <w:szCs w:val="18"/>
                <w:lang w:eastAsia="zh-CN"/>
              </w:rPr>
              <w:t>单位</w:t>
            </w:r>
          </w:p>
        </w:tc>
        <w:tc>
          <w:tcPr>
            <w:tcW w:w="504" w:type="pct"/>
            <w:tcBorders>
              <w:top w:val="single" w:color="auto" w:sz="4" w:space="0"/>
              <w:left w:val="single" w:color="auto" w:sz="4" w:space="0"/>
              <w:bottom w:val="single" w:color="auto" w:sz="4" w:space="0"/>
              <w:right w:val="single" w:color="auto" w:sz="4" w:space="0"/>
            </w:tcBorders>
            <w:vAlign w:val="center"/>
          </w:tcPr>
          <w:p>
            <w:pPr>
              <w:pStyle w:val="674"/>
              <w:rPr>
                <w:color w:val="auto"/>
                <w:sz w:val="21"/>
                <w:szCs w:val="18"/>
                <w:lang w:eastAsia="zh-CN"/>
              </w:rPr>
            </w:pPr>
            <w:r>
              <w:rPr>
                <w:color w:val="auto"/>
                <w:sz w:val="21"/>
                <w:szCs w:val="18"/>
                <w:lang w:eastAsia="zh-CN"/>
              </w:rPr>
              <w:t>数值</w:t>
            </w:r>
          </w:p>
        </w:tc>
        <w:tc>
          <w:tcPr>
            <w:tcW w:w="1994"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18"/>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360" w:type="pct"/>
            <w:tcBorders>
              <w:top w:val="single" w:color="auto" w:sz="4" w:space="0"/>
              <w:left w:val="single" w:color="auto" w:sz="4" w:space="0"/>
              <w:bottom w:val="single" w:color="auto" w:sz="4" w:space="0"/>
              <w:right w:val="single" w:color="auto" w:sz="4" w:space="0"/>
            </w:tcBorders>
            <w:vAlign w:val="center"/>
          </w:tcPr>
          <w:p>
            <w:pPr>
              <w:pStyle w:val="674"/>
              <w:rPr>
                <w:color w:val="auto"/>
                <w:sz w:val="21"/>
                <w:szCs w:val="18"/>
                <w:lang w:eastAsia="zh-CN"/>
              </w:rPr>
            </w:pPr>
            <w:r>
              <w:rPr>
                <w:color w:val="auto"/>
                <w:sz w:val="21"/>
                <w:szCs w:val="18"/>
                <w:lang w:eastAsia="zh-CN"/>
              </w:rPr>
              <w:t>1</w:t>
            </w:r>
          </w:p>
        </w:tc>
        <w:tc>
          <w:tcPr>
            <w:tcW w:w="712" w:type="pct"/>
            <w:tcBorders>
              <w:top w:val="single" w:color="auto" w:sz="4" w:space="0"/>
              <w:left w:val="single" w:color="auto" w:sz="4" w:space="0"/>
              <w:bottom w:val="single" w:color="auto" w:sz="4" w:space="0"/>
              <w:right w:val="single" w:color="auto" w:sz="4" w:space="0"/>
            </w:tcBorders>
            <w:vAlign w:val="center"/>
          </w:tcPr>
          <w:p>
            <w:pPr>
              <w:pStyle w:val="674"/>
              <w:rPr>
                <w:color w:val="auto"/>
                <w:sz w:val="21"/>
                <w:szCs w:val="18"/>
                <w:lang w:eastAsia="zh-CN"/>
              </w:rPr>
            </w:pPr>
            <w:r>
              <w:rPr>
                <w:color w:val="auto"/>
                <w:sz w:val="21"/>
                <w:szCs w:val="18"/>
                <w:lang w:eastAsia="zh-CN"/>
              </w:rPr>
              <w:t>无组织废气</w:t>
            </w:r>
          </w:p>
        </w:tc>
        <w:tc>
          <w:tcPr>
            <w:tcW w:w="757" w:type="pct"/>
            <w:tcBorders>
              <w:top w:val="single" w:color="auto" w:sz="4" w:space="0"/>
              <w:left w:val="single" w:color="auto" w:sz="4" w:space="0"/>
              <w:bottom w:val="single" w:color="auto" w:sz="4" w:space="0"/>
              <w:right w:val="single" w:color="auto" w:sz="4" w:space="0"/>
            </w:tcBorders>
            <w:vAlign w:val="center"/>
          </w:tcPr>
          <w:p>
            <w:pPr>
              <w:pStyle w:val="674"/>
              <w:rPr>
                <w:color w:val="auto"/>
                <w:sz w:val="21"/>
                <w:szCs w:val="18"/>
                <w:lang w:eastAsia="zh-CN"/>
              </w:rPr>
            </w:pPr>
            <w:r>
              <w:rPr>
                <w:color w:val="auto"/>
                <w:sz w:val="21"/>
                <w:szCs w:val="18"/>
                <w:lang w:eastAsia="zh-CN"/>
              </w:rPr>
              <w:t>非甲烷总烃</w:t>
            </w:r>
          </w:p>
        </w:tc>
        <w:tc>
          <w:tcPr>
            <w:tcW w:w="673" w:type="pct"/>
            <w:tcBorders>
              <w:top w:val="single" w:color="auto" w:sz="4" w:space="0"/>
              <w:left w:val="single" w:color="auto" w:sz="4" w:space="0"/>
              <w:bottom w:val="single" w:color="auto" w:sz="4" w:space="0"/>
              <w:right w:val="single" w:color="auto" w:sz="4" w:space="0"/>
            </w:tcBorders>
            <w:vAlign w:val="center"/>
          </w:tcPr>
          <w:p>
            <w:pPr>
              <w:pStyle w:val="674"/>
              <w:rPr>
                <w:color w:val="auto"/>
                <w:sz w:val="21"/>
                <w:szCs w:val="18"/>
              </w:rPr>
            </w:pPr>
            <w:r>
              <w:rPr>
                <w:color w:val="auto"/>
                <w:sz w:val="21"/>
                <w:szCs w:val="18"/>
              </w:rPr>
              <w:t>mg/m</w:t>
            </w:r>
            <w:r>
              <w:rPr>
                <w:color w:val="auto"/>
                <w:sz w:val="21"/>
                <w:szCs w:val="18"/>
                <w:vertAlign w:val="superscript"/>
              </w:rPr>
              <w:t>3</w:t>
            </w:r>
          </w:p>
        </w:tc>
        <w:tc>
          <w:tcPr>
            <w:tcW w:w="504" w:type="pct"/>
            <w:tcBorders>
              <w:top w:val="single" w:color="auto" w:sz="4" w:space="0"/>
              <w:left w:val="single" w:color="auto" w:sz="4" w:space="0"/>
              <w:bottom w:val="single" w:color="auto" w:sz="4" w:space="0"/>
              <w:right w:val="single" w:color="auto" w:sz="4" w:space="0"/>
            </w:tcBorders>
            <w:vAlign w:val="center"/>
          </w:tcPr>
          <w:p>
            <w:pPr>
              <w:pStyle w:val="674"/>
              <w:rPr>
                <w:color w:val="auto"/>
                <w:sz w:val="21"/>
                <w:szCs w:val="18"/>
              </w:rPr>
            </w:pPr>
            <w:r>
              <w:rPr>
                <w:color w:val="auto"/>
                <w:sz w:val="21"/>
                <w:szCs w:val="18"/>
              </w:rPr>
              <w:t>4.0</w:t>
            </w:r>
          </w:p>
        </w:tc>
        <w:tc>
          <w:tcPr>
            <w:tcW w:w="1994" w:type="pct"/>
            <w:tcBorders>
              <w:top w:val="single" w:color="auto" w:sz="4" w:space="0"/>
              <w:left w:val="single" w:color="auto" w:sz="4" w:space="0"/>
              <w:bottom w:val="single" w:color="auto" w:sz="4" w:space="0"/>
              <w:right w:val="single" w:color="auto" w:sz="4" w:space="0"/>
            </w:tcBorders>
            <w:vAlign w:val="center"/>
          </w:tcPr>
          <w:p>
            <w:pPr>
              <w:pStyle w:val="674"/>
              <w:rPr>
                <w:color w:val="auto"/>
                <w:sz w:val="21"/>
                <w:szCs w:val="18"/>
                <w:lang w:eastAsia="zh-CN"/>
              </w:rPr>
            </w:pPr>
            <w:r>
              <w:rPr>
                <w:color w:val="auto"/>
                <w:sz w:val="21"/>
                <w:szCs w:val="18"/>
                <w:lang w:eastAsia="zh-CN"/>
              </w:rPr>
              <w:t>《陆上石油天然气开采工业大气污染物排放标准》（GB39728-2020）中标准限值要求</w:t>
            </w:r>
          </w:p>
        </w:tc>
      </w:tr>
    </w:tbl>
    <w:p>
      <w:pPr>
        <w:pStyle w:val="494"/>
        <w:ind w:firstLine="480"/>
      </w:pPr>
      <w:r>
        <w:rPr>
          <w:rFonts w:hint="eastAsia" w:ascii="宋体" w:hAnsi="宋体" w:cs="宋体"/>
        </w:rPr>
        <w:t>②</w:t>
      </w:r>
      <w:r>
        <w:t>废水污染物排放标准</w:t>
      </w:r>
    </w:p>
    <w:p>
      <w:pPr>
        <w:pStyle w:val="494"/>
        <w:ind w:firstLine="480"/>
      </w:pPr>
      <w:r>
        <w:rPr>
          <w:rFonts w:hint="eastAsia"/>
        </w:rPr>
        <w:t>本项目不新增劳动定员，不新增生活污水</w:t>
      </w:r>
      <w:r>
        <w:t>；生产废水经排污管线排入</w:t>
      </w:r>
      <w:r>
        <w:rPr>
          <w:rFonts w:hint="eastAsia"/>
        </w:rPr>
        <w:t>现有的</w:t>
      </w:r>
      <w:r>
        <w:t>54m</w:t>
      </w:r>
      <w:r>
        <w:rPr>
          <w:vertAlign w:val="superscript"/>
        </w:rPr>
        <w:t>3</w:t>
      </w:r>
      <w:r>
        <w:t>排污罐中，当罐内液位达到一定高度时，由排污泵输至罐车拉运至春风一号联合站处理达标后进行回注。</w:t>
      </w:r>
    </w:p>
    <w:p>
      <w:pPr>
        <w:pStyle w:val="494"/>
        <w:ind w:firstLine="480"/>
      </w:pPr>
      <w:r>
        <w:rPr>
          <w:rFonts w:hint="eastAsia" w:ascii="宋体" w:hAnsi="宋体" w:cs="宋体"/>
        </w:rPr>
        <w:t>③</w:t>
      </w:r>
      <w:r>
        <w:t>噪声排放标准</w:t>
      </w:r>
    </w:p>
    <w:p>
      <w:pPr>
        <w:pStyle w:val="494"/>
        <w:ind w:firstLine="480"/>
      </w:pPr>
      <w:r>
        <w:rPr>
          <w:rFonts w:hint="eastAsia"/>
        </w:rPr>
        <w:t>项目施工期噪声执行《建筑施工场界环境噪声排放标准》（GB12523-2011）相关标准，标准限值详见表1.4-</w:t>
      </w:r>
      <w:r>
        <w:t>6</w:t>
      </w:r>
      <w:r>
        <w:rPr>
          <w:rFonts w:hint="eastAsia"/>
        </w:rPr>
        <w:t>，运营期噪声执行《工业企业厂界环境噪声排放标准》（GB12348-2008）中</w:t>
      </w:r>
      <w:r>
        <w:t>2</w:t>
      </w:r>
      <w:r>
        <w:rPr>
          <w:rFonts w:hint="eastAsia"/>
        </w:rPr>
        <w:t>类标准，具体标准详见表1.4-</w:t>
      </w:r>
      <w:r>
        <w:t>7</w:t>
      </w:r>
      <w:r>
        <w:rPr>
          <w:rFonts w:hint="eastAsia"/>
        </w:rPr>
        <w:t>。</w:t>
      </w:r>
    </w:p>
    <w:p>
      <w:pPr>
        <w:pStyle w:val="400"/>
        <w:ind w:firstLine="420"/>
      </w:pPr>
      <w:r>
        <w:t>表</w:t>
      </w:r>
      <w:r>
        <w:rPr>
          <w:rFonts w:hint="eastAsia"/>
        </w:rPr>
        <w:t>1.</w:t>
      </w:r>
      <w:r>
        <w:t>4</w:t>
      </w:r>
      <w:r>
        <w:rPr>
          <w:rFonts w:hint="eastAsia"/>
        </w:rPr>
        <w:t>-</w:t>
      </w:r>
      <w:r>
        <w:t>6         建筑施工场界环境噪声排放限值            单位：dB（A）</w:t>
      </w:r>
    </w:p>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3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836" w:type="pct"/>
            <w:vAlign w:val="center"/>
          </w:tcPr>
          <w:p>
            <w:pPr>
              <w:pStyle w:val="670"/>
            </w:pPr>
            <w:r>
              <w:t>昼间</w:t>
            </w:r>
          </w:p>
        </w:tc>
        <w:tc>
          <w:tcPr>
            <w:tcW w:w="2164" w:type="pct"/>
            <w:vAlign w:val="center"/>
          </w:tcPr>
          <w:p>
            <w:pPr>
              <w:pStyle w:val="670"/>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836" w:type="pct"/>
            <w:vAlign w:val="center"/>
          </w:tcPr>
          <w:p>
            <w:pPr>
              <w:pStyle w:val="670"/>
            </w:pPr>
            <w:r>
              <w:t>70</w:t>
            </w:r>
          </w:p>
        </w:tc>
        <w:tc>
          <w:tcPr>
            <w:tcW w:w="2164" w:type="pct"/>
            <w:vAlign w:val="center"/>
          </w:tcPr>
          <w:p>
            <w:pPr>
              <w:pStyle w:val="670"/>
            </w:pPr>
            <w:r>
              <w:t>55</w:t>
            </w:r>
          </w:p>
        </w:tc>
      </w:tr>
    </w:tbl>
    <w:p>
      <w:pPr>
        <w:pStyle w:val="400"/>
        <w:ind w:firstLine="420"/>
      </w:pPr>
      <w:r>
        <w:t>表</w:t>
      </w:r>
      <w:r>
        <w:rPr>
          <w:rFonts w:hint="eastAsia"/>
        </w:rPr>
        <w:t>1</w:t>
      </w:r>
      <w:r>
        <w:t>.4</w:t>
      </w:r>
      <w:r>
        <w:rPr>
          <w:rFonts w:hint="eastAsia"/>
        </w:rPr>
        <w:t>-</w:t>
      </w:r>
      <w:r>
        <w:t>7       工业企业厂界环境噪声排放限值               单位：dB（A）</w:t>
      </w:r>
    </w:p>
    <w:tbl>
      <w:tblPr>
        <w:tblStyle w:val="55"/>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935"/>
        <w:gridCol w:w="3688"/>
        <w:gridCol w:w="281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147" w:type="pct"/>
            <w:vAlign w:val="center"/>
          </w:tcPr>
          <w:p>
            <w:pPr>
              <w:pStyle w:val="670"/>
            </w:pPr>
            <w:r>
              <w:t>类别</w:t>
            </w:r>
          </w:p>
        </w:tc>
        <w:tc>
          <w:tcPr>
            <w:tcW w:w="2186" w:type="pct"/>
            <w:vAlign w:val="center"/>
          </w:tcPr>
          <w:p>
            <w:pPr>
              <w:pStyle w:val="670"/>
            </w:pPr>
            <w:r>
              <w:t>昼间</w:t>
            </w:r>
          </w:p>
        </w:tc>
        <w:tc>
          <w:tcPr>
            <w:tcW w:w="1667" w:type="pct"/>
            <w:vAlign w:val="center"/>
          </w:tcPr>
          <w:p>
            <w:pPr>
              <w:pStyle w:val="670"/>
            </w:pPr>
            <w: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147" w:type="pct"/>
            <w:vAlign w:val="center"/>
          </w:tcPr>
          <w:p>
            <w:pPr>
              <w:pStyle w:val="670"/>
            </w:pPr>
            <w:r>
              <w:t>2类</w:t>
            </w:r>
          </w:p>
        </w:tc>
        <w:tc>
          <w:tcPr>
            <w:tcW w:w="2186" w:type="pct"/>
            <w:vAlign w:val="center"/>
          </w:tcPr>
          <w:p>
            <w:pPr>
              <w:pStyle w:val="670"/>
            </w:pPr>
            <w:r>
              <w:t>60</w:t>
            </w:r>
          </w:p>
        </w:tc>
        <w:tc>
          <w:tcPr>
            <w:tcW w:w="1667" w:type="pct"/>
            <w:vAlign w:val="center"/>
          </w:tcPr>
          <w:p>
            <w:pPr>
              <w:pStyle w:val="670"/>
            </w:pPr>
            <w:r>
              <w:rPr>
                <w:rFonts w:hint="eastAsia"/>
              </w:rPr>
              <w:t>5</w:t>
            </w:r>
            <w:r>
              <w:t>0</w:t>
            </w:r>
          </w:p>
        </w:tc>
      </w:tr>
    </w:tbl>
    <w:p>
      <w:pPr>
        <w:pStyle w:val="494"/>
        <w:ind w:firstLine="480"/>
      </w:pPr>
      <w:r>
        <w:rPr>
          <w:rFonts w:hint="eastAsia" w:ascii="宋体" w:hAnsi="宋体" w:cs="宋体"/>
        </w:rPr>
        <w:t>④</w:t>
      </w:r>
      <w:r>
        <w:t>固体废物标准</w:t>
      </w:r>
    </w:p>
    <w:p>
      <w:pPr>
        <w:pStyle w:val="494"/>
        <w:ind w:firstLine="480"/>
      </w:pPr>
      <w:r>
        <w:t>危险废物执行《危险废物贮存污染控制标准》（GB18597-2023）中要求。</w:t>
      </w:r>
    </w:p>
    <w:p>
      <w:pPr>
        <w:pStyle w:val="4"/>
        <w:spacing w:before="120" w:after="120"/>
      </w:pPr>
      <w:bookmarkStart w:id="86" w:name="_Toc437732082"/>
      <w:bookmarkStart w:id="87" w:name="_Toc430033218"/>
      <w:bookmarkStart w:id="88" w:name="_Toc107500306"/>
      <w:bookmarkStart w:id="89" w:name="_Toc145580355"/>
      <w:r>
        <w:t>1.</w:t>
      </w:r>
      <w:r>
        <w:rPr>
          <w:rFonts w:hint="eastAsia"/>
        </w:rPr>
        <w:t xml:space="preserve">5 </w:t>
      </w:r>
      <w:r>
        <w:t>评价等级与评价范围</w:t>
      </w:r>
      <w:bookmarkEnd w:id="86"/>
      <w:bookmarkEnd w:id="87"/>
      <w:bookmarkEnd w:id="88"/>
      <w:bookmarkEnd w:id="89"/>
    </w:p>
    <w:p>
      <w:pPr>
        <w:pStyle w:val="5"/>
        <w:spacing w:before="120" w:after="120"/>
        <w:rPr>
          <w:spacing w:val="0"/>
        </w:rPr>
      </w:pPr>
      <w:bookmarkStart w:id="90" w:name="_Toc107500307"/>
      <w:bookmarkStart w:id="91" w:name="_Toc145580356"/>
      <w:r>
        <w:rPr>
          <w:spacing w:val="0"/>
        </w:rPr>
        <w:t>1.</w:t>
      </w:r>
      <w:r>
        <w:rPr>
          <w:rFonts w:hint="eastAsia"/>
          <w:spacing w:val="0"/>
        </w:rPr>
        <w:t>5</w:t>
      </w:r>
      <w:r>
        <w:rPr>
          <w:spacing w:val="0"/>
        </w:rPr>
        <w:t>.1评价工作等级</w:t>
      </w:r>
      <w:bookmarkEnd w:id="90"/>
      <w:bookmarkEnd w:id="91"/>
    </w:p>
    <w:p>
      <w:pPr>
        <w:pStyle w:val="494"/>
        <w:ind w:firstLine="480"/>
      </w:pPr>
      <w:r>
        <w:t>按照《建设项目环境影响评价技术导则</w:t>
      </w:r>
      <w:r>
        <w:rPr>
          <w:rFonts w:hint="eastAsia"/>
        </w:rPr>
        <w:t xml:space="preserve"> </w:t>
      </w:r>
      <w:r>
        <w:t>总纲》（HJ2.1-2016）的要求，并根据</w:t>
      </w:r>
      <w:r>
        <w:rPr>
          <w:rFonts w:hint="eastAsia"/>
        </w:rPr>
        <w:t>本</w:t>
      </w:r>
      <w:r>
        <w:t>项目的排污特征、污染物排放量及项目所在地的环境功能区划要求，确定评价工作等级如下：</w:t>
      </w:r>
    </w:p>
    <w:p>
      <w:pPr>
        <w:pStyle w:val="494"/>
        <w:ind w:firstLine="480"/>
      </w:pPr>
      <w:bookmarkStart w:id="92" w:name="_Toc280044941"/>
      <w:bookmarkStart w:id="93" w:name="_Toc282470319"/>
      <w:bookmarkStart w:id="94" w:name="_Toc297197785"/>
      <w:r>
        <w:rPr>
          <w:rFonts w:hint="eastAsia"/>
        </w:rPr>
        <w:t>（1）</w:t>
      </w:r>
      <w:bookmarkEnd w:id="92"/>
      <w:bookmarkEnd w:id="93"/>
      <w:bookmarkEnd w:id="94"/>
      <w:r>
        <w:rPr>
          <w:rFonts w:hint="eastAsia"/>
        </w:rPr>
        <w:t>环境空气</w:t>
      </w:r>
    </w:p>
    <w:p>
      <w:pPr>
        <w:pStyle w:val="494"/>
        <w:ind w:firstLine="480"/>
      </w:pPr>
      <w:r>
        <w:rPr>
          <w:rFonts w:hint="eastAsia" w:ascii="宋体" w:hAnsi="宋体" w:cs="宋体"/>
          <w:lang w:eastAsia="ja-JP"/>
        </w:rPr>
        <w:t>①</w:t>
      </w:r>
      <w:r>
        <w:rPr>
          <w:rFonts w:hint="eastAsia"/>
        </w:rPr>
        <w:t>判定依据</w:t>
      </w:r>
    </w:p>
    <w:p>
      <w:pPr>
        <w:pStyle w:val="494"/>
        <w:ind w:firstLine="480"/>
      </w:pPr>
      <w:r>
        <w:t>本项目的大气污染物主要</w:t>
      </w:r>
      <w:r>
        <w:rPr>
          <w:rFonts w:hint="eastAsia"/>
        </w:rPr>
        <w:t>为</w:t>
      </w:r>
      <w:r>
        <w:t>生产区无组织废气，，主要污染物为非甲烷总烃。</w:t>
      </w:r>
    </w:p>
    <w:p>
      <w:pPr>
        <w:pStyle w:val="494"/>
        <w:ind w:firstLine="480"/>
      </w:pPr>
      <w:r>
        <w:t>根据《环境影响评价技术导则</w:t>
      </w:r>
      <w:r>
        <w:rPr>
          <w:rFonts w:hint="eastAsia"/>
        </w:rPr>
        <w:t xml:space="preserve"> </w:t>
      </w:r>
      <w:r>
        <w:t>大气环境》（HJ2.2-20</w:t>
      </w:r>
      <w:r>
        <w:rPr>
          <w:rFonts w:hint="eastAsia"/>
        </w:rPr>
        <w:t>1</w:t>
      </w:r>
      <w:r>
        <w:t>8），确定评价等级时需根据项目的初步工程分析结果，分别计算每一种污染物的最大地面浓度占标率Pi（第i个污染物），及第i个污染物的地面浓度达到标准值的10%时所对应的最远距离D</w:t>
      </w:r>
      <w:r>
        <w:rPr>
          <w:vertAlign w:val="subscript"/>
        </w:rPr>
        <w:t>10%</w:t>
      </w:r>
      <w:r>
        <w:t>。其中Pi定义为：</w:t>
      </w:r>
    </w:p>
    <w:p>
      <w:pPr>
        <w:spacing w:line="360" w:lineRule="auto"/>
        <w:ind w:firstLine="2640" w:firstLineChars="1100"/>
        <w:rPr>
          <w:i/>
          <w:sz w:val="24"/>
        </w:rPr>
      </w:pPr>
      <m:oMathPara>
        <m:oMath>
          <m:sSub>
            <m:sSubPr>
              <m:ctrlPr>
                <w:rPr>
                  <w:rFonts w:ascii="Cambria Math" w:hAnsi="Cambria Math"/>
                  <w:i/>
                  <w:sz w:val="24"/>
                </w:rPr>
              </m:ctrlPr>
            </m:sSubPr>
            <m:e>
              <m:r>
                <m:rPr/>
                <w:rPr>
                  <w:rFonts w:ascii="Cambria Math" w:hAnsi="Cambria Math"/>
                  <w:sz w:val="24"/>
                </w:rPr>
                <m:t>P</m:t>
              </m:r>
              <m:ctrlPr>
                <w:rPr>
                  <w:rFonts w:ascii="Cambria Math" w:hAnsi="Cambria Math"/>
                  <w:i/>
                  <w:sz w:val="24"/>
                </w:rPr>
              </m:ctrlPr>
            </m:e>
            <m:sub>
              <m:r>
                <m:rPr/>
                <w:rPr>
                  <w:rFonts w:ascii="Cambria Math" w:hAnsi="Cambria Math"/>
                  <w:sz w:val="24"/>
                </w:rPr>
                <m:t>i</m:t>
              </m:r>
              <m:ctrlPr>
                <w:rPr>
                  <w:rFonts w:ascii="Cambria Math" w:hAnsi="Cambria Math"/>
                  <w:i/>
                  <w:sz w:val="24"/>
                </w:rPr>
              </m:ctrlPr>
            </m:sub>
          </m:sSub>
          <m:r>
            <m:rP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w:rPr>
                      <w:rFonts w:ascii="Cambria Math" w:hAnsi="Cambria Math"/>
                      <w:sz w:val="24"/>
                    </w:rPr>
                    <m:t>C</m:t>
                  </m:r>
                  <m:ctrlPr>
                    <w:rPr>
                      <w:rFonts w:ascii="Cambria Math" w:hAnsi="Cambria Math"/>
                      <w:i/>
                      <w:sz w:val="24"/>
                    </w:rPr>
                  </m:ctrlPr>
                </m:e>
                <m:sub>
                  <m:r>
                    <m:rPr/>
                    <w:rPr>
                      <w:rFonts w:ascii="Cambria Math" w:hAnsi="Cambria Math"/>
                      <w:sz w:val="24"/>
                    </w:rPr>
                    <m:t>i</m:t>
                  </m:r>
                  <m:ctrlPr>
                    <w:rPr>
                      <w:rFonts w:ascii="Cambria Math" w:hAnsi="Cambria Math"/>
                      <w:i/>
                      <w:sz w:val="24"/>
                    </w:rPr>
                  </m:ctrlPr>
                </m:sub>
              </m:sSub>
              <m:ctrlPr>
                <w:rPr>
                  <w:rFonts w:ascii="Cambria Math" w:hAnsi="Cambria Math"/>
                  <w:i/>
                  <w:sz w:val="24"/>
                </w:rPr>
              </m:ctrlPr>
            </m:num>
            <m:den>
              <m:sSub>
                <m:sSubPr>
                  <m:ctrlPr>
                    <w:rPr>
                      <w:rFonts w:ascii="Cambria Math" w:hAnsi="Cambria Math"/>
                      <w:i/>
                      <w:sz w:val="24"/>
                    </w:rPr>
                  </m:ctrlPr>
                </m:sSubPr>
                <m:e>
                  <m:r>
                    <m:rPr/>
                    <w:rPr>
                      <w:rFonts w:ascii="Cambria Math" w:hAnsi="Cambria Math"/>
                      <w:sz w:val="24"/>
                    </w:rPr>
                    <m:t>C</m:t>
                  </m:r>
                  <m:ctrlPr>
                    <w:rPr>
                      <w:rFonts w:ascii="Cambria Math" w:hAnsi="Cambria Math"/>
                      <w:i/>
                      <w:sz w:val="24"/>
                    </w:rPr>
                  </m:ctrlPr>
                </m:e>
                <m:sub>
                  <m:r>
                    <m:rPr/>
                    <w:rPr>
                      <w:rFonts w:ascii="Cambria Math" w:hAnsi="Cambria Math"/>
                      <w:sz w:val="24"/>
                    </w:rPr>
                    <m:t>0i</m:t>
                  </m:r>
                  <m:ctrlPr>
                    <w:rPr>
                      <w:rFonts w:ascii="Cambria Math" w:hAnsi="Cambria Math"/>
                      <w:i/>
                      <w:sz w:val="24"/>
                    </w:rPr>
                  </m:ctrlPr>
                </m:sub>
              </m:sSub>
              <m:ctrlPr>
                <w:rPr>
                  <w:rFonts w:ascii="Cambria Math" w:hAnsi="Cambria Math"/>
                  <w:i/>
                  <w:sz w:val="24"/>
                </w:rPr>
              </m:ctrlPr>
            </m:den>
          </m:f>
          <m:r>
            <m:rPr/>
            <w:rPr>
              <w:rFonts w:ascii="Cambria Math" w:hAnsi="Cambria Math"/>
              <w:sz w:val="24"/>
            </w:rPr>
            <m:t>×100%</m:t>
          </m:r>
        </m:oMath>
      </m:oMathPara>
    </w:p>
    <w:p>
      <w:pPr>
        <w:pStyle w:val="494"/>
        <w:ind w:firstLine="480"/>
      </w:pPr>
      <w:r>
        <w:t>式中：</w:t>
      </w:r>
      <w:r>
        <w:rPr>
          <w:i/>
        </w:rPr>
        <w:t>P</w:t>
      </w:r>
      <w:r>
        <w:rPr>
          <w:i/>
          <w:vertAlign w:val="subscript"/>
        </w:rPr>
        <w:t>i</w:t>
      </w:r>
      <w:r>
        <w:t>—第i个污染物的最大地面浓度占标率，%；</w:t>
      </w:r>
    </w:p>
    <w:p>
      <w:pPr>
        <w:pStyle w:val="494"/>
        <w:ind w:firstLine="480"/>
      </w:pPr>
      <w:r>
        <w:t xml:space="preserve">      </w:t>
      </w:r>
      <w:r>
        <w:rPr>
          <w:i/>
        </w:rPr>
        <w:t>C</w:t>
      </w:r>
      <w:r>
        <w:rPr>
          <w:i/>
          <w:vertAlign w:val="subscript"/>
        </w:rPr>
        <w:t>i</w:t>
      </w:r>
      <w:r>
        <w:t>—采用估算模式计算出的第i个污染物的最大地面浓度，mg/m</w:t>
      </w:r>
      <w:r>
        <w:rPr>
          <w:vertAlign w:val="superscript"/>
        </w:rPr>
        <w:t>3</w:t>
      </w:r>
      <w:r>
        <w:t>；</w:t>
      </w:r>
    </w:p>
    <w:p>
      <w:pPr>
        <w:pStyle w:val="494"/>
        <w:ind w:firstLine="480"/>
      </w:pPr>
      <w:r>
        <w:t xml:space="preserve">      </w:t>
      </w:r>
      <w:r>
        <w:rPr>
          <w:i/>
        </w:rPr>
        <w:t>C</w:t>
      </w:r>
      <w:r>
        <w:rPr>
          <w:i/>
          <w:vertAlign w:val="subscript"/>
        </w:rPr>
        <w:t>oi</w:t>
      </w:r>
      <w:r>
        <w:t>—第i个污染物的环境空气质量标准，mg/m</w:t>
      </w:r>
      <w:r>
        <w:rPr>
          <w:vertAlign w:val="superscript"/>
        </w:rPr>
        <w:t>3</w:t>
      </w:r>
      <w:r>
        <w:t>；一般选用GB3095-1996中1小时平均取样时间的二级标准浓度限值。</w:t>
      </w:r>
    </w:p>
    <w:p>
      <w:pPr>
        <w:pStyle w:val="494"/>
        <w:ind w:firstLine="480"/>
      </w:pPr>
      <w:r>
        <w:rPr>
          <w:rFonts w:hint="eastAsia"/>
        </w:rPr>
        <w:t>根据</w:t>
      </w:r>
      <w:r>
        <w:t>《环境影响评价技术导则</w:t>
      </w:r>
      <w:r>
        <w:rPr>
          <w:rFonts w:hint="eastAsia"/>
        </w:rPr>
        <w:t xml:space="preserve"> </w:t>
      </w:r>
      <w:r>
        <w:t>大气环境》（HJ2.2-20</w:t>
      </w:r>
      <w:r>
        <w:rPr>
          <w:rFonts w:hint="eastAsia"/>
        </w:rPr>
        <w:t>1</w:t>
      </w:r>
      <w:r>
        <w:t>8）</w:t>
      </w:r>
      <w:r>
        <w:rPr>
          <w:rFonts w:hint="eastAsia"/>
        </w:rPr>
        <w:t>，</w:t>
      </w:r>
      <w:r>
        <w:t>评价工作等级按表</w:t>
      </w:r>
      <w:r>
        <w:rPr>
          <w:rFonts w:hint="eastAsia"/>
        </w:rPr>
        <w:t>1.5-1</w:t>
      </w:r>
      <w:r>
        <w:t>进行划分，如污染物数i大于1，取P值中最大者（Pmax）。</w:t>
      </w:r>
    </w:p>
    <w:p>
      <w:pPr>
        <w:pStyle w:val="400"/>
        <w:ind w:firstLine="420"/>
      </w:pPr>
      <w:r>
        <w:t>表1.</w:t>
      </w:r>
      <w:r>
        <w:rPr>
          <w:rFonts w:hint="eastAsia"/>
        </w:rPr>
        <w:t>5</w:t>
      </w:r>
      <w:r>
        <w:t>-1                     评价工作等级</w:t>
      </w:r>
      <w:r>
        <w:rPr>
          <w:rFonts w:hint="eastAsia"/>
        </w:rPr>
        <w:t>判别表</w:t>
      </w:r>
    </w:p>
    <w:tbl>
      <w:tblPr>
        <w:tblStyle w:val="65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2"/>
        <w:gridCol w:w="6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5" w:type="pct"/>
            <w:vAlign w:val="center"/>
          </w:tcPr>
          <w:p>
            <w:pPr>
              <w:pStyle w:val="670"/>
              <w:rPr>
                <w:sz w:val="21"/>
              </w:rPr>
            </w:pPr>
            <w:r>
              <w:rPr>
                <w:sz w:val="21"/>
              </w:rPr>
              <w:t>评价工作等级</w:t>
            </w:r>
          </w:p>
        </w:tc>
        <w:tc>
          <w:tcPr>
            <w:tcW w:w="3665" w:type="pct"/>
            <w:vAlign w:val="center"/>
          </w:tcPr>
          <w:p>
            <w:pPr>
              <w:pStyle w:val="670"/>
              <w:rPr>
                <w:sz w:val="21"/>
              </w:rPr>
            </w:pPr>
            <w:r>
              <w:rPr>
                <w:sz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5" w:type="pct"/>
            <w:vAlign w:val="center"/>
          </w:tcPr>
          <w:p>
            <w:pPr>
              <w:pStyle w:val="670"/>
              <w:rPr>
                <w:sz w:val="21"/>
              </w:rPr>
            </w:pPr>
            <w:r>
              <w:rPr>
                <w:sz w:val="21"/>
              </w:rPr>
              <w:t>一级</w:t>
            </w:r>
          </w:p>
        </w:tc>
        <w:tc>
          <w:tcPr>
            <w:tcW w:w="3665" w:type="pct"/>
            <w:vAlign w:val="center"/>
          </w:tcPr>
          <w:p>
            <w:pPr>
              <w:pStyle w:val="670"/>
              <w:rPr>
                <w:sz w:val="21"/>
              </w:rPr>
            </w:pPr>
            <w:r>
              <w:rPr>
                <w:sz w:val="21"/>
              </w:rP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5" w:type="pct"/>
            <w:vAlign w:val="center"/>
          </w:tcPr>
          <w:p>
            <w:pPr>
              <w:pStyle w:val="670"/>
              <w:rPr>
                <w:sz w:val="21"/>
              </w:rPr>
            </w:pPr>
            <w:r>
              <w:rPr>
                <w:sz w:val="21"/>
              </w:rPr>
              <w:t>二级</w:t>
            </w:r>
          </w:p>
        </w:tc>
        <w:tc>
          <w:tcPr>
            <w:tcW w:w="3665" w:type="pct"/>
            <w:vAlign w:val="center"/>
          </w:tcPr>
          <w:p>
            <w:pPr>
              <w:pStyle w:val="670"/>
              <w:rPr>
                <w:sz w:val="21"/>
              </w:rPr>
            </w:pPr>
            <w:r>
              <w:rPr>
                <w:sz w:val="21"/>
              </w:rPr>
              <w:t>1%≤Pmax&lt;10%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5" w:type="pct"/>
            <w:vAlign w:val="center"/>
          </w:tcPr>
          <w:p>
            <w:pPr>
              <w:pStyle w:val="670"/>
              <w:rPr>
                <w:sz w:val="21"/>
              </w:rPr>
            </w:pPr>
            <w:r>
              <w:rPr>
                <w:sz w:val="21"/>
              </w:rPr>
              <w:t>三级</w:t>
            </w:r>
          </w:p>
        </w:tc>
        <w:tc>
          <w:tcPr>
            <w:tcW w:w="3665" w:type="pct"/>
            <w:vAlign w:val="center"/>
          </w:tcPr>
          <w:p>
            <w:pPr>
              <w:pStyle w:val="670"/>
              <w:rPr>
                <w:sz w:val="21"/>
              </w:rPr>
            </w:pPr>
            <w:r>
              <w:rPr>
                <w:sz w:val="21"/>
              </w:rPr>
              <w:t>Pmax﹤1%</w:t>
            </w:r>
          </w:p>
        </w:tc>
      </w:tr>
    </w:tbl>
    <w:p>
      <w:pPr>
        <w:pStyle w:val="494"/>
        <w:ind w:firstLine="480"/>
      </w:pPr>
      <w:r>
        <w:rPr>
          <w:rFonts w:hint="eastAsia" w:ascii="宋体" w:hAnsi="宋体" w:cs="宋体"/>
          <w:lang w:eastAsia="ja-JP"/>
        </w:rPr>
        <w:t>②</w:t>
      </w:r>
      <w:r>
        <w:rPr>
          <w:rFonts w:hint="eastAsia"/>
        </w:rPr>
        <w:t>判别估算过程</w:t>
      </w:r>
    </w:p>
    <w:p>
      <w:pPr>
        <w:pStyle w:val="494"/>
        <w:ind w:firstLine="480"/>
      </w:pPr>
      <w:r>
        <w:rPr>
          <w:rFonts w:hint="eastAsia"/>
        </w:rPr>
        <w:t>本次评价预测采用《环境影响评价技术导则</w:t>
      </w:r>
      <w:r>
        <w:t xml:space="preserve"> </w:t>
      </w:r>
      <w:r>
        <w:rPr>
          <w:rFonts w:hint="eastAsia"/>
        </w:rPr>
        <w:t>大气环境》（</w:t>
      </w:r>
      <w:r>
        <w:t>HJ2.2-2018</w:t>
      </w:r>
      <w:r>
        <w:rPr>
          <w:rFonts w:hint="eastAsia"/>
        </w:rPr>
        <w:t>）推荐的</w:t>
      </w:r>
      <w:r>
        <w:t>AERSCREEN</w:t>
      </w:r>
      <w:r>
        <w:rPr>
          <w:rFonts w:hint="eastAsia"/>
        </w:rPr>
        <w:t>估算模式，估算污染物的最大落地浓度和距离，估算模型参数见表1.5-2。</w:t>
      </w:r>
    </w:p>
    <w:p>
      <w:pPr>
        <w:pStyle w:val="400"/>
        <w:ind w:firstLine="420"/>
      </w:pPr>
      <w:r>
        <w:rPr>
          <w:rFonts w:hint="eastAsia"/>
        </w:rPr>
        <w:t>表1.5-2</w:t>
      </w:r>
      <w:r>
        <w:t xml:space="preserve">                 </w:t>
      </w:r>
      <w:r>
        <w:rPr>
          <w:rFonts w:hint="eastAsia"/>
        </w:rPr>
        <w:t>估算模型参数表</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2409"/>
        <w:gridCol w:w="3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4"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参数</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Merge w:val="restart"/>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城市</w:t>
            </w:r>
            <w:r>
              <w:rPr>
                <w:color w:val="auto"/>
                <w:sz w:val="21"/>
                <w:szCs w:val="21"/>
              </w:rPr>
              <w:t>/</w:t>
            </w:r>
            <w:r>
              <w:rPr>
                <w:rFonts w:hint="eastAsia"/>
                <w:color w:val="auto"/>
                <w:sz w:val="21"/>
                <w:szCs w:val="21"/>
              </w:rPr>
              <w:t>农村选项</w:t>
            </w:r>
          </w:p>
        </w:tc>
        <w:tc>
          <w:tcPr>
            <w:tcW w:w="2409"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城市</w:t>
            </w:r>
            <w:r>
              <w:rPr>
                <w:color w:val="auto"/>
                <w:sz w:val="21"/>
                <w:szCs w:val="21"/>
              </w:rPr>
              <w:t>/</w:t>
            </w:r>
            <w:r>
              <w:rPr>
                <w:rFonts w:hint="eastAsia"/>
                <w:color w:val="auto"/>
                <w:sz w:val="21"/>
                <w:szCs w:val="21"/>
              </w:rPr>
              <w:t>农村</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409"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人口数（城市选项时）</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4"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最高环境温度</w:t>
            </w:r>
            <w:r>
              <w:rPr>
                <w:color w:val="auto"/>
                <w:sz w:val="21"/>
                <w:szCs w:val="21"/>
              </w:rPr>
              <w:t>/</w:t>
            </w:r>
            <w:r>
              <w:rPr>
                <w:rFonts w:hint="eastAsia" w:ascii="宋体" w:hAnsi="宋体" w:cs="宋体"/>
                <w:color w:val="auto"/>
                <w:sz w:val="21"/>
                <w:szCs w:val="21"/>
              </w:rPr>
              <w:t>℃</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4"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最低环境温度</w:t>
            </w:r>
            <w:r>
              <w:rPr>
                <w:color w:val="auto"/>
                <w:sz w:val="21"/>
                <w:szCs w:val="21"/>
              </w:rPr>
              <w:t>/</w:t>
            </w:r>
            <w:r>
              <w:rPr>
                <w:rFonts w:hint="eastAsia" w:ascii="宋体" w:hAnsi="宋体" w:cs="宋体"/>
                <w:color w:val="auto"/>
                <w:sz w:val="21"/>
                <w:szCs w:val="21"/>
              </w:rPr>
              <w:t>℃</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4"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土地利用类型</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沙漠化荒地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4"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区域湿度条件</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干燥气候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Merge w:val="restart"/>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是否考虑地形</w:t>
            </w:r>
          </w:p>
        </w:tc>
        <w:tc>
          <w:tcPr>
            <w:tcW w:w="2409"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考虑地形</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sym w:font="Times New Roman" w:char="F052"/>
            </w:r>
            <w:r>
              <w:rPr>
                <w:rFonts w:ascii="Segoe UI Symbol" w:hAnsi="Segoe UI Symbol" w:eastAsia="MS Mincho" w:cs="Segoe UI Symbol"/>
                <w:color w:val="auto"/>
                <w:sz w:val="21"/>
                <w:szCs w:val="21"/>
              </w:rPr>
              <w:t>☑</w:t>
            </w:r>
            <w:r>
              <w:rPr>
                <w:rFonts w:hint="eastAsia"/>
                <w:color w:val="auto"/>
                <w:sz w:val="21"/>
                <w:szCs w:val="21"/>
              </w:rPr>
              <w:t>是</w:t>
            </w:r>
            <w:r>
              <w:rPr>
                <w:color w:val="auto"/>
                <w:sz w:val="21"/>
                <w:szCs w:val="21"/>
              </w:rPr>
              <w:t xml:space="preserve">  □</w:t>
            </w:r>
            <w:r>
              <w:rPr>
                <w:rFonts w:hint="eastAsia"/>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409"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地形数据分辨率</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90m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Merge w:val="restart"/>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是否考虑岸线熏烟</w:t>
            </w:r>
          </w:p>
        </w:tc>
        <w:tc>
          <w:tcPr>
            <w:tcW w:w="2409"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考虑岸线熏烟</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 xml:space="preserve">  □</w:t>
            </w:r>
            <w:r>
              <w:rPr>
                <w:rFonts w:hint="eastAsia"/>
                <w:color w:val="auto"/>
                <w:sz w:val="21"/>
                <w:szCs w:val="21"/>
              </w:rPr>
              <w:t>是</w:t>
            </w:r>
            <w:r>
              <w:rPr>
                <w:color w:val="auto"/>
                <w:sz w:val="21"/>
                <w:szCs w:val="21"/>
              </w:rPr>
              <w:t xml:space="preserve">  </w:t>
            </w:r>
            <w:r>
              <w:rPr>
                <w:rFonts w:ascii="Segoe UI Symbol" w:hAnsi="Segoe UI Symbol" w:eastAsia="MS Mincho" w:cs="Segoe UI Symbol"/>
                <w:color w:val="auto"/>
                <w:sz w:val="21"/>
                <w:szCs w:val="21"/>
              </w:rPr>
              <w:t>☑</w:t>
            </w:r>
            <w:r>
              <w:rPr>
                <w:rFonts w:hint="eastAsia"/>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409"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岸线距离</w:t>
            </w:r>
            <w:r>
              <w:rPr>
                <w:color w:val="auto"/>
                <w:sz w:val="21"/>
                <w:szCs w:val="21"/>
              </w:rPr>
              <w:t>/m</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409"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岸线方向</w:t>
            </w:r>
            <w:r>
              <w:rPr>
                <w:color w:val="auto"/>
                <w:sz w:val="21"/>
                <w:szCs w:val="21"/>
              </w:rPr>
              <w:t>/°</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w:t>
            </w:r>
          </w:p>
        </w:tc>
      </w:tr>
    </w:tbl>
    <w:p>
      <w:pPr>
        <w:pStyle w:val="494"/>
        <w:ind w:firstLine="480"/>
      </w:pPr>
      <w:r>
        <w:rPr>
          <w:rFonts w:hint="eastAsia"/>
        </w:rPr>
        <w:t>本次评价废气污染源相关参数见表1.5-3。</w:t>
      </w:r>
    </w:p>
    <w:p>
      <w:pPr>
        <w:pStyle w:val="672"/>
        <w:rPr>
          <w:color w:val="auto"/>
        </w:rPr>
      </w:pPr>
      <w:r>
        <w:rPr>
          <w:color w:val="auto"/>
        </w:rPr>
        <w:t>表1.5-3           生产区无组织废气污染源一览表（面源）</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156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污染源名称</w:t>
            </w:r>
          </w:p>
        </w:tc>
        <w:tc>
          <w:tcPr>
            <w:tcW w:w="450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生产区无组织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vMerge w:val="restart"/>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面源中心坐标</w:t>
            </w:r>
            <w:r>
              <w:rPr>
                <w:color w:val="auto"/>
                <w:sz w:val="21"/>
                <w:szCs w:val="21"/>
              </w:rPr>
              <w:t>/m</w:t>
            </w:r>
          </w:p>
        </w:tc>
        <w:tc>
          <w:tcPr>
            <w:tcW w:w="156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X</w:t>
            </w:r>
          </w:p>
        </w:tc>
        <w:tc>
          <w:tcPr>
            <w:tcW w:w="450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Y</w:t>
            </w:r>
          </w:p>
        </w:tc>
        <w:tc>
          <w:tcPr>
            <w:tcW w:w="450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面源中心海拔高度</w:t>
            </w:r>
            <w:r>
              <w:rPr>
                <w:color w:val="auto"/>
                <w:sz w:val="21"/>
                <w:szCs w:val="21"/>
              </w:rPr>
              <w:t>/m</w:t>
            </w:r>
          </w:p>
        </w:tc>
        <w:tc>
          <w:tcPr>
            <w:tcW w:w="450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面源长度</w:t>
            </w:r>
            <w:r>
              <w:rPr>
                <w:color w:val="auto"/>
                <w:sz w:val="21"/>
                <w:szCs w:val="21"/>
              </w:rPr>
              <w:t>/m</w:t>
            </w:r>
          </w:p>
        </w:tc>
        <w:tc>
          <w:tcPr>
            <w:tcW w:w="450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2</w:t>
            </w:r>
            <w:r>
              <w:rPr>
                <w:color w:val="auto"/>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面源宽度</w:t>
            </w:r>
            <w:r>
              <w:rPr>
                <w:color w:val="auto"/>
                <w:sz w:val="21"/>
                <w:szCs w:val="21"/>
              </w:rPr>
              <w:t>/m</w:t>
            </w:r>
          </w:p>
        </w:tc>
        <w:tc>
          <w:tcPr>
            <w:tcW w:w="450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面源有效排放高度</w:t>
            </w:r>
            <w:r>
              <w:rPr>
                <w:color w:val="auto"/>
                <w:sz w:val="21"/>
                <w:szCs w:val="21"/>
              </w:rPr>
              <w:t>/m</w:t>
            </w:r>
          </w:p>
        </w:tc>
        <w:tc>
          <w:tcPr>
            <w:tcW w:w="450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与正北方向夹角</w:t>
            </w:r>
            <w:r>
              <w:rPr>
                <w:color w:val="auto"/>
                <w:sz w:val="21"/>
                <w:szCs w:val="21"/>
              </w:rPr>
              <w:t>/°</w:t>
            </w:r>
          </w:p>
        </w:tc>
        <w:tc>
          <w:tcPr>
            <w:tcW w:w="450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年排放小时</w:t>
            </w:r>
            <w:r>
              <w:rPr>
                <w:color w:val="auto"/>
                <w:sz w:val="21"/>
                <w:szCs w:val="21"/>
              </w:rPr>
              <w:t>/h</w:t>
            </w:r>
          </w:p>
        </w:tc>
        <w:tc>
          <w:tcPr>
            <w:tcW w:w="450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排放工况</w:t>
            </w:r>
          </w:p>
        </w:tc>
        <w:tc>
          <w:tcPr>
            <w:tcW w:w="450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污染物排放速率（</w:t>
            </w:r>
            <w:r>
              <w:rPr>
                <w:color w:val="auto"/>
                <w:sz w:val="21"/>
                <w:szCs w:val="21"/>
              </w:rPr>
              <w:t>kg/h</w:t>
            </w:r>
            <w:r>
              <w:rPr>
                <w:rFonts w:hint="eastAsia"/>
                <w:color w:val="auto"/>
                <w:sz w:val="21"/>
                <w:szCs w:val="21"/>
              </w:rPr>
              <w:t>）</w:t>
            </w:r>
          </w:p>
        </w:tc>
        <w:tc>
          <w:tcPr>
            <w:tcW w:w="156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非甲烷总烃</w:t>
            </w:r>
          </w:p>
        </w:tc>
        <w:tc>
          <w:tcPr>
            <w:tcW w:w="450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0.0035</w:t>
            </w:r>
          </w:p>
        </w:tc>
      </w:tr>
    </w:tbl>
    <w:p>
      <w:pPr>
        <w:pStyle w:val="494"/>
        <w:ind w:firstLine="480"/>
      </w:pPr>
      <w:r>
        <w:rPr>
          <w:rFonts w:hint="eastAsia"/>
        </w:rPr>
        <w:t>采用导则推荐的估算模型对项目废气进行估算，</w:t>
      </w:r>
      <w:r>
        <w:t>各废气污染物</w:t>
      </w:r>
      <w:r>
        <w:rPr>
          <w:rFonts w:hint="eastAsia"/>
        </w:rPr>
        <w:t>估算结果</w:t>
      </w:r>
      <w:r>
        <w:t>最大地面浓度占标率Pmax计算结果见表</w:t>
      </w:r>
      <w:r>
        <w:rPr>
          <w:rFonts w:hint="eastAsia"/>
        </w:rPr>
        <w:t>1.5</w:t>
      </w:r>
      <w:r>
        <w:t>-4。</w:t>
      </w:r>
    </w:p>
    <w:p>
      <w:pPr>
        <w:pStyle w:val="400"/>
        <w:ind w:firstLine="420"/>
      </w:pPr>
      <w:r>
        <w:t>表1.</w:t>
      </w:r>
      <w:r>
        <w:rPr>
          <w:rFonts w:hint="eastAsia"/>
        </w:rPr>
        <w:t>5</w:t>
      </w:r>
      <w:r>
        <w:t xml:space="preserve">-4                     </w:t>
      </w:r>
      <w:r>
        <w:rPr>
          <w:rFonts w:hint="eastAsia"/>
        </w:rPr>
        <w:t>废气估算</w:t>
      </w:r>
      <w:r>
        <w:t>结果</w:t>
      </w:r>
      <w:r>
        <w:rPr>
          <w:rFonts w:hint="eastAsia"/>
        </w:rPr>
        <w:t>一览表</w:t>
      </w: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1701"/>
        <w:gridCol w:w="1842"/>
        <w:gridCol w:w="1319"/>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3" w:type="pct"/>
            <w:gridSpan w:val="2"/>
            <w:vAlign w:val="center"/>
          </w:tcPr>
          <w:p>
            <w:pPr>
              <w:pStyle w:val="687"/>
              <w:rPr>
                <w:sz w:val="21"/>
              </w:rPr>
            </w:pPr>
            <w:r>
              <w:rPr>
                <w:sz w:val="21"/>
              </w:rPr>
              <w:t>参数名称</w:t>
            </w:r>
          </w:p>
        </w:tc>
        <w:tc>
          <w:tcPr>
            <w:tcW w:w="1092" w:type="pct"/>
            <w:vAlign w:val="center"/>
          </w:tcPr>
          <w:p>
            <w:pPr>
              <w:pStyle w:val="687"/>
              <w:rPr>
                <w:sz w:val="21"/>
              </w:rPr>
            </w:pPr>
            <w:r>
              <w:rPr>
                <w:sz w:val="21"/>
              </w:rPr>
              <w:t>最大落地浓度</w:t>
            </w:r>
          </w:p>
        </w:tc>
        <w:tc>
          <w:tcPr>
            <w:tcW w:w="782" w:type="pct"/>
            <w:vAlign w:val="center"/>
          </w:tcPr>
          <w:p>
            <w:pPr>
              <w:pStyle w:val="687"/>
              <w:rPr>
                <w:sz w:val="21"/>
              </w:rPr>
            </w:pPr>
            <w:r>
              <w:rPr>
                <w:sz w:val="21"/>
              </w:rPr>
              <w:t>Pmax</w:t>
            </w:r>
          </w:p>
        </w:tc>
        <w:tc>
          <w:tcPr>
            <w:tcW w:w="793" w:type="pct"/>
            <w:vAlign w:val="center"/>
          </w:tcPr>
          <w:p>
            <w:pPr>
              <w:pStyle w:val="687"/>
              <w:rPr>
                <w:sz w:val="21"/>
              </w:rPr>
            </w:pPr>
            <w:r>
              <w:rPr>
                <w:sz w:val="21"/>
              </w:rPr>
              <w:t>最大落地点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5" w:type="pct"/>
            <w:vAlign w:val="center"/>
          </w:tcPr>
          <w:p>
            <w:pPr>
              <w:pStyle w:val="687"/>
              <w:rPr>
                <w:sz w:val="21"/>
              </w:rPr>
            </w:pPr>
            <w:r>
              <w:rPr>
                <w:sz w:val="21"/>
              </w:rPr>
              <w:t>污染源</w:t>
            </w:r>
          </w:p>
        </w:tc>
        <w:tc>
          <w:tcPr>
            <w:tcW w:w="1008" w:type="pct"/>
            <w:vAlign w:val="center"/>
          </w:tcPr>
          <w:p>
            <w:pPr>
              <w:pStyle w:val="687"/>
              <w:rPr>
                <w:sz w:val="21"/>
              </w:rPr>
            </w:pPr>
            <w:r>
              <w:rPr>
                <w:sz w:val="21"/>
              </w:rPr>
              <w:t>污染物</w:t>
            </w:r>
          </w:p>
        </w:tc>
        <w:tc>
          <w:tcPr>
            <w:tcW w:w="1092" w:type="pct"/>
            <w:vAlign w:val="center"/>
          </w:tcPr>
          <w:p>
            <w:pPr>
              <w:pStyle w:val="687"/>
              <w:rPr>
                <w:sz w:val="21"/>
                <w:vertAlign w:val="superscript"/>
              </w:rPr>
            </w:pPr>
            <w:r>
              <w:rPr>
                <w:sz w:val="21"/>
              </w:rPr>
              <w:t>mg/m</w:t>
            </w:r>
            <w:r>
              <w:rPr>
                <w:sz w:val="21"/>
                <w:vertAlign w:val="superscript"/>
              </w:rPr>
              <w:t>3</w:t>
            </w:r>
          </w:p>
        </w:tc>
        <w:tc>
          <w:tcPr>
            <w:tcW w:w="782" w:type="pct"/>
            <w:vAlign w:val="center"/>
          </w:tcPr>
          <w:p>
            <w:pPr>
              <w:pStyle w:val="687"/>
              <w:rPr>
                <w:sz w:val="21"/>
              </w:rPr>
            </w:pPr>
            <w:r>
              <w:rPr>
                <w:sz w:val="21"/>
              </w:rPr>
              <w:t>%</w:t>
            </w:r>
          </w:p>
        </w:tc>
        <w:tc>
          <w:tcPr>
            <w:tcW w:w="793" w:type="pct"/>
            <w:vAlign w:val="center"/>
          </w:tcPr>
          <w:p>
            <w:pPr>
              <w:pStyle w:val="687"/>
              <w:rPr>
                <w:sz w:val="21"/>
              </w:rPr>
            </w:pPr>
            <w:r>
              <w:rPr>
                <w:sz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5" w:type="pct"/>
            <w:vAlign w:val="center"/>
          </w:tcPr>
          <w:p>
            <w:pPr>
              <w:pStyle w:val="687"/>
              <w:rPr>
                <w:sz w:val="21"/>
                <w:lang w:eastAsia="zh-CN"/>
              </w:rPr>
            </w:pPr>
            <w:r>
              <w:rPr>
                <w:rFonts w:hint="eastAsia"/>
                <w:sz w:val="21"/>
                <w:lang w:eastAsia="zh-CN"/>
              </w:rPr>
              <w:t>生产区</w:t>
            </w:r>
          </w:p>
        </w:tc>
        <w:tc>
          <w:tcPr>
            <w:tcW w:w="1008" w:type="pct"/>
            <w:vAlign w:val="center"/>
          </w:tcPr>
          <w:p>
            <w:pPr>
              <w:pStyle w:val="687"/>
              <w:rPr>
                <w:sz w:val="21"/>
                <w:lang w:eastAsia="zh-CN"/>
              </w:rPr>
            </w:pPr>
            <w:r>
              <w:rPr>
                <w:rFonts w:hint="eastAsia"/>
                <w:sz w:val="21"/>
                <w:lang w:eastAsia="zh-CN"/>
              </w:rPr>
              <w:t>非甲烷总烃</w:t>
            </w:r>
          </w:p>
        </w:tc>
        <w:tc>
          <w:tcPr>
            <w:tcW w:w="1092" w:type="pct"/>
            <w:vAlign w:val="center"/>
          </w:tcPr>
          <w:p>
            <w:pPr>
              <w:pStyle w:val="687"/>
              <w:rPr>
                <w:sz w:val="21"/>
              </w:rPr>
            </w:pPr>
            <w:r>
              <w:rPr>
                <w:rFonts w:hint="eastAsia"/>
                <w:sz w:val="21"/>
              </w:rPr>
              <w:t>4.48E-03</w:t>
            </w:r>
          </w:p>
        </w:tc>
        <w:tc>
          <w:tcPr>
            <w:tcW w:w="782" w:type="pct"/>
            <w:vAlign w:val="center"/>
          </w:tcPr>
          <w:p>
            <w:pPr>
              <w:pStyle w:val="687"/>
              <w:rPr>
                <w:sz w:val="21"/>
                <w:lang w:eastAsia="zh-CN"/>
              </w:rPr>
            </w:pPr>
            <w:r>
              <w:rPr>
                <w:rFonts w:hint="eastAsia"/>
                <w:sz w:val="21"/>
              </w:rPr>
              <w:t>0.</w:t>
            </w:r>
            <w:r>
              <w:rPr>
                <w:sz w:val="21"/>
              </w:rPr>
              <w:t>22</w:t>
            </w:r>
          </w:p>
        </w:tc>
        <w:tc>
          <w:tcPr>
            <w:tcW w:w="793" w:type="pct"/>
            <w:vAlign w:val="center"/>
          </w:tcPr>
          <w:p>
            <w:pPr>
              <w:pStyle w:val="687"/>
              <w:rPr>
                <w:sz w:val="21"/>
                <w:lang w:eastAsia="zh-CN"/>
              </w:rPr>
            </w:pPr>
            <w:r>
              <w:rPr>
                <w:rFonts w:hint="eastAsia"/>
                <w:sz w:val="21"/>
                <w:lang w:eastAsia="zh-CN"/>
              </w:rPr>
              <w:t>2</w:t>
            </w:r>
            <w:r>
              <w:rPr>
                <w:sz w:val="21"/>
                <w:lang w:eastAsia="zh-CN"/>
              </w:rPr>
              <w:t>5</w:t>
            </w:r>
          </w:p>
        </w:tc>
      </w:tr>
    </w:tbl>
    <w:p>
      <w:pPr>
        <w:pStyle w:val="494"/>
        <w:ind w:firstLine="480"/>
      </w:pPr>
      <w:r>
        <w:rPr>
          <w:rFonts w:hint="eastAsia" w:ascii="宋体" w:hAnsi="宋体" w:cs="宋体"/>
        </w:rPr>
        <w:t>③</w:t>
      </w:r>
      <w:r>
        <w:t>评价等级</w:t>
      </w:r>
    </w:p>
    <w:p>
      <w:pPr>
        <w:pStyle w:val="494"/>
        <w:ind w:firstLine="480"/>
      </w:pPr>
      <w:r>
        <w:t>根据表</w:t>
      </w:r>
      <w:r>
        <w:rPr>
          <w:rFonts w:hint="eastAsia"/>
        </w:rPr>
        <w:t>1.5-</w:t>
      </w:r>
      <w:r>
        <w:t>5估算结果，本项目污染物最大占标率为：0.22%</w:t>
      </w:r>
      <w:r>
        <w:rPr>
          <w:rFonts w:hint="eastAsia"/>
        </w:rPr>
        <w:t>，</w:t>
      </w:r>
      <w:r>
        <w:t>污染物的最大占标率Pmax＜1%，确定大气环境评价等级为</w:t>
      </w:r>
      <w:r>
        <w:rPr>
          <w:rFonts w:hint="eastAsia"/>
        </w:rPr>
        <w:t>三</w:t>
      </w:r>
      <w:r>
        <w:t>级。</w:t>
      </w:r>
    </w:p>
    <w:p>
      <w:pPr>
        <w:pStyle w:val="494"/>
        <w:ind w:firstLine="480"/>
      </w:pPr>
      <w:r>
        <w:rPr>
          <w:rFonts w:hint="eastAsia"/>
        </w:rPr>
        <w:t>（2）</w:t>
      </w:r>
      <w:r>
        <w:t>地表水</w:t>
      </w:r>
    </w:p>
    <w:p>
      <w:pPr>
        <w:pStyle w:val="488"/>
        <w:ind w:firstLine="480"/>
        <w:rPr>
          <w:rFonts w:ascii="Times New Roman" w:hAnsi="Times New Roman" w:cs="Times New Roman"/>
        </w:rPr>
      </w:pPr>
      <w:r>
        <w:rPr>
          <w:rFonts w:ascii="Times New Roman" w:hAnsi="Times New Roman" w:cs="Times New Roman"/>
        </w:rPr>
        <w:t>根据《环境影响评价技术导则 地表水环境》（HJ 2.3-2018）中地表水环境影响评价工作等级分级判据主要按照影响类型、排放方式、排放量或影响情况、受纳水体环境质量现状、水环境保护目标等综合确定。评价等级判定依据见表1.5-5。</w:t>
      </w:r>
    </w:p>
    <w:p>
      <w:pPr>
        <w:pStyle w:val="672"/>
        <w:spacing w:before="120"/>
        <w:rPr>
          <w:color w:val="auto"/>
        </w:rPr>
      </w:pPr>
      <w:r>
        <w:rPr>
          <w:color w:val="auto"/>
        </w:rPr>
        <w:t>表1.5-5              水污染影响型建设项目评价等级判定</w:t>
      </w:r>
    </w:p>
    <w:tbl>
      <w:tblPr>
        <w:tblStyle w:val="55"/>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633"/>
        <w:gridCol w:w="5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269" w:type="dxa"/>
            <w:vMerge w:val="restart"/>
            <w:tcBorders>
              <w:top w:val="single" w:color="auto" w:sz="4" w:space="0"/>
              <w:left w:val="single" w:color="auto" w:sz="4" w:space="0"/>
              <w:bottom w:val="single" w:color="auto" w:sz="4" w:space="0"/>
              <w:right w:val="single" w:color="auto" w:sz="4" w:space="0"/>
            </w:tcBorders>
            <w:vAlign w:val="center"/>
          </w:tcPr>
          <w:p>
            <w:pPr>
              <w:pStyle w:val="670"/>
            </w:pPr>
            <w:r>
              <w:t>评价等级</w:t>
            </w:r>
          </w:p>
        </w:tc>
        <w:tc>
          <w:tcPr>
            <w:tcW w:w="7026" w:type="dxa"/>
            <w:gridSpan w:val="2"/>
            <w:tcBorders>
              <w:top w:val="single" w:color="auto" w:sz="4" w:space="0"/>
              <w:left w:val="single" w:color="auto" w:sz="4" w:space="0"/>
              <w:bottom w:val="single" w:color="auto" w:sz="4" w:space="0"/>
              <w:right w:val="single" w:color="auto" w:sz="4" w:space="0"/>
            </w:tcBorders>
            <w:vAlign w:val="center"/>
          </w:tcPr>
          <w:p>
            <w:pPr>
              <w:pStyle w:val="670"/>
            </w:pPr>
            <w: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2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633" w:type="dxa"/>
            <w:tcBorders>
              <w:top w:val="single" w:color="auto" w:sz="4" w:space="0"/>
              <w:left w:val="single" w:color="auto" w:sz="4" w:space="0"/>
              <w:bottom w:val="single" w:color="auto" w:sz="4" w:space="0"/>
              <w:right w:val="single" w:color="auto" w:sz="4" w:space="0"/>
            </w:tcBorders>
            <w:vAlign w:val="center"/>
          </w:tcPr>
          <w:p>
            <w:pPr>
              <w:pStyle w:val="670"/>
            </w:pPr>
            <w:r>
              <w:t>排放方式</w:t>
            </w:r>
          </w:p>
        </w:tc>
        <w:tc>
          <w:tcPr>
            <w:tcW w:w="5393"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废水排放量Q/（m³/d）；水污染物当量数W/（无量纲）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269" w:type="dxa"/>
            <w:tcBorders>
              <w:top w:val="single" w:color="auto" w:sz="4" w:space="0"/>
              <w:left w:val="single" w:color="auto" w:sz="4" w:space="0"/>
              <w:bottom w:val="single" w:color="auto" w:sz="4" w:space="0"/>
              <w:right w:val="single" w:color="auto" w:sz="4" w:space="0"/>
            </w:tcBorders>
            <w:vAlign w:val="center"/>
          </w:tcPr>
          <w:p>
            <w:pPr>
              <w:pStyle w:val="670"/>
            </w:pPr>
            <w:r>
              <w:t>一级</w:t>
            </w:r>
          </w:p>
        </w:tc>
        <w:tc>
          <w:tcPr>
            <w:tcW w:w="1633" w:type="dxa"/>
            <w:tcBorders>
              <w:top w:val="single" w:color="auto" w:sz="4" w:space="0"/>
              <w:left w:val="single" w:color="auto" w:sz="4" w:space="0"/>
              <w:bottom w:val="single" w:color="auto" w:sz="4" w:space="0"/>
              <w:right w:val="single" w:color="auto" w:sz="4" w:space="0"/>
            </w:tcBorders>
            <w:vAlign w:val="center"/>
          </w:tcPr>
          <w:p>
            <w:pPr>
              <w:pStyle w:val="670"/>
            </w:pPr>
            <w:r>
              <w:t>直接排放</w:t>
            </w:r>
          </w:p>
        </w:tc>
        <w:tc>
          <w:tcPr>
            <w:tcW w:w="5393" w:type="dxa"/>
            <w:tcBorders>
              <w:top w:val="single" w:color="auto" w:sz="4" w:space="0"/>
              <w:left w:val="single" w:color="auto" w:sz="4" w:space="0"/>
              <w:bottom w:val="single" w:color="auto" w:sz="4" w:space="0"/>
              <w:right w:val="single" w:color="auto" w:sz="4" w:space="0"/>
            </w:tcBorders>
            <w:vAlign w:val="center"/>
          </w:tcPr>
          <w:p>
            <w:pPr>
              <w:pStyle w:val="670"/>
            </w:pPr>
            <w:r>
              <w:t>Q≥或W≥600000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269" w:type="dxa"/>
            <w:tcBorders>
              <w:top w:val="single" w:color="auto" w:sz="4" w:space="0"/>
              <w:left w:val="single" w:color="auto" w:sz="4" w:space="0"/>
              <w:bottom w:val="single" w:color="auto" w:sz="4" w:space="0"/>
              <w:right w:val="single" w:color="auto" w:sz="4" w:space="0"/>
            </w:tcBorders>
            <w:vAlign w:val="center"/>
          </w:tcPr>
          <w:p>
            <w:pPr>
              <w:pStyle w:val="670"/>
            </w:pPr>
            <w:r>
              <w:t>二级</w:t>
            </w:r>
          </w:p>
        </w:tc>
        <w:tc>
          <w:tcPr>
            <w:tcW w:w="1633" w:type="dxa"/>
            <w:tcBorders>
              <w:top w:val="single" w:color="auto" w:sz="4" w:space="0"/>
              <w:left w:val="single" w:color="auto" w:sz="4" w:space="0"/>
              <w:bottom w:val="single" w:color="auto" w:sz="4" w:space="0"/>
              <w:right w:val="single" w:color="auto" w:sz="4" w:space="0"/>
            </w:tcBorders>
            <w:vAlign w:val="center"/>
          </w:tcPr>
          <w:p>
            <w:pPr>
              <w:pStyle w:val="670"/>
            </w:pPr>
            <w:r>
              <w:t>直接排放</w:t>
            </w:r>
          </w:p>
        </w:tc>
        <w:tc>
          <w:tcPr>
            <w:tcW w:w="5393" w:type="dxa"/>
            <w:tcBorders>
              <w:top w:val="single" w:color="auto" w:sz="4" w:space="0"/>
              <w:left w:val="single" w:color="auto" w:sz="4" w:space="0"/>
              <w:bottom w:val="single" w:color="auto" w:sz="4" w:space="0"/>
              <w:right w:val="single" w:color="auto" w:sz="4" w:space="0"/>
            </w:tcBorders>
            <w:vAlign w:val="center"/>
          </w:tcPr>
          <w:p>
            <w:pPr>
              <w:pStyle w:val="670"/>
            </w:pPr>
            <w:r>
              <w:t>其20000他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269" w:type="dxa"/>
            <w:tcBorders>
              <w:top w:val="single" w:color="auto" w:sz="4" w:space="0"/>
              <w:left w:val="single" w:color="auto" w:sz="4" w:space="0"/>
              <w:bottom w:val="single" w:color="auto" w:sz="4" w:space="0"/>
              <w:right w:val="single" w:color="auto" w:sz="4" w:space="0"/>
            </w:tcBorders>
            <w:vAlign w:val="center"/>
          </w:tcPr>
          <w:p>
            <w:pPr>
              <w:pStyle w:val="670"/>
            </w:pPr>
            <w:r>
              <w:t>三级A</w:t>
            </w:r>
          </w:p>
        </w:tc>
        <w:tc>
          <w:tcPr>
            <w:tcW w:w="1633" w:type="dxa"/>
            <w:tcBorders>
              <w:top w:val="single" w:color="auto" w:sz="4" w:space="0"/>
              <w:left w:val="single" w:color="auto" w:sz="4" w:space="0"/>
              <w:bottom w:val="single" w:color="auto" w:sz="4" w:space="0"/>
              <w:right w:val="single" w:color="auto" w:sz="4" w:space="0"/>
            </w:tcBorders>
            <w:vAlign w:val="center"/>
          </w:tcPr>
          <w:p>
            <w:pPr>
              <w:pStyle w:val="670"/>
            </w:pPr>
            <w:r>
              <w:t>直接排放</w:t>
            </w:r>
          </w:p>
        </w:tc>
        <w:tc>
          <w:tcPr>
            <w:tcW w:w="5393" w:type="dxa"/>
            <w:tcBorders>
              <w:top w:val="single" w:color="auto" w:sz="4" w:space="0"/>
              <w:left w:val="single" w:color="auto" w:sz="4" w:space="0"/>
              <w:bottom w:val="single" w:color="auto" w:sz="4" w:space="0"/>
              <w:right w:val="single" w:color="auto" w:sz="4" w:space="0"/>
            </w:tcBorders>
            <w:vAlign w:val="center"/>
          </w:tcPr>
          <w:p>
            <w:pPr>
              <w:pStyle w:val="670"/>
            </w:pPr>
            <w: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269" w:type="dxa"/>
            <w:tcBorders>
              <w:top w:val="single" w:color="auto" w:sz="4" w:space="0"/>
              <w:left w:val="single" w:color="auto" w:sz="4" w:space="0"/>
              <w:bottom w:val="single" w:color="auto" w:sz="4" w:space="0"/>
              <w:right w:val="single" w:color="auto" w:sz="4" w:space="0"/>
            </w:tcBorders>
            <w:shd w:val="clear" w:color="auto" w:fill="ED7D31"/>
            <w:vAlign w:val="center"/>
          </w:tcPr>
          <w:p>
            <w:pPr>
              <w:pStyle w:val="670"/>
              <w:rPr>
                <w:b/>
              </w:rPr>
            </w:pPr>
            <w:r>
              <w:rPr>
                <w:b/>
              </w:rPr>
              <w:t>三级B</w:t>
            </w:r>
          </w:p>
        </w:tc>
        <w:tc>
          <w:tcPr>
            <w:tcW w:w="1633" w:type="dxa"/>
            <w:tcBorders>
              <w:top w:val="single" w:color="auto" w:sz="4" w:space="0"/>
              <w:left w:val="single" w:color="auto" w:sz="4" w:space="0"/>
              <w:bottom w:val="single" w:color="auto" w:sz="4" w:space="0"/>
              <w:right w:val="single" w:color="auto" w:sz="4" w:space="0"/>
            </w:tcBorders>
            <w:shd w:val="clear" w:color="auto" w:fill="ED7D31"/>
            <w:vAlign w:val="center"/>
          </w:tcPr>
          <w:p>
            <w:pPr>
              <w:pStyle w:val="670"/>
              <w:rPr>
                <w:b/>
              </w:rPr>
            </w:pPr>
            <w:r>
              <w:rPr>
                <w:b/>
              </w:rPr>
              <w:t>间接排放</w:t>
            </w:r>
          </w:p>
        </w:tc>
        <w:tc>
          <w:tcPr>
            <w:tcW w:w="5393" w:type="dxa"/>
            <w:tcBorders>
              <w:top w:val="single" w:color="auto" w:sz="4" w:space="0"/>
              <w:left w:val="single" w:color="auto" w:sz="4" w:space="0"/>
              <w:bottom w:val="single" w:color="auto" w:sz="4" w:space="0"/>
              <w:right w:val="single" w:color="auto" w:sz="4" w:space="0"/>
            </w:tcBorders>
            <w:shd w:val="clear" w:color="auto" w:fill="ED7D31"/>
            <w:vAlign w:val="center"/>
          </w:tcPr>
          <w:p>
            <w:pPr>
              <w:pStyle w:val="670"/>
              <w:rPr>
                <w:b/>
              </w:rPr>
            </w:pPr>
            <w:r>
              <w:rPr>
                <w:b/>
              </w:rPr>
              <w:t>-</w:t>
            </w:r>
          </w:p>
        </w:tc>
      </w:tr>
    </w:tbl>
    <w:p>
      <w:pPr>
        <w:pStyle w:val="494"/>
        <w:ind w:firstLine="480"/>
      </w:pPr>
      <w:r>
        <w:rPr>
          <w:rFonts w:hint="eastAsia"/>
        </w:rPr>
        <w:t>本项目不新增劳动定员，不新增生活污水</w:t>
      </w:r>
      <w:r>
        <w:t>；生产废水经排污管线排入</w:t>
      </w:r>
      <w:r>
        <w:rPr>
          <w:rFonts w:hint="eastAsia"/>
        </w:rPr>
        <w:t>现有</w:t>
      </w:r>
      <w:r>
        <w:t>54m</w:t>
      </w:r>
      <w:r>
        <w:rPr>
          <w:vertAlign w:val="superscript"/>
        </w:rPr>
        <w:t>3</w:t>
      </w:r>
      <w:r>
        <w:t>的排污罐中，当罐内液位达到一定高度时，由排污泵输至罐车拉运至春风一号联合站处理达标后进行回注</w:t>
      </w:r>
      <w:r>
        <w:rPr>
          <w:rFonts w:hint="eastAsia"/>
          <w:bCs/>
        </w:rPr>
        <w:t>，</w:t>
      </w:r>
      <w:r>
        <w:t>与地表水体不发生水力联系。因此判定本项目地</w:t>
      </w:r>
      <w:r>
        <w:rPr>
          <w:rFonts w:hint="eastAsia"/>
        </w:rPr>
        <w:t>表</w:t>
      </w:r>
      <w:r>
        <w:t>水环境影响评价工作等级</w:t>
      </w:r>
      <w:r>
        <w:rPr>
          <w:rFonts w:hint="eastAsia"/>
        </w:rPr>
        <w:t>为三级B</w:t>
      </w:r>
      <w:r>
        <w:t>，</w:t>
      </w:r>
      <w:r>
        <w:rPr>
          <w:rFonts w:hint="eastAsia"/>
        </w:rPr>
        <w:t>可</w:t>
      </w:r>
      <w:r>
        <w:t>不必进行地</w:t>
      </w:r>
      <w:r>
        <w:rPr>
          <w:rFonts w:hint="eastAsia"/>
        </w:rPr>
        <w:t>表</w:t>
      </w:r>
      <w:r>
        <w:t>水环境影响</w:t>
      </w:r>
      <w:r>
        <w:rPr>
          <w:rFonts w:hint="eastAsia"/>
        </w:rPr>
        <w:t>预测</w:t>
      </w:r>
      <w:r>
        <w:t>，只需按照环境影响报告书的有关规定，简要说明所排放的污染物类型和数量、给排水状况、排水去向等，并进行一些简单的环境影响分析。</w:t>
      </w:r>
    </w:p>
    <w:p>
      <w:pPr>
        <w:pStyle w:val="494"/>
        <w:ind w:firstLine="480"/>
      </w:pPr>
      <w:r>
        <w:rPr>
          <w:rFonts w:hint="eastAsia"/>
        </w:rPr>
        <w:t>（3）</w:t>
      </w:r>
      <w:r>
        <w:t>地下水</w:t>
      </w:r>
    </w:p>
    <w:p>
      <w:pPr>
        <w:pStyle w:val="494"/>
        <w:ind w:firstLine="480"/>
        <w:rPr>
          <w:szCs w:val="22"/>
        </w:rPr>
      </w:pPr>
      <w:r>
        <w:rPr>
          <w:szCs w:val="22"/>
        </w:rPr>
        <w:t>根据《环境影响评价技术导则  地下水环境》（HJ610-2016）中附录A地下水环境影响评价行业分类表，本项目属于“38、天然气、页岩气开采（含净化）”，地下水环境影响评价类别属于</w:t>
      </w:r>
      <w:r>
        <w:rPr>
          <w:rFonts w:hint="eastAsia"/>
          <w:szCs w:val="22"/>
        </w:rPr>
        <w:t>Ⅱ</w:t>
      </w:r>
      <w:r>
        <w:rPr>
          <w:szCs w:val="22"/>
        </w:rPr>
        <w:t>类，项目地下水环境影响评价工作等级划分见表1.</w:t>
      </w:r>
      <w:r>
        <w:rPr>
          <w:rFonts w:hint="eastAsia"/>
          <w:szCs w:val="22"/>
        </w:rPr>
        <w:t>5-</w:t>
      </w:r>
      <w:r>
        <w:rPr>
          <w:szCs w:val="22"/>
        </w:rPr>
        <w:t>6及表1.</w:t>
      </w:r>
      <w:r>
        <w:rPr>
          <w:rFonts w:hint="eastAsia"/>
          <w:szCs w:val="22"/>
        </w:rPr>
        <w:t>5</w:t>
      </w:r>
      <w:r>
        <w:rPr>
          <w:szCs w:val="22"/>
        </w:rPr>
        <w:t>-7。</w:t>
      </w:r>
    </w:p>
    <w:p>
      <w:pPr>
        <w:pStyle w:val="400"/>
        <w:ind w:firstLine="420"/>
      </w:pPr>
      <w:r>
        <w:t>表</w:t>
      </w:r>
      <w:r>
        <w:rPr>
          <w:rFonts w:hint="eastAsia"/>
        </w:rPr>
        <w:t>1.5</w:t>
      </w:r>
      <w:r>
        <w:t xml:space="preserve">-6 </w:t>
      </w:r>
      <w:r>
        <w:rPr>
          <w:rFonts w:hint="eastAsia"/>
        </w:rPr>
        <w:t xml:space="preserve">  </w:t>
      </w:r>
      <w:r>
        <w:t xml:space="preserve">       地下水环境敏感程度分级</w:t>
      </w:r>
    </w:p>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6555"/>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3" w:type="pct"/>
            <w:shd w:val="clear" w:color="auto" w:fill="auto"/>
            <w:vAlign w:val="center"/>
          </w:tcPr>
          <w:p>
            <w:pPr>
              <w:pStyle w:val="670"/>
            </w:pPr>
            <w:r>
              <w:t>分级</w:t>
            </w:r>
          </w:p>
        </w:tc>
        <w:tc>
          <w:tcPr>
            <w:tcW w:w="3885" w:type="pct"/>
            <w:shd w:val="clear" w:color="auto" w:fill="auto"/>
            <w:vAlign w:val="center"/>
          </w:tcPr>
          <w:p>
            <w:pPr>
              <w:pStyle w:val="670"/>
              <w:rPr>
                <w:lang w:eastAsia="zh-CN"/>
              </w:rPr>
            </w:pPr>
            <w:r>
              <w:rPr>
                <w:lang w:eastAsia="zh-CN"/>
              </w:rPr>
              <w:t>项目场地的地下水环境特征</w:t>
            </w:r>
          </w:p>
        </w:tc>
        <w:tc>
          <w:tcPr>
            <w:tcW w:w="552" w:type="pct"/>
            <w:shd w:val="clear" w:color="auto" w:fill="auto"/>
            <w:vAlign w:val="center"/>
          </w:tcPr>
          <w:p>
            <w:pPr>
              <w:pStyle w:val="670"/>
            </w:pPr>
            <w:r>
              <w:rPr>
                <w:rFonts w:hint="eastAsia"/>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3" w:type="pct"/>
            <w:shd w:val="clear" w:color="auto" w:fill="auto"/>
            <w:vAlign w:val="center"/>
          </w:tcPr>
          <w:p>
            <w:pPr>
              <w:pStyle w:val="670"/>
            </w:pPr>
            <w:r>
              <w:t>敏感</w:t>
            </w:r>
          </w:p>
        </w:tc>
        <w:tc>
          <w:tcPr>
            <w:tcW w:w="3885" w:type="pct"/>
            <w:shd w:val="clear" w:color="auto" w:fill="auto"/>
            <w:vAlign w:val="center"/>
          </w:tcPr>
          <w:p>
            <w:pPr>
              <w:pStyle w:val="670"/>
              <w:rPr>
                <w:lang w:eastAsia="zh-CN"/>
              </w:rPr>
            </w:pPr>
            <w:r>
              <w:rPr>
                <w:lang w:eastAsia="zh-CN"/>
              </w:rPr>
              <w:t>集中式饮用水水源地（包括已建成的在用、备用、应急水源地，在建和规划水源地）准保护区；除集中式饮用水水源地以外的国家或地方政府设定的与地下水环境相关的其它保护区，如热水、矿泉水、温泉等特殊地下水资源保护区。</w:t>
            </w:r>
          </w:p>
        </w:tc>
        <w:tc>
          <w:tcPr>
            <w:tcW w:w="552" w:type="pct"/>
            <w:vMerge w:val="restart"/>
            <w:shd w:val="clear" w:color="auto" w:fill="auto"/>
            <w:vAlign w:val="center"/>
          </w:tcPr>
          <w:p>
            <w:pPr>
              <w:pStyle w:val="670"/>
              <w:rPr>
                <w:lang w:eastAsia="zh-CN"/>
              </w:rPr>
            </w:pPr>
            <w:r>
              <w:rPr>
                <w:rFonts w:hint="eastAsia"/>
                <w:lang w:eastAsia="zh-CN"/>
              </w:rPr>
              <w:t>本项目不位于上述敏感及较敏感范围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3" w:type="pct"/>
            <w:shd w:val="clear" w:color="auto" w:fill="auto"/>
            <w:vAlign w:val="center"/>
          </w:tcPr>
          <w:p>
            <w:pPr>
              <w:pStyle w:val="670"/>
            </w:pPr>
            <w:r>
              <w:t>较敏感</w:t>
            </w:r>
          </w:p>
        </w:tc>
        <w:tc>
          <w:tcPr>
            <w:tcW w:w="3885" w:type="pct"/>
            <w:shd w:val="clear" w:color="auto" w:fill="auto"/>
            <w:vAlign w:val="center"/>
          </w:tcPr>
          <w:p>
            <w:pPr>
              <w:pStyle w:val="670"/>
              <w:rPr>
                <w:lang w:eastAsia="zh-CN"/>
              </w:rPr>
            </w:pPr>
            <w:r>
              <w:rPr>
                <w:lang w:eastAsia="zh-CN"/>
              </w:rPr>
              <w:t>集中式饮用水水源地（包括已建成的在用、备用、应急水源地，在建和规划水源地）准保护区以外的补给径流区；特殊地下水资源（如矿泉水、温泉等）保护区以外的分布区以及分散式居民饮用水水源等其它未列入上述敏感分级的环境敏感区。</w:t>
            </w:r>
          </w:p>
        </w:tc>
        <w:tc>
          <w:tcPr>
            <w:tcW w:w="552" w:type="pct"/>
            <w:vMerge w:val="continue"/>
            <w:shd w:val="clear" w:color="auto" w:fill="auto"/>
            <w:vAlign w:val="center"/>
          </w:tcPr>
          <w:p>
            <w:pPr>
              <w:pStyle w:val="670"/>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3" w:type="pct"/>
            <w:shd w:val="clear" w:color="auto" w:fill="auto"/>
            <w:vAlign w:val="center"/>
          </w:tcPr>
          <w:p>
            <w:pPr>
              <w:pStyle w:val="670"/>
            </w:pPr>
            <w:r>
              <w:t>不敏感</w:t>
            </w:r>
          </w:p>
        </w:tc>
        <w:tc>
          <w:tcPr>
            <w:tcW w:w="3885" w:type="pct"/>
            <w:shd w:val="clear" w:color="auto" w:fill="auto"/>
            <w:vAlign w:val="center"/>
          </w:tcPr>
          <w:p>
            <w:pPr>
              <w:pStyle w:val="670"/>
              <w:rPr>
                <w:lang w:eastAsia="zh-CN"/>
              </w:rPr>
            </w:pPr>
            <w:r>
              <w:rPr>
                <w:lang w:eastAsia="zh-CN"/>
              </w:rPr>
              <w:t>上述地区之外的其它地区。</w:t>
            </w:r>
          </w:p>
        </w:tc>
        <w:tc>
          <w:tcPr>
            <w:tcW w:w="552" w:type="pct"/>
            <w:vMerge w:val="continue"/>
            <w:shd w:val="clear" w:color="auto" w:fill="auto"/>
            <w:vAlign w:val="center"/>
          </w:tcPr>
          <w:p>
            <w:pPr>
              <w:pStyle w:val="670"/>
              <w:rPr>
                <w:lang w:eastAsia="zh-CN"/>
              </w:rPr>
            </w:pPr>
          </w:p>
        </w:tc>
      </w:tr>
    </w:tbl>
    <w:p>
      <w:pPr>
        <w:pStyle w:val="400"/>
        <w:ind w:firstLine="420"/>
      </w:pPr>
      <w:r>
        <w:t>表</w:t>
      </w:r>
      <w:r>
        <w:rPr>
          <w:rFonts w:hint="eastAsia"/>
        </w:rPr>
        <w:t>1.5</w:t>
      </w:r>
      <w:r>
        <w:t xml:space="preserve">-7 </w:t>
      </w:r>
      <w:r>
        <w:rPr>
          <w:rFonts w:hint="eastAsia"/>
        </w:rPr>
        <w:t xml:space="preserve">  </w:t>
      </w:r>
      <w:r>
        <w:t xml:space="preserve">              地下水评价等级划分</w:t>
      </w:r>
    </w:p>
    <w:tbl>
      <w:tblPr>
        <w:tblStyle w:val="55"/>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2385"/>
        <w:gridCol w:w="1527"/>
        <w:gridCol w:w="2263"/>
        <w:gridCol w:w="22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414" w:type="pct"/>
            <w:tcBorders>
              <w:top w:val="single" w:color="auto" w:sz="4" w:space="0"/>
              <w:left w:val="single" w:color="auto" w:sz="4" w:space="0"/>
              <w:bottom w:val="single" w:color="auto" w:sz="4" w:space="0"/>
              <w:right w:val="single" w:color="auto" w:sz="4" w:space="0"/>
              <w:tl2br w:val="single" w:color="000000" w:sz="2" w:space="0"/>
            </w:tcBorders>
            <w:vAlign w:val="center"/>
          </w:tcPr>
          <w:p>
            <w:pPr>
              <w:pStyle w:val="670"/>
              <w:rPr>
                <w:lang w:eastAsia="zh-CN"/>
              </w:rPr>
            </w:pPr>
            <w:r>
              <w:rPr>
                <w:lang w:eastAsia="zh-CN"/>
              </w:rPr>
              <w:t xml:space="preserve">        项目类别</w:t>
            </w:r>
          </w:p>
          <w:p>
            <w:pPr>
              <w:pStyle w:val="670"/>
              <w:jc w:val="both"/>
              <w:rPr>
                <w:lang w:eastAsia="zh-CN"/>
              </w:rPr>
            </w:pPr>
            <w:r>
              <w:rPr>
                <w:lang w:eastAsia="zh-CN"/>
              </w:rPr>
              <w:t>环境敏感程度</w:t>
            </w:r>
          </w:p>
        </w:tc>
        <w:tc>
          <w:tcPr>
            <w:tcW w:w="905" w:type="pct"/>
            <w:tcBorders>
              <w:top w:val="single" w:color="auto" w:sz="4" w:space="0"/>
              <w:left w:val="single" w:color="auto" w:sz="4" w:space="0"/>
              <w:bottom w:val="single" w:color="auto" w:sz="4" w:space="0"/>
              <w:right w:val="single" w:color="auto" w:sz="4" w:space="0"/>
            </w:tcBorders>
            <w:vAlign w:val="center"/>
          </w:tcPr>
          <w:p>
            <w:pPr>
              <w:pStyle w:val="670"/>
            </w:pPr>
            <w:r>
              <w:rPr>
                <w:rFonts w:hint="eastAsia"/>
              </w:rPr>
              <w:t>Ⅰ</w:t>
            </w:r>
            <w:r>
              <w:t>类</w:t>
            </w:r>
          </w:p>
        </w:tc>
        <w:tc>
          <w:tcPr>
            <w:tcW w:w="1341" w:type="pct"/>
            <w:tcBorders>
              <w:top w:val="single" w:color="auto" w:sz="4" w:space="0"/>
              <w:left w:val="single" w:color="auto" w:sz="4" w:space="0"/>
              <w:bottom w:val="single" w:color="auto" w:sz="4" w:space="0"/>
              <w:right w:val="single" w:color="auto" w:sz="4" w:space="0"/>
            </w:tcBorders>
            <w:vAlign w:val="center"/>
          </w:tcPr>
          <w:p>
            <w:pPr>
              <w:pStyle w:val="670"/>
            </w:pPr>
            <w:r>
              <w:rPr>
                <w:rFonts w:hint="eastAsia"/>
              </w:rPr>
              <w:t>Ⅱ</w:t>
            </w:r>
            <w:r>
              <w:t>类</w:t>
            </w:r>
          </w:p>
        </w:tc>
        <w:tc>
          <w:tcPr>
            <w:tcW w:w="1340" w:type="pct"/>
            <w:tcBorders>
              <w:top w:val="single" w:color="auto" w:sz="4" w:space="0"/>
              <w:left w:val="single" w:color="auto" w:sz="4" w:space="0"/>
              <w:bottom w:val="single" w:color="auto" w:sz="4" w:space="0"/>
              <w:right w:val="single" w:color="auto" w:sz="4" w:space="0"/>
            </w:tcBorders>
            <w:vAlign w:val="center"/>
          </w:tcPr>
          <w:p>
            <w:pPr>
              <w:pStyle w:val="670"/>
            </w:pPr>
            <w:r>
              <w:rPr>
                <w:rFonts w:hint="eastAsia"/>
              </w:rPr>
              <w:t>Ⅲ</w:t>
            </w:r>
            <w: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414" w:type="pct"/>
            <w:tcBorders>
              <w:top w:val="single" w:color="auto" w:sz="4" w:space="0"/>
              <w:left w:val="single" w:color="auto" w:sz="4" w:space="0"/>
              <w:bottom w:val="single" w:color="auto" w:sz="4" w:space="0"/>
              <w:right w:val="single" w:color="auto" w:sz="4" w:space="0"/>
            </w:tcBorders>
            <w:vAlign w:val="center"/>
          </w:tcPr>
          <w:p>
            <w:pPr>
              <w:pStyle w:val="670"/>
            </w:pPr>
            <w:r>
              <w:t>敏感</w:t>
            </w:r>
          </w:p>
        </w:tc>
        <w:tc>
          <w:tcPr>
            <w:tcW w:w="905" w:type="pct"/>
            <w:tcBorders>
              <w:top w:val="single" w:color="auto" w:sz="4" w:space="0"/>
              <w:left w:val="single" w:color="auto" w:sz="4" w:space="0"/>
              <w:bottom w:val="single" w:color="auto" w:sz="4" w:space="0"/>
              <w:right w:val="single" w:color="auto" w:sz="4" w:space="0"/>
            </w:tcBorders>
            <w:vAlign w:val="center"/>
          </w:tcPr>
          <w:p>
            <w:pPr>
              <w:pStyle w:val="670"/>
            </w:pPr>
            <w:r>
              <w:t>一</w:t>
            </w:r>
          </w:p>
        </w:tc>
        <w:tc>
          <w:tcPr>
            <w:tcW w:w="1341" w:type="pct"/>
            <w:tcBorders>
              <w:top w:val="single" w:color="auto" w:sz="4" w:space="0"/>
              <w:left w:val="single" w:color="auto" w:sz="4" w:space="0"/>
              <w:bottom w:val="single" w:color="auto" w:sz="4" w:space="0"/>
              <w:right w:val="single" w:color="auto" w:sz="4" w:space="0"/>
            </w:tcBorders>
            <w:vAlign w:val="center"/>
          </w:tcPr>
          <w:p>
            <w:pPr>
              <w:pStyle w:val="670"/>
            </w:pPr>
            <w:r>
              <w:t>一</w:t>
            </w:r>
          </w:p>
        </w:tc>
        <w:tc>
          <w:tcPr>
            <w:tcW w:w="1340" w:type="pct"/>
            <w:tcBorders>
              <w:top w:val="single" w:color="auto" w:sz="4" w:space="0"/>
              <w:left w:val="single" w:color="auto" w:sz="4" w:space="0"/>
              <w:bottom w:val="single" w:color="auto" w:sz="4" w:space="0"/>
              <w:right w:val="single" w:color="auto" w:sz="4" w:space="0"/>
            </w:tcBorders>
            <w:vAlign w:val="center"/>
          </w:tcPr>
          <w:p>
            <w:pPr>
              <w:pStyle w:val="670"/>
            </w:pPr>
            <w:r>
              <w:t>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414" w:type="pct"/>
            <w:tcBorders>
              <w:top w:val="single" w:color="auto" w:sz="4" w:space="0"/>
              <w:left w:val="single" w:color="auto" w:sz="4" w:space="0"/>
              <w:bottom w:val="single" w:color="auto" w:sz="4" w:space="0"/>
              <w:right w:val="single" w:color="auto" w:sz="4" w:space="0"/>
            </w:tcBorders>
            <w:vAlign w:val="center"/>
          </w:tcPr>
          <w:p>
            <w:pPr>
              <w:pStyle w:val="670"/>
            </w:pPr>
            <w:r>
              <w:t>较敏感</w:t>
            </w:r>
          </w:p>
        </w:tc>
        <w:tc>
          <w:tcPr>
            <w:tcW w:w="905" w:type="pct"/>
            <w:tcBorders>
              <w:top w:val="single" w:color="auto" w:sz="4" w:space="0"/>
              <w:left w:val="single" w:color="auto" w:sz="4" w:space="0"/>
              <w:bottom w:val="single" w:color="auto" w:sz="4" w:space="0"/>
              <w:right w:val="single" w:color="auto" w:sz="4" w:space="0"/>
            </w:tcBorders>
            <w:vAlign w:val="center"/>
          </w:tcPr>
          <w:p>
            <w:pPr>
              <w:pStyle w:val="670"/>
            </w:pPr>
            <w:r>
              <w:t>一</w:t>
            </w:r>
          </w:p>
        </w:tc>
        <w:tc>
          <w:tcPr>
            <w:tcW w:w="1341" w:type="pct"/>
            <w:tcBorders>
              <w:top w:val="single" w:color="auto" w:sz="4" w:space="0"/>
              <w:left w:val="single" w:color="auto" w:sz="4" w:space="0"/>
              <w:bottom w:val="single" w:color="auto" w:sz="4" w:space="0"/>
              <w:right w:val="single" w:color="auto" w:sz="4" w:space="0"/>
            </w:tcBorders>
            <w:vAlign w:val="center"/>
          </w:tcPr>
          <w:p>
            <w:pPr>
              <w:pStyle w:val="670"/>
            </w:pPr>
            <w:r>
              <w:t>二</w:t>
            </w:r>
          </w:p>
        </w:tc>
        <w:tc>
          <w:tcPr>
            <w:tcW w:w="1340" w:type="pct"/>
            <w:tcBorders>
              <w:top w:val="single" w:color="auto" w:sz="4" w:space="0"/>
              <w:left w:val="single" w:color="auto" w:sz="4" w:space="0"/>
              <w:bottom w:val="single" w:color="auto" w:sz="4" w:space="0"/>
              <w:right w:val="single" w:color="auto" w:sz="4" w:space="0"/>
            </w:tcBorders>
            <w:vAlign w:val="center"/>
          </w:tcPr>
          <w:p>
            <w:pPr>
              <w:pStyle w:val="670"/>
            </w:pPr>
            <w:r>
              <w:t>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414" w:type="pct"/>
            <w:tcBorders>
              <w:top w:val="single" w:color="auto" w:sz="4" w:space="0"/>
              <w:left w:val="single" w:color="auto" w:sz="4" w:space="0"/>
              <w:bottom w:val="single" w:color="auto" w:sz="4" w:space="0"/>
              <w:right w:val="single" w:color="auto" w:sz="4" w:space="0"/>
            </w:tcBorders>
            <w:vAlign w:val="center"/>
          </w:tcPr>
          <w:p>
            <w:pPr>
              <w:pStyle w:val="670"/>
            </w:pPr>
            <w:r>
              <w:t>不敏感</w:t>
            </w:r>
          </w:p>
        </w:tc>
        <w:tc>
          <w:tcPr>
            <w:tcW w:w="905" w:type="pct"/>
            <w:tcBorders>
              <w:top w:val="single" w:color="auto" w:sz="4" w:space="0"/>
              <w:left w:val="single" w:color="auto" w:sz="4" w:space="0"/>
              <w:bottom w:val="single" w:color="auto" w:sz="4" w:space="0"/>
              <w:right w:val="single" w:color="auto" w:sz="4" w:space="0"/>
            </w:tcBorders>
            <w:vAlign w:val="center"/>
          </w:tcPr>
          <w:p>
            <w:pPr>
              <w:pStyle w:val="670"/>
            </w:pPr>
            <w:r>
              <w:t>二</w:t>
            </w:r>
          </w:p>
        </w:tc>
        <w:tc>
          <w:tcPr>
            <w:tcW w:w="1341" w:type="pct"/>
            <w:tcBorders>
              <w:top w:val="single" w:color="auto" w:sz="4" w:space="0"/>
              <w:left w:val="single" w:color="auto" w:sz="4" w:space="0"/>
              <w:bottom w:val="single" w:color="auto" w:sz="4" w:space="0"/>
              <w:right w:val="single" w:color="auto" w:sz="4" w:space="0"/>
            </w:tcBorders>
            <w:shd w:val="clear" w:color="auto" w:fill="F79646" w:themeFill="accent6"/>
            <w:vAlign w:val="center"/>
          </w:tcPr>
          <w:p>
            <w:pPr>
              <w:pStyle w:val="670"/>
            </w:pPr>
            <w:r>
              <w:t>三</w:t>
            </w:r>
          </w:p>
        </w:tc>
        <w:tc>
          <w:tcPr>
            <w:tcW w:w="13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70"/>
            </w:pPr>
            <w:r>
              <w:t>三</w:t>
            </w:r>
          </w:p>
        </w:tc>
      </w:tr>
    </w:tbl>
    <w:p>
      <w:pPr>
        <w:pStyle w:val="494"/>
        <w:ind w:firstLine="480"/>
      </w:pPr>
      <w:r>
        <w:t>根据《环境影响评价技术导则 地下水环境》（HJ610-2016）中地下水环境敏感程度分级以及评价工作等级划分原则，结合工程污染特征及周边地下水文地质特点，本项目</w:t>
      </w:r>
      <w:r>
        <w:rPr>
          <w:rFonts w:hint="eastAsia"/>
        </w:rPr>
        <w:t>地下水环境影响评价类别为</w:t>
      </w:r>
      <w:r>
        <w:rPr>
          <w:rFonts w:hint="eastAsia"/>
          <w:szCs w:val="22"/>
        </w:rPr>
        <w:t>Ⅱ</w:t>
      </w:r>
      <w:r>
        <w:rPr>
          <w:szCs w:val="22"/>
        </w:rPr>
        <w:t>类</w:t>
      </w:r>
      <w:r>
        <w:rPr>
          <w:rFonts w:hint="eastAsia"/>
        </w:rPr>
        <w:t>项目，</w:t>
      </w:r>
      <w:r>
        <w:t>所在区地下水环境敏感程度</w:t>
      </w:r>
      <w:r>
        <w:rPr>
          <w:rFonts w:hint="eastAsia"/>
        </w:rPr>
        <w:t>为</w:t>
      </w:r>
      <w:r>
        <w:t>不敏感，</w:t>
      </w:r>
      <w:r>
        <w:rPr>
          <w:rFonts w:hint="eastAsia"/>
        </w:rPr>
        <w:t>因此</w:t>
      </w:r>
      <w:r>
        <w:t>判定本项目地下水评价等级为</w:t>
      </w:r>
      <w:r>
        <w:rPr>
          <w:rFonts w:hint="eastAsia"/>
        </w:rPr>
        <w:t>三</w:t>
      </w:r>
      <w:r>
        <w:t>级。</w:t>
      </w:r>
    </w:p>
    <w:p>
      <w:pPr>
        <w:pStyle w:val="494"/>
        <w:ind w:firstLine="480"/>
      </w:pPr>
      <w:r>
        <w:rPr>
          <w:rFonts w:hint="eastAsia"/>
        </w:rPr>
        <w:t>（4）</w:t>
      </w:r>
      <w:r>
        <w:t>声环境</w:t>
      </w:r>
    </w:p>
    <w:p>
      <w:pPr>
        <w:pStyle w:val="494"/>
        <w:ind w:firstLine="480"/>
      </w:pPr>
      <w:r>
        <w:rPr>
          <w:rFonts w:hint="eastAsia"/>
        </w:rPr>
        <w:t>根据《</w:t>
      </w:r>
      <w:r>
        <w:t>声环境质量标准》（GB3096-2008）</w:t>
      </w:r>
      <w:r>
        <w:rPr>
          <w:rFonts w:hint="eastAsia"/>
        </w:rPr>
        <w:t>和</w:t>
      </w:r>
      <w:r>
        <w:t>《环境影响评价技术导则</w:t>
      </w:r>
      <w:r>
        <w:rPr>
          <w:rFonts w:hint="eastAsia"/>
        </w:rPr>
        <w:t xml:space="preserve"> </w:t>
      </w:r>
      <w:r>
        <w:t>声环境》（HJ2.4-2021）</w:t>
      </w:r>
      <w:r>
        <w:rPr>
          <w:rFonts w:hint="eastAsia"/>
        </w:rPr>
        <w:t>中</w:t>
      </w:r>
      <w:r>
        <w:t>相关规定，声环境评价等级的划分依据包括建设项目所在区域的声环境功能区类别，项目建设前后所在区域的声环境质量变化程度，建设项目受影响人口数量</w:t>
      </w:r>
      <w:r>
        <w:rPr>
          <w:rFonts w:hint="eastAsia"/>
        </w:rPr>
        <w:t>多少</w:t>
      </w:r>
      <w:r>
        <w:t>。具体声环境评价工作等级分级见表</w:t>
      </w:r>
      <w:r>
        <w:rPr>
          <w:rFonts w:hint="eastAsia"/>
        </w:rPr>
        <w:t>1.5</w:t>
      </w:r>
      <w:r>
        <w:t>-8</w:t>
      </w:r>
      <w:r>
        <w:rPr>
          <w:rFonts w:hint="eastAsia"/>
        </w:rPr>
        <w:t>。</w:t>
      </w:r>
    </w:p>
    <w:p>
      <w:pPr>
        <w:pStyle w:val="400"/>
        <w:ind w:firstLine="420"/>
        <w:rPr>
          <w:sz w:val="24"/>
        </w:rPr>
      </w:pPr>
      <w:r>
        <w:t>表</w:t>
      </w:r>
      <w:r>
        <w:rPr>
          <w:rFonts w:hint="eastAsia"/>
        </w:rPr>
        <w:t>1.5</w:t>
      </w:r>
      <w:r>
        <w:t xml:space="preserve">-8              </w:t>
      </w:r>
      <w:r>
        <w:rPr>
          <w:rFonts w:hint="eastAsia"/>
        </w:rPr>
        <w:t>声环境评价工作等级划分表</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7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46" w:type="pct"/>
            <w:vAlign w:val="center"/>
          </w:tcPr>
          <w:p>
            <w:pPr>
              <w:pStyle w:val="670"/>
            </w:pPr>
            <w:r>
              <w:t>评价等级</w:t>
            </w:r>
          </w:p>
        </w:tc>
        <w:tc>
          <w:tcPr>
            <w:tcW w:w="4154" w:type="pct"/>
            <w:vAlign w:val="center"/>
          </w:tcPr>
          <w:p>
            <w:pPr>
              <w:pStyle w:val="670"/>
            </w:pPr>
            <w:r>
              <w:t>分级依据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46" w:type="pct"/>
            <w:vAlign w:val="center"/>
          </w:tcPr>
          <w:p>
            <w:pPr>
              <w:pStyle w:val="670"/>
            </w:pPr>
            <w:r>
              <w:t>一级</w:t>
            </w:r>
          </w:p>
        </w:tc>
        <w:tc>
          <w:tcPr>
            <w:tcW w:w="4154" w:type="pct"/>
            <w:vAlign w:val="center"/>
          </w:tcPr>
          <w:p>
            <w:pPr>
              <w:pStyle w:val="670"/>
              <w:rPr>
                <w:lang w:eastAsia="zh-CN"/>
              </w:rPr>
            </w:pPr>
            <w:r>
              <w:rPr>
                <w:lang w:eastAsia="zh-CN"/>
              </w:rPr>
              <w:t>评价范围内有适用于GB3096的0类声环境功能区域，或建设项目建设前后评价范围内</w:t>
            </w:r>
            <w:r>
              <w:rPr>
                <w:rFonts w:hint="eastAsia"/>
                <w:lang w:eastAsia="zh-CN"/>
              </w:rPr>
              <w:t>声环境保护目标</w:t>
            </w:r>
            <w:r>
              <w:rPr>
                <w:lang w:eastAsia="zh-CN"/>
              </w:rPr>
              <w:t>噪声级增高量达5dB（A）以上（不含5 dB（A）），或受影响人口数量显著增多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46" w:type="pct"/>
            <w:vAlign w:val="center"/>
          </w:tcPr>
          <w:p>
            <w:pPr>
              <w:pStyle w:val="670"/>
            </w:pPr>
            <w:r>
              <w:t>二级</w:t>
            </w:r>
          </w:p>
        </w:tc>
        <w:tc>
          <w:tcPr>
            <w:tcW w:w="4154" w:type="pct"/>
            <w:vAlign w:val="center"/>
          </w:tcPr>
          <w:p>
            <w:pPr>
              <w:pStyle w:val="670"/>
              <w:rPr>
                <w:lang w:eastAsia="zh-CN"/>
              </w:rPr>
            </w:pPr>
            <w:r>
              <w:rPr>
                <w:lang w:eastAsia="zh-CN"/>
              </w:rPr>
              <w:t>建设项目所处的声环境功能区为GB3096规定的1类、2类地区，或建设项目建设前后评价范围内</w:t>
            </w:r>
            <w:r>
              <w:rPr>
                <w:rFonts w:hint="eastAsia"/>
                <w:lang w:eastAsia="zh-CN"/>
              </w:rPr>
              <w:t>声环境保护目标</w:t>
            </w:r>
            <w:r>
              <w:rPr>
                <w:lang w:eastAsia="zh-CN"/>
              </w:rPr>
              <w:t>噪声级增高量达3dB（A）~5dB（A）（含5dB（A）），或受噪声影响人口数量增加较多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46" w:type="pct"/>
            <w:vAlign w:val="center"/>
          </w:tcPr>
          <w:p>
            <w:pPr>
              <w:pStyle w:val="670"/>
            </w:pPr>
            <w:r>
              <w:t>三级</w:t>
            </w:r>
          </w:p>
        </w:tc>
        <w:tc>
          <w:tcPr>
            <w:tcW w:w="4154" w:type="pct"/>
            <w:vAlign w:val="center"/>
          </w:tcPr>
          <w:p>
            <w:pPr>
              <w:pStyle w:val="670"/>
              <w:rPr>
                <w:lang w:eastAsia="zh-CN"/>
              </w:rPr>
            </w:pPr>
            <w:r>
              <w:rPr>
                <w:lang w:eastAsia="zh-CN"/>
              </w:rPr>
              <w:t>建设项目所处的声环境功能区为GB3096规定的3类、4类地区，或建设项目建设前后评价范围内</w:t>
            </w:r>
            <w:r>
              <w:rPr>
                <w:rFonts w:hint="eastAsia"/>
                <w:lang w:eastAsia="zh-CN"/>
              </w:rPr>
              <w:t>声环境保护目标</w:t>
            </w:r>
            <w:r>
              <w:rPr>
                <w:lang w:eastAsia="zh-CN"/>
              </w:rPr>
              <w:t>噪声级增高量在3dB（A）以下（3dB（A）），且受影响人口数量人口变化不大</w:t>
            </w:r>
          </w:p>
        </w:tc>
      </w:tr>
    </w:tbl>
    <w:p>
      <w:pPr>
        <w:pStyle w:val="494"/>
        <w:ind w:firstLine="480"/>
      </w:pPr>
      <w:r>
        <w:t>本项目位于</w:t>
      </w:r>
      <w:r>
        <w:rPr>
          <w:bCs/>
        </w:rPr>
        <w:t>新疆维吾尔自治区昌吉回族自治州阜康市境内北部沙漠区</w:t>
      </w:r>
      <w:r>
        <w:t>，属于《声环境质量标准》（GB3096－2008）规定的2类声环境功能区</w:t>
      </w:r>
      <w:r>
        <w:rPr>
          <w:rFonts w:hint="eastAsia"/>
        </w:rPr>
        <w:t>。</w:t>
      </w:r>
      <w:r>
        <w:t>项目建设前后区域噪声级增高量在3dB（A）以下，受影响人口数量变化不大</w:t>
      </w:r>
      <w:r>
        <w:rPr>
          <w:rFonts w:hint="eastAsia"/>
        </w:rPr>
        <w:t>。</w:t>
      </w:r>
      <w:r>
        <w:t>根据上表分析，确定声环境评价工作等级为</w:t>
      </w:r>
      <w:r>
        <w:rPr>
          <w:rFonts w:hint="eastAsia"/>
        </w:rPr>
        <w:t>二</w:t>
      </w:r>
      <w:r>
        <w:t>级。</w:t>
      </w:r>
    </w:p>
    <w:p>
      <w:pPr>
        <w:pStyle w:val="494"/>
        <w:ind w:firstLine="480"/>
      </w:pPr>
      <w:r>
        <w:rPr>
          <w:rFonts w:hint="eastAsia"/>
        </w:rPr>
        <w:t>（5）土壤环境</w:t>
      </w:r>
    </w:p>
    <w:p>
      <w:pPr>
        <w:pStyle w:val="488"/>
        <w:ind w:firstLine="480"/>
        <w:rPr>
          <w:rFonts w:ascii="Times New Roman" w:hAnsi="Times New Roman" w:cs="Times New Roman"/>
        </w:rPr>
      </w:pPr>
      <w:r>
        <w:rPr>
          <w:rFonts w:ascii="Times New Roman" w:hAnsi="Times New Roman" w:cs="Times New Roman"/>
        </w:rPr>
        <w:t>本项目属于天然气开采，根据《环境影响评价技术导则 土壤环境（试行）》（HJ964-2018）中污染影响型项目评价等级划分要求，具体见表1.5-9、表1.5-10。 将建设项目占地规模分为大型（≥50hm</w:t>
      </w:r>
      <w:r>
        <w:rPr>
          <w:rFonts w:ascii="Times New Roman" w:hAnsi="Times New Roman" w:cs="Times New Roman"/>
          <w:vertAlign w:val="superscript"/>
        </w:rPr>
        <w:t>2</w:t>
      </w:r>
      <w:r>
        <w:rPr>
          <w:rFonts w:ascii="Times New Roman" w:hAnsi="Times New Roman" w:cs="Times New Roman"/>
        </w:rPr>
        <w:t>）、中型（5～50hm</w:t>
      </w:r>
      <w:r>
        <w:rPr>
          <w:rFonts w:ascii="Times New Roman" w:hAnsi="Times New Roman" w:cs="Times New Roman"/>
          <w:vertAlign w:val="superscript"/>
        </w:rPr>
        <w:t>2</w:t>
      </w:r>
      <w:r>
        <w:rPr>
          <w:rFonts w:ascii="Times New Roman" w:hAnsi="Times New Roman" w:cs="Times New Roman"/>
        </w:rPr>
        <w:t>）、小型（≤5hm</w:t>
      </w:r>
      <w:r>
        <w:rPr>
          <w:rFonts w:ascii="Times New Roman" w:hAnsi="Times New Roman" w:cs="Times New Roman"/>
          <w:vertAlign w:val="superscript"/>
        </w:rPr>
        <w:t>2</w:t>
      </w:r>
      <w:r>
        <w:rPr>
          <w:rFonts w:ascii="Times New Roman" w:hAnsi="Times New Roman" w:cs="Times New Roman"/>
        </w:rPr>
        <w:t>），建设项目占地主要为永久占地。</w:t>
      </w:r>
    </w:p>
    <w:p>
      <w:pPr>
        <w:tabs>
          <w:tab w:val="left" w:pos="3841"/>
        </w:tabs>
        <w:spacing w:before="47"/>
        <w:ind w:firstLine="520" w:firstLineChars="250"/>
        <w:rPr>
          <w:rFonts w:eastAsia="黑体"/>
          <w:szCs w:val="21"/>
        </w:rPr>
      </w:pPr>
      <w:r>
        <w:rPr>
          <w:rFonts w:eastAsia="黑体"/>
          <w:spacing w:val="-1"/>
          <w:szCs w:val="21"/>
        </w:rPr>
        <w:t>表</w:t>
      </w:r>
      <w:r>
        <w:rPr>
          <w:rFonts w:eastAsia="Times New Roman"/>
          <w:spacing w:val="-1"/>
          <w:szCs w:val="21"/>
        </w:rPr>
        <w:t>1.5-9</w:t>
      </w:r>
      <w:r>
        <w:rPr>
          <w:rFonts w:eastAsia="Times New Roman"/>
          <w:spacing w:val="-1"/>
          <w:szCs w:val="21"/>
        </w:rPr>
        <w:tab/>
      </w:r>
      <w:r>
        <w:rPr>
          <w:rFonts w:eastAsia="黑体"/>
          <w:spacing w:val="-2"/>
          <w:szCs w:val="21"/>
        </w:rPr>
        <w:t>污染影响型敏感程度分级表</w:t>
      </w:r>
    </w:p>
    <w:p>
      <w:pPr>
        <w:spacing w:before="8"/>
        <w:rPr>
          <w:rFonts w:eastAsia="黑体"/>
          <w:sz w:val="2"/>
          <w:szCs w:val="2"/>
        </w:rPr>
      </w:pPr>
    </w:p>
    <w:tbl>
      <w:tblPr>
        <w:tblStyle w:val="55"/>
        <w:tblW w:w="844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5"/>
        <w:gridCol w:w="7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6" w:type="dxa"/>
            <w:tcBorders>
              <w:top w:val="single" w:color="auto" w:sz="4" w:space="0"/>
              <w:left w:val="single" w:color="auto" w:sz="4" w:space="0"/>
              <w:bottom w:val="single" w:color="auto" w:sz="4" w:space="0"/>
              <w:right w:val="single" w:color="auto" w:sz="4" w:space="0"/>
            </w:tcBorders>
            <w:vAlign w:val="center"/>
          </w:tcPr>
          <w:p>
            <w:pPr>
              <w:pStyle w:val="670"/>
            </w:pPr>
            <w:r>
              <w:t>敏感程度</w:t>
            </w:r>
          </w:p>
        </w:tc>
        <w:tc>
          <w:tcPr>
            <w:tcW w:w="7336" w:type="dxa"/>
            <w:tcBorders>
              <w:top w:val="single" w:color="auto" w:sz="4" w:space="0"/>
              <w:left w:val="single" w:color="auto" w:sz="4" w:space="0"/>
              <w:bottom w:val="single" w:color="auto" w:sz="4" w:space="0"/>
              <w:right w:val="single" w:color="auto" w:sz="4" w:space="0"/>
            </w:tcBorders>
          </w:tcPr>
          <w:p>
            <w:pPr>
              <w:pStyle w:val="670"/>
            </w:pPr>
            <w: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6" w:type="dxa"/>
            <w:tcBorders>
              <w:top w:val="single" w:color="auto" w:sz="4" w:space="0"/>
              <w:left w:val="single" w:color="auto" w:sz="4" w:space="0"/>
              <w:bottom w:val="single" w:color="auto" w:sz="4" w:space="0"/>
              <w:right w:val="single" w:color="auto" w:sz="4" w:space="0"/>
            </w:tcBorders>
            <w:vAlign w:val="center"/>
          </w:tcPr>
          <w:p>
            <w:pPr>
              <w:pStyle w:val="670"/>
            </w:pPr>
            <w:r>
              <w:t>敏感</w:t>
            </w:r>
          </w:p>
        </w:tc>
        <w:tc>
          <w:tcPr>
            <w:tcW w:w="7336" w:type="dxa"/>
            <w:tcBorders>
              <w:top w:val="single" w:color="auto" w:sz="4" w:space="0"/>
              <w:left w:val="single" w:color="auto" w:sz="4" w:space="0"/>
              <w:bottom w:val="single" w:color="auto" w:sz="4" w:space="0"/>
              <w:right w:val="single" w:color="auto" w:sz="4" w:space="0"/>
            </w:tcBorders>
          </w:tcPr>
          <w:p>
            <w:pPr>
              <w:pStyle w:val="670"/>
              <w:rPr>
                <w:lang w:eastAsia="zh-CN"/>
              </w:rPr>
            </w:pPr>
            <w:r>
              <w:rPr>
                <w:lang w:eastAsia="zh-CN"/>
              </w:rPr>
              <w:t>建设项目周边存在耕地、园地、牧草地、饮用水源地或居民区、学校、医院、</w:t>
            </w:r>
          </w:p>
          <w:p>
            <w:pPr>
              <w:pStyle w:val="670"/>
              <w:rPr>
                <w:lang w:eastAsia="zh-CN"/>
              </w:rPr>
            </w:pPr>
            <w:r>
              <w:rPr>
                <w:lang w:eastAsia="zh-CN"/>
              </w:rPr>
              <w:t>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6" w:type="dxa"/>
            <w:tcBorders>
              <w:top w:val="single" w:color="auto" w:sz="4" w:space="0"/>
              <w:left w:val="single" w:color="auto" w:sz="4" w:space="0"/>
              <w:bottom w:val="single" w:color="auto" w:sz="4" w:space="0"/>
              <w:right w:val="single" w:color="auto" w:sz="4" w:space="0"/>
            </w:tcBorders>
            <w:vAlign w:val="center"/>
          </w:tcPr>
          <w:p>
            <w:pPr>
              <w:pStyle w:val="670"/>
            </w:pPr>
            <w:r>
              <w:t>较敏感</w:t>
            </w:r>
          </w:p>
        </w:tc>
        <w:tc>
          <w:tcPr>
            <w:tcW w:w="7336" w:type="dxa"/>
            <w:tcBorders>
              <w:top w:val="single" w:color="auto" w:sz="4" w:space="0"/>
              <w:left w:val="single" w:color="auto" w:sz="4" w:space="0"/>
              <w:bottom w:val="single" w:color="auto" w:sz="4" w:space="0"/>
              <w:right w:val="single" w:color="auto" w:sz="4" w:space="0"/>
            </w:tcBorders>
          </w:tcPr>
          <w:p>
            <w:pPr>
              <w:pStyle w:val="670"/>
              <w:rPr>
                <w:lang w:eastAsia="zh-CN"/>
              </w:rPr>
            </w:pPr>
            <w:r>
              <w:rPr>
                <w:lang w:eastAsia="zh-CN"/>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6" w:type="dxa"/>
            <w:tcBorders>
              <w:top w:val="single" w:color="auto" w:sz="4" w:space="0"/>
              <w:left w:val="single" w:color="auto" w:sz="4" w:space="0"/>
              <w:bottom w:val="single" w:color="auto" w:sz="4" w:space="0"/>
              <w:right w:val="single" w:color="auto" w:sz="4" w:space="0"/>
            </w:tcBorders>
            <w:vAlign w:val="center"/>
          </w:tcPr>
          <w:p>
            <w:pPr>
              <w:pStyle w:val="670"/>
            </w:pPr>
            <w:r>
              <w:t>不敏感</w:t>
            </w:r>
          </w:p>
        </w:tc>
        <w:tc>
          <w:tcPr>
            <w:tcW w:w="7336" w:type="dxa"/>
            <w:tcBorders>
              <w:top w:val="single" w:color="auto" w:sz="4" w:space="0"/>
              <w:left w:val="single" w:color="auto" w:sz="4" w:space="0"/>
              <w:bottom w:val="single" w:color="auto" w:sz="4" w:space="0"/>
              <w:right w:val="single" w:color="auto" w:sz="4" w:space="0"/>
            </w:tcBorders>
          </w:tcPr>
          <w:p>
            <w:pPr>
              <w:pStyle w:val="670"/>
            </w:pPr>
            <w:r>
              <w:t>其他情况</w:t>
            </w:r>
          </w:p>
        </w:tc>
      </w:tr>
    </w:tbl>
    <w:p>
      <w:pPr>
        <w:pStyle w:val="672"/>
        <w:spacing w:before="120"/>
        <w:ind w:firstLine="520"/>
        <w:rPr>
          <w:rFonts w:eastAsia="宋体"/>
          <w:color w:val="auto"/>
          <w:sz w:val="2"/>
          <w:szCs w:val="2"/>
        </w:rPr>
      </w:pPr>
      <w:r>
        <w:rPr>
          <w:color w:val="auto"/>
          <w:spacing w:val="-1"/>
        </w:rPr>
        <w:t>表</w:t>
      </w:r>
      <w:r>
        <w:rPr>
          <w:color w:val="auto"/>
        </w:rPr>
        <w:t>1.5-10</w:t>
      </w:r>
      <w:r>
        <w:rPr>
          <w:rFonts w:eastAsia="Times New Roman"/>
          <w:color w:val="auto"/>
          <w:spacing w:val="-1"/>
        </w:rPr>
        <w:tab/>
      </w:r>
      <w:r>
        <w:rPr>
          <w:rFonts w:eastAsia="Times New Roman"/>
          <w:color w:val="auto"/>
          <w:spacing w:val="-1"/>
        </w:rPr>
        <w:t xml:space="preserve">                </w:t>
      </w:r>
      <w:r>
        <w:rPr>
          <w:color w:val="auto"/>
        </w:rPr>
        <w:t>污染影响型评价工作等级划分表</w:t>
      </w:r>
    </w:p>
    <w:tbl>
      <w:tblPr>
        <w:tblStyle w:val="55"/>
        <w:tblW w:w="843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9"/>
        <w:gridCol w:w="816"/>
        <w:gridCol w:w="814"/>
        <w:gridCol w:w="815"/>
        <w:gridCol w:w="815"/>
        <w:gridCol w:w="813"/>
        <w:gridCol w:w="815"/>
        <w:gridCol w:w="815"/>
        <w:gridCol w:w="813"/>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exact"/>
        </w:trPr>
        <w:tc>
          <w:tcPr>
            <w:tcW w:w="1099" w:type="dxa"/>
            <w:vMerge w:val="restart"/>
            <w:tcBorders>
              <w:top w:val="single" w:color="auto" w:sz="4" w:space="0"/>
              <w:left w:val="single" w:color="auto" w:sz="4" w:space="0"/>
              <w:bottom w:val="single" w:color="auto" w:sz="4" w:space="0"/>
              <w:right w:val="single" w:color="auto" w:sz="4" w:space="0"/>
            </w:tcBorders>
            <w:vAlign w:val="center"/>
          </w:tcPr>
          <w:p>
            <w:pPr>
              <w:pStyle w:val="670"/>
            </w:pPr>
            <w:r>
              <w:t>评价等级</w:t>
            </w:r>
          </w:p>
        </w:tc>
        <w:tc>
          <w:tcPr>
            <w:tcW w:w="2446" w:type="dxa"/>
            <w:gridSpan w:val="3"/>
            <w:tcBorders>
              <w:top w:val="single" w:color="auto" w:sz="4" w:space="0"/>
              <w:left w:val="single" w:color="auto" w:sz="4" w:space="0"/>
              <w:bottom w:val="single" w:color="auto" w:sz="4" w:space="0"/>
              <w:right w:val="single" w:color="auto" w:sz="4" w:space="0"/>
            </w:tcBorders>
            <w:vAlign w:val="center"/>
          </w:tcPr>
          <w:p>
            <w:pPr>
              <w:pStyle w:val="670"/>
            </w:pPr>
            <w:r>
              <w:rPr>
                <w:rFonts w:hint="eastAsia" w:ascii="宋体" w:hAnsi="宋体" w:cs="宋体"/>
              </w:rPr>
              <w:t>Ⅰ</w:t>
            </w:r>
            <w:r>
              <w:t>类</w:t>
            </w:r>
          </w:p>
        </w:tc>
        <w:tc>
          <w:tcPr>
            <w:tcW w:w="2446" w:type="dxa"/>
            <w:gridSpan w:val="3"/>
            <w:tcBorders>
              <w:top w:val="single" w:color="auto" w:sz="4" w:space="0"/>
              <w:left w:val="single" w:color="auto" w:sz="4" w:space="0"/>
              <w:bottom w:val="single" w:color="auto" w:sz="4" w:space="0"/>
              <w:right w:val="single" w:color="auto" w:sz="4" w:space="0"/>
            </w:tcBorders>
            <w:vAlign w:val="center"/>
          </w:tcPr>
          <w:p>
            <w:pPr>
              <w:pStyle w:val="670"/>
            </w:pPr>
            <w:r>
              <w:rPr>
                <w:rFonts w:hint="eastAsia" w:ascii="宋体" w:hAnsi="宋体" w:cs="宋体"/>
              </w:rPr>
              <w:t>Ⅱ</w:t>
            </w:r>
            <w:r>
              <w:t>类</w:t>
            </w:r>
          </w:p>
        </w:tc>
        <w:tc>
          <w:tcPr>
            <w:tcW w:w="2446" w:type="dxa"/>
            <w:gridSpan w:val="3"/>
            <w:tcBorders>
              <w:top w:val="single" w:color="auto" w:sz="4" w:space="0"/>
              <w:left w:val="single" w:color="auto" w:sz="4" w:space="0"/>
              <w:bottom w:val="single" w:color="auto" w:sz="4" w:space="0"/>
              <w:right w:val="single" w:color="auto" w:sz="4" w:space="0"/>
            </w:tcBorders>
            <w:vAlign w:val="center"/>
          </w:tcPr>
          <w:p>
            <w:pPr>
              <w:pStyle w:val="670"/>
            </w:pPr>
            <w:r>
              <w:rPr>
                <w:rFonts w:hint="eastAsia" w:ascii="宋体" w:hAnsi="宋体" w:cs="宋体"/>
              </w:rPr>
              <w:t>Ⅲ</w:t>
            </w:r>
            <w: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843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670"/>
            </w:pPr>
            <w:r>
              <w:t>大</w:t>
            </w:r>
          </w:p>
        </w:tc>
        <w:tc>
          <w:tcPr>
            <w:tcW w:w="814" w:type="dxa"/>
            <w:tcBorders>
              <w:top w:val="single" w:color="auto" w:sz="4" w:space="0"/>
              <w:left w:val="single" w:color="auto" w:sz="4" w:space="0"/>
              <w:bottom w:val="single" w:color="auto" w:sz="4" w:space="0"/>
              <w:right w:val="single" w:color="auto" w:sz="4" w:space="0"/>
            </w:tcBorders>
            <w:vAlign w:val="center"/>
          </w:tcPr>
          <w:p>
            <w:pPr>
              <w:pStyle w:val="670"/>
            </w:pPr>
            <w:r>
              <w:t>中</w:t>
            </w:r>
          </w:p>
        </w:tc>
        <w:tc>
          <w:tcPr>
            <w:tcW w:w="816" w:type="dxa"/>
            <w:tcBorders>
              <w:top w:val="single" w:color="auto" w:sz="4" w:space="0"/>
              <w:left w:val="single" w:color="auto" w:sz="4" w:space="0"/>
              <w:bottom w:val="single" w:color="auto" w:sz="4" w:space="0"/>
              <w:right w:val="single" w:color="auto" w:sz="4" w:space="0"/>
            </w:tcBorders>
            <w:vAlign w:val="center"/>
          </w:tcPr>
          <w:p>
            <w:pPr>
              <w:pStyle w:val="670"/>
            </w:pPr>
            <w:r>
              <w:t>小</w:t>
            </w:r>
          </w:p>
        </w:tc>
        <w:tc>
          <w:tcPr>
            <w:tcW w:w="816" w:type="dxa"/>
            <w:tcBorders>
              <w:top w:val="single" w:color="auto" w:sz="4" w:space="0"/>
              <w:left w:val="single" w:color="auto" w:sz="4" w:space="0"/>
              <w:bottom w:val="single" w:color="auto" w:sz="4" w:space="0"/>
              <w:right w:val="single" w:color="auto" w:sz="4" w:space="0"/>
            </w:tcBorders>
            <w:vAlign w:val="center"/>
          </w:tcPr>
          <w:p>
            <w:pPr>
              <w:pStyle w:val="670"/>
            </w:pPr>
            <w:r>
              <w:t>大</w:t>
            </w:r>
          </w:p>
        </w:tc>
        <w:tc>
          <w:tcPr>
            <w:tcW w:w="814" w:type="dxa"/>
            <w:tcBorders>
              <w:top w:val="single" w:color="auto" w:sz="4" w:space="0"/>
              <w:left w:val="single" w:color="auto" w:sz="4" w:space="0"/>
              <w:bottom w:val="single" w:color="auto" w:sz="4" w:space="0"/>
              <w:right w:val="single" w:color="auto" w:sz="4" w:space="0"/>
            </w:tcBorders>
            <w:vAlign w:val="center"/>
          </w:tcPr>
          <w:p>
            <w:pPr>
              <w:pStyle w:val="670"/>
            </w:pPr>
            <w:r>
              <w:t>中</w:t>
            </w:r>
          </w:p>
        </w:tc>
        <w:tc>
          <w:tcPr>
            <w:tcW w:w="816" w:type="dxa"/>
            <w:tcBorders>
              <w:top w:val="single" w:color="auto" w:sz="4" w:space="0"/>
              <w:left w:val="single" w:color="auto" w:sz="4" w:space="0"/>
              <w:bottom w:val="single" w:color="auto" w:sz="4" w:space="0"/>
              <w:right w:val="single" w:color="auto" w:sz="4" w:space="0"/>
            </w:tcBorders>
            <w:vAlign w:val="center"/>
          </w:tcPr>
          <w:p>
            <w:pPr>
              <w:pStyle w:val="670"/>
            </w:pPr>
            <w:r>
              <w:t>小</w:t>
            </w:r>
          </w:p>
        </w:tc>
        <w:tc>
          <w:tcPr>
            <w:tcW w:w="816" w:type="dxa"/>
            <w:tcBorders>
              <w:top w:val="single" w:color="auto" w:sz="4" w:space="0"/>
              <w:left w:val="single" w:color="auto" w:sz="4" w:space="0"/>
              <w:bottom w:val="single" w:color="auto" w:sz="4" w:space="0"/>
              <w:right w:val="single" w:color="auto" w:sz="4" w:space="0"/>
            </w:tcBorders>
            <w:vAlign w:val="center"/>
          </w:tcPr>
          <w:p>
            <w:pPr>
              <w:pStyle w:val="670"/>
            </w:pPr>
            <w:r>
              <w:t>大</w:t>
            </w:r>
          </w:p>
        </w:tc>
        <w:tc>
          <w:tcPr>
            <w:tcW w:w="814" w:type="dxa"/>
            <w:tcBorders>
              <w:top w:val="single" w:color="auto" w:sz="4" w:space="0"/>
              <w:left w:val="single" w:color="auto" w:sz="4" w:space="0"/>
              <w:bottom w:val="single" w:color="auto" w:sz="4" w:space="0"/>
              <w:right w:val="single" w:color="auto" w:sz="4" w:space="0"/>
            </w:tcBorders>
            <w:vAlign w:val="center"/>
          </w:tcPr>
          <w:p>
            <w:pPr>
              <w:pStyle w:val="670"/>
            </w:pPr>
            <w:r>
              <w:t>中</w:t>
            </w:r>
          </w:p>
        </w:tc>
        <w:tc>
          <w:tcPr>
            <w:tcW w:w="816" w:type="dxa"/>
            <w:tcBorders>
              <w:top w:val="single" w:color="auto" w:sz="4" w:space="0"/>
              <w:left w:val="single" w:color="auto" w:sz="4" w:space="0"/>
              <w:bottom w:val="single" w:color="auto" w:sz="4" w:space="0"/>
              <w:right w:val="single" w:color="auto" w:sz="4" w:space="0"/>
            </w:tcBorders>
            <w:vAlign w:val="center"/>
          </w:tcPr>
          <w:p>
            <w:pPr>
              <w:pStyle w:val="670"/>
            </w:pPr>
            <w: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1099" w:type="dxa"/>
            <w:tcBorders>
              <w:top w:val="single" w:color="auto" w:sz="4" w:space="0"/>
              <w:left w:val="single" w:color="auto" w:sz="4" w:space="0"/>
              <w:bottom w:val="single" w:color="auto" w:sz="4" w:space="0"/>
              <w:right w:val="single" w:color="auto" w:sz="4" w:space="0"/>
            </w:tcBorders>
            <w:vAlign w:val="center"/>
          </w:tcPr>
          <w:p>
            <w:pPr>
              <w:pStyle w:val="670"/>
            </w:pPr>
            <w:r>
              <w:t>敏感</w:t>
            </w:r>
          </w:p>
        </w:tc>
        <w:tc>
          <w:tcPr>
            <w:tcW w:w="816" w:type="dxa"/>
            <w:tcBorders>
              <w:top w:val="single" w:color="auto" w:sz="4" w:space="0"/>
              <w:left w:val="single" w:color="auto" w:sz="4" w:space="0"/>
              <w:bottom w:val="single" w:color="auto" w:sz="4" w:space="0"/>
              <w:right w:val="single" w:color="auto" w:sz="4" w:space="0"/>
            </w:tcBorders>
            <w:vAlign w:val="center"/>
          </w:tcPr>
          <w:p>
            <w:pPr>
              <w:pStyle w:val="670"/>
            </w:pPr>
            <w:r>
              <w:t>一级</w:t>
            </w:r>
          </w:p>
        </w:tc>
        <w:tc>
          <w:tcPr>
            <w:tcW w:w="814" w:type="dxa"/>
            <w:tcBorders>
              <w:top w:val="single" w:color="auto" w:sz="4" w:space="0"/>
              <w:left w:val="single" w:color="auto" w:sz="4" w:space="0"/>
              <w:bottom w:val="single" w:color="auto" w:sz="4" w:space="0"/>
              <w:right w:val="single" w:color="auto" w:sz="4" w:space="0"/>
            </w:tcBorders>
            <w:vAlign w:val="center"/>
          </w:tcPr>
          <w:p>
            <w:pPr>
              <w:pStyle w:val="670"/>
            </w:pPr>
            <w:r>
              <w:t>一级</w:t>
            </w:r>
          </w:p>
        </w:tc>
        <w:tc>
          <w:tcPr>
            <w:tcW w:w="816" w:type="dxa"/>
            <w:tcBorders>
              <w:top w:val="single" w:color="auto" w:sz="4" w:space="0"/>
              <w:left w:val="single" w:color="auto" w:sz="4" w:space="0"/>
              <w:bottom w:val="single" w:color="auto" w:sz="4" w:space="0"/>
              <w:right w:val="single" w:color="auto" w:sz="4" w:space="0"/>
            </w:tcBorders>
            <w:vAlign w:val="center"/>
          </w:tcPr>
          <w:p>
            <w:pPr>
              <w:pStyle w:val="670"/>
            </w:pPr>
            <w:r>
              <w:t>一级</w:t>
            </w:r>
          </w:p>
        </w:tc>
        <w:tc>
          <w:tcPr>
            <w:tcW w:w="816" w:type="dxa"/>
            <w:tcBorders>
              <w:top w:val="single" w:color="auto" w:sz="4" w:space="0"/>
              <w:left w:val="single" w:color="auto" w:sz="4" w:space="0"/>
              <w:bottom w:val="single" w:color="auto" w:sz="4" w:space="0"/>
              <w:right w:val="single" w:color="auto" w:sz="4" w:space="0"/>
            </w:tcBorders>
            <w:vAlign w:val="center"/>
          </w:tcPr>
          <w:p>
            <w:pPr>
              <w:pStyle w:val="670"/>
            </w:pPr>
            <w:r>
              <w:t>二级</w:t>
            </w:r>
          </w:p>
        </w:tc>
        <w:tc>
          <w:tcPr>
            <w:tcW w:w="814" w:type="dxa"/>
            <w:tcBorders>
              <w:top w:val="single" w:color="auto" w:sz="4" w:space="0"/>
              <w:left w:val="single" w:color="auto" w:sz="4" w:space="0"/>
              <w:bottom w:val="single" w:color="auto" w:sz="4" w:space="0"/>
              <w:right w:val="single" w:color="auto" w:sz="4" w:space="0"/>
            </w:tcBorders>
            <w:vAlign w:val="center"/>
          </w:tcPr>
          <w:p>
            <w:pPr>
              <w:pStyle w:val="670"/>
            </w:pPr>
            <w:r>
              <w:t>二级</w:t>
            </w:r>
          </w:p>
        </w:tc>
        <w:tc>
          <w:tcPr>
            <w:tcW w:w="816" w:type="dxa"/>
            <w:tcBorders>
              <w:top w:val="single" w:color="auto" w:sz="4" w:space="0"/>
              <w:left w:val="single" w:color="auto" w:sz="4" w:space="0"/>
              <w:bottom w:val="single" w:color="auto" w:sz="4" w:space="0"/>
              <w:right w:val="single" w:color="auto" w:sz="4" w:space="0"/>
            </w:tcBorders>
            <w:vAlign w:val="center"/>
          </w:tcPr>
          <w:p>
            <w:pPr>
              <w:pStyle w:val="670"/>
            </w:pPr>
            <w:r>
              <w:t>二级</w:t>
            </w:r>
          </w:p>
        </w:tc>
        <w:tc>
          <w:tcPr>
            <w:tcW w:w="816" w:type="dxa"/>
            <w:tcBorders>
              <w:top w:val="single" w:color="auto" w:sz="4" w:space="0"/>
              <w:left w:val="single" w:color="auto" w:sz="4" w:space="0"/>
              <w:bottom w:val="single" w:color="auto" w:sz="4" w:space="0"/>
              <w:right w:val="single" w:color="auto" w:sz="4" w:space="0"/>
            </w:tcBorders>
            <w:vAlign w:val="center"/>
          </w:tcPr>
          <w:p>
            <w:pPr>
              <w:pStyle w:val="670"/>
            </w:pPr>
            <w:r>
              <w:t>三级</w:t>
            </w:r>
          </w:p>
        </w:tc>
        <w:tc>
          <w:tcPr>
            <w:tcW w:w="814" w:type="dxa"/>
            <w:tcBorders>
              <w:top w:val="single" w:color="auto" w:sz="4" w:space="0"/>
              <w:left w:val="single" w:color="auto" w:sz="4" w:space="0"/>
              <w:bottom w:val="single" w:color="auto" w:sz="4" w:space="0"/>
              <w:right w:val="single" w:color="auto" w:sz="4" w:space="0"/>
            </w:tcBorders>
            <w:vAlign w:val="center"/>
          </w:tcPr>
          <w:p>
            <w:pPr>
              <w:pStyle w:val="670"/>
            </w:pPr>
            <w:r>
              <w:t>三级</w:t>
            </w:r>
          </w:p>
        </w:tc>
        <w:tc>
          <w:tcPr>
            <w:tcW w:w="816" w:type="dxa"/>
            <w:tcBorders>
              <w:top w:val="single" w:color="auto" w:sz="4" w:space="0"/>
              <w:left w:val="single" w:color="auto" w:sz="4" w:space="0"/>
              <w:bottom w:val="single" w:color="auto" w:sz="4" w:space="0"/>
              <w:right w:val="single" w:color="auto" w:sz="4" w:space="0"/>
            </w:tcBorders>
            <w:vAlign w:val="center"/>
          </w:tcPr>
          <w:p>
            <w:pPr>
              <w:pStyle w:val="670"/>
            </w:pPr>
            <w: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1099" w:type="dxa"/>
            <w:tcBorders>
              <w:top w:val="single" w:color="auto" w:sz="4" w:space="0"/>
              <w:left w:val="single" w:color="auto" w:sz="4" w:space="0"/>
              <w:bottom w:val="single" w:color="auto" w:sz="4" w:space="0"/>
              <w:right w:val="single" w:color="auto" w:sz="4" w:space="0"/>
            </w:tcBorders>
            <w:vAlign w:val="center"/>
          </w:tcPr>
          <w:p>
            <w:pPr>
              <w:pStyle w:val="670"/>
            </w:pPr>
            <w:r>
              <w:t>较敏感</w:t>
            </w:r>
          </w:p>
        </w:tc>
        <w:tc>
          <w:tcPr>
            <w:tcW w:w="816" w:type="dxa"/>
            <w:tcBorders>
              <w:top w:val="single" w:color="auto" w:sz="4" w:space="0"/>
              <w:left w:val="single" w:color="auto" w:sz="4" w:space="0"/>
              <w:bottom w:val="single" w:color="auto" w:sz="4" w:space="0"/>
              <w:right w:val="single" w:color="auto" w:sz="4" w:space="0"/>
            </w:tcBorders>
            <w:vAlign w:val="center"/>
          </w:tcPr>
          <w:p>
            <w:pPr>
              <w:pStyle w:val="670"/>
            </w:pPr>
            <w:r>
              <w:t>一级</w:t>
            </w:r>
          </w:p>
        </w:tc>
        <w:tc>
          <w:tcPr>
            <w:tcW w:w="814" w:type="dxa"/>
            <w:tcBorders>
              <w:top w:val="single" w:color="auto" w:sz="4" w:space="0"/>
              <w:left w:val="single" w:color="auto" w:sz="4" w:space="0"/>
              <w:bottom w:val="single" w:color="auto" w:sz="4" w:space="0"/>
              <w:right w:val="single" w:color="auto" w:sz="4" w:space="0"/>
            </w:tcBorders>
            <w:vAlign w:val="center"/>
          </w:tcPr>
          <w:p>
            <w:pPr>
              <w:pStyle w:val="670"/>
            </w:pPr>
            <w:r>
              <w:t>一级</w:t>
            </w:r>
          </w:p>
        </w:tc>
        <w:tc>
          <w:tcPr>
            <w:tcW w:w="816" w:type="dxa"/>
            <w:tcBorders>
              <w:top w:val="single" w:color="auto" w:sz="4" w:space="0"/>
              <w:left w:val="single" w:color="auto" w:sz="4" w:space="0"/>
              <w:bottom w:val="single" w:color="auto" w:sz="4" w:space="0"/>
              <w:right w:val="single" w:color="auto" w:sz="4" w:space="0"/>
            </w:tcBorders>
            <w:vAlign w:val="center"/>
          </w:tcPr>
          <w:p>
            <w:pPr>
              <w:pStyle w:val="670"/>
            </w:pPr>
            <w:r>
              <w:t>二级</w:t>
            </w:r>
          </w:p>
        </w:tc>
        <w:tc>
          <w:tcPr>
            <w:tcW w:w="816" w:type="dxa"/>
            <w:tcBorders>
              <w:top w:val="single" w:color="auto" w:sz="4" w:space="0"/>
              <w:left w:val="single" w:color="auto" w:sz="4" w:space="0"/>
              <w:bottom w:val="single" w:color="auto" w:sz="4" w:space="0"/>
              <w:right w:val="single" w:color="auto" w:sz="4" w:space="0"/>
            </w:tcBorders>
            <w:vAlign w:val="center"/>
          </w:tcPr>
          <w:p>
            <w:pPr>
              <w:pStyle w:val="670"/>
            </w:pPr>
            <w:r>
              <w:t>二级</w:t>
            </w:r>
          </w:p>
        </w:tc>
        <w:tc>
          <w:tcPr>
            <w:tcW w:w="814" w:type="dxa"/>
            <w:tcBorders>
              <w:top w:val="single" w:color="auto" w:sz="4" w:space="0"/>
              <w:left w:val="single" w:color="auto" w:sz="4" w:space="0"/>
              <w:bottom w:val="single" w:color="auto" w:sz="4" w:space="0"/>
              <w:right w:val="single" w:color="auto" w:sz="4" w:space="0"/>
            </w:tcBorders>
            <w:vAlign w:val="center"/>
          </w:tcPr>
          <w:p>
            <w:pPr>
              <w:pStyle w:val="670"/>
            </w:pPr>
            <w:r>
              <w:t>二级</w:t>
            </w:r>
          </w:p>
        </w:tc>
        <w:tc>
          <w:tcPr>
            <w:tcW w:w="816" w:type="dxa"/>
            <w:tcBorders>
              <w:top w:val="single" w:color="auto" w:sz="4" w:space="0"/>
              <w:left w:val="single" w:color="auto" w:sz="4" w:space="0"/>
              <w:bottom w:val="single" w:color="auto" w:sz="4" w:space="0"/>
              <w:right w:val="single" w:color="auto" w:sz="4" w:space="0"/>
            </w:tcBorders>
            <w:vAlign w:val="center"/>
          </w:tcPr>
          <w:p>
            <w:pPr>
              <w:pStyle w:val="670"/>
            </w:pPr>
            <w:r>
              <w:t>三级</w:t>
            </w:r>
          </w:p>
        </w:tc>
        <w:tc>
          <w:tcPr>
            <w:tcW w:w="816" w:type="dxa"/>
            <w:tcBorders>
              <w:top w:val="single" w:color="auto" w:sz="4" w:space="0"/>
              <w:left w:val="single" w:color="auto" w:sz="4" w:space="0"/>
              <w:bottom w:val="single" w:color="auto" w:sz="4" w:space="0"/>
              <w:right w:val="single" w:color="auto" w:sz="4" w:space="0"/>
            </w:tcBorders>
            <w:vAlign w:val="center"/>
          </w:tcPr>
          <w:p>
            <w:pPr>
              <w:pStyle w:val="670"/>
            </w:pPr>
            <w:r>
              <w:t>三级</w:t>
            </w:r>
          </w:p>
        </w:tc>
        <w:tc>
          <w:tcPr>
            <w:tcW w:w="814" w:type="dxa"/>
            <w:tcBorders>
              <w:top w:val="single" w:color="auto" w:sz="4" w:space="0"/>
              <w:left w:val="single" w:color="auto" w:sz="4" w:space="0"/>
              <w:bottom w:val="single" w:color="auto" w:sz="4" w:space="0"/>
              <w:right w:val="single" w:color="auto" w:sz="4" w:space="0"/>
            </w:tcBorders>
            <w:vAlign w:val="center"/>
          </w:tcPr>
          <w:p>
            <w:pPr>
              <w:pStyle w:val="670"/>
            </w:pPr>
            <w:r>
              <w:t>三级</w:t>
            </w:r>
          </w:p>
        </w:tc>
        <w:tc>
          <w:tcPr>
            <w:tcW w:w="816"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exact"/>
        </w:trPr>
        <w:tc>
          <w:tcPr>
            <w:tcW w:w="1099" w:type="dxa"/>
            <w:tcBorders>
              <w:top w:val="single" w:color="auto" w:sz="4" w:space="0"/>
              <w:left w:val="single" w:color="auto" w:sz="4" w:space="0"/>
              <w:bottom w:val="single" w:color="auto" w:sz="4" w:space="0"/>
              <w:right w:val="single" w:color="auto" w:sz="4" w:space="0"/>
            </w:tcBorders>
            <w:vAlign w:val="center"/>
          </w:tcPr>
          <w:p>
            <w:pPr>
              <w:pStyle w:val="670"/>
            </w:pPr>
            <w:r>
              <w:t>不敏感</w:t>
            </w:r>
          </w:p>
        </w:tc>
        <w:tc>
          <w:tcPr>
            <w:tcW w:w="816" w:type="dxa"/>
            <w:tcBorders>
              <w:top w:val="single" w:color="auto" w:sz="4" w:space="0"/>
              <w:left w:val="single" w:color="auto" w:sz="4" w:space="0"/>
              <w:bottom w:val="single" w:color="auto" w:sz="4" w:space="0"/>
              <w:right w:val="single" w:color="auto" w:sz="4" w:space="0"/>
            </w:tcBorders>
            <w:vAlign w:val="center"/>
          </w:tcPr>
          <w:p>
            <w:pPr>
              <w:pStyle w:val="670"/>
            </w:pPr>
            <w:r>
              <w:t>一级</w:t>
            </w:r>
          </w:p>
        </w:tc>
        <w:tc>
          <w:tcPr>
            <w:tcW w:w="814" w:type="dxa"/>
            <w:tcBorders>
              <w:top w:val="single" w:color="auto" w:sz="4" w:space="0"/>
              <w:left w:val="single" w:color="auto" w:sz="4" w:space="0"/>
              <w:bottom w:val="single" w:color="auto" w:sz="4" w:space="0"/>
              <w:right w:val="single" w:color="auto" w:sz="4" w:space="0"/>
            </w:tcBorders>
            <w:vAlign w:val="center"/>
          </w:tcPr>
          <w:p>
            <w:pPr>
              <w:pStyle w:val="670"/>
            </w:pPr>
            <w:r>
              <w:t>二级</w:t>
            </w:r>
          </w:p>
        </w:tc>
        <w:tc>
          <w:tcPr>
            <w:tcW w:w="816" w:type="dxa"/>
            <w:tcBorders>
              <w:top w:val="single" w:color="auto" w:sz="4" w:space="0"/>
              <w:left w:val="single" w:color="auto" w:sz="4" w:space="0"/>
              <w:bottom w:val="single" w:color="auto" w:sz="4" w:space="0"/>
              <w:right w:val="single" w:color="auto" w:sz="4" w:space="0"/>
            </w:tcBorders>
            <w:vAlign w:val="center"/>
          </w:tcPr>
          <w:p>
            <w:pPr>
              <w:pStyle w:val="670"/>
            </w:pPr>
            <w:r>
              <w:t>二级</w:t>
            </w:r>
          </w:p>
        </w:tc>
        <w:tc>
          <w:tcPr>
            <w:tcW w:w="816" w:type="dxa"/>
            <w:tcBorders>
              <w:top w:val="single" w:color="auto" w:sz="4" w:space="0"/>
              <w:left w:val="single" w:color="auto" w:sz="4" w:space="0"/>
              <w:bottom w:val="single" w:color="auto" w:sz="4" w:space="0"/>
              <w:right w:val="single" w:color="auto" w:sz="4" w:space="0"/>
            </w:tcBorders>
            <w:vAlign w:val="center"/>
          </w:tcPr>
          <w:p>
            <w:pPr>
              <w:pStyle w:val="670"/>
            </w:pPr>
            <w:r>
              <w:t>二级</w:t>
            </w:r>
          </w:p>
        </w:tc>
        <w:tc>
          <w:tcPr>
            <w:tcW w:w="814" w:type="dxa"/>
            <w:tcBorders>
              <w:top w:val="single" w:color="auto" w:sz="4" w:space="0"/>
              <w:left w:val="single" w:color="auto" w:sz="4" w:space="0"/>
              <w:bottom w:val="single" w:color="auto" w:sz="4" w:space="0"/>
              <w:right w:val="single" w:color="auto" w:sz="4" w:space="0"/>
            </w:tcBorders>
            <w:vAlign w:val="center"/>
          </w:tcPr>
          <w:p>
            <w:pPr>
              <w:pStyle w:val="670"/>
            </w:pPr>
            <w:r>
              <w:t>三级</w:t>
            </w:r>
          </w:p>
        </w:tc>
        <w:tc>
          <w:tcPr>
            <w:tcW w:w="816" w:type="dxa"/>
            <w:tcBorders>
              <w:top w:val="single" w:color="auto" w:sz="4" w:space="0"/>
              <w:left w:val="single" w:color="auto" w:sz="4" w:space="0"/>
              <w:bottom w:val="single" w:color="auto" w:sz="4" w:space="0"/>
              <w:right w:val="single" w:color="auto" w:sz="4" w:space="0"/>
            </w:tcBorders>
            <w:shd w:val="clear" w:color="auto" w:fill="ED7D31"/>
            <w:vAlign w:val="center"/>
          </w:tcPr>
          <w:p>
            <w:pPr>
              <w:pStyle w:val="670"/>
            </w:pPr>
            <w:r>
              <w:t>三级</w:t>
            </w:r>
          </w:p>
        </w:tc>
        <w:tc>
          <w:tcPr>
            <w:tcW w:w="816" w:type="dxa"/>
            <w:tcBorders>
              <w:top w:val="single" w:color="auto" w:sz="4" w:space="0"/>
              <w:left w:val="single" w:color="auto" w:sz="4" w:space="0"/>
              <w:bottom w:val="single" w:color="auto" w:sz="4" w:space="0"/>
              <w:right w:val="single" w:color="auto" w:sz="4" w:space="0"/>
            </w:tcBorders>
            <w:vAlign w:val="center"/>
          </w:tcPr>
          <w:p>
            <w:pPr>
              <w:pStyle w:val="670"/>
            </w:pPr>
            <w:r>
              <w:t>三级</w:t>
            </w:r>
          </w:p>
        </w:tc>
        <w:tc>
          <w:tcPr>
            <w:tcW w:w="814"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w:t>
            </w:r>
          </w:p>
        </w:tc>
        <w:tc>
          <w:tcPr>
            <w:tcW w:w="816"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atLeast"/>
        </w:trPr>
        <w:tc>
          <w:tcPr>
            <w:tcW w:w="8437" w:type="dxa"/>
            <w:gridSpan w:val="10"/>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b/>
                <w:lang w:eastAsia="zh-CN"/>
              </w:rPr>
              <w:t>注：“-”表示可不开展土壤环境影响评价工作。</w:t>
            </w:r>
          </w:p>
        </w:tc>
      </w:tr>
    </w:tbl>
    <w:p>
      <w:pPr>
        <w:pStyle w:val="713"/>
        <w:ind w:firstLine="200"/>
        <w:rPr>
          <w:rFonts w:ascii="Times New Roman" w:hAnsi="Times New Roman" w:cs="Times New Roman"/>
          <w:kern w:val="0"/>
        </w:rPr>
      </w:pPr>
    </w:p>
    <w:p>
      <w:pPr>
        <w:pStyle w:val="488"/>
        <w:ind w:firstLine="480"/>
        <w:rPr>
          <w:rFonts w:ascii="Times New Roman" w:hAnsi="Times New Roman" w:cs="Times New Roman"/>
        </w:rPr>
      </w:pPr>
      <w:r>
        <w:rPr>
          <w:rFonts w:ascii="Times New Roman" w:hAnsi="Times New Roman" w:cs="Times New Roman"/>
        </w:rPr>
        <w:t>根据《环境影响评价技术导则 土壤环境（试行）》（HJ964-2018）附录 A 土壤环境影响评价项目类别，本项目属于</w:t>
      </w:r>
      <w:r>
        <w:rPr>
          <w:rFonts w:ascii="Times New Roman" w:hAnsi="Times New Roman" w:cs="Times New Roman"/>
        </w:rPr>
        <w:fldChar w:fldCharType="begin"/>
      </w:r>
      <w:r>
        <w:rPr>
          <w:rFonts w:ascii="Times New Roman" w:hAnsi="Times New Roman" w:cs="Times New Roman"/>
        </w:rPr>
        <w:instrText xml:space="preserve"> = 2 \* ROMAN </w:instrText>
      </w:r>
      <w:r>
        <w:rPr>
          <w:rFonts w:ascii="Times New Roman" w:hAnsi="Times New Roman" w:cs="Times New Roman"/>
        </w:rPr>
        <w:fldChar w:fldCharType="separate"/>
      </w:r>
      <w:r>
        <w:rPr>
          <w:rFonts w:ascii="Times New Roman" w:hAnsi="Times New Roman" w:cs="Times New Roman"/>
        </w:rPr>
        <w:t>II</w:t>
      </w:r>
      <w:r>
        <w:rPr>
          <w:rFonts w:ascii="Times New Roman" w:hAnsi="Times New Roman" w:cs="Times New Roman"/>
        </w:rPr>
        <w:fldChar w:fldCharType="end"/>
      </w:r>
      <w:r>
        <w:rPr>
          <w:rFonts w:ascii="Times New Roman" w:hAnsi="Times New Roman" w:cs="Times New Roman"/>
        </w:rPr>
        <w:t>类建设项目，占地类型为小型，环境敏感程度为不敏感，因此根据表1.5-10，本项目土壤环境影响评价等级为三级。</w:t>
      </w:r>
    </w:p>
    <w:p>
      <w:pPr>
        <w:pStyle w:val="494"/>
        <w:ind w:firstLine="480"/>
      </w:pPr>
      <w:r>
        <w:rPr>
          <w:rFonts w:hint="eastAsia"/>
        </w:rPr>
        <w:t>（6）生态环境</w:t>
      </w:r>
    </w:p>
    <w:p>
      <w:pPr>
        <w:pStyle w:val="494"/>
        <w:ind w:firstLine="480"/>
        <w:rPr>
          <w:bCs/>
          <w:szCs w:val="22"/>
        </w:rPr>
      </w:pPr>
      <w:r>
        <w:rPr>
          <w:rFonts w:hint="eastAsia"/>
          <w:bCs/>
          <w:szCs w:val="22"/>
        </w:rPr>
        <w:t>本项目建设地点位于</w:t>
      </w:r>
      <w:r>
        <w:rPr>
          <w:rFonts w:cs="Times New Roman"/>
          <w:bCs/>
        </w:rPr>
        <w:t>新疆维吾尔自治区昌吉回族自治州阜康市境内北部沙漠区</w:t>
      </w:r>
      <w:r>
        <w:rPr>
          <w:rFonts w:hint="eastAsia"/>
          <w:bCs/>
          <w:szCs w:val="22"/>
        </w:rPr>
        <w:t>，项目区周边分布主要为公益林。根据《环境影响评价技术导则 生态环境》（HJ19-20</w:t>
      </w:r>
      <w:r>
        <w:rPr>
          <w:bCs/>
          <w:szCs w:val="22"/>
        </w:rPr>
        <w:t>22</w:t>
      </w:r>
      <w:r>
        <w:rPr>
          <w:rFonts w:hint="eastAsia"/>
          <w:bCs/>
          <w:szCs w:val="22"/>
        </w:rPr>
        <w:t>）中6.1评价等级</w:t>
      </w:r>
      <w:r>
        <w:rPr>
          <w:bCs/>
          <w:szCs w:val="22"/>
        </w:rPr>
        <w:t>判定</w:t>
      </w:r>
      <w:r>
        <w:rPr>
          <w:rFonts w:hint="eastAsia"/>
          <w:bCs/>
          <w:szCs w:val="22"/>
        </w:rPr>
        <w:t>中6.1.</w:t>
      </w:r>
      <w:r>
        <w:rPr>
          <w:bCs/>
          <w:szCs w:val="22"/>
        </w:rPr>
        <w:t>2</w:t>
      </w:r>
      <w:r>
        <w:rPr>
          <w:rFonts w:hint="eastAsia"/>
          <w:bCs/>
          <w:szCs w:val="22"/>
        </w:rPr>
        <w:t>中e）根据H</w:t>
      </w:r>
      <w:r>
        <w:rPr>
          <w:bCs/>
          <w:szCs w:val="22"/>
        </w:rPr>
        <w:t>J 610</w:t>
      </w:r>
      <w:r>
        <w:rPr>
          <w:rFonts w:hint="eastAsia"/>
          <w:bCs/>
          <w:szCs w:val="22"/>
        </w:rPr>
        <w:t>、H</w:t>
      </w:r>
      <w:r>
        <w:rPr>
          <w:bCs/>
          <w:szCs w:val="22"/>
        </w:rPr>
        <w:t>J 964</w:t>
      </w:r>
      <w:r>
        <w:rPr>
          <w:rFonts w:hint="eastAsia"/>
          <w:bCs/>
          <w:szCs w:val="22"/>
        </w:rPr>
        <w:t>判断地下水水位或土壤影响范围内分布有天然林、公益林、湿地等生态保护目标的建设项目，生态影响评价等级不低于二级，因此，本项目生态环境影响评价等级为二级</w:t>
      </w:r>
      <w:r>
        <w:rPr>
          <w:rFonts w:hint="eastAsia"/>
        </w:rPr>
        <w:t>。</w:t>
      </w:r>
    </w:p>
    <w:p>
      <w:pPr>
        <w:pStyle w:val="494"/>
        <w:ind w:firstLine="480"/>
      </w:pPr>
      <w:r>
        <w:rPr>
          <w:rFonts w:hint="eastAsia"/>
        </w:rPr>
        <w:t>（7）环境</w:t>
      </w:r>
      <w:r>
        <w:t>风险</w:t>
      </w:r>
    </w:p>
    <w:p>
      <w:pPr>
        <w:pStyle w:val="494"/>
        <w:ind w:firstLine="480"/>
      </w:pPr>
      <w:r>
        <w:rPr>
          <w:rFonts w:hint="eastAsia"/>
        </w:rPr>
        <w:t>根据《建设项目环境风险评价技术导则》（</w:t>
      </w:r>
      <w:r>
        <w:t>HJ169-2018</w:t>
      </w:r>
      <w:r>
        <w:rPr>
          <w:rFonts w:hint="eastAsia"/>
        </w:rPr>
        <w:t>）和《危险化学品重大危险源辨识》（</w:t>
      </w:r>
      <w:r>
        <w:t>GB18218-2018</w:t>
      </w:r>
      <w:r>
        <w:rPr>
          <w:rFonts w:hint="eastAsia"/>
        </w:rPr>
        <w:t>），危险化学品重大危险源是指</w:t>
      </w:r>
      <w:r>
        <w:t>“</w:t>
      </w:r>
      <w:r>
        <w:rPr>
          <w:rFonts w:hint="eastAsia"/>
        </w:rPr>
        <w:t>长期地或临时地生产、加工、搬运、使用或储存危险化学品，且危险化学品的数量等于或</w:t>
      </w:r>
      <w:r>
        <w:t>超过临界量的单元”。计算所涉及的每种危险物质在厂界内的最大存在总量与其在附录B</w:t>
      </w:r>
      <w:r>
        <w:rPr>
          <w:rFonts w:hint="eastAsia"/>
        </w:rPr>
        <w:t>中对应临界量的比值</w:t>
      </w:r>
      <w:r>
        <w:t>Q</w:t>
      </w:r>
      <w:r>
        <w:rPr>
          <w:rFonts w:hint="eastAsia"/>
        </w:rPr>
        <w:t>。在不同厂区的同一种物质，按其在厂界内的最大存在总量计算。单元内存在的危险化学品的数量根据处理危险化学品的多少，区分为以下两种情况：</w:t>
      </w:r>
      <w:r>
        <w:t xml:space="preserve"> </w:t>
      </w:r>
    </w:p>
    <w:p>
      <w:pPr>
        <w:pStyle w:val="494"/>
        <w:ind w:firstLine="480"/>
      </w:pPr>
      <w:r>
        <w:rPr>
          <w:rFonts w:hint="eastAsia"/>
        </w:rPr>
        <w:t>①当只涉及一种危险物质时，计算该物质的总量与其临界量比值，即为</w:t>
      </w:r>
      <w:r>
        <w:t>Q</w:t>
      </w:r>
      <w:r>
        <w:rPr>
          <w:rFonts w:hint="eastAsia"/>
        </w:rPr>
        <w:t>；</w:t>
      </w:r>
    </w:p>
    <w:p>
      <w:pPr>
        <w:pStyle w:val="494"/>
        <w:ind w:firstLine="480"/>
      </w:pPr>
      <w:r>
        <w:rPr>
          <w:rFonts w:hint="eastAsia"/>
        </w:rPr>
        <w:t>②当存在多种危险物质时，则按下式计算物质总量与其临界量比值（</w:t>
      </w:r>
      <w:r>
        <w:t>Q</w:t>
      </w:r>
      <w:r>
        <w:rPr>
          <w:rFonts w:hint="eastAsia"/>
        </w:rPr>
        <w:t>）：</w:t>
      </w:r>
    </w:p>
    <w:p>
      <w:pPr>
        <w:pStyle w:val="672"/>
        <w:spacing w:line="360" w:lineRule="auto"/>
        <w:ind w:firstLine="2520" w:firstLineChars="1200"/>
        <w:rPr>
          <w:color w:val="auto"/>
        </w:rPr>
      </w:pPr>
      <w:r>
        <w:rPr>
          <w:color w:val="auto"/>
        </w:rPr>
        <w:drawing>
          <wp:inline distT="0" distB="0" distL="0" distR="0">
            <wp:extent cx="1343025" cy="422910"/>
            <wp:effectExtent l="0" t="0" r="0" b="0"/>
            <wp:docPr id="108" name="图片框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框 1046"/>
                    <pic:cNvPicPr>
                      <a:picLocks noChangeAspect="1" noChangeArrowheads="1"/>
                    </pic:cNvPicPr>
                  </pic:nvPicPr>
                  <pic:blipFill>
                    <a:blip r:embed="rId8" cstate="print"/>
                    <a:srcRect/>
                    <a:stretch>
                      <a:fillRect/>
                    </a:stretch>
                  </pic:blipFill>
                  <pic:spPr>
                    <a:xfrm>
                      <a:off x="0" y="0"/>
                      <a:ext cx="1350882" cy="425640"/>
                    </a:xfrm>
                    <a:prstGeom prst="rect">
                      <a:avLst/>
                    </a:prstGeom>
                    <a:noFill/>
                    <a:ln w="9525">
                      <a:noFill/>
                      <a:miter lim="800000"/>
                      <a:headEnd/>
                      <a:tailEnd/>
                    </a:ln>
                  </pic:spPr>
                </pic:pic>
              </a:graphicData>
            </a:graphic>
          </wp:inline>
        </w:drawing>
      </w:r>
    </w:p>
    <w:p>
      <w:pPr>
        <w:pStyle w:val="494"/>
        <w:ind w:firstLine="480"/>
      </w:pPr>
      <w:r>
        <w:rPr>
          <w:rFonts w:hint="eastAsia"/>
        </w:rPr>
        <w:t>式中：</w:t>
      </w:r>
      <w:r>
        <w:rPr>
          <w:iCs/>
        </w:rPr>
        <w:t>q</w:t>
      </w:r>
      <w:r>
        <w:rPr>
          <w:iCs/>
          <w:vertAlign w:val="subscript"/>
        </w:rPr>
        <w:t>1</w:t>
      </w:r>
      <w:r>
        <w:rPr>
          <w:rFonts w:hint="eastAsia"/>
        </w:rPr>
        <w:t>，</w:t>
      </w:r>
      <w:r>
        <w:rPr>
          <w:iCs/>
        </w:rPr>
        <w:t>q</w:t>
      </w:r>
      <w:r>
        <w:rPr>
          <w:iCs/>
          <w:vertAlign w:val="subscript"/>
        </w:rPr>
        <w:t>2</w:t>
      </w:r>
      <w:r>
        <w:rPr>
          <w:rFonts w:hint="eastAsia"/>
        </w:rPr>
        <w:t>，</w:t>
      </w:r>
      <w:r>
        <w:t>...</w:t>
      </w:r>
      <w:r>
        <w:rPr>
          <w:rFonts w:hint="eastAsia"/>
        </w:rPr>
        <w:t>，</w:t>
      </w:r>
      <w:r>
        <w:rPr>
          <w:iCs/>
        </w:rPr>
        <w:t>q</w:t>
      </w:r>
      <w:r>
        <w:rPr>
          <w:iCs/>
          <w:vertAlign w:val="subscript"/>
        </w:rPr>
        <w:t>n</w:t>
      </w:r>
      <w:r>
        <w:t>——</w:t>
      </w:r>
      <w:r>
        <w:rPr>
          <w:rFonts w:hint="eastAsia"/>
        </w:rPr>
        <w:t>每种危险物质的最大总存在量，</w:t>
      </w:r>
      <w:r>
        <w:t>t</w:t>
      </w:r>
      <w:r>
        <w:rPr>
          <w:rFonts w:hint="eastAsia"/>
        </w:rPr>
        <w:t>；</w:t>
      </w:r>
      <w:r>
        <w:t xml:space="preserve"> </w:t>
      </w:r>
    </w:p>
    <w:p>
      <w:pPr>
        <w:pStyle w:val="494"/>
        <w:ind w:firstLine="480"/>
      </w:pPr>
      <w:r>
        <w:rPr>
          <w:iCs/>
        </w:rPr>
        <w:t>Q</w:t>
      </w:r>
      <w:r>
        <w:rPr>
          <w:iCs/>
          <w:vertAlign w:val="subscript"/>
        </w:rPr>
        <w:t>1</w:t>
      </w:r>
      <w:r>
        <w:rPr>
          <w:rFonts w:hint="eastAsia"/>
        </w:rPr>
        <w:t>，</w:t>
      </w:r>
      <w:r>
        <w:rPr>
          <w:iCs/>
        </w:rPr>
        <w:t>Q</w:t>
      </w:r>
      <w:r>
        <w:rPr>
          <w:iCs/>
          <w:vertAlign w:val="subscript"/>
        </w:rPr>
        <w:t>2</w:t>
      </w:r>
      <w:r>
        <w:rPr>
          <w:rFonts w:hint="eastAsia"/>
        </w:rPr>
        <w:t>，</w:t>
      </w:r>
      <w:r>
        <w:t>...</w:t>
      </w:r>
      <w:r>
        <w:rPr>
          <w:rFonts w:hint="eastAsia"/>
        </w:rPr>
        <w:t>，</w:t>
      </w:r>
      <w:r>
        <w:rPr>
          <w:iCs/>
        </w:rPr>
        <w:t>Q</w:t>
      </w:r>
      <w:r>
        <w:rPr>
          <w:iCs/>
          <w:vertAlign w:val="subscript"/>
        </w:rPr>
        <w:t>n</w:t>
      </w:r>
      <w:r>
        <w:t>——</w:t>
      </w:r>
      <w:r>
        <w:rPr>
          <w:rFonts w:hint="eastAsia"/>
        </w:rPr>
        <w:t>每种危险物质的临界量，</w:t>
      </w:r>
      <w:r>
        <w:t>t</w:t>
      </w:r>
      <w:r>
        <w:rPr>
          <w:rFonts w:hint="eastAsia"/>
        </w:rPr>
        <w:t>；</w:t>
      </w:r>
      <w:r>
        <w:t xml:space="preserve"> </w:t>
      </w:r>
    </w:p>
    <w:p>
      <w:pPr>
        <w:pStyle w:val="494"/>
        <w:ind w:firstLine="480"/>
      </w:pPr>
      <w:r>
        <w:rPr>
          <w:rFonts w:hint="eastAsia"/>
        </w:rPr>
        <w:t>当</w:t>
      </w:r>
      <w:r>
        <w:rPr>
          <w:iCs/>
        </w:rPr>
        <w:t>Q</w:t>
      </w:r>
      <w:r>
        <w:rPr>
          <w:rFonts w:hint="eastAsia"/>
        </w:rPr>
        <w:t>＜</w:t>
      </w:r>
      <w:r>
        <w:t>1</w:t>
      </w:r>
      <w:r>
        <w:rPr>
          <w:rFonts w:hint="eastAsia"/>
        </w:rPr>
        <w:t>时，该项目环境风险潜势为Ⅰ；</w:t>
      </w:r>
      <w:r>
        <w:t xml:space="preserve"> </w:t>
      </w:r>
    </w:p>
    <w:p>
      <w:pPr>
        <w:pStyle w:val="494"/>
        <w:ind w:firstLine="480"/>
      </w:pPr>
      <w:r>
        <w:rPr>
          <w:rFonts w:hint="eastAsia"/>
        </w:rPr>
        <w:t>当</w:t>
      </w:r>
      <w:r>
        <w:rPr>
          <w:iCs/>
        </w:rPr>
        <w:t>Q</w:t>
      </w:r>
      <w:r>
        <w:rPr>
          <w:rFonts w:hint="eastAsia"/>
        </w:rPr>
        <w:t>≥</w:t>
      </w:r>
      <w:r>
        <w:t>1</w:t>
      </w:r>
      <w:r>
        <w:rPr>
          <w:rFonts w:hint="eastAsia"/>
        </w:rPr>
        <w:t>时，将</w:t>
      </w:r>
      <w:r>
        <w:rPr>
          <w:iCs/>
        </w:rPr>
        <w:t xml:space="preserve">Q </w:t>
      </w:r>
      <w:r>
        <w:rPr>
          <w:rFonts w:hint="eastAsia"/>
        </w:rPr>
        <w:t>值划分为：（</w:t>
      </w:r>
      <w:r>
        <w:t>1</w:t>
      </w:r>
      <w:r>
        <w:rPr>
          <w:rFonts w:hint="eastAsia"/>
        </w:rPr>
        <w:t>）</w:t>
      </w:r>
      <w:r>
        <w:t>1</w:t>
      </w:r>
      <w:r>
        <w:rPr>
          <w:rFonts w:hint="eastAsia"/>
        </w:rPr>
        <w:t>≤</w:t>
      </w:r>
      <w:r>
        <w:t>Q</w:t>
      </w:r>
      <w:r>
        <w:rPr>
          <w:rFonts w:hint="eastAsia"/>
        </w:rPr>
        <w:t>＜</w:t>
      </w:r>
      <w:r>
        <w:t>10</w:t>
      </w:r>
      <w:r>
        <w:rPr>
          <w:rFonts w:hint="eastAsia"/>
        </w:rPr>
        <w:t>；（</w:t>
      </w:r>
      <w:r>
        <w:t>2</w:t>
      </w:r>
      <w:r>
        <w:rPr>
          <w:rFonts w:hint="eastAsia"/>
        </w:rPr>
        <w:t>）</w:t>
      </w:r>
      <w:r>
        <w:t>10</w:t>
      </w:r>
      <w:r>
        <w:rPr>
          <w:rFonts w:hint="eastAsia"/>
        </w:rPr>
        <w:t>≤</w:t>
      </w:r>
      <w:r>
        <w:t>Q</w:t>
      </w:r>
      <w:r>
        <w:rPr>
          <w:rFonts w:hint="eastAsia"/>
        </w:rPr>
        <w:t>＜</w:t>
      </w:r>
      <w:r>
        <w:t>100</w:t>
      </w:r>
      <w:r>
        <w:rPr>
          <w:rFonts w:hint="eastAsia"/>
        </w:rPr>
        <w:t>；（</w:t>
      </w:r>
      <w:r>
        <w:t>3</w:t>
      </w:r>
      <w:r>
        <w:rPr>
          <w:rFonts w:hint="eastAsia"/>
        </w:rPr>
        <w:t>）</w:t>
      </w:r>
      <w:r>
        <w:rPr>
          <w:iCs/>
        </w:rPr>
        <w:t>Q</w:t>
      </w:r>
      <w:r>
        <w:rPr>
          <w:rFonts w:hint="eastAsia"/>
        </w:rPr>
        <w:t>≥</w:t>
      </w:r>
      <w:r>
        <w:t>100</w:t>
      </w:r>
      <w:r>
        <w:rPr>
          <w:rFonts w:hint="eastAsia"/>
        </w:rPr>
        <w:t>。</w:t>
      </w:r>
    </w:p>
    <w:p>
      <w:pPr>
        <w:pStyle w:val="583"/>
        <w:spacing w:line="460" w:lineRule="exact"/>
        <w:jc w:val="both"/>
        <w:rPr>
          <w:rFonts w:ascii="Times New Roman" w:eastAsiaTheme="minorEastAsia"/>
          <w:bCs/>
          <w:sz w:val="24"/>
          <w:szCs w:val="24"/>
        </w:rPr>
      </w:pPr>
      <w:r>
        <w:rPr>
          <w:rFonts w:hint="eastAsia" w:ascii="Times New Roman" w:eastAsiaTheme="minorEastAsia"/>
          <w:bCs/>
          <w:sz w:val="24"/>
          <w:szCs w:val="24"/>
        </w:rPr>
        <w:t>本项目危险物质储存量与临界量比值见表1.5</w:t>
      </w:r>
      <w:r>
        <w:rPr>
          <w:rFonts w:ascii="Times New Roman" w:eastAsiaTheme="minorEastAsia"/>
          <w:bCs/>
          <w:sz w:val="24"/>
          <w:szCs w:val="24"/>
        </w:rPr>
        <w:t>-11</w:t>
      </w:r>
      <w:r>
        <w:rPr>
          <w:rFonts w:hint="eastAsia" w:ascii="Times New Roman" w:eastAsiaTheme="minorEastAsia"/>
          <w:bCs/>
          <w:sz w:val="24"/>
          <w:szCs w:val="24"/>
        </w:rPr>
        <w:t>。</w:t>
      </w:r>
    </w:p>
    <w:p>
      <w:pPr>
        <w:pStyle w:val="690"/>
        <w:spacing w:line="240" w:lineRule="auto"/>
        <w:ind w:firstLine="420"/>
        <w:rPr>
          <w:rFonts w:eastAsia="黑体"/>
        </w:rPr>
      </w:pPr>
      <w:r>
        <w:rPr>
          <w:rFonts w:hint="eastAsia" w:eastAsia="黑体"/>
        </w:rPr>
        <w:t>表1.5</w:t>
      </w:r>
      <w:r>
        <w:rPr>
          <w:rFonts w:eastAsia="黑体"/>
        </w:rPr>
        <w:t xml:space="preserve">-11         </w:t>
      </w:r>
      <w:r>
        <w:rPr>
          <w:rFonts w:hint="eastAsia" w:eastAsia="黑体"/>
        </w:rPr>
        <w:t>本项目危险物质存在量与临界量比值一览表</w:t>
      </w:r>
    </w:p>
    <w:tbl>
      <w:tblPr>
        <w:tblStyle w:val="55"/>
        <w:tblW w:w="48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300"/>
        <w:gridCol w:w="1895"/>
        <w:gridCol w:w="1911"/>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7" w:type="pct"/>
            <w:tcBorders>
              <w:top w:val="single" w:color="auto" w:sz="4" w:space="0"/>
              <w:left w:val="single" w:color="auto" w:sz="4" w:space="0"/>
              <w:bottom w:val="single" w:color="auto" w:sz="4" w:space="0"/>
              <w:right w:val="single" w:color="auto" w:sz="4" w:space="0"/>
            </w:tcBorders>
            <w:vAlign w:val="center"/>
          </w:tcPr>
          <w:p>
            <w:pPr>
              <w:pStyle w:val="670"/>
            </w:pPr>
            <w:r>
              <w:t>物质名称</w:t>
            </w:r>
          </w:p>
        </w:tc>
        <w:tc>
          <w:tcPr>
            <w:tcW w:w="1184" w:type="pct"/>
            <w:tcBorders>
              <w:top w:val="single" w:color="auto" w:sz="4" w:space="0"/>
              <w:left w:val="single" w:color="auto" w:sz="4" w:space="0"/>
              <w:bottom w:val="single" w:color="auto" w:sz="4" w:space="0"/>
              <w:right w:val="single" w:color="auto" w:sz="4" w:space="0"/>
            </w:tcBorders>
            <w:vAlign w:val="center"/>
          </w:tcPr>
          <w:p>
            <w:pPr>
              <w:pStyle w:val="670"/>
            </w:pPr>
            <w:r>
              <w:t xml:space="preserve">临界量（Qi） </w:t>
            </w:r>
          </w:p>
        </w:tc>
        <w:tc>
          <w:tcPr>
            <w:tcW w:w="1194" w:type="pct"/>
            <w:tcBorders>
              <w:top w:val="single" w:color="auto" w:sz="4" w:space="0"/>
              <w:left w:val="single" w:color="auto" w:sz="4" w:space="0"/>
              <w:bottom w:val="single" w:color="auto" w:sz="4" w:space="0"/>
              <w:right w:val="single" w:color="auto" w:sz="4" w:space="0"/>
            </w:tcBorders>
            <w:vAlign w:val="center"/>
          </w:tcPr>
          <w:p>
            <w:pPr>
              <w:pStyle w:val="670"/>
            </w:pPr>
            <w:r>
              <w:t>存在量（qi）</w:t>
            </w:r>
          </w:p>
        </w:tc>
        <w:tc>
          <w:tcPr>
            <w:tcW w:w="1185" w:type="pct"/>
            <w:tcBorders>
              <w:top w:val="single" w:color="auto" w:sz="4" w:space="0"/>
              <w:left w:val="single" w:color="auto" w:sz="4" w:space="0"/>
              <w:bottom w:val="single" w:color="auto" w:sz="4" w:space="0"/>
              <w:right w:val="single" w:color="auto" w:sz="4" w:space="0"/>
            </w:tcBorders>
            <w:vAlign w:val="center"/>
          </w:tcPr>
          <w:p>
            <w:pPr>
              <w:pStyle w:val="670"/>
            </w:pPr>
            <w:r>
              <w:t>qi/Qi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7" w:type="pct"/>
            <w:tcBorders>
              <w:top w:val="single" w:color="auto" w:sz="4" w:space="0"/>
              <w:left w:val="single" w:color="auto" w:sz="4" w:space="0"/>
              <w:bottom w:val="single" w:color="auto" w:sz="4" w:space="0"/>
              <w:right w:val="single" w:color="auto" w:sz="4" w:space="0"/>
            </w:tcBorders>
            <w:vAlign w:val="center"/>
          </w:tcPr>
          <w:p>
            <w:pPr>
              <w:pStyle w:val="670"/>
            </w:pPr>
            <w:r>
              <w:t>甲烷</w:t>
            </w:r>
          </w:p>
        </w:tc>
        <w:tc>
          <w:tcPr>
            <w:tcW w:w="1184" w:type="pct"/>
            <w:tcBorders>
              <w:top w:val="single" w:color="auto" w:sz="4" w:space="0"/>
              <w:left w:val="single" w:color="auto" w:sz="4" w:space="0"/>
              <w:bottom w:val="single" w:color="auto" w:sz="4" w:space="0"/>
              <w:right w:val="single" w:color="auto" w:sz="4" w:space="0"/>
            </w:tcBorders>
            <w:vAlign w:val="center"/>
          </w:tcPr>
          <w:p>
            <w:pPr>
              <w:pStyle w:val="670"/>
            </w:pPr>
            <w:r>
              <w:t>10</w:t>
            </w:r>
          </w:p>
        </w:tc>
        <w:tc>
          <w:tcPr>
            <w:tcW w:w="1194" w:type="pct"/>
            <w:tcBorders>
              <w:top w:val="single" w:color="auto" w:sz="4" w:space="0"/>
              <w:left w:val="single" w:color="auto" w:sz="4" w:space="0"/>
              <w:bottom w:val="single" w:color="auto" w:sz="4" w:space="0"/>
              <w:right w:val="single" w:color="auto" w:sz="4" w:space="0"/>
            </w:tcBorders>
            <w:vAlign w:val="center"/>
          </w:tcPr>
          <w:p>
            <w:pPr>
              <w:pStyle w:val="670"/>
            </w:pPr>
            <w:r>
              <w:t>4</w:t>
            </w:r>
          </w:p>
        </w:tc>
        <w:tc>
          <w:tcPr>
            <w:tcW w:w="1185" w:type="pct"/>
            <w:tcBorders>
              <w:top w:val="single" w:color="auto" w:sz="4" w:space="0"/>
              <w:left w:val="single" w:color="auto" w:sz="4" w:space="0"/>
              <w:bottom w:val="single" w:color="auto" w:sz="4" w:space="0"/>
              <w:right w:val="single" w:color="auto" w:sz="4" w:space="0"/>
            </w:tcBorders>
            <w:vAlign w:val="center"/>
          </w:tcPr>
          <w:p>
            <w:pPr>
              <w:pStyle w:val="670"/>
            </w:pPr>
            <w: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7" w:type="pct"/>
            <w:tcBorders>
              <w:top w:val="single" w:color="auto" w:sz="4" w:space="0"/>
              <w:left w:val="single" w:color="auto" w:sz="4" w:space="0"/>
              <w:bottom w:val="single" w:color="auto" w:sz="4" w:space="0"/>
              <w:right w:val="single" w:color="auto" w:sz="4" w:space="0"/>
            </w:tcBorders>
            <w:vAlign w:val="center"/>
          </w:tcPr>
          <w:p>
            <w:pPr>
              <w:pStyle w:val="670"/>
            </w:pPr>
            <w:r>
              <w:t>丙烷</w:t>
            </w:r>
          </w:p>
        </w:tc>
        <w:tc>
          <w:tcPr>
            <w:tcW w:w="1184" w:type="pct"/>
            <w:tcBorders>
              <w:top w:val="single" w:color="auto" w:sz="4" w:space="0"/>
              <w:left w:val="single" w:color="auto" w:sz="4" w:space="0"/>
              <w:bottom w:val="single" w:color="auto" w:sz="4" w:space="0"/>
              <w:right w:val="single" w:color="auto" w:sz="4" w:space="0"/>
            </w:tcBorders>
            <w:vAlign w:val="center"/>
          </w:tcPr>
          <w:p>
            <w:pPr>
              <w:pStyle w:val="670"/>
            </w:pPr>
            <w:r>
              <w:t>10</w:t>
            </w:r>
          </w:p>
        </w:tc>
        <w:tc>
          <w:tcPr>
            <w:tcW w:w="1194" w:type="pct"/>
            <w:tcBorders>
              <w:top w:val="single" w:color="auto" w:sz="4" w:space="0"/>
              <w:left w:val="single" w:color="auto" w:sz="4" w:space="0"/>
              <w:bottom w:val="single" w:color="auto" w:sz="4" w:space="0"/>
              <w:right w:val="single" w:color="auto" w:sz="4" w:space="0"/>
            </w:tcBorders>
            <w:vAlign w:val="center"/>
          </w:tcPr>
          <w:p>
            <w:pPr>
              <w:pStyle w:val="670"/>
            </w:pPr>
            <w:r>
              <w:t>2</w:t>
            </w:r>
          </w:p>
        </w:tc>
        <w:tc>
          <w:tcPr>
            <w:tcW w:w="1185" w:type="pct"/>
            <w:tcBorders>
              <w:top w:val="single" w:color="auto" w:sz="4" w:space="0"/>
              <w:left w:val="single" w:color="auto" w:sz="4" w:space="0"/>
              <w:bottom w:val="single" w:color="auto" w:sz="4" w:space="0"/>
              <w:right w:val="single" w:color="auto" w:sz="4" w:space="0"/>
            </w:tcBorders>
            <w:vAlign w:val="center"/>
          </w:tcPr>
          <w:p>
            <w:pPr>
              <w:pStyle w:val="670"/>
            </w:pPr>
            <w: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437" w:type="pct"/>
            <w:tcBorders>
              <w:top w:val="single" w:color="auto" w:sz="4" w:space="0"/>
              <w:left w:val="single" w:color="auto" w:sz="4" w:space="0"/>
              <w:bottom w:val="single" w:color="auto" w:sz="4" w:space="0"/>
              <w:right w:val="single" w:color="auto" w:sz="4" w:space="0"/>
            </w:tcBorders>
            <w:vAlign w:val="center"/>
          </w:tcPr>
          <w:p>
            <w:pPr>
              <w:pStyle w:val="670"/>
            </w:pPr>
            <w:r>
              <w:t>丁烷</w:t>
            </w:r>
          </w:p>
        </w:tc>
        <w:tc>
          <w:tcPr>
            <w:tcW w:w="1184" w:type="pct"/>
            <w:tcBorders>
              <w:top w:val="single" w:color="auto" w:sz="4" w:space="0"/>
              <w:left w:val="single" w:color="auto" w:sz="4" w:space="0"/>
              <w:bottom w:val="single" w:color="auto" w:sz="4" w:space="0"/>
              <w:right w:val="single" w:color="auto" w:sz="4" w:space="0"/>
            </w:tcBorders>
            <w:vAlign w:val="center"/>
          </w:tcPr>
          <w:p>
            <w:pPr>
              <w:pStyle w:val="670"/>
            </w:pPr>
            <w:r>
              <w:t>10</w:t>
            </w:r>
          </w:p>
        </w:tc>
        <w:tc>
          <w:tcPr>
            <w:tcW w:w="1194" w:type="pct"/>
            <w:tcBorders>
              <w:top w:val="single" w:color="auto" w:sz="4" w:space="0"/>
              <w:left w:val="single" w:color="auto" w:sz="4" w:space="0"/>
              <w:bottom w:val="single" w:color="auto" w:sz="4" w:space="0"/>
              <w:right w:val="single" w:color="auto" w:sz="4" w:space="0"/>
            </w:tcBorders>
            <w:vAlign w:val="center"/>
          </w:tcPr>
          <w:p>
            <w:pPr>
              <w:pStyle w:val="670"/>
            </w:pPr>
            <w:r>
              <w:t>1.2</w:t>
            </w:r>
          </w:p>
        </w:tc>
        <w:tc>
          <w:tcPr>
            <w:tcW w:w="1185" w:type="pct"/>
            <w:tcBorders>
              <w:top w:val="single" w:color="auto" w:sz="4" w:space="0"/>
              <w:left w:val="single" w:color="auto" w:sz="4" w:space="0"/>
              <w:bottom w:val="single" w:color="auto" w:sz="4" w:space="0"/>
              <w:right w:val="single" w:color="auto" w:sz="4" w:space="0"/>
            </w:tcBorders>
            <w:vAlign w:val="center"/>
          </w:tcPr>
          <w:p>
            <w:pPr>
              <w:pStyle w:val="670"/>
            </w:pPr>
            <w: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437" w:type="pct"/>
            <w:tcBorders>
              <w:top w:val="single" w:color="auto" w:sz="4" w:space="0"/>
              <w:left w:val="single" w:color="auto" w:sz="4" w:space="0"/>
              <w:bottom w:val="single" w:color="auto" w:sz="4" w:space="0"/>
              <w:right w:val="single" w:color="auto" w:sz="4" w:space="0"/>
            </w:tcBorders>
            <w:vAlign w:val="center"/>
          </w:tcPr>
          <w:p>
            <w:pPr>
              <w:pStyle w:val="670"/>
            </w:pPr>
            <w:r>
              <w:t>戊烷</w:t>
            </w:r>
          </w:p>
        </w:tc>
        <w:tc>
          <w:tcPr>
            <w:tcW w:w="1184" w:type="pct"/>
            <w:tcBorders>
              <w:top w:val="single" w:color="auto" w:sz="4" w:space="0"/>
              <w:left w:val="single" w:color="auto" w:sz="4" w:space="0"/>
              <w:bottom w:val="single" w:color="auto" w:sz="4" w:space="0"/>
              <w:right w:val="single" w:color="auto" w:sz="4" w:space="0"/>
            </w:tcBorders>
            <w:vAlign w:val="center"/>
          </w:tcPr>
          <w:p>
            <w:pPr>
              <w:pStyle w:val="670"/>
            </w:pPr>
            <w:r>
              <w:t>10</w:t>
            </w:r>
          </w:p>
        </w:tc>
        <w:tc>
          <w:tcPr>
            <w:tcW w:w="1194" w:type="pct"/>
            <w:tcBorders>
              <w:top w:val="single" w:color="auto" w:sz="4" w:space="0"/>
              <w:left w:val="single" w:color="auto" w:sz="4" w:space="0"/>
              <w:bottom w:val="single" w:color="auto" w:sz="4" w:space="0"/>
              <w:right w:val="single" w:color="auto" w:sz="4" w:space="0"/>
            </w:tcBorders>
            <w:vAlign w:val="center"/>
          </w:tcPr>
          <w:p>
            <w:pPr>
              <w:pStyle w:val="670"/>
            </w:pPr>
            <w:r>
              <w:t>0.8</w:t>
            </w:r>
          </w:p>
        </w:tc>
        <w:tc>
          <w:tcPr>
            <w:tcW w:w="1185" w:type="pct"/>
            <w:tcBorders>
              <w:top w:val="single" w:color="auto" w:sz="4" w:space="0"/>
              <w:left w:val="single" w:color="auto" w:sz="4" w:space="0"/>
              <w:bottom w:val="single" w:color="auto" w:sz="4" w:space="0"/>
              <w:right w:val="single" w:color="auto" w:sz="4" w:space="0"/>
            </w:tcBorders>
            <w:vAlign w:val="center"/>
          </w:tcPr>
          <w:p>
            <w:pPr>
              <w:pStyle w:val="670"/>
            </w:pPr>
            <w: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437" w:type="pct"/>
            <w:tcBorders>
              <w:top w:val="single" w:color="auto" w:sz="4" w:space="0"/>
              <w:left w:val="single" w:color="auto" w:sz="4" w:space="0"/>
              <w:bottom w:val="single" w:color="auto" w:sz="4" w:space="0"/>
              <w:right w:val="single" w:color="auto" w:sz="4" w:space="0"/>
            </w:tcBorders>
            <w:vAlign w:val="center"/>
          </w:tcPr>
          <w:p>
            <w:pPr>
              <w:pStyle w:val="670"/>
            </w:pPr>
            <w:r>
              <w:t>∑（qi/Qi）</w:t>
            </w:r>
          </w:p>
        </w:tc>
        <w:tc>
          <w:tcPr>
            <w:tcW w:w="1184" w:type="pct"/>
            <w:tcBorders>
              <w:top w:val="single" w:color="auto" w:sz="4" w:space="0"/>
              <w:left w:val="single" w:color="auto" w:sz="4" w:space="0"/>
              <w:bottom w:val="single" w:color="auto" w:sz="4" w:space="0"/>
              <w:right w:val="single" w:color="auto" w:sz="4" w:space="0"/>
            </w:tcBorders>
            <w:vAlign w:val="center"/>
          </w:tcPr>
          <w:p>
            <w:pPr>
              <w:pStyle w:val="670"/>
            </w:pPr>
            <w:r>
              <w:t>/</w:t>
            </w:r>
          </w:p>
        </w:tc>
        <w:tc>
          <w:tcPr>
            <w:tcW w:w="1194" w:type="pct"/>
            <w:tcBorders>
              <w:top w:val="single" w:color="auto" w:sz="4" w:space="0"/>
              <w:left w:val="single" w:color="auto" w:sz="4" w:space="0"/>
              <w:bottom w:val="single" w:color="auto" w:sz="4" w:space="0"/>
              <w:right w:val="single" w:color="auto" w:sz="4" w:space="0"/>
            </w:tcBorders>
            <w:vAlign w:val="center"/>
          </w:tcPr>
          <w:p>
            <w:pPr>
              <w:pStyle w:val="670"/>
            </w:pPr>
            <w:r>
              <w:t>/</w:t>
            </w:r>
          </w:p>
        </w:tc>
        <w:tc>
          <w:tcPr>
            <w:tcW w:w="1185" w:type="pct"/>
            <w:tcBorders>
              <w:top w:val="single" w:color="auto" w:sz="4" w:space="0"/>
              <w:left w:val="single" w:color="auto" w:sz="4" w:space="0"/>
              <w:bottom w:val="single" w:color="auto" w:sz="4" w:space="0"/>
              <w:right w:val="single" w:color="auto" w:sz="4" w:space="0"/>
            </w:tcBorders>
            <w:vAlign w:val="center"/>
          </w:tcPr>
          <w:p>
            <w:pPr>
              <w:pStyle w:val="670"/>
            </w:pPr>
            <w:r>
              <w:t>0.8</w:t>
            </w:r>
          </w:p>
        </w:tc>
      </w:tr>
    </w:tbl>
    <w:p>
      <w:pPr>
        <w:pStyle w:val="488"/>
        <w:ind w:firstLine="480"/>
        <w:rPr>
          <w:rFonts w:ascii="Times New Roman" w:hAnsi="Times New Roman" w:cs="Times New Roman"/>
          <w:kern w:val="0"/>
        </w:rPr>
      </w:pPr>
      <w:r>
        <w:rPr>
          <w:rFonts w:ascii="Times New Roman" w:hAnsi="Times New Roman" w:cs="Times New Roman"/>
        </w:rPr>
        <w:t>本项目运营过程涉及《建设项目环境风险评价技术导则》（HJ169-2018）附录B中的危险物质主要为甲烷、丙烷、丁烷、戊烷。根据计算Q= 0.8＜1，故本项目的环境风险潜势为</w:t>
      </w:r>
      <w:r>
        <w:rPr>
          <w:rFonts w:hint="eastAsia" w:eastAsia="宋体"/>
        </w:rPr>
        <w:t>Ⅰ</w:t>
      </w:r>
      <w:r>
        <w:rPr>
          <w:rFonts w:ascii="Times New Roman" w:hAnsi="Times New Roman" w:cs="Times New Roman"/>
        </w:rPr>
        <w:t>。</w:t>
      </w:r>
    </w:p>
    <w:p>
      <w:pPr>
        <w:pStyle w:val="488"/>
        <w:ind w:firstLine="480"/>
        <w:rPr>
          <w:rFonts w:ascii="Times New Roman" w:hAnsi="Times New Roman" w:cs="Times New Roman"/>
        </w:rPr>
      </w:pPr>
      <w:bookmarkStart w:id="95" w:name="_Toc107500308"/>
      <w:r>
        <w:rPr>
          <w:rFonts w:ascii="Times New Roman" w:hAnsi="Times New Roman" w:cs="Times New Roman"/>
        </w:rPr>
        <w:t>根据《建设项目环境风险评价技术导则》（HJ169-2018）确定本项目评价等级，评价工作等级划分表见1.5-12。</w:t>
      </w:r>
    </w:p>
    <w:p>
      <w:pPr>
        <w:pStyle w:val="672"/>
        <w:rPr>
          <w:color w:val="auto"/>
        </w:rPr>
      </w:pPr>
      <w:r>
        <w:rPr>
          <w:color w:val="auto"/>
        </w:rPr>
        <w:t>表1.5-12                 评价工作等级划分表</w:t>
      </w:r>
    </w:p>
    <w:tbl>
      <w:tblPr>
        <w:tblStyle w:val="55"/>
        <w:tblW w:w="8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8"/>
        <w:gridCol w:w="1489"/>
        <w:gridCol w:w="1714"/>
        <w:gridCol w:w="1713"/>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8" w:hRule="exact"/>
        </w:trPr>
        <w:tc>
          <w:tcPr>
            <w:tcW w:w="1580" w:type="dxa"/>
            <w:vAlign w:val="center"/>
          </w:tcPr>
          <w:p>
            <w:pPr>
              <w:pStyle w:val="670"/>
            </w:pPr>
            <w:r>
              <w:t>环境风险潜势</w:t>
            </w:r>
          </w:p>
        </w:tc>
        <w:tc>
          <w:tcPr>
            <w:tcW w:w="1490" w:type="dxa"/>
            <w:vAlign w:val="center"/>
          </w:tcPr>
          <w:p>
            <w:pPr>
              <w:pStyle w:val="670"/>
            </w:pPr>
            <w:r>
              <w:rPr>
                <w:rFonts w:hint="eastAsia" w:ascii="宋体" w:hAnsi="宋体" w:cs="宋体"/>
              </w:rPr>
              <w:t>Ⅳ</w:t>
            </w:r>
            <w:r>
              <w:t>、</w:t>
            </w:r>
            <w:r>
              <w:rPr>
                <w:rFonts w:hint="eastAsia" w:ascii="宋体" w:hAnsi="宋体" w:cs="宋体"/>
              </w:rPr>
              <w:t>Ⅳ</w:t>
            </w:r>
            <w:r>
              <w:t>+</w:t>
            </w:r>
          </w:p>
        </w:tc>
        <w:tc>
          <w:tcPr>
            <w:tcW w:w="1715" w:type="dxa"/>
            <w:vAlign w:val="center"/>
          </w:tcPr>
          <w:p>
            <w:pPr>
              <w:pStyle w:val="670"/>
            </w:pPr>
            <w:r>
              <w:rPr>
                <w:rFonts w:hint="eastAsia" w:ascii="宋体" w:hAnsi="宋体" w:cs="宋体"/>
              </w:rPr>
              <w:t>Ⅲ</w:t>
            </w:r>
          </w:p>
        </w:tc>
        <w:tc>
          <w:tcPr>
            <w:tcW w:w="1714" w:type="dxa"/>
            <w:vAlign w:val="center"/>
          </w:tcPr>
          <w:p>
            <w:pPr>
              <w:pStyle w:val="670"/>
            </w:pPr>
            <w:r>
              <w:rPr>
                <w:rFonts w:hint="eastAsia" w:ascii="宋体" w:hAnsi="宋体" w:cs="宋体"/>
              </w:rPr>
              <w:t>Ⅱ</w:t>
            </w:r>
          </w:p>
        </w:tc>
        <w:tc>
          <w:tcPr>
            <w:tcW w:w="1937" w:type="dxa"/>
            <w:vAlign w:val="center"/>
          </w:tcPr>
          <w:p>
            <w:pPr>
              <w:pStyle w:val="670"/>
            </w:pPr>
            <w:r>
              <w:rPr>
                <w:rFonts w:hint="eastAsia" w:ascii="宋体" w:hAnsi="宋体" w:cs="宋体"/>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1580" w:type="dxa"/>
            <w:vAlign w:val="center"/>
          </w:tcPr>
          <w:p>
            <w:pPr>
              <w:pStyle w:val="670"/>
            </w:pPr>
            <w:r>
              <w:t>评价工作等级</w:t>
            </w:r>
          </w:p>
        </w:tc>
        <w:tc>
          <w:tcPr>
            <w:tcW w:w="1490" w:type="dxa"/>
            <w:vAlign w:val="center"/>
          </w:tcPr>
          <w:p>
            <w:pPr>
              <w:pStyle w:val="670"/>
            </w:pPr>
            <w:r>
              <w:t>一</w:t>
            </w:r>
          </w:p>
        </w:tc>
        <w:tc>
          <w:tcPr>
            <w:tcW w:w="1715" w:type="dxa"/>
            <w:vAlign w:val="center"/>
          </w:tcPr>
          <w:p>
            <w:pPr>
              <w:pStyle w:val="670"/>
            </w:pPr>
            <w:r>
              <w:t>二</w:t>
            </w:r>
          </w:p>
        </w:tc>
        <w:tc>
          <w:tcPr>
            <w:tcW w:w="1714" w:type="dxa"/>
            <w:vAlign w:val="center"/>
          </w:tcPr>
          <w:p>
            <w:pPr>
              <w:pStyle w:val="670"/>
            </w:pPr>
            <w:r>
              <w:t>三</w:t>
            </w:r>
          </w:p>
        </w:tc>
        <w:tc>
          <w:tcPr>
            <w:tcW w:w="1937" w:type="dxa"/>
            <w:vAlign w:val="center"/>
          </w:tcPr>
          <w:p>
            <w:pPr>
              <w:pStyle w:val="670"/>
            </w:pPr>
            <w:r>
              <w:t>简单分析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436" w:type="dxa"/>
            <w:gridSpan w:val="5"/>
            <w:vAlign w:val="center"/>
          </w:tcPr>
          <w:p>
            <w:pPr>
              <w:pStyle w:val="670"/>
              <w:jc w:val="left"/>
              <w:rPr>
                <w:lang w:eastAsia="zh-CN"/>
              </w:rPr>
            </w:pPr>
            <w:r>
              <w:rPr>
                <w:lang w:eastAsia="zh-CN"/>
              </w:rPr>
              <w:t>a 是相对于详细评价工作内容而言，在描述危险物质、环境影响途径、环境危害后果、风险防范措施等方面给出定性的说明。</w:t>
            </w:r>
          </w:p>
        </w:tc>
      </w:tr>
    </w:tbl>
    <w:p>
      <w:pPr>
        <w:pStyle w:val="713"/>
        <w:ind w:firstLine="200"/>
        <w:rPr>
          <w:rFonts w:ascii="Times New Roman" w:hAnsi="Times New Roman" w:cs="Times New Roman"/>
          <w:kern w:val="0"/>
        </w:rPr>
      </w:pPr>
    </w:p>
    <w:p>
      <w:pPr>
        <w:pStyle w:val="488"/>
        <w:ind w:firstLine="480"/>
        <w:rPr>
          <w:rFonts w:ascii="Times New Roman" w:hAnsi="Times New Roman" w:cs="Times New Roman"/>
        </w:rPr>
      </w:pPr>
      <w:r>
        <w:rPr>
          <w:rFonts w:ascii="Times New Roman" w:hAnsi="Times New Roman" w:cs="Times New Roman"/>
        </w:rPr>
        <w:t>根据《建设项目环境风险评价技术导则》（HJ169-2018）中判定原则，本项目环境风险潜势为</w:t>
      </w:r>
      <w:r>
        <w:rPr>
          <w:rFonts w:hint="eastAsia" w:eastAsia="宋体"/>
        </w:rPr>
        <w:t>Ⅰ</w:t>
      </w:r>
      <w:r>
        <w:rPr>
          <w:rFonts w:ascii="Times New Roman" w:hAnsi="Times New Roman" w:cs="Times New Roman"/>
        </w:rPr>
        <w:t>，故进行简单分析。</w:t>
      </w:r>
    </w:p>
    <w:p>
      <w:pPr>
        <w:pStyle w:val="5"/>
        <w:spacing w:before="120" w:after="120"/>
        <w:rPr>
          <w:spacing w:val="0"/>
        </w:rPr>
      </w:pPr>
      <w:bookmarkStart w:id="96" w:name="_Toc145580357"/>
      <w:r>
        <w:rPr>
          <w:spacing w:val="0"/>
        </w:rPr>
        <w:t>1.</w:t>
      </w:r>
      <w:r>
        <w:rPr>
          <w:rFonts w:hint="eastAsia"/>
          <w:spacing w:val="0"/>
        </w:rPr>
        <w:t>5</w:t>
      </w:r>
      <w:r>
        <w:rPr>
          <w:spacing w:val="0"/>
        </w:rPr>
        <w:t>.2评价范围</w:t>
      </w:r>
      <w:bookmarkEnd w:id="95"/>
      <w:bookmarkEnd w:id="96"/>
    </w:p>
    <w:p>
      <w:pPr>
        <w:pStyle w:val="494"/>
        <w:ind w:firstLine="480"/>
      </w:pPr>
      <w:r>
        <w:rPr>
          <w:rFonts w:hint="eastAsia"/>
        </w:rPr>
        <w:t>（1）</w:t>
      </w:r>
      <w:r>
        <w:t>环境空气</w:t>
      </w:r>
    </w:p>
    <w:p>
      <w:pPr>
        <w:pStyle w:val="494"/>
        <w:ind w:firstLine="480"/>
      </w:pPr>
      <w:r>
        <w:rPr>
          <w:rFonts w:hint="eastAsia"/>
        </w:rPr>
        <w:t>按照《环境影响评价技术导则 大气环境》（HJ2.2-2018），三级评价项目无需设置评价范围。</w:t>
      </w:r>
    </w:p>
    <w:p>
      <w:pPr>
        <w:pStyle w:val="494"/>
        <w:ind w:firstLine="480"/>
      </w:pPr>
      <w:r>
        <w:rPr>
          <w:rFonts w:hint="eastAsia"/>
        </w:rPr>
        <w:t>（2）</w:t>
      </w:r>
      <w:r>
        <w:t>水环境</w:t>
      </w:r>
    </w:p>
    <w:p>
      <w:pPr>
        <w:pStyle w:val="488"/>
        <w:ind w:firstLine="480"/>
        <w:rPr>
          <w:rFonts w:ascii="Times New Roman" w:hAnsi="Times New Roman" w:cs="Times New Roman"/>
        </w:rPr>
      </w:pPr>
      <w:r>
        <w:rPr>
          <w:rFonts w:ascii="Times New Roman" w:hAnsi="Times New Roman" w:cs="Times New Roman"/>
        </w:rPr>
        <w:t>评价区地下水由南东向北西径流，故本次地下水评价范围以厂址为中心，向东南500m、向西北2500m，东北、西南向各1000m、面积6km</w:t>
      </w:r>
      <w:r>
        <w:rPr>
          <w:rFonts w:ascii="Times New Roman" w:hAnsi="Times New Roman" w:cs="Times New Roman"/>
          <w:vertAlign w:val="superscript"/>
        </w:rPr>
        <w:t>2</w:t>
      </w:r>
      <w:r>
        <w:rPr>
          <w:rFonts w:ascii="Times New Roman" w:hAnsi="Times New Roman" w:cs="Times New Roman"/>
        </w:rPr>
        <w:t>的矩形区域，包括了地下水流向的上游、下游和侧向范围。</w:t>
      </w:r>
    </w:p>
    <w:p>
      <w:pPr>
        <w:pStyle w:val="494"/>
        <w:ind w:firstLine="480"/>
      </w:pPr>
      <w:r>
        <w:rPr>
          <w:rFonts w:hint="eastAsia"/>
        </w:rPr>
        <w:t>（3）</w:t>
      </w:r>
      <w:r>
        <w:t>声环境</w:t>
      </w:r>
    </w:p>
    <w:p>
      <w:pPr>
        <w:pStyle w:val="494"/>
        <w:ind w:firstLine="480"/>
      </w:pPr>
      <w:r>
        <w:t>项目</w:t>
      </w:r>
      <w:r>
        <w:rPr>
          <w:rFonts w:hint="eastAsia"/>
        </w:rPr>
        <w:t>声环境</w:t>
      </w:r>
      <w:r>
        <w:t>评价范围为厂界外</w:t>
      </w:r>
      <w:r>
        <w:rPr>
          <w:rFonts w:hint="eastAsia"/>
        </w:rPr>
        <w:t>200</w:t>
      </w:r>
      <w:r>
        <w:t>m范围以内区域。</w:t>
      </w:r>
    </w:p>
    <w:p>
      <w:pPr>
        <w:pStyle w:val="494"/>
        <w:ind w:firstLine="480"/>
      </w:pPr>
      <w:r>
        <w:rPr>
          <w:rFonts w:hint="eastAsia"/>
        </w:rPr>
        <w:t>（4）土壤环境</w:t>
      </w:r>
    </w:p>
    <w:p>
      <w:pPr>
        <w:pStyle w:val="488"/>
        <w:ind w:firstLine="480"/>
        <w:rPr>
          <w:rFonts w:ascii="Times New Roman" w:hAnsi="Times New Roman" w:cs="Times New Roman"/>
        </w:rPr>
      </w:pPr>
      <w:r>
        <w:rPr>
          <w:rFonts w:ascii="Times New Roman" w:hAnsi="Times New Roman" w:cs="Times New Roman"/>
        </w:rPr>
        <w:t>项目土壤评价范围为项目区范围和占地范围外50m范围内。</w:t>
      </w:r>
    </w:p>
    <w:p>
      <w:pPr>
        <w:pStyle w:val="494"/>
        <w:ind w:firstLine="480"/>
      </w:pPr>
      <w:r>
        <w:rPr>
          <w:rFonts w:hint="eastAsia"/>
        </w:rPr>
        <w:t>（5）生态环境</w:t>
      </w:r>
    </w:p>
    <w:p>
      <w:pPr>
        <w:pStyle w:val="488"/>
        <w:ind w:firstLine="480"/>
        <w:rPr>
          <w:rFonts w:ascii="Times New Roman" w:hAnsi="Times New Roman" w:cs="Times New Roman"/>
        </w:rPr>
      </w:pPr>
      <w:r>
        <w:rPr>
          <w:rFonts w:ascii="Times New Roman" w:hAnsi="Times New Roman" w:cs="Times New Roman"/>
        </w:rPr>
        <w:t>项目</w:t>
      </w:r>
      <w:r>
        <w:rPr>
          <w:rFonts w:hint="eastAsia" w:ascii="Times New Roman" w:hAnsi="Times New Roman" w:cs="Times New Roman"/>
        </w:rPr>
        <w:t>生态环境</w:t>
      </w:r>
      <w:r>
        <w:rPr>
          <w:rFonts w:ascii="Times New Roman" w:hAnsi="Times New Roman" w:cs="Times New Roman"/>
        </w:rPr>
        <w:t>评价范围为</w:t>
      </w:r>
      <w:r>
        <w:rPr>
          <w:rFonts w:hint="eastAsia" w:ascii="Times New Roman" w:hAnsi="Times New Roman" w:cs="Times New Roman"/>
        </w:rPr>
        <w:t>厂界</w:t>
      </w:r>
      <w:r>
        <w:rPr>
          <w:rFonts w:ascii="Times New Roman" w:hAnsi="Times New Roman" w:cs="Times New Roman"/>
        </w:rPr>
        <w:t>外1</w:t>
      </w:r>
      <w:r>
        <w:rPr>
          <w:rFonts w:hint="eastAsia" w:ascii="Times New Roman" w:hAnsi="Times New Roman" w:cs="Times New Roman"/>
        </w:rPr>
        <w:t>km</w:t>
      </w:r>
      <w:r>
        <w:rPr>
          <w:rFonts w:ascii="Times New Roman" w:hAnsi="Times New Roman" w:cs="Times New Roman"/>
        </w:rPr>
        <w:t>范围内。</w:t>
      </w:r>
    </w:p>
    <w:p>
      <w:pPr>
        <w:pStyle w:val="494"/>
        <w:ind w:firstLine="480"/>
      </w:pPr>
      <w:r>
        <w:t>本项目环境影响评价范围见表1.</w:t>
      </w:r>
      <w:r>
        <w:rPr>
          <w:rFonts w:hint="eastAsia"/>
        </w:rPr>
        <w:t>5</w:t>
      </w:r>
      <w:r>
        <w:t>-13</w:t>
      </w:r>
      <w:r>
        <w:rPr>
          <w:rFonts w:hint="eastAsia"/>
        </w:rPr>
        <w:t>及</w:t>
      </w:r>
      <w:r>
        <w:t>图1.</w:t>
      </w:r>
      <w:r>
        <w:rPr>
          <w:rFonts w:hint="eastAsia"/>
        </w:rPr>
        <w:t>5</w:t>
      </w:r>
      <w:r>
        <w:t>-1。</w:t>
      </w:r>
    </w:p>
    <w:p>
      <w:pPr>
        <w:pStyle w:val="400"/>
        <w:ind w:firstLine="420"/>
      </w:pPr>
      <w:r>
        <w:t>表1.</w:t>
      </w:r>
      <w:r>
        <w:rPr>
          <w:rFonts w:hint="eastAsia"/>
        </w:rPr>
        <w:t>5</w:t>
      </w:r>
      <w:r>
        <w:t>-13                 评价范围一览表</w:t>
      </w:r>
    </w:p>
    <w:tbl>
      <w:tblPr>
        <w:tblStyle w:val="55"/>
        <w:tblW w:w="829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0"/>
        <w:gridCol w:w="1278"/>
        <w:gridCol w:w="1312"/>
        <w:gridCol w:w="500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700" w:type="dxa"/>
            <w:tcBorders>
              <w:top w:val="single" w:color="auto" w:sz="6" w:space="0"/>
              <w:left w:val="single" w:color="auto" w:sz="6" w:space="0"/>
              <w:bottom w:val="single" w:color="auto" w:sz="6" w:space="0"/>
              <w:right w:val="single" w:color="auto" w:sz="6" w:space="0"/>
            </w:tcBorders>
            <w:vAlign w:val="center"/>
          </w:tcPr>
          <w:p>
            <w:pPr>
              <w:pStyle w:val="674"/>
              <w:rPr>
                <w:color w:val="auto"/>
                <w:sz w:val="21"/>
                <w:szCs w:val="18"/>
                <w:lang w:eastAsia="zh-CN"/>
              </w:rPr>
            </w:pPr>
            <w:bookmarkStart w:id="97" w:name="_Toc107500310"/>
            <w:r>
              <w:rPr>
                <w:color w:val="auto"/>
                <w:sz w:val="21"/>
                <w:szCs w:val="18"/>
                <w:lang w:eastAsia="zh-CN"/>
              </w:rPr>
              <w:t>序号</w:t>
            </w:r>
          </w:p>
        </w:tc>
        <w:tc>
          <w:tcPr>
            <w:tcW w:w="1278" w:type="dxa"/>
            <w:tcBorders>
              <w:top w:val="single" w:color="auto" w:sz="6" w:space="0"/>
              <w:left w:val="single" w:color="auto" w:sz="6" w:space="0"/>
              <w:bottom w:val="single" w:color="auto" w:sz="6" w:space="0"/>
              <w:right w:val="single" w:color="auto" w:sz="6" w:space="0"/>
            </w:tcBorders>
            <w:vAlign w:val="center"/>
          </w:tcPr>
          <w:p>
            <w:pPr>
              <w:pStyle w:val="674"/>
              <w:rPr>
                <w:color w:val="auto"/>
                <w:sz w:val="21"/>
                <w:szCs w:val="18"/>
                <w:lang w:eastAsia="zh-CN"/>
              </w:rPr>
            </w:pPr>
            <w:r>
              <w:rPr>
                <w:color w:val="auto"/>
                <w:sz w:val="21"/>
                <w:szCs w:val="18"/>
                <w:lang w:eastAsia="zh-CN"/>
              </w:rPr>
              <w:t>类别</w:t>
            </w:r>
          </w:p>
        </w:tc>
        <w:tc>
          <w:tcPr>
            <w:tcW w:w="1312" w:type="dxa"/>
            <w:tcBorders>
              <w:top w:val="single" w:color="auto" w:sz="6" w:space="0"/>
              <w:left w:val="single" w:color="auto" w:sz="6" w:space="0"/>
              <w:bottom w:val="single" w:color="auto" w:sz="6" w:space="0"/>
              <w:right w:val="single" w:color="auto" w:sz="6" w:space="0"/>
            </w:tcBorders>
            <w:vAlign w:val="center"/>
          </w:tcPr>
          <w:p>
            <w:pPr>
              <w:pStyle w:val="674"/>
              <w:rPr>
                <w:color w:val="auto"/>
                <w:sz w:val="21"/>
                <w:szCs w:val="18"/>
              </w:rPr>
            </w:pPr>
            <w:r>
              <w:rPr>
                <w:color w:val="auto"/>
                <w:sz w:val="21"/>
                <w:szCs w:val="18"/>
              </w:rPr>
              <w:t>评价等级</w:t>
            </w:r>
          </w:p>
        </w:tc>
        <w:tc>
          <w:tcPr>
            <w:tcW w:w="5006" w:type="dxa"/>
            <w:tcBorders>
              <w:top w:val="single" w:color="auto" w:sz="6" w:space="0"/>
              <w:left w:val="single" w:color="auto" w:sz="6" w:space="0"/>
              <w:bottom w:val="single" w:color="auto" w:sz="6" w:space="0"/>
              <w:right w:val="single" w:color="auto" w:sz="6" w:space="0"/>
            </w:tcBorders>
            <w:vAlign w:val="center"/>
          </w:tcPr>
          <w:p>
            <w:pPr>
              <w:pStyle w:val="674"/>
              <w:rPr>
                <w:color w:val="auto"/>
                <w:sz w:val="21"/>
                <w:szCs w:val="18"/>
              </w:rPr>
            </w:pPr>
            <w:r>
              <w:rPr>
                <w:color w:val="auto"/>
                <w:sz w:val="21"/>
                <w:szCs w:val="18"/>
              </w:rPr>
              <w:t>评价范围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700" w:type="dxa"/>
            <w:tcBorders>
              <w:top w:val="single" w:color="auto" w:sz="6" w:space="0"/>
              <w:left w:val="single" w:color="auto" w:sz="6" w:space="0"/>
              <w:bottom w:val="single" w:color="auto" w:sz="6" w:space="0"/>
              <w:right w:val="single" w:color="auto" w:sz="6" w:space="0"/>
            </w:tcBorders>
            <w:vAlign w:val="center"/>
          </w:tcPr>
          <w:p>
            <w:pPr>
              <w:pStyle w:val="674"/>
              <w:rPr>
                <w:color w:val="auto"/>
                <w:sz w:val="21"/>
                <w:szCs w:val="18"/>
                <w:lang w:eastAsia="zh-CN"/>
              </w:rPr>
            </w:pPr>
            <w:r>
              <w:rPr>
                <w:color w:val="auto"/>
                <w:sz w:val="21"/>
                <w:szCs w:val="18"/>
                <w:lang w:eastAsia="zh-CN"/>
              </w:rPr>
              <w:t>1</w:t>
            </w:r>
          </w:p>
        </w:tc>
        <w:tc>
          <w:tcPr>
            <w:tcW w:w="1278" w:type="dxa"/>
            <w:tcBorders>
              <w:top w:val="single" w:color="auto" w:sz="6" w:space="0"/>
              <w:left w:val="single" w:color="auto" w:sz="6" w:space="0"/>
              <w:bottom w:val="single" w:color="auto" w:sz="6" w:space="0"/>
              <w:right w:val="single" w:color="auto" w:sz="6" w:space="0"/>
            </w:tcBorders>
            <w:vAlign w:val="center"/>
          </w:tcPr>
          <w:p>
            <w:pPr>
              <w:pStyle w:val="674"/>
              <w:rPr>
                <w:color w:val="auto"/>
                <w:sz w:val="21"/>
                <w:szCs w:val="18"/>
              </w:rPr>
            </w:pPr>
            <w:r>
              <w:rPr>
                <w:color w:val="auto"/>
                <w:sz w:val="21"/>
                <w:szCs w:val="18"/>
              </w:rPr>
              <w:t>环境空气</w:t>
            </w:r>
          </w:p>
        </w:tc>
        <w:tc>
          <w:tcPr>
            <w:tcW w:w="1312" w:type="dxa"/>
            <w:tcBorders>
              <w:top w:val="single" w:color="auto" w:sz="6" w:space="0"/>
              <w:left w:val="single" w:color="auto" w:sz="6" w:space="0"/>
              <w:bottom w:val="single" w:color="auto" w:sz="6" w:space="0"/>
              <w:right w:val="single" w:color="auto" w:sz="6" w:space="0"/>
            </w:tcBorders>
            <w:vAlign w:val="center"/>
          </w:tcPr>
          <w:p>
            <w:pPr>
              <w:pStyle w:val="674"/>
              <w:rPr>
                <w:color w:val="auto"/>
                <w:sz w:val="21"/>
                <w:szCs w:val="18"/>
              </w:rPr>
            </w:pPr>
            <w:r>
              <w:rPr>
                <w:rFonts w:hint="eastAsia"/>
                <w:color w:val="auto"/>
                <w:sz w:val="21"/>
                <w:szCs w:val="18"/>
                <w:lang w:eastAsia="zh-CN"/>
              </w:rPr>
              <w:t>三</w:t>
            </w:r>
            <w:r>
              <w:rPr>
                <w:color w:val="auto"/>
                <w:sz w:val="21"/>
                <w:szCs w:val="18"/>
              </w:rPr>
              <w:t>级</w:t>
            </w:r>
          </w:p>
        </w:tc>
        <w:tc>
          <w:tcPr>
            <w:tcW w:w="5006" w:type="dxa"/>
            <w:tcBorders>
              <w:top w:val="single" w:color="auto" w:sz="6" w:space="0"/>
              <w:left w:val="single" w:color="auto" w:sz="6" w:space="0"/>
              <w:bottom w:val="single" w:color="auto" w:sz="6" w:space="0"/>
              <w:right w:val="single" w:color="auto" w:sz="6" w:space="0"/>
            </w:tcBorders>
            <w:vAlign w:val="center"/>
          </w:tcPr>
          <w:p>
            <w:pPr>
              <w:pStyle w:val="674"/>
              <w:jc w:val="left"/>
              <w:rPr>
                <w:color w:val="auto"/>
                <w:sz w:val="21"/>
                <w:szCs w:val="18"/>
                <w:lang w:eastAsia="zh-CN"/>
              </w:rPr>
            </w:pPr>
            <w:r>
              <w:rPr>
                <w:rFonts w:hint="eastAsia"/>
                <w:color w:val="auto"/>
                <w:sz w:val="21"/>
                <w:szCs w:val="18"/>
                <w:lang w:eastAsia="zh-CN"/>
              </w:rPr>
              <w:t>无需设置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700" w:type="dxa"/>
            <w:tcBorders>
              <w:top w:val="single" w:color="auto" w:sz="6" w:space="0"/>
              <w:left w:val="single" w:color="auto" w:sz="6" w:space="0"/>
              <w:bottom w:val="single" w:color="auto" w:sz="6" w:space="0"/>
              <w:right w:val="single" w:color="auto" w:sz="6" w:space="0"/>
            </w:tcBorders>
            <w:vAlign w:val="center"/>
          </w:tcPr>
          <w:p>
            <w:pPr>
              <w:pStyle w:val="674"/>
              <w:rPr>
                <w:color w:val="auto"/>
                <w:sz w:val="21"/>
                <w:szCs w:val="18"/>
                <w:lang w:eastAsia="zh-CN"/>
              </w:rPr>
            </w:pPr>
            <w:r>
              <w:rPr>
                <w:color w:val="auto"/>
                <w:sz w:val="21"/>
                <w:szCs w:val="18"/>
                <w:lang w:eastAsia="zh-CN"/>
              </w:rPr>
              <w:t>2</w:t>
            </w:r>
          </w:p>
        </w:tc>
        <w:tc>
          <w:tcPr>
            <w:tcW w:w="1278" w:type="dxa"/>
            <w:tcBorders>
              <w:top w:val="single" w:color="auto" w:sz="6" w:space="0"/>
              <w:left w:val="single" w:color="auto" w:sz="6" w:space="0"/>
              <w:bottom w:val="single" w:color="auto" w:sz="6" w:space="0"/>
              <w:right w:val="single" w:color="auto" w:sz="6" w:space="0"/>
            </w:tcBorders>
            <w:vAlign w:val="center"/>
          </w:tcPr>
          <w:p>
            <w:pPr>
              <w:pStyle w:val="674"/>
              <w:rPr>
                <w:color w:val="auto"/>
                <w:sz w:val="21"/>
                <w:szCs w:val="18"/>
              </w:rPr>
            </w:pPr>
            <w:r>
              <w:rPr>
                <w:color w:val="auto"/>
                <w:sz w:val="21"/>
                <w:szCs w:val="18"/>
              </w:rPr>
              <w:t>声环境</w:t>
            </w:r>
          </w:p>
        </w:tc>
        <w:tc>
          <w:tcPr>
            <w:tcW w:w="1312" w:type="dxa"/>
            <w:tcBorders>
              <w:top w:val="single" w:color="auto" w:sz="6" w:space="0"/>
              <w:left w:val="single" w:color="auto" w:sz="6" w:space="0"/>
              <w:bottom w:val="single" w:color="auto" w:sz="6" w:space="0"/>
              <w:right w:val="single" w:color="auto" w:sz="6" w:space="0"/>
            </w:tcBorders>
            <w:vAlign w:val="center"/>
          </w:tcPr>
          <w:p>
            <w:pPr>
              <w:pStyle w:val="674"/>
              <w:rPr>
                <w:color w:val="auto"/>
                <w:sz w:val="21"/>
                <w:szCs w:val="18"/>
              </w:rPr>
            </w:pPr>
            <w:r>
              <w:rPr>
                <w:color w:val="auto"/>
                <w:sz w:val="21"/>
                <w:szCs w:val="18"/>
                <w:lang w:eastAsia="zh-CN"/>
              </w:rPr>
              <w:t>二</w:t>
            </w:r>
            <w:r>
              <w:rPr>
                <w:color w:val="auto"/>
                <w:sz w:val="21"/>
                <w:szCs w:val="18"/>
              </w:rPr>
              <w:t>级</w:t>
            </w:r>
          </w:p>
        </w:tc>
        <w:tc>
          <w:tcPr>
            <w:tcW w:w="5006" w:type="dxa"/>
            <w:tcBorders>
              <w:top w:val="single" w:color="auto" w:sz="6" w:space="0"/>
              <w:left w:val="single" w:color="auto" w:sz="6" w:space="0"/>
              <w:bottom w:val="single" w:color="auto" w:sz="6" w:space="0"/>
              <w:right w:val="single" w:color="auto" w:sz="6" w:space="0"/>
            </w:tcBorders>
            <w:vAlign w:val="center"/>
          </w:tcPr>
          <w:p>
            <w:pPr>
              <w:pStyle w:val="674"/>
              <w:jc w:val="left"/>
              <w:rPr>
                <w:color w:val="auto"/>
                <w:sz w:val="21"/>
                <w:szCs w:val="18"/>
                <w:lang w:eastAsia="zh-CN"/>
              </w:rPr>
            </w:pPr>
            <w:r>
              <w:rPr>
                <w:color w:val="auto"/>
                <w:sz w:val="21"/>
                <w:szCs w:val="18"/>
                <w:lang w:eastAsia="zh-CN"/>
              </w:rPr>
              <w:t>项目厂界外200m范围内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700" w:type="dxa"/>
            <w:tcBorders>
              <w:top w:val="single" w:color="auto" w:sz="6" w:space="0"/>
              <w:left w:val="single" w:color="auto" w:sz="6" w:space="0"/>
              <w:bottom w:val="single" w:color="auto" w:sz="6" w:space="0"/>
              <w:right w:val="single" w:color="auto" w:sz="6" w:space="0"/>
            </w:tcBorders>
            <w:vAlign w:val="center"/>
          </w:tcPr>
          <w:p>
            <w:pPr>
              <w:pStyle w:val="674"/>
              <w:rPr>
                <w:color w:val="auto"/>
                <w:sz w:val="21"/>
                <w:szCs w:val="18"/>
                <w:lang w:eastAsia="zh-CN"/>
              </w:rPr>
            </w:pPr>
            <w:r>
              <w:rPr>
                <w:color w:val="auto"/>
                <w:sz w:val="21"/>
                <w:szCs w:val="18"/>
                <w:lang w:eastAsia="zh-CN"/>
              </w:rPr>
              <w:t>3</w:t>
            </w:r>
          </w:p>
        </w:tc>
        <w:tc>
          <w:tcPr>
            <w:tcW w:w="1278" w:type="dxa"/>
            <w:tcBorders>
              <w:top w:val="single" w:color="auto" w:sz="6" w:space="0"/>
              <w:left w:val="single" w:color="auto" w:sz="6" w:space="0"/>
              <w:bottom w:val="single" w:color="auto" w:sz="6" w:space="0"/>
              <w:right w:val="single" w:color="auto" w:sz="6" w:space="0"/>
            </w:tcBorders>
            <w:vAlign w:val="center"/>
          </w:tcPr>
          <w:p>
            <w:pPr>
              <w:pStyle w:val="674"/>
              <w:rPr>
                <w:color w:val="auto"/>
                <w:sz w:val="21"/>
                <w:szCs w:val="18"/>
              </w:rPr>
            </w:pPr>
            <w:r>
              <w:rPr>
                <w:color w:val="auto"/>
                <w:sz w:val="21"/>
                <w:szCs w:val="18"/>
              </w:rPr>
              <w:t>地下水环境</w:t>
            </w:r>
          </w:p>
        </w:tc>
        <w:tc>
          <w:tcPr>
            <w:tcW w:w="1312" w:type="dxa"/>
            <w:tcBorders>
              <w:top w:val="single" w:color="auto" w:sz="6" w:space="0"/>
              <w:left w:val="single" w:color="auto" w:sz="6" w:space="0"/>
              <w:bottom w:val="single" w:color="auto" w:sz="6" w:space="0"/>
              <w:right w:val="single" w:color="auto" w:sz="6" w:space="0"/>
            </w:tcBorders>
            <w:vAlign w:val="center"/>
          </w:tcPr>
          <w:p>
            <w:pPr>
              <w:pStyle w:val="674"/>
              <w:rPr>
                <w:color w:val="auto"/>
                <w:sz w:val="21"/>
                <w:szCs w:val="18"/>
              </w:rPr>
            </w:pPr>
            <w:r>
              <w:rPr>
                <w:color w:val="auto"/>
                <w:sz w:val="21"/>
                <w:szCs w:val="18"/>
              </w:rPr>
              <w:t>二级</w:t>
            </w:r>
          </w:p>
        </w:tc>
        <w:tc>
          <w:tcPr>
            <w:tcW w:w="5006" w:type="dxa"/>
            <w:tcBorders>
              <w:top w:val="single" w:color="auto" w:sz="6" w:space="0"/>
              <w:left w:val="single" w:color="auto" w:sz="6" w:space="0"/>
              <w:bottom w:val="single" w:color="auto" w:sz="6" w:space="0"/>
              <w:right w:val="single" w:color="auto" w:sz="6" w:space="0"/>
            </w:tcBorders>
            <w:vAlign w:val="center"/>
          </w:tcPr>
          <w:p>
            <w:pPr>
              <w:pStyle w:val="674"/>
              <w:jc w:val="left"/>
              <w:rPr>
                <w:color w:val="auto"/>
                <w:sz w:val="21"/>
                <w:szCs w:val="18"/>
                <w:lang w:eastAsia="zh-CN"/>
              </w:rPr>
            </w:pPr>
            <w:r>
              <w:rPr>
                <w:color w:val="auto"/>
                <w:sz w:val="21"/>
                <w:szCs w:val="18"/>
                <w:lang w:eastAsia="zh-CN"/>
              </w:rPr>
              <w:t>围以厂址为中心，向东南500m、向西北2500m，东北、西南向各1000m、面积6km</w:t>
            </w:r>
            <w:r>
              <w:rPr>
                <w:color w:val="auto"/>
                <w:sz w:val="21"/>
                <w:szCs w:val="18"/>
                <w:vertAlign w:val="superscript"/>
                <w:lang w:eastAsia="zh-CN"/>
              </w:rPr>
              <w:t>2</w:t>
            </w:r>
            <w:r>
              <w:rPr>
                <w:color w:val="auto"/>
                <w:sz w:val="21"/>
                <w:szCs w:val="18"/>
                <w:lang w:eastAsia="zh-CN"/>
              </w:rPr>
              <w:t>的矩形区域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700" w:type="dxa"/>
            <w:tcBorders>
              <w:top w:val="single" w:color="auto" w:sz="6" w:space="0"/>
              <w:left w:val="single" w:color="auto" w:sz="6" w:space="0"/>
              <w:bottom w:val="single" w:color="auto" w:sz="6" w:space="0"/>
              <w:right w:val="single" w:color="auto" w:sz="6" w:space="0"/>
            </w:tcBorders>
            <w:vAlign w:val="center"/>
          </w:tcPr>
          <w:p>
            <w:pPr>
              <w:pStyle w:val="674"/>
              <w:rPr>
                <w:color w:val="auto"/>
                <w:sz w:val="21"/>
                <w:szCs w:val="18"/>
                <w:lang w:eastAsia="zh-CN"/>
              </w:rPr>
            </w:pPr>
            <w:r>
              <w:rPr>
                <w:color w:val="auto"/>
                <w:sz w:val="21"/>
                <w:szCs w:val="18"/>
                <w:lang w:eastAsia="zh-CN"/>
              </w:rPr>
              <w:t>4</w:t>
            </w:r>
          </w:p>
        </w:tc>
        <w:tc>
          <w:tcPr>
            <w:tcW w:w="1278" w:type="dxa"/>
            <w:tcBorders>
              <w:top w:val="single" w:color="auto" w:sz="6" w:space="0"/>
              <w:left w:val="single" w:color="auto" w:sz="6" w:space="0"/>
              <w:bottom w:val="single" w:color="auto" w:sz="6" w:space="0"/>
              <w:right w:val="single" w:color="auto" w:sz="6" w:space="0"/>
            </w:tcBorders>
            <w:vAlign w:val="center"/>
          </w:tcPr>
          <w:p>
            <w:pPr>
              <w:pStyle w:val="674"/>
              <w:rPr>
                <w:color w:val="auto"/>
                <w:sz w:val="21"/>
                <w:szCs w:val="18"/>
                <w:lang w:eastAsia="zh-CN"/>
              </w:rPr>
            </w:pPr>
            <w:r>
              <w:rPr>
                <w:color w:val="auto"/>
                <w:sz w:val="21"/>
                <w:szCs w:val="18"/>
                <w:lang w:eastAsia="zh-CN"/>
              </w:rPr>
              <w:t>土壤环境</w:t>
            </w:r>
          </w:p>
        </w:tc>
        <w:tc>
          <w:tcPr>
            <w:tcW w:w="1312" w:type="dxa"/>
            <w:tcBorders>
              <w:top w:val="single" w:color="auto" w:sz="6" w:space="0"/>
              <w:left w:val="single" w:color="auto" w:sz="6" w:space="0"/>
              <w:bottom w:val="single" w:color="auto" w:sz="6" w:space="0"/>
              <w:right w:val="single" w:color="auto" w:sz="6" w:space="0"/>
            </w:tcBorders>
            <w:vAlign w:val="center"/>
          </w:tcPr>
          <w:p>
            <w:pPr>
              <w:pStyle w:val="674"/>
              <w:rPr>
                <w:color w:val="auto"/>
                <w:sz w:val="21"/>
                <w:szCs w:val="18"/>
                <w:lang w:eastAsia="zh-CN"/>
              </w:rPr>
            </w:pPr>
            <w:r>
              <w:rPr>
                <w:color w:val="auto"/>
                <w:sz w:val="21"/>
                <w:szCs w:val="18"/>
                <w:lang w:eastAsia="zh-CN"/>
              </w:rPr>
              <w:t>三级</w:t>
            </w:r>
          </w:p>
        </w:tc>
        <w:tc>
          <w:tcPr>
            <w:tcW w:w="5006" w:type="dxa"/>
            <w:tcBorders>
              <w:top w:val="single" w:color="auto" w:sz="6" w:space="0"/>
              <w:left w:val="single" w:color="auto" w:sz="6" w:space="0"/>
              <w:bottom w:val="single" w:color="auto" w:sz="6" w:space="0"/>
              <w:right w:val="single" w:color="auto" w:sz="6" w:space="0"/>
            </w:tcBorders>
            <w:vAlign w:val="center"/>
          </w:tcPr>
          <w:p>
            <w:pPr>
              <w:pStyle w:val="674"/>
              <w:jc w:val="left"/>
              <w:rPr>
                <w:color w:val="auto"/>
                <w:sz w:val="21"/>
                <w:szCs w:val="18"/>
                <w:lang w:eastAsia="zh-CN"/>
              </w:rPr>
            </w:pPr>
            <w:r>
              <w:rPr>
                <w:color w:val="auto"/>
                <w:sz w:val="21"/>
                <w:szCs w:val="18"/>
                <w:lang w:eastAsia="zh-CN"/>
              </w:rPr>
              <w:t>项目区范围和占地范围外50m范围内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700" w:type="dxa"/>
            <w:tcBorders>
              <w:top w:val="single" w:color="auto" w:sz="6" w:space="0"/>
              <w:left w:val="single" w:color="auto" w:sz="6" w:space="0"/>
              <w:bottom w:val="single" w:color="auto" w:sz="6" w:space="0"/>
              <w:right w:val="single" w:color="auto" w:sz="6" w:space="0"/>
            </w:tcBorders>
            <w:vAlign w:val="center"/>
          </w:tcPr>
          <w:p>
            <w:pPr>
              <w:pStyle w:val="674"/>
              <w:rPr>
                <w:color w:val="auto"/>
                <w:sz w:val="21"/>
                <w:szCs w:val="18"/>
                <w:lang w:eastAsia="zh-CN"/>
              </w:rPr>
            </w:pPr>
            <w:r>
              <w:rPr>
                <w:color w:val="auto"/>
                <w:sz w:val="21"/>
                <w:szCs w:val="18"/>
                <w:lang w:eastAsia="zh-CN"/>
              </w:rPr>
              <w:t>5</w:t>
            </w:r>
          </w:p>
        </w:tc>
        <w:tc>
          <w:tcPr>
            <w:tcW w:w="1278" w:type="dxa"/>
            <w:tcBorders>
              <w:top w:val="single" w:color="auto" w:sz="6" w:space="0"/>
              <w:left w:val="single" w:color="auto" w:sz="6" w:space="0"/>
              <w:bottom w:val="single" w:color="auto" w:sz="6" w:space="0"/>
              <w:right w:val="single" w:color="auto" w:sz="6" w:space="0"/>
            </w:tcBorders>
            <w:vAlign w:val="center"/>
          </w:tcPr>
          <w:p>
            <w:pPr>
              <w:pStyle w:val="674"/>
              <w:rPr>
                <w:color w:val="auto"/>
                <w:sz w:val="21"/>
                <w:szCs w:val="18"/>
                <w:lang w:eastAsia="zh-CN"/>
              </w:rPr>
            </w:pPr>
            <w:r>
              <w:rPr>
                <w:color w:val="auto"/>
                <w:sz w:val="21"/>
                <w:szCs w:val="18"/>
              </w:rPr>
              <w:t>生态环境</w:t>
            </w:r>
          </w:p>
        </w:tc>
        <w:tc>
          <w:tcPr>
            <w:tcW w:w="1312" w:type="dxa"/>
            <w:tcBorders>
              <w:top w:val="single" w:color="auto" w:sz="6" w:space="0"/>
              <w:left w:val="single" w:color="auto" w:sz="6" w:space="0"/>
              <w:bottom w:val="single" w:color="auto" w:sz="6" w:space="0"/>
              <w:right w:val="single" w:color="auto" w:sz="6" w:space="0"/>
            </w:tcBorders>
            <w:vAlign w:val="center"/>
          </w:tcPr>
          <w:p>
            <w:pPr>
              <w:pStyle w:val="674"/>
              <w:rPr>
                <w:color w:val="auto"/>
                <w:sz w:val="21"/>
                <w:szCs w:val="18"/>
                <w:lang w:eastAsia="zh-CN"/>
              </w:rPr>
            </w:pPr>
            <w:r>
              <w:rPr>
                <w:rFonts w:hint="eastAsia"/>
                <w:color w:val="auto"/>
                <w:sz w:val="21"/>
                <w:szCs w:val="18"/>
                <w:lang w:eastAsia="zh-CN"/>
              </w:rPr>
              <w:t>二</w:t>
            </w:r>
            <w:r>
              <w:rPr>
                <w:color w:val="auto"/>
                <w:sz w:val="21"/>
                <w:szCs w:val="18"/>
              </w:rPr>
              <w:t>级</w:t>
            </w:r>
          </w:p>
        </w:tc>
        <w:tc>
          <w:tcPr>
            <w:tcW w:w="5006" w:type="dxa"/>
            <w:tcBorders>
              <w:top w:val="single" w:color="auto" w:sz="6" w:space="0"/>
              <w:left w:val="single" w:color="auto" w:sz="6" w:space="0"/>
              <w:bottom w:val="single" w:color="auto" w:sz="6" w:space="0"/>
              <w:right w:val="single" w:color="auto" w:sz="6" w:space="0"/>
            </w:tcBorders>
            <w:vAlign w:val="center"/>
          </w:tcPr>
          <w:p>
            <w:pPr>
              <w:pStyle w:val="674"/>
              <w:jc w:val="left"/>
              <w:rPr>
                <w:color w:val="auto"/>
                <w:sz w:val="21"/>
                <w:szCs w:val="18"/>
                <w:lang w:eastAsia="zh-CN"/>
              </w:rPr>
            </w:pPr>
            <w:r>
              <w:rPr>
                <w:color w:val="auto"/>
                <w:sz w:val="21"/>
                <w:szCs w:val="18"/>
                <w:lang w:eastAsia="zh-CN"/>
              </w:rPr>
              <w:t>厂界外1km范围内区域</w:t>
            </w:r>
          </w:p>
        </w:tc>
      </w:tr>
    </w:tbl>
    <w:p>
      <w:pPr>
        <w:pStyle w:val="4"/>
        <w:spacing w:before="120" w:after="120"/>
      </w:pPr>
      <w:bookmarkStart w:id="98" w:name="_Toc145580358"/>
      <w:r>
        <w:t>1.</w:t>
      </w:r>
      <w:bookmarkEnd w:id="73"/>
      <w:bookmarkEnd w:id="74"/>
      <w:bookmarkEnd w:id="75"/>
      <w:bookmarkEnd w:id="76"/>
      <w:bookmarkEnd w:id="77"/>
      <w:bookmarkStart w:id="99" w:name="_Toc188349436"/>
      <w:bookmarkStart w:id="100" w:name="_Toc327365464"/>
      <w:bookmarkStart w:id="101" w:name="_Toc149705133"/>
      <w:bookmarkStart w:id="102" w:name="_Toc7720"/>
      <w:bookmarkStart w:id="103" w:name="_Toc146967234"/>
      <w:r>
        <w:t>6</w:t>
      </w:r>
      <w:r>
        <w:rPr>
          <w:rFonts w:hint="eastAsia"/>
        </w:rPr>
        <w:t xml:space="preserve"> </w:t>
      </w:r>
      <w:r>
        <w:t>环境保护目标</w:t>
      </w:r>
      <w:bookmarkEnd w:id="97"/>
      <w:bookmarkEnd w:id="98"/>
      <w:bookmarkEnd w:id="99"/>
      <w:bookmarkEnd w:id="100"/>
      <w:bookmarkEnd w:id="101"/>
      <w:bookmarkEnd w:id="102"/>
      <w:bookmarkEnd w:id="103"/>
    </w:p>
    <w:p>
      <w:pPr>
        <w:pStyle w:val="488"/>
        <w:ind w:firstLine="480"/>
        <w:rPr>
          <w:rFonts w:ascii="Times New Roman" w:hAnsi="Times New Roman" w:cs="Times New Roman"/>
        </w:rPr>
      </w:pPr>
      <w:bookmarkStart w:id="104" w:name="_Toc327365466"/>
      <w:bookmarkStart w:id="105" w:name="_Toc22071"/>
      <w:bookmarkStart w:id="106" w:name="_Toc107500311"/>
      <w:r>
        <w:rPr>
          <w:rFonts w:ascii="Times New Roman" w:hAnsi="Times New Roman" w:cs="Times New Roman"/>
        </w:rPr>
        <w:t>（1）环境空气</w:t>
      </w:r>
    </w:p>
    <w:p>
      <w:pPr>
        <w:pStyle w:val="488"/>
        <w:ind w:firstLine="480"/>
        <w:rPr>
          <w:rFonts w:ascii="Times New Roman" w:hAnsi="Times New Roman" w:cs="Times New Roman"/>
        </w:rPr>
      </w:pPr>
      <w:r>
        <w:rPr>
          <w:rFonts w:ascii="Times New Roman" w:hAnsi="Times New Roman" w:cs="Times New Roman"/>
        </w:rPr>
        <w:t>控制本项目大气污染物达标排放，确保本项目实施后评价区域的空气质量符合《环境空气质量标准》（GB3095-2012）二级标准要求。</w:t>
      </w:r>
    </w:p>
    <w:p>
      <w:pPr>
        <w:pStyle w:val="488"/>
        <w:ind w:firstLine="480"/>
        <w:rPr>
          <w:rFonts w:ascii="Times New Roman" w:hAnsi="Times New Roman" w:cs="Times New Roman"/>
        </w:rPr>
      </w:pPr>
      <w:r>
        <w:rPr>
          <w:rFonts w:ascii="Times New Roman" w:hAnsi="Times New Roman" w:cs="Times New Roman"/>
        </w:rPr>
        <w:t>（2）地下水环境</w:t>
      </w:r>
    </w:p>
    <w:p>
      <w:pPr>
        <w:pStyle w:val="488"/>
        <w:ind w:firstLine="480"/>
        <w:rPr>
          <w:rFonts w:ascii="Times New Roman" w:hAnsi="Times New Roman" w:cs="Times New Roman"/>
        </w:rPr>
      </w:pPr>
      <w:r>
        <w:rPr>
          <w:rFonts w:hint="eastAsia" w:ascii="Times New Roman" w:hAnsi="Times New Roman" w:cs="Times New Roman"/>
        </w:rPr>
        <w:t>生产区</w:t>
      </w:r>
      <w:r>
        <w:rPr>
          <w:rFonts w:ascii="Times New Roman" w:hAnsi="Times New Roman" w:cs="Times New Roman"/>
        </w:rPr>
        <w:t>做好防渗，确保项目所在区域地下水满足《地下水质量标准》（GB/T14848-2017）中的</w:t>
      </w:r>
      <w:r>
        <w:rPr>
          <w:rFonts w:hint="eastAsia" w:eastAsia="宋体"/>
        </w:rPr>
        <w:t>Ⅲ</w:t>
      </w:r>
      <w:r>
        <w:rPr>
          <w:rFonts w:ascii="Times New Roman" w:hAnsi="Times New Roman" w:cs="Times New Roman"/>
        </w:rPr>
        <w:t>类标准要求。</w:t>
      </w:r>
    </w:p>
    <w:p>
      <w:pPr>
        <w:pStyle w:val="488"/>
        <w:ind w:firstLine="480"/>
        <w:rPr>
          <w:rFonts w:ascii="Times New Roman" w:hAnsi="Times New Roman" w:cs="Times New Roman"/>
        </w:rPr>
      </w:pPr>
      <w:r>
        <w:rPr>
          <w:rFonts w:ascii="Times New Roman" w:hAnsi="Times New Roman" w:cs="Times New Roman"/>
        </w:rPr>
        <w:t>（3）声环境</w:t>
      </w:r>
    </w:p>
    <w:p>
      <w:pPr>
        <w:pStyle w:val="488"/>
        <w:ind w:firstLine="480"/>
        <w:rPr>
          <w:rFonts w:ascii="Times New Roman" w:hAnsi="Times New Roman" w:cs="Times New Roman"/>
        </w:rPr>
      </w:pPr>
      <w:r>
        <w:rPr>
          <w:rFonts w:ascii="Times New Roman" w:hAnsi="Times New Roman" w:cs="Times New Roman"/>
        </w:rPr>
        <w:t>确保区域声环境满足《声环境质量标准》（GB3096-2008）中2类标准要求。</w:t>
      </w:r>
    </w:p>
    <w:p>
      <w:pPr>
        <w:pStyle w:val="488"/>
        <w:ind w:firstLine="480"/>
        <w:rPr>
          <w:rFonts w:ascii="Times New Roman" w:hAnsi="Times New Roman" w:cs="Times New Roman"/>
        </w:rPr>
      </w:pPr>
      <w:r>
        <w:rPr>
          <w:rFonts w:ascii="Times New Roman" w:hAnsi="Times New Roman" w:cs="Times New Roman"/>
        </w:rPr>
        <w:t>（4）生态环境和土壤环境</w:t>
      </w:r>
    </w:p>
    <w:p>
      <w:pPr>
        <w:pStyle w:val="488"/>
        <w:ind w:firstLine="480"/>
        <w:rPr>
          <w:rFonts w:ascii="Times New Roman" w:hAnsi="Times New Roman" w:cs="Times New Roman"/>
        </w:rPr>
      </w:pPr>
      <w:r>
        <w:rPr>
          <w:rFonts w:ascii="Times New Roman" w:hAnsi="Times New Roman" w:cs="Times New Roman"/>
        </w:rPr>
        <w:t>确保项目所产生的固体废弃物均得到妥善处置，最大限度地减小固体废物对周围环境的影响，避免二次污染。</w:t>
      </w:r>
    </w:p>
    <w:p>
      <w:pPr>
        <w:pStyle w:val="488"/>
        <w:ind w:firstLine="480"/>
        <w:rPr>
          <w:rFonts w:ascii="Times New Roman" w:hAnsi="Times New Roman" w:cs="Times New Roman"/>
          <w:color w:val="FF0000"/>
        </w:rPr>
      </w:pPr>
      <w:bookmarkStart w:id="107" w:name="_Hlk147573308"/>
      <w:r>
        <w:rPr>
          <w:rFonts w:ascii="Times New Roman" w:hAnsi="Times New Roman" w:cs="Times New Roman"/>
          <w:color w:val="FF0000"/>
        </w:rPr>
        <w:t>本项目环境保护目标见表1.5-1。</w:t>
      </w:r>
    </w:p>
    <w:p>
      <w:pPr>
        <w:pStyle w:val="672"/>
        <w:rPr>
          <w:color w:val="FF0000"/>
        </w:rPr>
      </w:pPr>
      <w:r>
        <w:rPr>
          <w:color w:val="FF0000"/>
        </w:rPr>
        <w:t>表</w:t>
      </w:r>
      <w:r>
        <w:rPr>
          <w:rFonts w:ascii="黑体" w:hAnsi="黑体" w:cstheme="minorBidi"/>
          <w:color w:val="FF0000"/>
        </w:rPr>
        <w:t>1.5</w:t>
      </w:r>
      <w:r>
        <w:rPr>
          <w:color w:val="FF0000"/>
        </w:rPr>
        <w:t>-1                  主要环境保护目标一览表</w:t>
      </w:r>
    </w:p>
    <w:tbl>
      <w:tblPr>
        <w:tblStyle w:val="55"/>
        <w:tblW w:w="8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735"/>
        <w:gridCol w:w="2347"/>
        <w:gridCol w:w="1120"/>
        <w:gridCol w:w="4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cantSplit/>
          <w:trHeight w:val="340"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环境</w:t>
            </w:r>
          </w:p>
          <w:p>
            <w:pPr>
              <w:pStyle w:val="670"/>
              <w:rPr>
                <w:color w:val="FF0000"/>
              </w:rPr>
            </w:pPr>
            <w:r>
              <w:rPr>
                <w:color w:val="FF0000"/>
              </w:rPr>
              <w:t>要素</w:t>
            </w:r>
          </w:p>
        </w:tc>
        <w:tc>
          <w:tcPr>
            <w:tcW w:w="2348"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坐标/m</w:t>
            </w:r>
          </w:p>
        </w:tc>
        <w:tc>
          <w:tcPr>
            <w:tcW w:w="1121"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保护对象</w:t>
            </w:r>
          </w:p>
        </w:tc>
        <w:tc>
          <w:tcPr>
            <w:tcW w:w="4005"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保护内容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cantSplit/>
          <w:trHeight w:val="340"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环境</w:t>
            </w:r>
          </w:p>
          <w:p>
            <w:pPr>
              <w:pStyle w:val="670"/>
              <w:rPr>
                <w:color w:val="FF0000"/>
                <w:lang w:eastAsia="zh-CN"/>
              </w:rPr>
            </w:pPr>
            <w:r>
              <w:rPr>
                <w:color w:val="FF0000"/>
                <w:lang w:eastAsia="zh-CN"/>
              </w:rPr>
              <w:t>空气</w:t>
            </w:r>
          </w:p>
        </w:tc>
        <w:tc>
          <w:tcPr>
            <w:tcW w:w="3469" w:type="dxa"/>
            <w:gridSpan w:val="2"/>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厂址区域及周围环境空气</w:t>
            </w:r>
          </w:p>
        </w:tc>
        <w:tc>
          <w:tcPr>
            <w:tcW w:w="4005"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保护周围人群健康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cantSplit/>
          <w:trHeight w:val="340"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声环境</w:t>
            </w:r>
          </w:p>
        </w:tc>
        <w:tc>
          <w:tcPr>
            <w:tcW w:w="3469" w:type="dxa"/>
            <w:gridSpan w:val="2"/>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厂址区域及周围声环境</w:t>
            </w:r>
          </w:p>
        </w:tc>
        <w:tc>
          <w:tcPr>
            <w:tcW w:w="4005"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保护周围声环境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cantSplit/>
          <w:trHeight w:val="580"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地下水</w:t>
            </w:r>
          </w:p>
        </w:tc>
        <w:tc>
          <w:tcPr>
            <w:tcW w:w="3469" w:type="dxa"/>
            <w:gridSpan w:val="2"/>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厂址区域及附近地下水</w:t>
            </w:r>
          </w:p>
        </w:tc>
        <w:tc>
          <w:tcPr>
            <w:tcW w:w="4005"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保护周围地下水质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cantSplit/>
          <w:trHeight w:val="340"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生态</w:t>
            </w:r>
          </w:p>
          <w:p>
            <w:pPr>
              <w:pStyle w:val="670"/>
              <w:rPr>
                <w:color w:val="FF0000"/>
              </w:rPr>
            </w:pPr>
            <w:r>
              <w:rPr>
                <w:color w:val="FF0000"/>
                <w:lang w:eastAsia="zh-CN"/>
              </w:rPr>
              <w:t>环境</w:t>
            </w:r>
          </w:p>
        </w:tc>
        <w:tc>
          <w:tcPr>
            <w:tcW w:w="3469" w:type="dxa"/>
            <w:gridSpan w:val="2"/>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厂址区域</w:t>
            </w:r>
          </w:p>
        </w:tc>
        <w:tc>
          <w:tcPr>
            <w:tcW w:w="4005"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保护区域地表植被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cantSplit/>
          <w:trHeight w:val="340"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土壤</w:t>
            </w:r>
          </w:p>
          <w:p>
            <w:pPr>
              <w:pStyle w:val="670"/>
              <w:rPr>
                <w:color w:val="FF0000"/>
                <w:lang w:eastAsia="zh-CN"/>
              </w:rPr>
            </w:pPr>
            <w:r>
              <w:rPr>
                <w:color w:val="FF0000"/>
                <w:lang w:eastAsia="zh-CN"/>
              </w:rPr>
              <w:t>环境</w:t>
            </w:r>
          </w:p>
        </w:tc>
        <w:tc>
          <w:tcPr>
            <w:tcW w:w="3469" w:type="dxa"/>
            <w:gridSpan w:val="2"/>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厂址区域及周彪土壤</w:t>
            </w:r>
          </w:p>
        </w:tc>
        <w:tc>
          <w:tcPr>
            <w:tcW w:w="4005"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保护区域土壤环境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cantSplit/>
          <w:trHeight w:val="340"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环境风险</w:t>
            </w:r>
          </w:p>
        </w:tc>
        <w:tc>
          <w:tcPr>
            <w:tcW w:w="3469" w:type="dxa"/>
            <w:gridSpan w:val="2"/>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项目区域土壤、地下水和国家级二级公益林（II级保护林地）</w:t>
            </w:r>
          </w:p>
        </w:tc>
        <w:tc>
          <w:tcPr>
            <w:tcW w:w="4005"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发生风险事故时，可快速采取环境风险防范措施，确保风险事故对土壤、地下水等环境的影响程度可控</w:t>
            </w:r>
          </w:p>
        </w:tc>
      </w:tr>
      <w:bookmarkEnd w:id="107"/>
    </w:tbl>
    <w:p>
      <w:pPr>
        <w:pStyle w:val="694"/>
        <w:ind w:firstLine="199" w:firstLineChars="83"/>
      </w:pPr>
      <w:r>
        <w:br w:type="page"/>
      </w:r>
    </w:p>
    <w:p>
      <w:pPr>
        <w:pStyle w:val="3"/>
      </w:pPr>
      <w:bookmarkStart w:id="108" w:name="_Toc145580359"/>
      <w:r>
        <w:t xml:space="preserve">2  </w:t>
      </w:r>
      <w:bookmarkEnd w:id="7"/>
      <w:bookmarkEnd w:id="8"/>
      <w:bookmarkEnd w:id="9"/>
      <w:bookmarkEnd w:id="104"/>
      <w:bookmarkEnd w:id="105"/>
      <w:bookmarkStart w:id="109" w:name="_Toc309715274"/>
      <w:bookmarkEnd w:id="109"/>
      <w:bookmarkStart w:id="110" w:name="_Toc454899342"/>
      <w:r>
        <w:rPr>
          <w:rFonts w:hint="eastAsia"/>
        </w:rPr>
        <w:t>现有工程概况</w:t>
      </w:r>
      <w:bookmarkEnd w:id="106"/>
      <w:bookmarkEnd w:id="108"/>
    </w:p>
    <w:p>
      <w:pPr>
        <w:pStyle w:val="4"/>
        <w:spacing w:before="120" w:after="120"/>
      </w:pPr>
      <w:bookmarkStart w:id="111" w:name="_Toc107500312"/>
      <w:bookmarkStart w:id="112" w:name="_Toc145580360"/>
      <w:r>
        <w:t>2.1</w:t>
      </w:r>
      <w:bookmarkEnd w:id="110"/>
      <w:r>
        <w:rPr>
          <w:rFonts w:hint="eastAsia"/>
        </w:rPr>
        <w:t xml:space="preserve"> 现有工程概况</w:t>
      </w:r>
      <w:bookmarkEnd w:id="111"/>
      <w:bookmarkEnd w:id="112"/>
    </w:p>
    <w:p>
      <w:pPr>
        <w:pStyle w:val="5"/>
        <w:spacing w:before="120" w:after="120"/>
      </w:pPr>
      <w:bookmarkStart w:id="113" w:name="_Toc419798730"/>
      <w:bookmarkEnd w:id="113"/>
      <w:bookmarkStart w:id="114" w:name="_Toc414348554"/>
      <w:bookmarkEnd w:id="114"/>
      <w:bookmarkStart w:id="115" w:name="_Toc454899343"/>
      <w:bookmarkEnd w:id="115"/>
      <w:bookmarkStart w:id="116" w:name="_Toc28421"/>
      <w:bookmarkEnd w:id="116"/>
      <w:bookmarkStart w:id="117" w:name="_Toc23475"/>
      <w:bookmarkEnd w:id="117"/>
      <w:bookmarkStart w:id="118" w:name="_Toc17414"/>
      <w:bookmarkEnd w:id="118"/>
      <w:bookmarkStart w:id="119" w:name="_Toc8001"/>
      <w:bookmarkEnd w:id="119"/>
      <w:bookmarkStart w:id="120" w:name="_Toc10486"/>
      <w:bookmarkEnd w:id="120"/>
      <w:bookmarkStart w:id="121" w:name="_Toc6084"/>
      <w:bookmarkEnd w:id="121"/>
      <w:bookmarkStart w:id="122" w:name="_Toc2934"/>
      <w:bookmarkEnd w:id="122"/>
      <w:bookmarkStart w:id="123" w:name="_Toc25074"/>
      <w:bookmarkEnd w:id="123"/>
      <w:bookmarkStart w:id="124" w:name="_Toc6259"/>
      <w:bookmarkEnd w:id="124"/>
      <w:bookmarkStart w:id="125" w:name="_Toc12060"/>
      <w:bookmarkEnd w:id="125"/>
      <w:bookmarkStart w:id="126" w:name="_Toc219193095"/>
      <w:bookmarkEnd w:id="126"/>
      <w:bookmarkStart w:id="127" w:name="_Toc1585"/>
      <w:bookmarkEnd w:id="127"/>
      <w:bookmarkStart w:id="128" w:name="_Toc265"/>
      <w:bookmarkEnd w:id="128"/>
      <w:bookmarkStart w:id="129" w:name="_Toc13999"/>
      <w:bookmarkEnd w:id="129"/>
      <w:bookmarkStart w:id="130" w:name="_Toc22486"/>
      <w:bookmarkEnd w:id="130"/>
      <w:bookmarkStart w:id="131" w:name="_Toc13991"/>
      <w:bookmarkEnd w:id="131"/>
      <w:bookmarkStart w:id="132" w:name="_Toc12959"/>
      <w:bookmarkEnd w:id="132"/>
      <w:bookmarkStart w:id="133" w:name="_Toc194069343"/>
      <w:bookmarkEnd w:id="133"/>
      <w:bookmarkStart w:id="134" w:name="_Toc145580361"/>
      <w:r>
        <w:rPr>
          <w:rFonts w:hint="eastAsia"/>
        </w:rPr>
        <w:t>2</w:t>
      </w:r>
      <w:r>
        <w:t>.1.1</w:t>
      </w:r>
      <w:r>
        <w:rPr>
          <w:rFonts w:hint="eastAsia"/>
        </w:rPr>
        <w:t>现有工程</w:t>
      </w:r>
      <w:r>
        <w:t>基本情况</w:t>
      </w:r>
      <w:bookmarkEnd w:id="134"/>
    </w:p>
    <w:p>
      <w:pPr>
        <w:pStyle w:val="488"/>
        <w:ind w:firstLine="480"/>
        <w:rPr>
          <w:rFonts w:ascii="Times New Roman" w:hAnsi="Times New Roman" w:cs="Times New Roman"/>
        </w:rPr>
      </w:pPr>
      <w:r>
        <w:rPr>
          <w:rFonts w:ascii="Times New Roman" w:hAnsi="Times New Roman" w:cs="Times New Roman"/>
        </w:rPr>
        <w:t>（1）项目名称：新疆天安鑫业油气技术服务有限公司董701区块零散天然气回收项目</w:t>
      </w:r>
    </w:p>
    <w:p>
      <w:pPr>
        <w:pStyle w:val="488"/>
        <w:ind w:firstLine="480"/>
        <w:rPr>
          <w:rFonts w:ascii="Times New Roman" w:hAnsi="Times New Roman" w:cs="Times New Roman"/>
        </w:rPr>
      </w:pPr>
      <w:r>
        <w:rPr>
          <w:rFonts w:ascii="Times New Roman" w:hAnsi="Times New Roman" w:cs="Times New Roman"/>
        </w:rPr>
        <w:t>（2）建设性质：新建</w:t>
      </w:r>
    </w:p>
    <w:p>
      <w:pPr>
        <w:pStyle w:val="488"/>
        <w:ind w:firstLine="480"/>
        <w:rPr>
          <w:rFonts w:ascii="Times New Roman" w:hAnsi="Times New Roman" w:cs="Times New Roman"/>
        </w:rPr>
      </w:pPr>
      <w:r>
        <w:rPr>
          <w:rFonts w:ascii="Times New Roman" w:hAnsi="Times New Roman" w:cs="Times New Roman"/>
        </w:rPr>
        <w:t>（3）建设单位：新疆天安鑫业油气技术服务有限公司</w:t>
      </w:r>
    </w:p>
    <w:p>
      <w:pPr>
        <w:pStyle w:val="488"/>
        <w:ind w:firstLine="480"/>
        <w:rPr>
          <w:rFonts w:ascii="Times New Roman" w:hAnsi="Times New Roman" w:cs="Times New Roman"/>
        </w:rPr>
      </w:pPr>
      <w:r>
        <w:rPr>
          <w:rFonts w:ascii="Times New Roman" w:hAnsi="Times New Roman" w:cs="Times New Roman"/>
        </w:rPr>
        <w:t>（4）建设地点：本项目位于新疆维吾尔自治区昌吉回族自治州阜康市境内北部沙漠区，阜康市董701区块董701-X1井场东侧，距离阜康市中心约34km，区域构造位置位于准噶尔盆地中央坳陷阜康凹陷东部的北斜坡，构造区划上属于中央坳陷，开发层系为侏罗系头屯河组J</w:t>
      </w:r>
      <w:r>
        <w:rPr>
          <w:rFonts w:ascii="Times New Roman" w:hAnsi="Times New Roman" w:cs="Times New Roman"/>
          <w:vertAlign w:val="subscript"/>
        </w:rPr>
        <w:t>2</w:t>
      </w:r>
      <w:r>
        <w:rPr>
          <w:rFonts w:ascii="Times New Roman" w:hAnsi="Times New Roman" w:cs="Times New Roman"/>
        </w:rPr>
        <w:t>t</w:t>
      </w:r>
      <w:r>
        <w:rPr>
          <w:rFonts w:ascii="Times New Roman" w:hAnsi="Times New Roman" w:cs="Times New Roman"/>
          <w:vertAlign w:val="subscript"/>
        </w:rPr>
        <w:t>3</w:t>
      </w:r>
      <w:r>
        <w:rPr>
          <w:rFonts w:ascii="Times New Roman" w:hAnsi="Times New Roman" w:cs="Times New Roman"/>
        </w:rPr>
        <w:t>5砂体。项目中心地理坐标：88°2′6″E，44°27′44″N。</w:t>
      </w:r>
    </w:p>
    <w:p>
      <w:pPr>
        <w:pStyle w:val="488"/>
        <w:ind w:firstLine="480"/>
        <w:rPr>
          <w:rFonts w:ascii="Times New Roman" w:hAnsi="Times New Roman" w:cs="Times New Roman"/>
        </w:rPr>
      </w:pPr>
      <w:r>
        <w:rPr>
          <w:rFonts w:ascii="Times New Roman" w:hAnsi="Times New Roman" w:cs="Times New Roman"/>
        </w:rPr>
        <w:t>（5）建设规模：设计天然气日处理规模3×10</w:t>
      </w:r>
      <w:r>
        <w:rPr>
          <w:rFonts w:ascii="Times New Roman" w:hAnsi="Times New Roman" w:cs="Times New Roman"/>
          <w:vertAlign w:val="superscript"/>
        </w:rPr>
        <w:t>4</w:t>
      </w:r>
      <w:r>
        <w:rPr>
          <w:rFonts w:ascii="Times New Roman" w:hAnsi="Times New Roman" w:cs="Times New Roman"/>
        </w:rPr>
        <w:t>Nm</w:t>
      </w:r>
      <w:r>
        <w:rPr>
          <w:rFonts w:ascii="Times New Roman" w:hAnsi="Times New Roman" w:cs="Times New Roman"/>
          <w:vertAlign w:val="superscript"/>
        </w:rPr>
        <w:t>3</w:t>
      </w:r>
      <w:r>
        <w:rPr>
          <w:rFonts w:ascii="Times New Roman" w:hAnsi="Times New Roman" w:cs="Times New Roman"/>
        </w:rPr>
        <w:t>。</w:t>
      </w:r>
    </w:p>
    <w:p>
      <w:pPr>
        <w:pStyle w:val="488"/>
        <w:ind w:firstLine="480"/>
        <w:rPr>
          <w:rFonts w:ascii="Times New Roman" w:hAnsi="Times New Roman" w:cs="Times New Roman"/>
        </w:rPr>
      </w:pPr>
      <w:r>
        <w:rPr>
          <w:rFonts w:ascii="Times New Roman" w:hAnsi="Times New Roman" w:cs="Times New Roman"/>
        </w:rPr>
        <w:t>（6）工程总投资：项目总投资2300万元。</w:t>
      </w:r>
    </w:p>
    <w:p>
      <w:pPr>
        <w:pStyle w:val="488"/>
        <w:ind w:firstLine="480"/>
        <w:rPr>
          <w:rFonts w:ascii="Times New Roman" w:hAnsi="Times New Roman" w:cs="Times New Roman"/>
        </w:rPr>
      </w:pPr>
      <w:r>
        <w:rPr>
          <w:rFonts w:ascii="Times New Roman" w:hAnsi="Times New Roman" w:cs="Times New Roman"/>
        </w:rPr>
        <w:t>（7）占地面积：总面积9893m</w:t>
      </w:r>
      <w:r>
        <w:rPr>
          <w:rFonts w:ascii="Times New Roman" w:hAnsi="Times New Roman" w:cs="Times New Roman"/>
          <w:vertAlign w:val="superscript"/>
        </w:rPr>
        <w:t>2</w:t>
      </w:r>
      <w:r>
        <w:rPr>
          <w:rFonts w:hint="eastAsia" w:ascii="Times New Roman" w:hAnsi="Times New Roman" w:cs="Times New Roman"/>
        </w:rPr>
        <w:t>。</w:t>
      </w:r>
    </w:p>
    <w:p>
      <w:pPr>
        <w:pStyle w:val="488"/>
        <w:ind w:firstLine="480"/>
        <w:rPr>
          <w:rFonts w:ascii="Times New Roman" w:hAnsi="Times New Roman" w:cs="Times New Roman"/>
        </w:rPr>
      </w:pPr>
      <w:r>
        <w:rPr>
          <w:rFonts w:ascii="Times New Roman" w:hAnsi="Times New Roman" w:cs="Times New Roman"/>
        </w:rPr>
        <w:t>（8）劳动定员及工作制度：本项目工作人员共12人，年工作时间为300天，采用两班制，每班工作12h。</w:t>
      </w:r>
    </w:p>
    <w:p>
      <w:pPr>
        <w:pStyle w:val="488"/>
        <w:ind w:firstLine="482"/>
        <w:rPr>
          <w:rFonts w:ascii="Times New Roman" w:hAnsi="Times New Roman" w:cs="Times New Roman"/>
          <w:b/>
          <w:bCs/>
          <w:color w:val="FF0000"/>
        </w:rPr>
      </w:pPr>
      <w:r>
        <w:rPr>
          <w:rFonts w:ascii="Times New Roman" w:hAnsi="Times New Roman" w:cs="Times New Roman"/>
          <w:b/>
          <w:bCs/>
          <w:color w:val="FF0000"/>
        </w:rPr>
        <w:t>现有工程环境保护手续履行情况：</w:t>
      </w:r>
    </w:p>
    <w:p>
      <w:pPr>
        <w:pStyle w:val="488"/>
        <w:ind w:firstLine="480"/>
        <w:rPr>
          <w:rFonts w:ascii="Times New Roman" w:hAnsi="Times New Roman" w:cs="Times New Roman"/>
          <w:color w:val="FF0000"/>
        </w:rPr>
      </w:pPr>
      <w:r>
        <w:rPr>
          <w:rFonts w:ascii="Times New Roman" w:hAnsi="Times New Roman" w:cs="Times New Roman"/>
          <w:color w:val="FF0000"/>
        </w:rPr>
        <w:t>企业于2021年9月委托乌鲁木齐众智安环工程咨询有限公司编制了《新疆天安鑫业油气技术服务有限公司董701区块零散天然气回收项目环境影响报告书》，于2021年11月23日取得了昌吉回族自治州生态环境局下发的《关于新疆天安鑫业油气技术服务有限公司董701区块零散天然气回收项目环境影响报告书的批复》（昌州环评﹝2021﹞155号），同意该项目建设。2023年8月委托新疆众智安环工程咨询服务有限公司完成了《新疆天安鑫业油气技术服务有限公司董701区块零散天然气回收项目竣工环境保护验收监测报告》，同意竣工环境保护验收。</w:t>
      </w:r>
    </w:p>
    <w:p>
      <w:pPr>
        <w:pStyle w:val="5"/>
        <w:spacing w:before="120" w:after="120"/>
        <w:rPr>
          <w:spacing w:val="0"/>
        </w:rPr>
      </w:pPr>
      <w:bookmarkStart w:id="135" w:name="_Toc107500314"/>
      <w:bookmarkStart w:id="136" w:name="_Toc145580362"/>
      <w:bookmarkStart w:id="137" w:name="_Hlk124674876"/>
      <w:r>
        <w:rPr>
          <w:rFonts w:hint="eastAsia"/>
          <w:spacing w:val="0"/>
        </w:rPr>
        <w:t>2.</w:t>
      </w:r>
      <w:r>
        <w:rPr>
          <w:spacing w:val="0"/>
        </w:rPr>
        <w:t>1</w:t>
      </w:r>
      <w:r>
        <w:rPr>
          <w:rFonts w:hint="eastAsia"/>
          <w:spacing w:val="0"/>
        </w:rPr>
        <w:t>.1现有工程</w:t>
      </w:r>
      <w:bookmarkEnd w:id="135"/>
      <w:r>
        <w:rPr>
          <w:rFonts w:hint="eastAsia"/>
          <w:spacing w:val="0"/>
        </w:rPr>
        <w:t>建设情况</w:t>
      </w:r>
      <w:bookmarkEnd w:id="136"/>
    </w:p>
    <w:p>
      <w:pPr>
        <w:pStyle w:val="494"/>
        <w:ind w:firstLine="480"/>
      </w:pPr>
      <w:r>
        <w:rPr>
          <w:rFonts w:hint="eastAsia"/>
        </w:rPr>
        <w:t>现有工程主要建设情况见表2.</w:t>
      </w:r>
      <w:r>
        <w:t>1-3</w:t>
      </w:r>
      <w:r>
        <w:rPr>
          <w:rFonts w:hint="eastAsia"/>
        </w:rPr>
        <w:t>。</w:t>
      </w:r>
    </w:p>
    <w:p>
      <w:pPr>
        <w:pStyle w:val="400"/>
        <w:ind w:firstLine="420"/>
        <w:rPr>
          <w:lang w:bidi="en-US"/>
        </w:rPr>
      </w:pPr>
      <w:r>
        <w:rPr>
          <w:rFonts w:hint="eastAsia"/>
          <w:lang w:bidi="en-US"/>
        </w:rPr>
        <w:t>表2</w:t>
      </w:r>
      <w:r>
        <w:rPr>
          <w:lang w:bidi="en-US"/>
        </w:rPr>
        <w:t xml:space="preserve">.1-3                  </w:t>
      </w:r>
      <w:r>
        <w:rPr>
          <w:rFonts w:hint="eastAsia"/>
          <w:lang w:bidi="en-US"/>
        </w:rPr>
        <w:t>现有工程组成一览表</w:t>
      </w:r>
    </w:p>
    <w:bookmarkEnd w:id="137"/>
    <w:tbl>
      <w:tblPr>
        <w:tblStyle w:val="5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6"/>
        <w:gridCol w:w="1146"/>
        <w:gridCol w:w="4819"/>
        <w:gridCol w:w="16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tcBorders>
              <w:top w:val="single" w:color="000000" w:sz="4" w:space="0"/>
              <w:left w:val="single" w:color="000000" w:sz="4" w:space="0"/>
              <w:bottom w:val="single" w:color="000000" w:sz="4" w:space="0"/>
              <w:right w:val="single" w:color="000000" w:sz="4" w:space="0"/>
            </w:tcBorders>
            <w:vAlign w:val="center"/>
          </w:tcPr>
          <w:p>
            <w:pPr>
              <w:pStyle w:val="670"/>
            </w:pPr>
            <w:bookmarkStart w:id="138" w:name="_Toc107500316"/>
            <w:bookmarkStart w:id="139" w:name="_Hlk124674946"/>
            <w:r>
              <w:t>工程分类</w:t>
            </w: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pPr>
            <w:r>
              <w:t>项目名称</w:t>
            </w:r>
          </w:p>
        </w:tc>
        <w:tc>
          <w:tcPr>
            <w:tcW w:w="2856" w:type="pct"/>
            <w:tcBorders>
              <w:top w:val="single" w:color="000000" w:sz="4" w:space="0"/>
              <w:left w:val="single" w:color="000000" w:sz="4" w:space="0"/>
              <w:bottom w:val="single" w:color="000000" w:sz="4" w:space="0"/>
              <w:right w:val="single" w:color="000000" w:sz="4" w:space="0"/>
            </w:tcBorders>
            <w:vAlign w:val="center"/>
          </w:tcPr>
          <w:p>
            <w:pPr>
              <w:pStyle w:val="670"/>
            </w:pPr>
            <w:r>
              <w:t>建设规模</w:t>
            </w:r>
          </w:p>
        </w:tc>
        <w:tc>
          <w:tcPr>
            <w:tcW w:w="987"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vMerge w:val="restart"/>
            <w:tcBorders>
              <w:top w:val="single" w:color="000000" w:sz="4" w:space="0"/>
              <w:left w:val="single" w:color="000000" w:sz="4" w:space="0"/>
              <w:bottom w:val="single" w:color="000000" w:sz="4" w:space="0"/>
              <w:right w:val="single" w:color="000000" w:sz="4" w:space="0"/>
            </w:tcBorders>
            <w:vAlign w:val="center"/>
          </w:tcPr>
          <w:p>
            <w:pPr>
              <w:pStyle w:val="670"/>
            </w:pPr>
            <w:r>
              <w:t>主体工程</w:t>
            </w: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天然气处理站</w:t>
            </w:r>
          </w:p>
        </w:tc>
        <w:tc>
          <w:tcPr>
            <w:tcW w:w="2856"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处理规模为3×10</w:t>
            </w:r>
            <w:r>
              <w:rPr>
                <w:vertAlign w:val="superscript"/>
                <w:lang w:eastAsia="zh-CN"/>
              </w:rPr>
              <w:t>4</w:t>
            </w:r>
            <w:r>
              <w:rPr>
                <w:lang w:eastAsia="zh-CN"/>
              </w:rPr>
              <w:t>Nm³/d</w:t>
            </w:r>
            <w:r>
              <w:rPr>
                <w:rFonts w:hint="eastAsia"/>
                <w:lang w:eastAsia="zh-CN"/>
              </w:rPr>
              <w:t>，</w:t>
            </w:r>
            <w:r>
              <w:rPr>
                <w:lang w:eastAsia="zh-CN"/>
              </w:rPr>
              <w:t>主要包括三相分离器、前置压缩机、缓冲罐、干燥制冷脱烃撬、高压压缩机、充气柱、混烃储罐、混烃装车泵和万向装车臂等</w:t>
            </w:r>
          </w:p>
        </w:tc>
        <w:tc>
          <w:tcPr>
            <w:tcW w:w="987"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rFonts w:hint="eastAsia"/>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lang w:bidi="en-US"/>
              </w:rPr>
            </w:pP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燃气发电机组</w:t>
            </w:r>
          </w:p>
        </w:tc>
        <w:tc>
          <w:tcPr>
            <w:tcW w:w="2856"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rFonts w:hint="eastAsia"/>
                <w:lang w:eastAsia="zh-CN"/>
              </w:rPr>
              <w:t>已建2台往复式燃气发电机组，目前已停用</w:t>
            </w:r>
          </w:p>
        </w:tc>
        <w:tc>
          <w:tcPr>
            <w:tcW w:w="987"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bookmarkStart w:id="140" w:name="_Hlk147571446"/>
            <w:r>
              <w:rPr>
                <w:rFonts w:hint="eastAsia"/>
                <w:color w:val="FF0000"/>
                <w:lang w:eastAsia="zh-CN"/>
              </w:rPr>
              <w:t>燃气发电机组原采用现有工程生产的天然气作为燃气；目前2</w:t>
            </w:r>
            <w:r>
              <w:rPr>
                <w:color w:val="FF0000"/>
                <w:lang w:eastAsia="zh-CN"/>
              </w:rPr>
              <w:t>22</w:t>
            </w:r>
            <w:r>
              <w:rPr>
                <w:rFonts w:hint="eastAsia"/>
                <w:color w:val="FF0000"/>
                <w:lang w:eastAsia="zh-CN"/>
              </w:rPr>
              <w:t>团电网已架设至项目区，无需使用燃气发电机组</w:t>
            </w:r>
            <w:bookmarkEnd w:id="140"/>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vMerge w:val="restart"/>
            <w:tcBorders>
              <w:top w:val="single" w:color="000000" w:sz="4" w:space="0"/>
              <w:left w:val="single" w:color="000000" w:sz="4" w:space="0"/>
              <w:bottom w:val="single" w:color="000000" w:sz="4" w:space="0"/>
              <w:right w:val="single" w:color="000000" w:sz="4" w:space="0"/>
            </w:tcBorders>
            <w:vAlign w:val="center"/>
          </w:tcPr>
          <w:p>
            <w:pPr>
              <w:pStyle w:val="670"/>
            </w:pPr>
            <w:r>
              <w:t>配套工程</w:t>
            </w: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门卫室</w:t>
            </w:r>
          </w:p>
        </w:tc>
        <w:tc>
          <w:tcPr>
            <w:tcW w:w="2856"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建筑面积为32m</w:t>
            </w:r>
            <w:r>
              <w:rPr>
                <w:vertAlign w:val="superscript"/>
                <w:lang w:eastAsia="zh-CN"/>
              </w:rPr>
              <w:t>2</w:t>
            </w:r>
          </w:p>
        </w:tc>
        <w:tc>
          <w:tcPr>
            <w:tcW w:w="987"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lang w:eastAsia="en-US" w:bidi="en-US"/>
              </w:rPr>
            </w:pP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休息区</w:t>
            </w:r>
          </w:p>
        </w:tc>
        <w:tc>
          <w:tcPr>
            <w:tcW w:w="2856"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建筑面积为337.41m</w:t>
            </w:r>
            <w:r>
              <w:rPr>
                <w:vertAlign w:val="superscript"/>
                <w:lang w:eastAsia="zh-CN"/>
              </w:rPr>
              <w:t>2</w:t>
            </w:r>
          </w:p>
        </w:tc>
        <w:tc>
          <w:tcPr>
            <w:tcW w:w="987"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rFonts w:hint="eastAsia"/>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vMerge w:val="restart"/>
            <w:tcBorders>
              <w:top w:val="single" w:color="000000" w:sz="4" w:space="0"/>
              <w:left w:val="single" w:color="000000" w:sz="4" w:space="0"/>
              <w:bottom w:val="single" w:color="000000" w:sz="4" w:space="0"/>
              <w:right w:val="single" w:color="000000" w:sz="4" w:space="0"/>
            </w:tcBorders>
            <w:vAlign w:val="center"/>
          </w:tcPr>
          <w:p>
            <w:pPr>
              <w:pStyle w:val="670"/>
            </w:pPr>
            <w:r>
              <w:t>公用工程</w:t>
            </w: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pPr>
            <w:r>
              <w:t>供水</w:t>
            </w:r>
          </w:p>
        </w:tc>
        <w:tc>
          <w:tcPr>
            <w:tcW w:w="2856"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生活用水采用水车拉运</w:t>
            </w:r>
          </w:p>
        </w:tc>
        <w:tc>
          <w:tcPr>
            <w:tcW w:w="987"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lang w:eastAsia="en-US" w:bidi="en-US"/>
              </w:rPr>
            </w:pP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pPr>
            <w:r>
              <w:t>排水</w:t>
            </w:r>
          </w:p>
        </w:tc>
        <w:tc>
          <w:tcPr>
            <w:tcW w:w="2856"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生活污水排入9m</w:t>
            </w:r>
            <w:r>
              <w:rPr>
                <w:vertAlign w:val="superscript"/>
                <w:lang w:eastAsia="zh-CN"/>
              </w:rPr>
              <w:t>3</w:t>
            </w:r>
            <w:r>
              <w:rPr>
                <w:lang w:eastAsia="zh-CN"/>
              </w:rPr>
              <w:t>的化粪池暂存，定期</w:t>
            </w:r>
            <w:r>
              <w:rPr>
                <w:rFonts w:hint="eastAsia"/>
                <w:lang w:eastAsia="zh-CN"/>
              </w:rPr>
              <w:t>交由</w:t>
            </w:r>
            <w:r>
              <w:rPr>
                <w:rFonts w:hint="eastAsia"/>
                <w:bCs/>
                <w:lang w:eastAsia="zh-CN"/>
              </w:rPr>
              <w:t>新疆诺客蒙鑫环境技术有限公司拉运处置</w:t>
            </w:r>
            <w:r>
              <w:rPr>
                <w:lang w:eastAsia="zh-CN"/>
              </w:rPr>
              <w:t>。生产废水经排污管线排入54m</w:t>
            </w:r>
            <w:r>
              <w:rPr>
                <w:vertAlign w:val="superscript"/>
                <w:lang w:eastAsia="zh-CN"/>
              </w:rPr>
              <w:t>3</w:t>
            </w:r>
            <w:r>
              <w:rPr>
                <w:lang w:eastAsia="zh-CN"/>
              </w:rPr>
              <w:t>的排污罐中，当罐内液位达到一定高度时，由排污泵输至罐车拉运至春风一号联合站处理达标后进行回注</w:t>
            </w:r>
          </w:p>
        </w:tc>
        <w:tc>
          <w:tcPr>
            <w:tcW w:w="987"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lang w:eastAsia="en-US" w:bidi="en-US"/>
              </w:rPr>
            </w:pP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pPr>
            <w:r>
              <w:t>供电</w:t>
            </w:r>
          </w:p>
        </w:tc>
        <w:tc>
          <w:tcPr>
            <w:tcW w:w="2856"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rFonts w:hint="eastAsia"/>
                <w:lang w:eastAsia="zh-CN"/>
              </w:rPr>
              <w:t>由2</w:t>
            </w:r>
            <w:r>
              <w:rPr>
                <w:lang w:eastAsia="zh-CN"/>
              </w:rPr>
              <w:t>22</w:t>
            </w:r>
            <w:r>
              <w:rPr>
                <w:rFonts w:hint="eastAsia"/>
                <w:lang w:eastAsia="zh-CN"/>
              </w:rPr>
              <w:t>团电网供给</w:t>
            </w:r>
          </w:p>
        </w:tc>
        <w:tc>
          <w:tcPr>
            <w:tcW w:w="987"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lang w:eastAsia="en-US" w:bidi="en-US"/>
              </w:rPr>
            </w:pP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pPr>
            <w:r>
              <w:t>供暖</w:t>
            </w:r>
          </w:p>
        </w:tc>
        <w:tc>
          <w:tcPr>
            <w:tcW w:w="2856"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采用电采暖</w:t>
            </w:r>
          </w:p>
        </w:tc>
        <w:tc>
          <w:tcPr>
            <w:tcW w:w="987"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vMerge w:val="restart"/>
            <w:tcBorders>
              <w:top w:val="single" w:color="000000" w:sz="4" w:space="0"/>
              <w:left w:val="single" w:color="000000" w:sz="4" w:space="0"/>
              <w:bottom w:val="single" w:color="000000" w:sz="4" w:space="0"/>
              <w:right w:val="single" w:color="000000" w:sz="4" w:space="0"/>
            </w:tcBorders>
            <w:vAlign w:val="center"/>
          </w:tcPr>
          <w:p>
            <w:pPr>
              <w:pStyle w:val="670"/>
            </w:pPr>
            <w:r>
              <w:t>环保工程</w:t>
            </w: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pPr>
            <w:r>
              <w:t>固废处置</w:t>
            </w:r>
          </w:p>
        </w:tc>
        <w:tc>
          <w:tcPr>
            <w:tcW w:w="2856"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废分子筛、废润滑油暂存于危废暂存间，</w:t>
            </w:r>
            <w:bookmarkStart w:id="141" w:name="_Hlk147566986"/>
            <w:r>
              <w:rPr>
                <w:lang w:eastAsia="zh-CN"/>
              </w:rPr>
              <w:t>定期交由</w:t>
            </w:r>
            <w:r>
              <w:rPr>
                <w:rFonts w:hint="eastAsia"/>
                <w:bCs/>
                <w:lang w:eastAsia="zh-CN"/>
              </w:rPr>
              <w:t>新疆诺客蒙鑫环境技术有限公司</w:t>
            </w:r>
            <w:r>
              <w:rPr>
                <w:lang w:eastAsia="zh-CN"/>
              </w:rPr>
              <w:t>处理；</w:t>
            </w:r>
            <w:bookmarkEnd w:id="141"/>
            <w:r>
              <w:rPr>
                <w:lang w:eastAsia="zh-CN"/>
              </w:rPr>
              <w:t>生活垃圾设置垃圾收集设置，定期拉运至垃圾填埋场</w:t>
            </w:r>
          </w:p>
        </w:tc>
        <w:tc>
          <w:tcPr>
            <w:tcW w:w="987"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lang w:eastAsia="en-US" w:bidi="en-US"/>
              </w:rPr>
            </w:pP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pPr>
            <w:r>
              <w:t>废水治理</w:t>
            </w:r>
          </w:p>
        </w:tc>
        <w:tc>
          <w:tcPr>
            <w:tcW w:w="2856"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生活污水排入9m</w:t>
            </w:r>
            <w:r>
              <w:rPr>
                <w:vertAlign w:val="superscript"/>
                <w:lang w:eastAsia="zh-CN"/>
              </w:rPr>
              <w:t>3</w:t>
            </w:r>
            <w:r>
              <w:rPr>
                <w:lang w:eastAsia="zh-CN"/>
              </w:rPr>
              <w:t>的化粪池暂存，定期</w:t>
            </w:r>
            <w:r>
              <w:rPr>
                <w:rFonts w:hint="eastAsia"/>
                <w:lang w:eastAsia="zh-CN"/>
              </w:rPr>
              <w:t>交由</w:t>
            </w:r>
            <w:r>
              <w:rPr>
                <w:rFonts w:hint="eastAsia"/>
                <w:bCs/>
                <w:lang w:eastAsia="zh-CN"/>
              </w:rPr>
              <w:t>新疆诺客蒙鑫环境技术有限公司拉运处置</w:t>
            </w:r>
            <w:r>
              <w:rPr>
                <w:lang w:eastAsia="zh-CN"/>
              </w:rPr>
              <w:t>。生产废水经排污管线排入54m</w:t>
            </w:r>
            <w:r>
              <w:rPr>
                <w:vertAlign w:val="superscript"/>
                <w:lang w:eastAsia="zh-CN"/>
              </w:rPr>
              <w:t>3</w:t>
            </w:r>
            <w:r>
              <w:rPr>
                <w:lang w:eastAsia="zh-CN"/>
              </w:rPr>
              <w:t>的排污罐中，当罐内液位达到一定高度时，由排污泵输至罐车拉运至春风一号联合站处理达标后进行回注</w:t>
            </w:r>
          </w:p>
        </w:tc>
        <w:tc>
          <w:tcPr>
            <w:tcW w:w="987"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lang w:eastAsia="en-US" w:bidi="en-US"/>
              </w:rPr>
            </w:pP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pPr>
            <w:r>
              <w:t>噪声治理</w:t>
            </w:r>
          </w:p>
        </w:tc>
        <w:tc>
          <w:tcPr>
            <w:tcW w:w="2856"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对产生噪声的设备采取消音及</w:t>
            </w:r>
            <w:r>
              <w:rPr>
                <w:rFonts w:hint="eastAsia"/>
                <w:lang w:eastAsia="zh-CN"/>
              </w:rPr>
              <w:t>减震</w:t>
            </w:r>
            <w:r>
              <w:rPr>
                <w:lang w:eastAsia="zh-CN"/>
              </w:rPr>
              <w:t>措施</w:t>
            </w:r>
          </w:p>
        </w:tc>
        <w:tc>
          <w:tcPr>
            <w:tcW w:w="987"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lang w:eastAsia="en-US" w:bidi="en-US"/>
              </w:rPr>
            </w:pP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pPr>
            <w:r>
              <w:t>废气治理</w:t>
            </w:r>
          </w:p>
        </w:tc>
        <w:tc>
          <w:tcPr>
            <w:tcW w:w="2856"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bCs/>
                <w:lang w:eastAsia="zh-CN"/>
              </w:rPr>
              <w:t>生产区无组织废气采取</w:t>
            </w:r>
            <w:r>
              <w:rPr>
                <w:rFonts w:hint="eastAsia"/>
                <w:bCs/>
                <w:lang w:eastAsia="zh-CN"/>
              </w:rPr>
              <w:t>加强设备管理及巡检，减少无组织挥发</w:t>
            </w:r>
          </w:p>
        </w:tc>
        <w:tc>
          <w:tcPr>
            <w:tcW w:w="987" w:type="pct"/>
            <w:tcBorders>
              <w:top w:val="single" w:color="000000" w:sz="4" w:space="0"/>
              <w:left w:val="single" w:color="000000" w:sz="4" w:space="0"/>
              <w:bottom w:val="single" w:color="000000" w:sz="4" w:space="0"/>
              <w:right w:val="single" w:color="000000" w:sz="4" w:space="0"/>
            </w:tcBorders>
            <w:vAlign w:val="center"/>
          </w:tcPr>
          <w:p>
            <w:pPr>
              <w:pStyle w:val="670"/>
              <w:rPr>
                <w:lang w:eastAsia="zh-CN"/>
              </w:rPr>
            </w:pPr>
            <w:r>
              <w:rPr>
                <w:lang w:eastAsia="zh-CN"/>
              </w:rPr>
              <w:t>/</w:t>
            </w:r>
          </w:p>
        </w:tc>
      </w:tr>
    </w:tbl>
    <w:p>
      <w:pPr>
        <w:pStyle w:val="5"/>
        <w:spacing w:before="120" w:after="120"/>
        <w:rPr>
          <w:spacing w:val="0"/>
        </w:rPr>
      </w:pPr>
      <w:bookmarkStart w:id="142" w:name="_Toc145580363"/>
      <w:r>
        <w:rPr>
          <w:rFonts w:hint="eastAsia"/>
          <w:spacing w:val="0"/>
        </w:rPr>
        <w:t>2.</w:t>
      </w:r>
      <w:r>
        <w:rPr>
          <w:spacing w:val="0"/>
        </w:rPr>
        <w:t>1</w:t>
      </w:r>
      <w:r>
        <w:rPr>
          <w:rFonts w:hint="eastAsia"/>
          <w:spacing w:val="0"/>
        </w:rPr>
        <w:t>.</w:t>
      </w:r>
      <w:r>
        <w:rPr>
          <w:spacing w:val="0"/>
        </w:rPr>
        <w:t>2</w:t>
      </w:r>
      <w:r>
        <w:rPr>
          <w:rFonts w:hint="eastAsia"/>
          <w:spacing w:val="0"/>
        </w:rPr>
        <w:t>现有工程产品方案</w:t>
      </w:r>
      <w:bookmarkEnd w:id="138"/>
      <w:bookmarkEnd w:id="142"/>
    </w:p>
    <w:p>
      <w:pPr>
        <w:pStyle w:val="494"/>
        <w:ind w:firstLine="480"/>
        <w:rPr>
          <w:lang w:bidi="en-US"/>
        </w:rPr>
      </w:pPr>
      <w:r>
        <w:rPr>
          <w:rFonts w:hint="eastAsia"/>
          <w:lang w:bidi="en-US"/>
        </w:rPr>
        <w:t>本项目现有工程产品方案详见表2</w:t>
      </w:r>
      <w:r>
        <w:rPr>
          <w:lang w:bidi="en-US"/>
        </w:rPr>
        <w:t>.1-5</w:t>
      </w:r>
      <w:r>
        <w:rPr>
          <w:rFonts w:hint="eastAsia"/>
          <w:lang w:bidi="en-US"/>
        </w:rPr>
        <w:t>。</w:t>
      </w:r>
    </w:p>
    <w:p>
      <w:pPr>
        <w:pStyle w:val="400"/>
        <w:ind w:firstLine="420"/>
        <w:rPr>
          <w:lang w:bidi="en-US"/>
        </w:rPr>
      </w:pPr>
      <w:r>
        <w:rPr>
          <w:rFonts w:hint="eastAsia"/>
          <w:lang w:bidi="en-US"/>
        </w:rPr>
        <w:t>表2</w:t>
      </w:r>
      <w:r>
        <w:rPr>
          <w:lang w:bidi="en-US"/>
        </w:rPr>
        <w:t xml:space="preserve">.1-5      </w:t>
      </w:r>
      <w:r>
        <w:rPr>
          <w:rFonts w:hint="eastAsia"/>
          <w:lang w:bidi="en-US"/>
        </w:rPr>
        <w:t xml:space="preserve">      项目产品方案一览表</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2"/>
        <w:gridCol w:w="3042"/>
        <w:gridCol w:w="3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jc w:val="center"/>
        </w:trPr>
        <w:tc>
          <w:tcPr>
            <w:tcW w:w="1086" w:type="pct"/>
            <w:tcBorders>
              <w:top w:val="single" w:color="auto" w:sz="4" w:space="0"/>
              <w:left w:val="single" w:color="auto" w:sz="4" w:space="0"/>
              <w:bottom w:val="single" w:color="auto" w:sz="4" w:space="0"/>
              <w:right w:val="single" w:color="auto" w:sz="4" w:space="0"/>
            </w:tcBorders>
            <w:vAlign w:val="center"/>
          </w:tcPr>
          <w:p>
            <w:pPr>
              <w:pStyle w:val="717"/>
              <w:rPr>
                <w:rFonts w:ascii="Times New Roman" w:hAnsi="Times New Roman" w:cs="Times New Roman"/>
              </w:rPr>
            </w:pPr>
            <w:bookmarkStart w:id="143" w:name="_Toc107500317"/>
            <w:r>
              <w:rPr>
                <w:rFonts w:ascii="Times New Roman" w:hAnsi="Times New Roman" w:cs="Times New Roman"/>
              </w:rPr>
              <w:t>序号</w:t>
            </w:r>
          </w:p>
        </w:tc>
        <w:tc>
          <w:tcPr>
            <w:tcW w:w="1803" w:type="pct"/>
            <w:tcBorders>
              <w:top w:val="single" w:color="auto" w:sz="4" w:space="0"/>
              <w:left w:val="single" w:color="auto" w:sz="4" w:space="0"/>
              <w:bottom w:val="single" w:color="auto" w:sz="4" w:space="0"/>
              <w:right w:val="single" w:color="auto" w:sz="4" w:space="0"/>
            </w:tcBorders>
            <w:vAlign w:val="center"/>
          </w:tcPr>
          <w:p>
            <w:pPr>
              <w:pStyle w:val="717"/>
              <w:rPr>
                <w:rFonts w:ascii="Times New Roman" w:hAnsi="Times New Roman" w:cs="Times New Roman"/>
              </w:rPr>
            </w:pPr>
            <w:r>
              <w:rPr>
                <w:rFonts w:ascii="Times New Roman" w:hAnsi="Times New Roman" w:cs="Times New Roman"/>
              </w:rPr>
              <w:t>产品名称</w:t>
            </w:r>
          </w:p>
        </w:tc>
        <w:tc>
          <w:tcPr>
            <w:tcW w:w="2111" w:type="pct"/>
            <w:tcBorders>
              <w:top w:val="single" w:color="auto" w:sz="4" w:space="0"/>
              <w:left w:val="single" w:color="auto" w:sz="4" w:space="0"/>
              <w:bottom w:val="single" w:color="auto" w:sz="4" w:space="0"/>
              <w:right w:val="single" w:color="auto" w:sz="4" w:space="0"/>
            </w:tcBorders>
            <w:vAlign w:val="center"/>
          </w:tcPr>
          <w:p>
            <w:pPr>
              <w:pStyle w:val="717"/>
              <w:rPr>
                <w:rFonts w:ascii="Times New Roman" w:hAnsi="Times New Roman" w:cs="Times New Roman"/>
              </w:rPr>
            </w:pPr>
            <w:r>
              <w:rPr>
                <w:rFonts w:ascii="Times New Roman" w:hAnsi="Times New Roman" w:cs="Times New Roman"/>
              </w:rPr>
              <w:t>规模（数量）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6" w:type="pct"/>
            <w:tcBorders>
              <w:top w:val="single" w:color="auto" w:sz="4" w:space="0"/>
              <w:left w:val="single" w:color="auto" w:sz="4" w:space="0"/>
              <w:bottom w:val="single" w:color="auto" w:sz="4" w:space="0"/>
              <w:right w:val="single" w:color="auto" w:sz="4" w:space="0"/>
            </w:tcBorders>
            <w:vAlign w:val="center"/>
          </w:tcPr>
          <w:p>
            <w:pPr>
              <w:pStyle w:val="717"/>
              <w:rPr>
                <w:rFonts w:ascii="Times New Roman" w:hAnsi="Times New Roman" w:cs="Times New Roman"/>
              </w:rPr>
            </w:pPr>
            <w:r>
              <w:rPr>
                <w:rFonts w:ascii="Times New Roman" w:hAnsi="Times New Roman" w:cs="Times New Roman"/>
              </w:rPr>
              <w:t>1</w:t>
            </w:r>
          </w:p>
        </w:tc>
        <w:tc>
          <w:tcPr>
            <w:tcW w:w="1803" w:type="pct"/>
            <w:tcBorders>
              <w:top w:val="single" w:color="auto" w:sz="4" w:space="0"/>
              <w:left w:val="single" w:color="auto" w:sz="4" w:space="0"/>
              <w:bottom w:val="single" w:color="auto" w:sz="4" w:space="0"/>
              <w:right w:val="single" w:color="auto" w:sz="4" w:space="0"/>
            </w:tcBorders>
            <w:vAlign w:val="center"/>
          </w:tcPr>
          <w:p>
            <w:pPr>
              <w:pStyle w:val="717"/>
              <w:rPr>
                <w:rFonts w:ascii="Times New Roman" w:hAnsi="Times New Roman" w:cs="Times New Roman"/>
              </w:rPr>
            </w:pPr>
            <w:r>
              <w:rPr>
                <w:rFonts w:hint="eastAsia" w:ascii="Times New Roman" w:hAnsi="Times New Roman" w:cs="Times New Roman"/>
              </w:rPr>
              <w:t>CNG</w:t>
            </w:r>
          </w:p>
        </w:tc>
        <w:tc>
          <w:tcPr>
            <w:tcW w:w="2111" w:type="pct"/>
            <w:tcBorders>
              <w:top w:val="single" w:color="auto" w:sz="4" w:space="0"/>
              <w:left w:val="single" w:color="auto" w:sz="4" w:space="0"/>
              <w:bottom w:val="single" w:color="auto" w:sz="4" w:space="0"/>
              <w:right w:val="single" w:color="auto" w:sz="4" w:space="0"/>
            </w:tcBorders>
            <w:vAlign w:val="center"/>
          </w:tcPr>
          <w:p>
            <w:pPr>
              <w:pStyle w:val="717"/>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8</w:t>
            </w:r>
            <w:r>
              <w:rPr>
                <w:rFonts w:hint="eastAsia" w:ascii="Times New Roman" w:hAnsi="Times New Roman" w:cs="Times New Roman"/>
              </w:rPr>
              <w:t>770</w:t>
            </w:r>
            <w:r>
              <w:rPr>
                <w:rFonts w:ascii="Times New Roman" w:hAnsi="Times New Roman" w:cs="Times New Roman"/>
              </w:rPr>
              <w:t>m³</w:t>
            </w:r>
            <w:r>
              <w:rPr>
                <w:rFonts w:hint="eastAsia" w:ascii="Times New Roman" w:hAnsi="Times New Roman" w:cs="Times New Roma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6" w:type="pct"/>
            <w:tcBorders>
              <w:top w:val="single" w:color="auto" w:sz="4" w:space="0"/>
              <w:left w:val="single" w:color="auto" w:sz="4" w:space="0"/>
              <w:bottom w:val="single" w:color="auto" w:sz="4" w:space="0"/>
              <w:right w:val="single" w:color="auto" w:sz="4" w:space="0"/>
            </w:tcBorders>
            <w:vAlign w:val="center"/>
          </w:tcPr>
          <w:p>
            <w:pPr>
              <w:pStyle w:val="717"/>
              <w:rPr>
                <w:rFonts w:ascii="Times New Roman" w:hAnsi="Times New Roman" w:cs="Times New Roman"/>
              </w:rPr>
            </w:pPr>
            <w:r>
              <w:rPr>
                <w:rFonts w:ascii="Times New Roman" w:hAnsi="Times New Roman" w:cs="Times New Roman"/>
              </w:rPr>
              <w:t>2</w:t>
            </w:r>
          </w:p>
        </w:tc>
        <w:tc>
          <w:tcPr>
            <w:tcW w:w="1803" w:type="pct"/>
            <w:tcBorders>
              <w:top w:val="single" w:color="auto" w:sz="4" w:space="0"/>
              <w:left w:val="single" w:color="auto" w:sz="4" w:space="0"/>
              <w:bottom w:val="single" w:color="auto" w:sz="4" w:space="0"/>
              <w:right w:val="single" w:color="auto" w:sz="4" w:space="0"/>
            </w:tcBorders>
            <w:vAlign w:val="center"/>
          </w:tcPr>
          <w:p>
            <w:pPr>
              <w:pStyle w:val="717"/>
              <w:rPr>
                <w:rFonts w:ascii="Times New Roman" w:hAnsi="Times New Roman" w:cs="Times New Roman"/>
              </w:rPr>
            </w:pPr>
            <w:r>
              <w:rPr>
                <w:rFonts w:ascii="Times New Roman" w:hAnsi="Times New Roman" w:cs="Times New Roman"/>
              </w:rPr>
              <w:t>混烃</w:t>
            </w:r>
          </w:p>
        </w:tc>
        <w:tc>
          <w:tcPr>
            <w:tcW w:w="2111" w:type="pct"/>
            <w:tcBorders>
              <w:top w:val="single" w:color="auto" w:sz="4" w:space="0"/>
              <w:left w:val="single" w:color="auto" w:sz="4" w:space="0"/>
              <w:bottom w:val="single" w:color="auto" w:sz="4" w:space="0"/>
              <w:right w:val="single" w:color="auto" w:sz="4" w:space="0"/>
            </w:tcBorders>
            <w:vAlign w:val="center"/>
          </w:tcPr>
          <w:p>
            <w:pPr>
              <w:pStyle w:val="717"/>
              <w:rPr>
                <w:rFonts w:ascii="Times New Roman" w:hAnsi="Times New Roman" w:cs="Times New Roman"/>
              </w:rPr>
            </w:pPr>
            <w:r>
              <w:rPr>
                <w:rFonts w:ascii="Times New Roman" w:hAnsi="Times New Roman" w:cs="Times New Roman"/>
              </w:rPr>
              <w:t>2t</w:t>
            </w:r>
            <w:r>
              <w:rPr>
                <w:rFonts w:hint="eastAsia" w:ascii="Times New Roman" w:hAnsi="Times New Roman" w:cs="Times New Roman"/>
              </w:rPr>
              <w:t>/d</w:t>
            </w:r>
          </w:p>
        </w:tc>
      </w:tr>
    </w:tbl>
    <w:p>
      <w:pPr>
        <w:pStyle w:val="5"/>
        <w:spacing w:before="120" w:after="120"/>
        <w:rPr>
          <w:spacing w:val="0"/>
        </w:rPr>
      </w:pPr>
      <w:bookmarkStart w:id="144" w:name="_Toc145580364"/>
      <w:r>
        <w:rPr>
          <w:rFonts w:hint="eastAsia"/>
          <w:spacing w:val="0"/>
        </w:rPr>
        <w:t>2.</w:t>
      </w:r>
      <w:r>
        <w:rPr>
          <w:spacing w:val="0"/>
        </w:rPr>
        <w:t>1.3</w:t>
      </w:r>
      <w:r>
        <w:rPr>
          <w:rFonts w:hint="eastAsia"/>
          <w:spacing w:val="0"/>
        </w:rPr>
        <w:t>现有工程主要生产设备</w:t>
      </w:r>
      <w:bookmarkEnd w:id="143"/>
      <w:bookmarkEnd w:id="144"/>
    </w:p>
    <w:p>
      <w:pPr>
        <w:pStyle w:val="494"/>
        <w:ind w:firstLine="480"/>
        <w:rPr>
          <w:lang w:bidi="en-US"/>
        </w:rPr>
      </w:pPr>
      <w:r>
        <w:rPr>
          <w:rFonts w:hint="eastAsia"/>
          <w:lang w:bidi="en-US"/>
        </w:rPr>
        <w:t>本项目现有工程设备清单见下表2</w:t>
      </w:r>
      <w:r>
        <w:rPr>
          <w:lang w:bidi="en-US"/>
        </w:rPr>
        <w:t>.1-6</w:t>
      </w:r>
      <w:r>
        <w:rPr>
          <w:rFonts w:hint="eastAsia"/>
          <w:lang w:bidi="en-US"/>
        </w:rPr>
        <w:t>。</w:t>
      </w:r>
    </w:p>
    <w:p>
      <w:pPr>
        <w:pStyle w:val="400"/>
        <w:ind w:firstLine="420"/>
        <w:rPr>
          <w:lang w:bidi="en-US"/>
        </w:rPr>
      </w:pPr>
      <w:r>
        <w:rPr>
          <w:rFonts w:hint="eastAsia"/>
          <w:lang w:bidi="en-US"/>
        </w:rPr>
        <w:t>表2</w:t>
      </w:r>
      <w:r>
        <w:rPr>
          <w:lang w:bidi="en-US"/>
        </w:rPr>
        <w:t xml:space="preserve">.1-6     </w:t>
      </w:r>
      <w:r>
        <w:rPr>
          <w:rFonts w:hint="eastAsia"/>
          <w:lang w:bidi="en-US"/>
        </w:rPr>
        <w:t xml:space="preserve">         现有工程主要生产设备一览表</w:t>
      </w:r>
    </w:p>
    <w:bookmarkEnd w:id="139"/>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1"/>
        <w:gridCol w:w="1539"/>
        <w:gridCol w:w="3865"/>
        <w:gridCol w:w="644"/>
        <w:gridCol w:w="642"/>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47" w:type="pct"/>
            <w:tcBorders>
              <w:top w:val="single" w:color="auto" w:sz="4" w:space="0"/>
              <w:left w:val="single" w:color="auto" w:sz="4" w:space="0"/>
              <w:bottom w:val="single" w:color="auto" w:sz="4" w:space="0"/>
              <w:right w:val="single" w:color="auto" w:sz="4" w:space="0"/>
            </w:tcBorders>
            <w:vAlign w:val="center"/>
          </w:tcPr>
          <w:p>
            <w:pPr>
              <w:pStyle w:val="670"/>
            </w:pPr>
            <w:bookmarkStart w:id="145" w:name="_Toc107500318"/>
            <w:r>
              <w:t>序号</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pPr>
            <w:r>
              <w:t>名称</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t>规格型号</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pPr>
            <w:r>
              <w:t>单位</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pPr>
            <w:r>
              <w:t>数量</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47" w:type="pct"/>
            <w:tcBorders>
              <w:top w:val="single" w:color="auto" w:sz="4" w:space="0"/>
              <w:left w:val="single" w:color="auto" w:sz="4" w:space="0"/>
              <w:bottom w:val="single" w:color="auto" w:sz="4" w:space="0"/>
              <w:right w:val="single" w:color="auto" w:sz="4" w:space="0"/>
            </w:tcBorders>
            <w:vAlign w:val="center"/>
          </w:tcPr>
          <w:p>
            <w:pPr>
              <w:pStyle w:val="670"/>
            </w:pPr>
            <w:r>
              <w:t>1</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pPr>
            <w:r>
              <w:t>三相分离器</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spacing w:val="-3"/>
                <w:lang w:eastAsia="zh-CN"/>
              </w:rPr>
              <w:t>V=10.34m³，最高工作压力：0.30MPa，设计压力：</w:t>
            </w:r>
            <w:r>
              <w:rPr>
                <w:spacing w:val="-89"/>
                <w:lang w:eastAsia="zh-CN"/>
              </w:rPr>
              <w:t xml:space="preserve"> </w:t>
            </w:r>
            <w:r>
              <w:rPr>
                <w:spacing w:val="-3"/>
                <w:lang w:eastAsia="zh-CN"/>
              </w:rPr>
              <w:t>6.30MPa；工作温度:-40-100℃，设计温度：100℃</w:t>
            </w:r>
            <w:r>
              <w:rPr>
                <w:lang w:eastAsia="zh-CN"/>
              </w:rPr>
              <w:t xml:space="preserve"> 容器类别：Ⅲ</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pPr>
            <w:r>
              <w:t>台</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pPr>
            <w:r>
              <w:t>1</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47" w:type="pct"/>
            <w:tcBorders>
              <w:top w:val="single" w:color="auto" w:sz="4" w:space="0"/>
              <w:left w:val="single" w:color="auto" w:sz="4" w:space="0"/>
              <w:bottom w:val="single" w:color="auto" w:sz="4" w:space="0"/>
              <w:right w:val="single" w:color="auto" w:sz="4" w:space="0"/>
            </w:tcBorders>
            <w:vAlign w:val="center"/>
          </w:tcPr>
          <w:p>
            <w:pPr>
              <w:pStyle w:val="670"/>
              <w:rPr>
                <w:rFonts w:eastAsia="黑体"/>
              </w:rPr>
            </w:pPr>
            <w:r>
              <w:t>2</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rPr>
                <w:rFonts w:eastAsia="黑体"/>
              </w:rPr>
            </w:pPr>
            <w:r>
              <w:t>前置压缩机</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型号：DF-4/(3-5)-50；供气量：4800Nm³/h； 进气压力：0.3MPa；排气压力：25MPa</w:t>
            </w:r>
          </w:p>
          <w:p>
            <w:pPr>
              <w:pStyle w:val="670"/>
              <w:rPr>
                <w:lang w:eastAsia="zh-CN"/>
              </w:rPr>
            </w:pPr>
            <w:r>
              <w:rPr>
                <w:lang w:eastAsia="zh-CN"/>
              </w:rPr>
              <w:t>额定功率：160KW</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rPr>
                <w:rFonts w:eastAsia="黑体"/>
                <w:lang w:eastAsia="zh-CN"/>
              </w:rPr>
            </w:pPr>
            <w:r>
              <w:t>台</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rPr>
                <w:rFonts w:eastAsia="黑体"/>
              </w:rPr>
            </w:pPr>
            <w:r>
              <w:t>1</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rPr>
                <w:rFonts w:eastAsia="黑体"/>
              </w:rPr>
            </w:pPr>
            <w:r>
              <w:t>整套设备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47" w:type="pct"/>
            <w:tcBorders>
              <w:top w:val="single" w:color="auto" w:sz="4" w:space="0"/>
              <w:left w:val="single" w:color="auto" w:sz="4" w:space="0"/>
              <w:bottom w:val="single" w:color="auto" w:sz="4" w:space="0"/>
              <w:right w:val="single" w:color="auto" w:sz="4" w:space="0"/>
            </w:tcBorders>
            <w:vAlign w:val="center"/>
          </w:tcPr>
          <w:p>
            <w:pPr>
              <w:pStyle w:val="670"/>
            </w:pPr>
            <w:r>
              <w:t>3</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pPr>
            <w:r>
              <w:t>干燥制冷脱</w:t>
            </w:r>
            <w:r>
              <w:rPr>
                <w:spacing w:val="-102"/>
              </w:rPr>
              <w:t xml:space="preserve"> </w:t>
            </w:r>
            <w:r>
              <w:t>烃撬</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spacing w:val="-2"/>
                <w:lang w:eastAsia="zh-CN"/>
              </w:rPr>
              <w:t>额定流量：1250Nm³/h；工作压力范围：4.0MPa，</w:t>
            </w:r>
            <w:r>
              <w:rPr>
                <w:spacing w:val="-53"/>
                <w:lang w:eastAsia="zh-CN"/>
              </w:rPr>
              <w:t xml:space="preserve"> </w:t>
            </w:r>
            <w:r>
              <w:rPr>
                <w:lang w:eastAsia="zh-CN"/>
              </w:rPr>
              <w:t>电源：380V</w:t>
            </w:r>
            <w:r>
              <w:rPr>
                <w:spacing w:val="17"/>
                <w:lang w:eastAsia="zh-CN"/>
              </w:rPr>
              <w:t xml:space="preserve"> </w:t>
            </w:r>
            <w:r>
              <w:rPr>
                <w:lang w:eastAsia="zh-CN"/>
              </w:rPr>
              <w:t>50HZ</w:t>
            </w:r>
            <w:r>
              <w:rPr>
                <w:spacing w:val="19"/>
                <w:lang w:eastAsia="zh-CN"/>
              </w:rPr>
              <w:t xml:space="preserve"> </w:t>
            </w:r>
            <w:r>
              <w:rPr>
                <w:lang w:eastAsia="zh-CN"/>
              </w:rPr>
              <w:t>24KW，包含干燥塔、过滤器、</w:t>
            </w:r>
            <w:r>
              <w:rPr>
                <w:spacing w:val="-94"/>
                <w:lang w:eastAsia="zh-CN"/>
              </w:rPr>
              <w:t xml:space="preserve"> </w:t>
            </w:r>
            <w:r>
              <w:rPr>
                <w:lang w:eastAsia="zh-CN"/>
              </w:rPr>
              <w:t>制冷压缩机、风冷器、浅冷器、冷媒蒸发器等</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pPr>
            <w:r>
              <w:t>套</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pPr>
            <w:r>
              <w:t>1</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pPr>
            <w:r>
              <w:t>整套设备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47" w:type="pct"/>
            <w:tcBorders>
              <w:top w:val="single" w:color="auto" w:sz="4" w:space="0"/>
              <w:left w:val="single" w:color="auto" w:sz="4" w:space="0"/>
              <w:bottom w:val="single" w:color="auto" w:sz="4" w:space="0"/>
              <w:right w:val="single" w:color="auto" w:sz="4" w:space="0"/>
            </w:tcBorders>
            <w:vAlign w:val="center"/>
          </w:tcPr>
          <w:p>
            <w:pPr>
              <w:pStyle w:val="670"/>
            </w:pPr>
            <w:r>
              <w:t>4</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pPr>
            <w:r>
              <w:t>缓冲罐</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V=0.377m³，最高工作压力：2.5MPa，设计压力： 4.0MPa；工作温度:-40-100℃，设计温度：100℃</w:t>
            </w:r>
            <w:r>
              <w:rPr>
                <w:spacing w:val="-61"/>
                <w:lang w:eastAsia="zh-CN"/>
              </w:rPr>
              <w:t xml:space="preserve"> </w:t>
            </w:r>
            <w:r>
              <w:rPr>
                <w:lang w:eastAsia="zh-CN"/>
              </w:rPr>
              <w:t>容器类别：Ⅱ</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pPr>
            <w:r>
              <w:t>台</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pPr>
            <w:r>
              <w:t>1</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rPr>
                <w:rFonts w:eastAsia="黑体"/>
              </w:rPr>
            </w:pPr>
          </w:p>
          <w:p>
            <w:pPr>
              <w:pStyle w:val="67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47" w:type="pct"/>
            <w:tcBorders>
              <w:top w:val="single" w:color="auto" w:sz="4" w:space="0"/>
              <w:left w:val="single" w:color="auto" w:sz="4" w:space="0"/>
              <w:bottom w:val="single" w:color="auto" w:sz="4" w:space="0"/>
              <w:right w:val="single" w:color="auto" w:sz="4" w:space="0"/>
            </w:tcBorders>
            <w:vAlign w:val="center"/>
          </w:tcPr>
          <w:p>
            <w:pPr>
              <w:pStyle w:val="670"/>
            </w:pPr>
            <w:r>
              <w:t>5</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pPr>
            <w:r>
              <w:t>缓冲罐</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V=0.737m³，最高工作压力：4.0MPa，设计压力： 6.3MPa；工作温度:-40-100℃,设计温度：100℃</w:t>
            </w:r>
            <w:r>
              <w:rPr>
                <w:spacing w:val="-61"/>
                <w:lang w:eastAsia="zh-CN"/>
              </w:rPr>
              <w:t xml:space="preserve"> </w:t>
            </w:r>
            <w:r>
              <w:rPr>
                <w:lang w:eastAsia="zh-CN"/>
              </w:rPr>
              <w:t>容器类别：Ⅱ</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pPr>
            <w:r>
              <w:t>台</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pPr>
            <w:r>
              <w:t>1</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rPr>
                <w:rFonts w:eastAsia="黑体"/>
              </w:rPr>
            </w:pPr>
          </w:p>
          <w:p>
            <w:pPr>
              <w:pStyle w:val="67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47" w:type="pct"/>
            <w:tcBorders>
              <w:top w:val="single" w:color="auto" w:sz="4" w:space="0"/>
              <w:left w:val="single" w:color="auto" w:sz="4" w:space="0"/>
              <w:bottom w:val="single" w:color="auto" w:sz="4" w:space="0"/>
              <w:right w:val="single" w:color="auto" w:sz="4" w:space="0"/>
            </w:tcBorders>
            <w:vAlign w:val="center"/>
          </w:tcPr>
          <w:p>
            <w:pPr>
              <w:pStyle w:val="670"/>
            </w:pPr>
            <w:r>
              <w:t>6</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pPr>
            <w:r>
              <w:t>缓冲罐</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spacing w:val="4"/>
                <w:lang w:eastAsia="zh-CN"/>
              </w:rPr>
              <w:t>V=1.0m³，最高工作压力：4.0MPa，设计压力：</w:t>
            </w:r>
            <w:r>
              <w:rPr>
                <w:spacing w:val="-62"/>
                <w:lang w:eastAsia="zh-CN"/>
              </w:rPr>
              <w:t xml:space="preserve"> </w:t>
            </w:r>
            <w:r>
              <w:rPr>
                <w:lang w:eastAsia="zh-CN"/>
              </w:rPr>
              <w:t>6.3MPa；工作温度:-40-100℃,设计温度：100℃</w:t>
            </w:r>
            <w:r>
              <w:rPr>
                <w:spacing w:val="-61"/>
                <w:lang w:eastAsia="zh-CN"/>
              </w:rPr>
              <w:t xml:space="preserve"> </w:t>
            </w:r>
            <w:r>
              <w:rPr>
                <w:lang w:eastAsia="zh-CN"/>
              </w:rPr>
              <w:t>容器类别：Ⅱ</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pPr>
            <w:r>
              <w:t>台</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pPr>
            <w:r>
              <w:t>1</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rPr>
                <w:rFonts w:eastAsia="黑体"/>
              </w:rPr>
            </w:pPr>
          </w:p>
          <w:p>
            <w:pPr>
              <w:pStyle w:val="67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47" w:type="pct"/>
            <w:tcBorders>
              <w:top w:val="single" w:color="auto" w:sz="4" w:space="0"/>
              <w:left w:val="single" w:color="auto" w:sz="4" w:space="0"/>
              <w:bottom w:val="single" w:color="auto" w:sz="4" w:space="0"/>
              <w:right w:val="single" w:color="auto" w:sz="4" w:space="0"/>
            </w:tcBorders>
            <w:vAlign w:val="center"/>
          </w:tcPr>
          <w:p>
            <w:pPr>
              <w:pStyle w:val="670"/>
            </w:pPr>
            <w:r>
              <w:t>7</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pPr>
            <w:r>
              <w:t>高压压缩机</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pPr>
            <w:r>
              <w:rPr>
                <w:spacing w:val="-9"/>
              </w:rPr>
              <w:t>型号：DF-0.44/(40-50)-250；供气量：0.44m³/min</w:t>
            </w:r>
            <w:r>
              <w:rPr>
                <w:spacing w:val="-45"/>
              </w:rPr>
              <w:t xml:space="preserve"> </w:t>
            </w:r>
            <w:r>
              <w:t>进气压力:4.0MPa；排气压力:25MPa 额定功率：110KW</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pPr>
            <w:r>
              <w:t>台</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pPr>
            <w:r>
              <w:t>1</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pPr>
            <w:r>
              <w:t>整套设备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47" w:type="pct"/>
            <w:tcBorders>
              <w:top w:val="single" w:color="auto" w:sz="4" w:space="0"/>
              <w:left w:val="single" w:color="auto" w:sz="4" w:space="0"/>
              <w:bottom w:val="single" w:color="auto" w:sz="4" w:space="0"/>
              <w:right w:val="single" w:color="auto" w:sz="4" w:space="0"/>
            </w:tcBorders>
            <w:vAlign w:val="center"/>
          </w:tcPr>
          <w:p>
            <w:pPr>
              <w:pStyle w:val="670"/>
            </w:pPr>
            <w:r>
              <w:t>8</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pPr>
            <w:r>
              <w:t>充气柱</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rPr>
                <w:spacing w:val="41"/>
                <w:lang w:eastAsia="zh-CN"/>
              </w:rPr>
            </w:pPr>
            <w:r>
              <w:rPr>
                <w:spacing w:val="-5"/>
                <w:lang w:eastAsia="zh-CN"/>
              </w:rPr>
              <w:t>标准流量:0.5m³/min（工作状态）；</w:t>
            </w:r>
          </w:p>
          <w:p>
            <w:pPr>
              <w:pStyle w:val="670"/>
              <w:rPr>
                <w:lang w:eastAsia="zh-CN"/>
              </w:rPr>
            </w:pPr>
            <w:r>
              <w:rPr>
                <w:lang w:eastAsia="zh-CN"/>
              </w:rPr>
              <w:t>形式：单线</w:t>
            </w:r>
            <w:r>
              <w:rPr>
                <w:spacing w:val="-97"/>
                <w:lang w:eastAsia="zh-CN"/>
              </w:rPr>
              <w:t xml:space="preserve"> </w:t>
            </w:r>
            <w:r>
              <w:rPr>
                <w:lang w:eastAsia="zh-CN"/>
              </w:rPr>
              <w:t>双枪；</w:t>
            </w:r>
          </w:p>
          <w:p>
            <w:pPr>
              <w:pStyle w:val="670"/>
              <w:rPr>
                <w:lang w:eastAsia="zh-CN"/>
              </w:rPr>
            </w:pPr>
            <w:r>
              <w:rPr>
                <w:lang w:eastAsia="zh-CN"/>
              </w:rPr>
              <w:t>工作压力：25MPa,设计压力：27.5MPa</w:t>
            </w:r>
          </w:p>
          <w:p>
            <w:pPr>
              <w:pStyle w:val="670"/>
            </w:pPr>
            <w:r>
              <w:t>防爆等级</w:t>
            </w:r>
            <w:r>
              <w:rPr>
                <w:lang w:eastAsia="zh-CN"/>
              </w:rPr>
              <w:t>：</w:t>
            </w:r>
            <w:r>
              <w:t>EXibdmeIIAT4</w:t>
            </w:r>
            <w:r>
              <w:rPr>
                <w:lang w:eastAsia="zh-CN"/>
              </w:rPr>
              <w:t>；</w:t>
            </w:r>
            <w:r>
              <w:t>计量准确度</w:t>
            </w:r>
            <w:r>
              <w:rPr>
                <w:lang w:eastAsia="zh-CN"/>
              </w:rPr>
              <w:t>：</w:t>
            </w:r>
            <w:r>
              <w:t>±0.5%</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pPr>
            <w:r>
              <w:t>台</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pPr>
            <w:r>
              <w:t>2</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pPr>
            <w:r>
              <w:t>整套设备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47" w:type="pct"/>
            <w:tcBorders>
              <w:top w:val="single" w:color="auto" w:sz="4" w:space="0"/>
              <w:left w:val="single" w:color="auto" w:sz="4" w:space="0"/>
              <w:bottom w:val="single" w:color="auto" w:sz="4" w:space="0"/>
              <w:right w:val="single" w:color="auto" w:sz="4" w:space="0"/>
            </w:tcBorders>
            <w:vAlign w:val="center"/>
          </w:tcPr>
          <w:p>
            <w:pPr>
              <w:pStyle w:val="670"/>
            </w:pPr>
            <w:r>
              <w:t>9</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pPr>
            <w:r>
              <w:t>排污罐</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V=54m³，工作压力：常压；工作温度：常温</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pPr>
            <w:r>
              <w:t>台</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pPr>
            <w:r>
              <w:t>1</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47" w:type="pct"/>
            <w:tcBorders>
              <w:top w:val="single" w:color="auto" w:sz="4" w:space="0"/>
              <w:left w:val="single" w:color="auto" w:sz="4" w:space="0"/>
              <w:bottom w:val="single" w:color="auto" w:sz="4" w:space="0"/>
              <w:right w:val="single" w:color="auto" w:sz="4" w:space="0"/>
            </w:tcBorders>
            <w:vAlign w:val="center"/>
          </w:tcPr>
          <w:p>
            <w:pPr>
              <w:pStyle w:val="670"/>
            </w:pPr>
            <w:r>
              <w:t>10</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pPr>
            <w:r>
              <w:t>混烃储罐</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spacing w:val="4"/>
                <w:lang w:eastAsia="zh-CN"/>
              </w:rPr>
              <w:t>V=40m³，最高工作压力：1.65MPa，设计压力：</w:t>
            </w:r>
            <w:r>
              <w:rPr>
                <w:spacing w:val="-65"/>
                <w:lang w:eastAsia="zh-CN"/>
              </w:rPr>
              <w:t xml:space="preserve"> </w:t>
            </w:r>
            <w:r>
              <w:rPr>
                <w:spacing w:val="-3"/>
                <w:lang w:eastAsia="zh-CN"/>
              </w:rPr>
              <w:t>1.78MPa；工作温度：-40-100℃，设计温度：100℃</w:t>
            </w:r>
            <w:r>
              <w:rPr>
                <w:spacing w:val="-75"/>
                <w:lang w:eastAsia="zh-CN"/>
              </w:rPr>
              <w:t xml:space="preserve"> </w:t>
            </w:r>
            <w:r>
              <w:rPr>
                <w:lang w:eastAsia="zh-CN"/>
              </w:rPr>
              <w:t>容器类别：Ⅱ</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pPr>
            <w:r>
              <w:t>台</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pPr>
            <w:r>
              <w:t>2</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47" w:type="pct"/>
            <w:tcBorders>
              <w:top w:val="single" w:color="auto" w:sz="4" w:space="0"/>
              <w:left w:val="single" w:color="auto" w:sz="4" w:space="0"/>
              <w:bottom w:val="single" w:color="auto" w:sz="4" w:space="0"/>
              <w:right w:val="single" w:color="auto" w:sz="4" w:space="0"/>
            </w:tcBorders>
            <w:vAlign w:val="center"/>
          </w:tcPr>
          <w:p>
            <w:pPr>
              <w:pStyle w:val="670"/>
            </w:pPr>
            <w:r>
              <w:t>11</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pPr>
            <w:r>
              <w:t>混烃装车泵</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流量：20m³/h，扬程：25m</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pPr>
            <w:r>
              <w:t>台</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pPr>
            <w:r>
              <w:t>2</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47" w:type="pct"/>
            <w:tcBorders>
              <w:top w:val="single" w:color="auto" w:sz="4" w:space="0"/>
              <w:left w:val="single" w:color="auto" w:sz="4" w:space="0"/>
              <w:bottom w:val="single" w:color="auto" w:sz="4" w:space="0"/>
              <w:right w:val="single" w:color="auto" w:sz="4" w:space="0"/>
            </w:tcBorders>
            <w:vAlign w:val="center"/>
          </w:tcPr>
          <w:p>
            <w:pPr>
              <w:pStyle w:val="670"/>
            </w:pPr>
            <w:r>
              <w:t>12</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pPr>
            <w:r>
              <w:t>万向装车臂</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pPr>
            <w:r>
              <w:t>整套设备</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pPr>
            <w:r>
              <w:t>套</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pPr>
            <w:r>
              <w:t>1</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pPr>
          </w:p>
        </w:tc>
      </w:tr>
    </w:tbl>
    <w:p>
      <w:pPr>
        <w:pStyle w:val="5"/>
        <w:spacing w:before="120" w:after="120"/>
        <w:rPr>
          <w:spacing w:val="0"/>
        </w:rPr>
      </w:pPr>
      <w:bookmarkStart w:id="146" w:name="_Toc145580365"/>
      <w:r>
        <w:rPr>
          <w:rFonts w:hint="eastAsia"/>
          <w:spacing w:val="0"/>
        </w:rPr>
        <w:t>2</w:t>
      </w:r>
      <w:r>
        <w:rPr>
          <w:spacing w:val="0"/>
        </w:rPr>
        <w:t>.1.4</w:t>
      </w:r>
      <w:r>
        <w:rPr>
          <w:rFonts w:hint="eastAsia"/>
          <w:spacing w:val="0"/>
        </w:rPr>
        <w:t>现有工程平面布置</w:t>
      </w:r>
      <w:bookmarkEnd w:id="146"/>
    </w:p>
    <w:p>
      <w:pPr>
        <w:pStyle w:val="488"/>
        <w:ind w:firstLine="480"/>
        <w:rPr>
          <w:rFonts w:ascii="Times New Roman" w:hAnsi="Times New Roman" w:cs="Times New Roman"/>
        </w:rPr>
      </w:pPr>
      <w:r>
        <w:rPr>
          <w:rFonts w:ascii="Times New Roman" w:hAnsi="Times New Roman" w:cs="Times New Roman"/>
        </w:rPr>
        <w:t>项目厂区主要分为生产区和办公区，生产区位于场区北部。主要包括消防泵房、消防水池、事故应急池、设备区、混烃储罐区域、加气柱区域、危险废物暂存</w:t>
      </w:r>
      <w:r>
        <w:rPr>
          <w:rFonts w:hint="eastAsia" w:ascii="Times New Roman" w:hAnsi="Times New Roman" w:cs="Times New Roman"/>
        </w:rPr>
        <w:t>库</w:t>
      </w:r>
      <w:r>
        <w:rPr>
          <w:rFonts w:ascii="Times New Roman" w:hAnsi="Times New Roman" w:cs="Times New Roman"/>
        </w:rPr>
        <w:t>，厂区北部由西向东依次为消防泵房、消防水池，厂区中部依次为混烃储罐区域、设备区、加气柱区域；危废暂存</w:t>
      </w:r>
      <w:r>
        <w:rPr>
          <w:rFonts w:hint="eastAsia" w:ascii="Times New Roman" w:hAnsi="Times New Roman" w:cs="Times New Roman"/>
        </w:rPr>
        <w:t>库</w:t>
      </w:r>
      <w:r>
        <w:rPr>
          <w:rFonts w:ascii="Times New Roman" w:hAnsi="Times New Roman" w:cs="Times New Roman"/>
        </w:rPr>
        <w:t>位于厂区北侧。</w:t>
      </w:r>
    </w:p>
    <w:p>
      <w:pPr>
        <w:pStyle w:val="488"/>
        <w:ind w:firstLine="480"/>
        <w:rPr>
          <w:rFonts w:ascii="Times New Roman" w:hAnsi="Times New Roman" w:cs="Times New Roman"/>
        </w:rPr>
      </w:pPr>
      <w:r>
        <w:rPr>
          <w:rFonts w:ascii="Times New Roman" w:hAnsi="Times New Roman" w:cs="Times New Roman"/>
        </w:rPr>
        <w:t>生活办公区位于厂区南侧，</w:t>
      </w:r>
      <w:r>
        <w:rPr>
          <w:rFonts w:ascii="Times New Roman" w:hAnsi="Times New Roman" w:cs="Times New Roman"/>
          <w:lang w:bidi="en-US"/>
        </w:rPr>
        <w:t>主要包括门卫室、停车场和辅助生产设施</w:t>
      </w:r>
      <w:r>
        <w:rPr>
          <w:rFonts w:ascii="Times New Roman" w:hAnsi="Times New Roman" w:cs="Times New Roman"/>
        </w:rPr>
        <w:t>（主要是员工休息区）。</w:t>
      </w:r>
    </w:p>
    <w:p>
      <w:pPr>
        <w:pStyle w:val="488"/>
        <w:ind w:firstLine="480"/>
        <w:rPr>
          <w:rFonts w:ascii="Times New Roman" w:hAnsi="Times New Roman" w:cs="Times New Roman"/>
        </w:rPr>
      </w:pPr>
      <w:r>
        <w:rPr>
          <w:rFonts w:ascii="Times New Roman" w:hAnsi="Times New Roman" w:cs="Times New Roman"/>
        </w:rPr>
        <w:t>项目总平面布置功能分区清晰，工艺流程顺畅，物流短捷，人流、物流互不交叉干扰，协调了生产和环保的关系，从环保角度分析其平面布局基本合理。</w:t>
      </w:r>
    </w:p>
    <w:p>
      <w:pPr>
        <w:pStyle w:val="5"/>
        <w:spacing w:before="120" w:after="120"/>
        <w:rPr>
          <w:spacing w:val="0"/>
        </w:rPr>
      </w:pPr>
      <w:bookmarkStart w:id="147" w:name="_Toc145580366"/>
      <w:r>
        <w:rPr>
          <w:rFonts w:hint="eastAsia"/>
          <w:spacing w:val="0"/>
        </w:rPr>
        <w:t>2.</w:t>
      </w:r>
      <w:r>
        <w:rPr>
          <w:spacing w:val="0"/>
        </w:rPr>
        <w:t>1</w:t>
      </w:r>
      <w:r>
        <w:rPr>
          <w:rFonts w:hint="eastAsia"/>
          <w:spacing w:val="0"/>
        </w:rPr>
        <w:t>.5现有公用工程</w:t>
      </w:r>
      <w:bookmarkEnd w:id="145"/>
      <w:bookmarkEnd w:id="147"/>
    </w:p>
    <w:p>
      <w:pPr>
        <w:pStyle w:val="494"/>
        <w:ind w:firstLine="480"/>
      </w:pPr>
      <w:r>
        <w:rPr>
          <w:rFonts w:hint="eastAsia"/>
        </w:rPr>
        <w:t>（1）给水</w:t>
      </w:r>
    </w:p>
    <w:p>
      <w:pPr>
        <w:pStyle w:val="494"/>
        <w:ind w:firstLine="480"/>
      </w:pPr>
      <w:r>
        <w:t>站内</w:t>
      </w:r>
      <w:r>
        <w:rPr>
          <w:rFonts w:hint="eastAsia"/>
        </w:rPr>
        <w:t>生活</w:t>
      </w:r>
      <w:r>
        <w:t>用水采用罐车拉运，水源来自就近水厂。</w:t>
      </w:r>
    </w:p>
    <w:p>
      <w:pPr>
        <w:pStyle w:val="494"/>
        <w:ind w:firstLine="480"/>
      </w:pPr>
      <w:r>
        <w:rPr>
          <w:rFonts w:hint="eastAsia"/>
        </w:rPr>
        <w:t>（2）排水</w:t>
      </w:r>
    </w:p>
    <w:p>
      <w:pPr>
        <w:pStyle w:val="494"/>
        <w:ind w:firstLine="480"/>
      </w:pPr>
      <w:r>
        <w:t>生产废水经排污管线排入54m</w:t>
      </w:r>
      <w:r>
        <w:rPr>
          <w:vertAlign w:val="superscript"/>
        </w:rPr>
        <w:t>3</w:t>
      </w:r>
      <w:r>
        <w:t>的排污罐中，当罐内液位达到一定高度时，由排污泵输至罐车拉运至春风一号联合站处理达标后进行回注</w:t>
      </w:r>
      <w:r>
        <w:rPr>
          <w:rFonts w:hint="eastAsia"/>
        </w:rPr>
        <w:t>。</w:t>
      </w:r>
      <w:r>
        <w:t>生活污水排入化粪池，</w:t>
      </w:r>
      <w:r>
        <w:rPr>
          <w:rFonts w:hint="eastAsia"/>
        </w:rPr>
        <w:t>委托新疆诺客蒙鑫环境技术有限公司拉运处置</w:t>
      </w:r>
      <w:r>
        <w:t>。</w:t>
      </w:r>
    </w:p>
    <w:p>
      <w:pPr>
        <w:pStyle w:val="494"/>
        <w:ind w:firstLine="480"/>
      </w:pPr>
      <w:r>
        <w:rPr>
          <w:rFonts w:hint="eastAsia"/>
        </w:rPr>
        <w:t>（3）供电</w:t>
      </w:r>
    </w:p>
    <w:p>
      <w:pPr>
        <w:pStyle w:val="494"/>
        <w:ind w:firstLine="480"/>
      </w:pPr>
      <w:r>
        <w:rPr>
          <w:rFonts w:hint="eastAsia"/>
        </w:rPr>
        <w:t>本项目供电接2</w:t>
      </w:r>
      <w:r>
        <w:t>22</w:t>
      </w:r>
      <w:r>
        <w:rPr>
          <w:rFonts w:hint="eastAsia"/>
        </w:rPr>
        <w:t>团电网，满足正常生产需求。</w:t>
      </w:r>
    </w:p>
    <w:p>
      <w:pPr>
        <w:pStyle w:val="494"/>
        <w:ind w:firstLine="480"/>
      </w:pPr>
      <w:r>
        <w:rPr>
          <w:rFonts w:hint="eastAsia"/>
        </w:rPr>
        <w:t>（4）供暖</w:t>
      </w:r>
    </w:p>
    <w:p>
      <w:pPr>
        <w:pStyle w:val="494"/>
        <w:ind w:firstLine="480"/>
      </w:pPr>
      <w:r>
        <w:t>冬季通过空调取暖设施供暖。</w:t>
      </w:r>
    </w:p>
    <w:p>
      <w:pPr>
        <w:pStyle w:val="494"/>
        <w:ind w:firstLine="480"/>
      </w:pPr>
      <w:r>
        <w:rPr>
          <w:rFonts w:hint="eastAsia"/>
        </w:rPr>
        <w:t>（5）天然气收集输送工程</w:t>
      </w:r>
    </w:p>
    <w:p>
      <w:pPr>
        <w:pStyle w:val="494"/>
        <w:ind w:firstLine="480"/>
      </w:pPr>
      <w:r>
        <w:rPr>
          <w:rFonts w:hint="eastAsia"/>
        </w:rPr>
        <w:t>利用《准中董</w:t>
      </w:r>
      <w:r>
        <w:t>701</w:t>
      </w:r>
      <w:r>
        <w:rPr>
          <w:rFonts w:hint="eastAsia"/>
        </w:rPr>
        <w:t>井区产能建设工程》收集的天然气，天然气的收集及输送工程由中石化新疆新春石油开发有限责任公司建设输送管网至项目区厂界，从厂界接管网至现有工程处置设备。</w:t>
      </w:r>
    </w:p>
    <w:p>
      <w:pPr>
        <w:pStyle w:val="4"/>
        <w:spacing w:before="120" w:after="120"/>
      </w:pPr>
      <w:bookmarkStart w:id="148" w:name="_Toc107500320"/>
      <w:bookmarkStart w:id="149" w:name="_Toc145580367"/>
      <w:bookmarkStart w:id="150" w:name="_Hlk124675031"/>
      <w:r>
        <w:t>2.2</w:t>
      </w:r>
      <w:r>
        <w:rPr>
          <w:rFonts w:hint="eastAsia"/>
        </w:rPr>
        <w:t xml:space="preserve"> 现有工程工艺分析</w:t>
      </w:r>
      <w:bookmarkEnd w:id="148"/>
      <w:bookmarkEnd w:id="149"/>
    </w:p>
    <w:p>
      <w:pPr>
        <w:pStyle w:val="494"/>
        <w:ind w:firstLine="480"/>
      </w:pPr>
      <w:r>
        <w:rPr>
          <w:rFonts w:hint="eastAsia"/>
          <w:bCs/>
          <w:iCs/>
          <w:lang w:bidi="en-US"/>
        </w:rPr>
        <w:t>项目原料气为“准中董701井区产能建设工程”中天然气处理站处理后</w:t>
      </w:r>
      <w:r>
        <w:rPr>
          <w:bCs/>
          <w:iCs/>
          <w:lang w:bidi="en-US"/>
        </w:rPr>
        <w:t>的原料气</w:t>
      </w:r>
      <w:r>
        <w:rPr>
          <w:rFonts w:hint="eastAsia"/>
          <w:bCs/>
          <w:iCs/>
          <w:lang w:bidi="en-US"/>
        </w:rPr>
        <w:t>，原料气</w:t>
      </w:r>
      <w:r>
        <w:t>经紧急切断阀进入三相分离器，由于三相分离器的特殊结构，天然气内携带的油、水、砂被分离，净化后的天然气进入前置压缩机经三级压缩后压力达到4MPa，各压缩机前缓冲罐会脱除少量游离态的水；增压后的天然气进入干燥塔进行深度脱水，干燥塔原理是：两个干燥塔里面均装4A分子筛。一个塔工作8小时吸附，进原料气继续进行脱水。另一塔进行脱吸附，采用电加热将干燥过的天然气加热到260</w:t>
      </w:r>
      <w:r>
        <w:rPr>
          <w:rFonts w:hint="eastAsia" w:ascii="宋体" w:hAnsi="宋体" w:cs="宋体"/>
        </w:rPr>
        <w:t>℃</w:t>
      </w:r>
      <w:r>
        <w:t>，脱分子筛的水4小时，再冷却4小时。两塔交替工作。随后，天然气进入冷箱初步降温，再进入制冷撬块（制冷剂采用R507），将温度降至-38</w:t>
      </w:r>
      <w:r>
        <w:rPr>
          <w:rFonts w:hint="eastAsia" w:ascii="宋体" w:hAnsi="宋体" w:cs="宋体"/>
        </w:rPr>
        <w:t>℃</w:t>
      </w:r>
      <w:r>
        <w:t>产出液态混烃和干气，低温混烃和干气经冷箱与原料气换热至常温，混烃进入储罐经万向装车臂销售；脱除混烃组分后的天然气</w:t>
      </w:r>
      <w:r>
        <w:rPr>
          <w:rFonts w:hint="eastAsia"/>
        </w:rPr>
        <w:t>经</w:t>
      </w:r>
      <w:r>
        <w:t>高压压缩机增压至20MPa，经充气柱加注到 CNG拖车运输到下游用气单位。</w:t>
      </w:r>
    </w:p>
    <w:p>
      <w:pPr>
        <w:pStyle w:val="494"/>
        <w:ind w:firstLine="480"/>
      </w:pPr>
      <w:r>
        <w:t>三相分离器排出的污水、缓冲罐、干燥装置及压缩机的排污收集至站内污水罐，定期拉运至春风一号联合站处理达标后进行回注；制冷脱烃撬分离的混烃收集到站内混烃罐，混烃罐内混烃经装车泵、万向装车臂输送到罐车内，定期拉运至化工厂和炼油厂进行使用。</w:t>
      </w:r>
    </w:p>
    <w:p>
      <w:pPr>
        <w:pStyle w:val="494"/>
        <w:ind w:firstLine="480"/>
      </w:pPr>
      <w:r>
        <w:rPr>
          <w:rFonts w:hint="eastAsia"/>
        </w:rPr>
        <w:t>项目生产工艺流程详见图2.</w:t>
      </w:r>
      <w:r>
        <w:t>2</w:t>
      </w:r>
      <w:r>
        <w:rPr>
          <w:rFonts w:hint="eastAsia"/>
        </w:rPr>
        <w:t>-1。</w:t>
      </w:r>
    </w:p>
    <w:p>
      <w:pPr>
        <w:pStyle w:val="395"/>
        <w:spacing w:line="240" w:lineRule="auto"/>
        <w:jc w:val="center"/>
      </w:pPr>
      <w:r>
        <w:object>
          <v:shape id="_x0000_i1025" o:spt="75" type="#_x0000_t75" style="height:183.35pt;width:427.65pt;" o:ole="t" filled="f" o:preferrelative="t" stroked="f" coordsize="21600,21600">
            <v:path/>
            <v:fill on="f" focussize="0,0"/>
            <v:stroke on="f" joinstyle="miter"/>
            <v:imagedata r:id="rId10" o:title=""/>
            <o:lock v:ext="edit" aspectratio="t"/>
            <w10:wrap type="none"/>
            <w10:anchorlock/>
          </v:shape>
          <o:OLEObject Type="Embed" ProgID="Visio.Drawing.11" ShapeID="_x0000_i1025" DrawAspect="Content" ObjectID="_1468075725" r:id="rId9">
            <o:LockedField>false</o:LockedField>
          </o:OLEObject>
        </w:object>
      </w:r>
      <w:r>
        <w:rPr>
          <w:rStyle w:val="681"/>
          <w:rFonts w:hint="eastAsia"/>
          <w:color w:val="auto"/>
          <w:sz w:val="21"/>
          <w:szCs w:val="21"/>
        </w:rPr>
        <w:t>图2.</w:t>
      </w:r>
      <w:r>
        <w:rPr>
          <w:rStyle w:val="681"/>
          <w:color w:val="auto"/>
          <w:sz w:val="21"/>
          <w:szCs w:val="21"/>
        </w:rPr>
        <w:t>2</w:t>
      </w:r>
      <w:r>
        <w:rPr>
          <w:rStyle w:val="681"/>
          <w:rFonts w:hint="eastAsia"/>
          <w:color w:val="auto"/>
          <w:sz w:val="21"/>
          <w:szCs w:val="21"/>
        </w:rPr>
        <w:t>-1   现有工程生产工艺流程及产污环节图</w:t>
      </w:r>
    </w:p>
    <w:bookmarkEnd w:id="150"/>
    <w:p>
      <w:pPr>
        <w:pStyle w:val="4"/>
        <w:spacing w:before="120" w:after="120"/>
      </w:pPr>
      <w:bookmarkStart w:id="151" w:name="_Toc107500323"/>
      <w:bookmarkStart w:id="152" w:name="_Toc145580368"/>
      <w:r>
        <w:t>2.3</w:t>
      </w:r>
      <w:r>
        <w:rPr>
          <w:rFonts w:hint="eastAsia"/>
        </w:rPr>
        <w:t xml:space="preserve"> 现有工程</w:t>
      </w:r>
      <w:bookmarkEnd w:id="151"/>
      <w:r>
        <w:rPr>
          <w:rFonts w:hint="eastAsia"/>
        </w:rPr>
        <w:t>污染物排放情况</w:t>
      </w:r>
      <w:bookmarkEnd w:id="152"/>
    </w:p>
    <w:p>
      <w:pPr>
        <w:pStyle w:val="5"/>
        <w:spacing w:before="120" w:after="120"/>
        <w:rPr>
          <w:spacing w:val="0"/>
        </w:rPr>
      </w:pPr>
      <w:bookmarkStart w:id="153" w:name="_Toc145580369"/>
      <w:r>
        <w:rPr>
          <w:spacing w:val="0"/>
        </w:rPr>
        <w:t>2.3.1</w:t>
      </w:r>
      <w:r>
        <w:rPr>
          <w:rFonts w:hint="eastAsia"/>
          <w:spacing w:val="0"/>
        </w:rPr>
        <w:t>废气</w:t>
      </w:r>
      <w:bookmarkEnd w:id="153"/>
    </w:p>
    <w:p>
      <w:pPr>
        <w:pStyle w:val="494"/>
        <w:ind w:firstLine="480"/>
      </w:pPr>
      <w:r>
        <w:rPr>
          <w:rFonts w:hint="eastAsia"/>
        </w:rPr>
        <w:t>现有工程大气污染物主要为生产区无组织废气，主要污染物为非甲烷总烃。2</w:t>
      </w:r>
      <w:r>
        <w:t>023</w:t>
      </w:r>
      <w:r>
        <w:rPr>
          <w:rFonts w:hint="eastAsia"/>
        </w:rPr>
        <w:t>年3月1</w:t>
      </w:r>
      <w:r>
        <w:t>2</w:t>
      </w:r>
      <w:r>
        <w:rPr>
          <w:rFonts w:hint="eastAsia"/>
        </w:rPr>
        <w:t>日-</w:t>
      </w:r>
      <w:r>
        <w:t>2023</w:t>
      </w:r>
      <w:r>
        <w:rPr>
          <w:rFonts w:hint="eastAsia"/>
        </w:rPr>
        <w:t>年3月1</w:t>
      </w:r>
      <w:r>
        <w:t>3</w:t>
      </w:r>
      <w:r>
        <w:rPr>
          <w:rFonts w:hint="eastAsia"/>
        </w:rPr>
        <w:t>日委托新疆泰施特环保科技有限公司对现有项目进行竣工环境保护验收监测，根据监测报告，现有项目主要污染物排放情况见下表</w:t>
      </w:r>
      <w:r>
        <w:t>。</w:t>
      </w:r>
    </w:p>
    <w:p>
      <w:pPr>
        <w:pStyle w:val="400"/>
        <w:ind w:firstLine="420"/>
      </w:pPr>
      <w:r>
        <w:t>表</w:t>
      </w:r>
      <w:r>
        <w:rPr>
          <w:rFonts w:hint="eastAsia"/>
        </w:rPr>
        <w:t>2.</w:t>
      </w:r>
      <w:r>
        <w:t>3-1</w:t>
      </w:r>
      <w:r>
        <w:rPr>
          <w:rFonts w:hint="eastAsia"/>
        </w:rPr>
        <w:t xml:space="preserve"> </w:t>
      </w:r>
      <w:r>
        <w:t xml:space="preserve">             </w:t>
      </w:r>
      <w:r>
        <w:rPr>
          <w:rFonts w:hint="eastAsia"/>
        </w:rPr>
        <w:t xml:space="preserve"> </w:t>
      </w:r>
      <w:r>
        <w:t xml:space="preserve">  </w:t>
      </w:r>
      <w:r>
        <w:rPr>
          <w:rFonts w:hint="eastAsia"/>
        </w:rPr>
        <w:t xml:space="preserve">现有工程废气监测结果   </w:t>
      </w: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204"/>
        <w:gridCol w:w="1276"/>
        <w:gridCol w:w="1135"/>
        <w:gridCol w:w="140"/>
        <w:gridCol w:w="1065"/>
        <w:gridCol w:w="211"/>
        <w:gridCol w:w="1276"/>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Align w:val="center"/>
          </w:tcPr>
          <w:p>
            <w:pPr>
              <w:pStyle w:val="21"/>
              <w:spacing w:after="0"/>
              <w:jc w:val="center"/>
              <w:rPr>
                <w:rFonts w:eastAsiaTheme="minorEastAsia"/>
                <w:kern w:val="0"/>
                <w:sz w:val="21"/>
                <w:szCs w:val="21"/>
              </w:rPr>
            </w:pPr>
            <w:r>
              <w:rPr>
                <w:rFonts w:hint="eastAsia" w:eastAsiaTheme="minorEastAsia"/>
                <w:kern w:val="0"/>
                <w:sz w:val="21"/>
                <w:szCs w:val="21"/>
              </w:rPr>
              <w:t>监测类型</w:t>
            </w:r>
          </w:p>
        </w:tc>
        <w:tc>
          <w:tcPr>
            <w:tcW w:w="2143" w:type="pct"/>
            <w:gridSpan w:val="3"/>
            <w:vAlign w:val="center"/>
          </w:tcPr>
          <w:p>
            <w:pPr>
              <w:pStyle w:val="21"/>
              <w:spacing w:after="0"/>
              <w:jc w:val="center"/>
              <w:rPr>
                <w:rFonts w:eastAsiaTheme="minorEastAsia"/>
                <w:kern w:val="0"/>
                <w:sz w:val="21"/>
                <w:szCs w:val="21"/>
              </w:rPr>
            </w:pPr>
            <w:r>
              <w:rPr>
                <w:rFonts w:hint="eastAsia" w:eastAsiaTheme="minorEastAsia"/>
                <w:kern w:val="0"/>
                <w:sz w:val="21"/>
                <w:szCs w:val="21"/>
              </w:rPr>
              <w:t>无组织废气</w:t>
            </w:r>
          </w:p>
        </w:tc>
        <w:tc>
          <w:tcPr>
            <w:tcW w:w="714" w:type="pct"/>
            <w:gridSpan w:val="2"/>
            <w:vAlign w:val="center"/>
          </w:tcPr>
          <w:p>
            <w:pPr>
              <w:pStyle w:val="21"/>
              <w:spacing w:after="0"/>
              <w:jc w:val="center"/>
              <w:rPr>
                <w:rFonts w:eastAsiaTheme="minorEastAsia"/>
                <w:kern w:val="0"/>
                <w:sz w:val="21"/>
                <w:szCs w:val="21"/>
              </w:rPr>
            </w:pPr>
            <w:r>
              <w:rPr>
                <w:rFonts w:hint="eastAsia" w:eastAsiaTheme="minorEastAsia"/>
                <w:kern w:val="0"/>
                <w:sz w:val="21"/>
                <w:szCs w:val="21"/>
              </w:rPr>
              <w:t>监测性质</w:t>
            </w:r>
          </w:p>
        </w:tc>
        <w:tc>
          <w:tcPr>
            <w:tcW w:w="1429" w:type="pct"/>
            <w:gridSpan w:val="3"/>
            <w:vAlign w:val="center"/>
          </w:tcPr>
          <w:p>
            <w:pPr>
              <w:pStyle w:val="21"/>
              <w:spacing w:after="0"/>
              <w:jc w:val="center"/>
              <w:rPr>
                <w:rFonts w:eastAsiaTheme="minorEastAsia"/>
                <w:kern w:val="0"/>
                <w:sz w:val="21"/>
                <w:szCs w:val="21"/>
              </w:rPr>
            </w:pPr>
            <w:r>
              <w:rPr>
                <w:rFonts w:hint="eastAsia" w:eastAsiaTheme="minorEastAsia"/>
                <w:kern w:val="0"/>
                <w:sz w:val="21"/>
                <w:szCs w:val="21"/>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714" w:type="pct"/>
            <w:vMerge w:val="restart"/>
            <w:vAlign w:val="center"/>
          </w:tcPr>
          <w:p>
            <w:pPr>
              <w:pStyle w:val="21"/>
              <w:spacing w:after="0"/>
              <w:jc w:val="center"/>
              <w:rPr>
                <w:rFonts w:eastAsiaTheme="minorEastAsia"/>
                <w:kern w:val="0"/>
                <w:sz w:val="21"/>
                <w:szCs w:val="21"/>
              </w:rPr>
            </w:pPr>
            <w:r>
              <w:rPr>
                <w:rFonts w:hint="eastAsia" w:eastAsiaTheme="minorEastAsia"/>
                <w:kern w:val="0"/>
                <w:sz w:val="21"/>
                <w:szCs w:val="21"/>
              </w:rPr>
              <w:t>采样时间</w:t>
            </w:r>
          </w:p>
        </w:tc>
        <w:tc>
          <w:tcPr>
            <w:tcW w:w="714" w:type="pct"/>
            <w:vMerge w:val="restart"/>
            <w:vAlign w:val="center"/>
          </w:tcPr>
          <w:p>
            <w:pPr>
              <w:pStyle w:val="21"/>
              <w:spacing w:after="0"/>
              <w:jc w:val="center"/>
              <w:rPr>
                <w:rFonts w:eastAsiaTheme="minorEastAsia"/>
                <w:kern w:val="0"/>
                <w:sz w:val="21"/>
                <w:szCs w:val="21"/>
              </w:rPr>
            </w:pPr>
            <w:r>
              <w:rPr>
                <w:rFonts w:hint="eastAsia" w:eastAsiaTheme="minorEastAsia"/>
                <w:kern w:val="0"/>
                <w:sz w:val="21"/>
                <w:szCs w:val="21"/>
              </w:rPr>
              <w:t>监测项目</w:t>
            </w:r>
          </w:p>
        </w:tc>
        <w:tc>
          <w:tcPr>
            <w:tcW w:w="3024" w:type="pct"/>
            <w:gridSpan w:val="6"/>
            <w:vAlign w:val="center"/>
          </w:tcPr>
          <w:p>
            <w:pPr>
              <w:pStyle w:val="21"/>
              <w:spacing w:after="0"/>
              <w:jc w:val="center"/>
              <w:rPr>
                <w:rFonts w:eastAsiaTheme="minorEastAsia"/>
                <w:kern w:val="0"/>
                <w:sz w:val="21"/>
                <w:szCs w:val="21"/>
              </w:rPr>
            </w:pPr>
            <w:r>
              <w:rPr>
                <w:rFonts w:hint="eastAsia" w:eastAsiaTheme="minorEastAsia"/>
                <w:kern w:val="0"/>
                <w:sz w:val="21"/>
                <w:szCs w:val="21"/>
              </w:rPr>
              <w:t>监测点位及监测结果</w:t>
            </w:r>
          </w:p>
        </w:tc>
        <w:tc>
          <w:tcPr>
            <w:tcW w:w="547" w:type="pct"/>
            <w:vMerge w:val="restart"/>
            <w:vAlign w:val="center"/>
          </w:tcPr>
          <w:p>
            <w:pPr>
              <w:pStyle w:val="21"/>
              <w:spacing w:after="0"/>
              <w:jc w:val="center"/>
              <w:rPr>
                <w:rFonts w:eastAsiaTheme="minorEastAsia"/>
                <w:kern w:val="0"/>
                <w:sz w:val="21"/>
                <w:szCs w:val="21"/>
              </w:rPr>
            </w:pPr>
            <w:r>
              <w:rPr>
                <w:rFonts w:hint="eastAsia" w:eastAsiaTheme="minorEastAsia"/>
                <w:kern w:val="0"/>
                <w:sz w:val="21"/>
                <w:szCs w:val="21"/>
              </w:rPr>
              <w:t>标准     限值</w:t>
            </w:r>
          </w:p>
          <w:p>
            <w:pPr>
              <w:pStyle w:val="21"/>
              <w:spacing w:after="0"/>
              <w:jc w:val="center"/>
              <w:rPr>
                <w:rFonts w:eastAsiaTheme="minorEastAsia"/>
                <w:kern w:val="0"/>
                <w:sz w:val="21"/>
                <w:szCs w:val="21"/>
              </w:rPr>
            </w:pPr>
            <w:r>
              <w:rPr>
                <w:rFonts w:hint="eastAsia" w:eastAsiaTheme="minorEastAsia"/>
                <w:kern w:val="0"/>
                <w:sz w:val="21"/>
                <w:szCs w:val="21"/>
              </w:rPr>
              <w:t>mg/m</w:t>
            </w:r>
            <w:r>
              <w:rPr>
                <w:rFonts w:hint="eastAsia" w:eastAsiaTheme="minorEastAsia"/>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Merge w:val="continue"/>
            <w:vAlign w:val="center"/>
          </w:tcPr>
          <w:p>
            <w:pPr>
              <w:pStyle w:val="21"/>
              <w:spacing w:after="0"/>
              <w:jc w:val="center"/>
              <w:rPr>
                <w:rFonts w:eastAsiaTheme="minorEastAsia"/>
                <w:kern w:val="0"/>
                <w:sz w:val="21"/>
                <w:szCs w:val="21"/>
              </w:rPr>
            </w:pPr>
          </w:p>
        </w:tc>
        <w:tc>
          <w:tcPr>
            <w:tcW w:w="714" w:type="pct"/>
            <w:vMerge w:val="continue"/>
            <w:vAlign w:val="center"/>
          </w:tcPr>
          <w:p>
            <w:pPr>
              <w:pStyle w:val="21"/>
              <w:spacing w:after="0"/>
              <w:jc w:val="center"/>
              <w:rPr>
                <w:rFonts w:eastAsiaTheme="minorEastAsia"/>
                <w:kern w:val="0"/>
                <w:sz w:val="21"/>
                <w:szCs w:val="21"/>
              </w:rPr>
            </w:pPr>
          </w:p>
        </w:tc>
        <w:tc>
          <w:tcPr>
            <w:tcW w:w="756" w:type="pct"/>
            <w:vAlign w:val="center"/>
          </w:tcPr>
          <w:p>
            <w:pPr>
              <w:pStyle w:val="21"/>
              <w:spacing w:after="0"/>
              <w:jc w:val="center"/>
              <w:rPr>
                <w:rFonts w:eastAsiaTheme="minorEastAsia"/>
                <w:kern w:val="0"/>
                <w:sz w:val="21"/>
                <w:szCs w:val="21"/>
              </w:rPr>
            </w:pPr>
            <w:r>
              <w:rPr>
                <w:rFonts w:hint="eastAsia" w:eastAsiaTheme="minorEastAsia"/>
                <w:kern w:val="0"/>
                <w:sz w:val="21"/>
                <w:szCs w:val="21"/>
              </w:rPr>
              <w:t>项目区上风向1#</w:t>
            </w:r>
          </w:p>
        </w:tc>
        <w:tc>
          <w:tcPr>
            <w:tcW w:w="756" w:type="pct"/>
            <w:gridSpan w:val="2"/>
            <w:vAlign w:val="center"/>
          </w:tcPr>
          <w:p>
            <w:pPr>
              <w:pStyle w:val="21"/>
              <w:spacing w:after="0"/>
              <w:jc w:val="center"/>
              <w:rPr>
                <w:rFonts w:eastAsiaTheme="minorEastAsia"/>
                <w:kern w:val="0"/>
                <w:sz w:val="21"/>
                <w:szCs w:val="21"/>
              </w:rPr>
            </w:pPr>
            <w:r>
              <w:rPr>
                <w:rFonts w:hint="eastAsia" w:eastAsiaTheme="minorEastAsia"/>
                <w:kern w:val="0"/>
                <w:sz w:val="21"/>
                <w:szCs w:val="21"/>
              </w:rPr>
              <w:t>项目区下风向2#</w:t>
            </w:r>
          </w:p>
        </w:tc>
        <w:tc>
          <w:tcPr>
            <w:tcW w:w="756" w:type="pct"/>
            <w:gridSpan w:val="2"/>
            <w:vAlign w:val="center"/>
          </w:tcPr>
          <w:p>
            <w:pPr>
              <w:pStyle w:val="21"/>
              <w:spacing w:after="0"/>
              <w:jc w:val="center"/>
              <w:rPr>
                <w:rFonts w:eastAsiaTheme="minorEastAsia"/>
                <w:kern w:val="0"/>
                <w:sz w:val="21"/>
                <w:szCs w:val="21"/>
              </w:rPr>
            </w:pPr>
            <w:r>
              <w:rPr>
                <w:rFonts w:hint="eastAsia" w:eastAsiaTheme="minorEastAsia"/>
                <w:kern w:val="0"/>
                <w:sz w:val="21"/>
                <w:szCs w:val="21"/>
              </w:rPr>
              <w:t>项目区下风向3#</w:t>
            </w:r>
          </w:p>
        </w:tc>
        <w:tc>
          <w:tcPr>
            <w:tcW w:w="756" w:type="pct"/>
            <w:vAlign w:val="center"/>
          </w:tcPr>
          <w:p>
            <w:pPr>
              <w:pStyle w:val="21"/>
              <w:spacing w:after="0"/>
              <w:jc w:val="center"/>
              <w:rPr>
                <w:rFonts w:eastAsiaTheme="minorEastAsia"/>
                <w:kern w:val="0"/>
                <w:sz w:val="21"/>
                <w:szCs w:val="21"/>
              </w:rPr>
            </w:pPr>
            <w:r>
              <w:rPr>
                <w:rFonts w:hint="eastAsia" w:eastAsiaTheme="minorEastAsia"/>
                <w:kern w:val="0"/>
                <w:sz w:val="21"/>
                <w:szCs w:val="21"/>
              </w:rPr>
              <w:t>项目区下风向4#</w:t>
            </w:r>
          </w:p>
        </w:tc>
        <w:tc>
          <w:tcPr>
            <w:tcW w:w="547" w:type="pct"/>
            <w:vMerge w:val="continue"/>
            <w:vAlign w:val="center"/>
          </w:tcPr>
          <w:p>
            <w:pPr>
              <w:pStyle w:val="21"/>
              <w:spacing w:after="0"/>
              <w:jc w:val="center"/>
              <w:rPr>
                <w:rFonts w:eastAsia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Merge w:val="restart"/>
            <w:vAlign w:val="center"/>
          </w:tcPr>
          <w:p>
            <w:pPr>
              <w:pStyle w:val="21"/>
              <w:spacing w:after="0"/>
              <w:jc w:val="center"/>
              <w:rPr>
                <w:rFonts w:eastAsiaTheme="minorEastAsia"/>
                <w:kern w:val="0"/>
                <w:sz w:val="21"/>
                <w:szCs w:val="21"/>
              </w:rPr>
            </w:pPr>
            <w:r>
              <w:rPr>
                <w:rFonts w:hint="eastAsia" w:eastAsiaTheme="minorEastAsia"/>
                <w:kern w:val="0"/>
                <w:sz w:val="21"/>
                <w:szCs w:val="21"/>
              </w:rPr>
              <w:t>2</w:t>
            </w:r>
            <w:r>
              <w:rPr>
                <w:rFonts w:eastAsiaTheme="minorEastAsia"/>
                <w:kern w:val="0"/>
                <w:sz w:val="21"/>
                <w:szCs w:val="21"/>
              </w:rPr>
              <w:t>023.3.12</w:t>
            </w:r>
          </w:p>
        </w:tc>
        <w:tc>
          <w:tcPr>
            <w:tcW w:w="714" w:type="pct"/>
            <w:vMerge w:val="restart"/>
            <w:vAlign w:val="center"/>
          </w:tcPr>
          <w:p>
            <w:pPr>
              <w:pStyle w:val="21"/>
              <w:spacing w:after="0"/>
              <w:jc w:val="center"/>
              <w:rPr>
                <w:rFonts w:eastAsiaTheme="minorEastAsia"/>
                <w:kern w:val="0"/>
                <w:sz w:val="21"/>
                <w:szCs w:val="21"/>
              </w:rPr>
            </w:pPr>
            <w:r>
              <w:rPr>
                <w:rFonts w:hint="eastAsia" w:eastAsiaTheme="minorEastAsia"/>
                <w:kern w:val="0"/>
                <w:sz w:val="21"/>
                <w:szCs w:val="21"/>
              </w:rPr>
              <w:t>非甲烷总烃</w:t>
            </w:r>
          </w:p>
        </w:tc>
        <w:tc>
          <w:tcPr>
            <w:tcW w:w="756" w:type="pct"/>
            <w:vAlign w:val="center"/>
          </w:tcPr>
          <w:p>
            <w:pPr>
              <w:pStyle w:val="21"/>
              <w:spacing w:after="0"/>
              <w:jc w:val="center"/>
              <w:rPr>
                <w:rFonts w:eastAsiaTheme="minorEastAsia"/>
                <w:kern w:val="0"/>
                <w:sz w:val="21"/>
                <w:szCs w:val="21"/>
              </w:rPr>
            </w:pPr>
            <w:r>
              <w:rPr>
                <w:rFonts w:hint="eastAsia" w:eastAsiaTheme="minorEastAsia"/>
                <w:kern w:val="0"/>
                <w:sz w:val="21"/>
                <w:szCs w:val="21"/>
              </w:rPr>
              <w:t>0</w:t>
            </w:r>
            <w:r>
              <w:rPr>
                <w:rFonts w:eastAsiaTheme="minorEastAsia"/>
                <w:kern w:val="0"/>
                <w:sz w:val="21"/>
                <w:szCs w:val="21"/>
              </w:rPr>
              <w:t>.59</w:t>
            </w:r>
          </w:p>
        </w:tc>
        <w:tc>
          <w:tcPr>
            <w:tcW w:w="756" w:type="pct"/>
            <w:gridSpan w:val="2"/>
            <w:vAlign w:val="center"/>
          </w:tcPr>
          <w:p>
            <w:pPr>
              <w:pStyle w:val="21"/>
              <w:spacing w:after="0"/>
              <w:jc w:val="center"/>
              <w:rPr>
                <w:rFonts w:eastAsiaTheme="minorEastAsia"/>
                <w:kern w:val="0"/>
                <w:sz w:val="21"/>
                <w:szCs w:val="21"/>
              </w:rPr>
            </w:pPr>
            <w:r>
              <w:rPr>
                <w:rFonts w:hint="eastAsia"/>
                <w:kern w:val="0"/>
                <w:sz w:val="20"/>
                <w:szCs w:val="21"/>
              </w:rPr>
              <w:t>0.57</w:t>
            </w:r>
          </w:p>
        </w:tc>
        <w:tc>
          <w:tcPr>
            <w:tcW w:w="756" w:type="pct"/>
            <w:gridSpan w:val="2"/>
            <w:vAlign w:val="center"/>
          </w:tcPr>
          <w:p>
            <w:pPr>
              <w:pStyle w:val="21"/>
              <w:spacing w:after="0"/>
              <w:jc w:val="center"/>
              <w:rPr>
                <w:rFonts w:eastAsiaTheme="minorEastAsia"/>
                <w:kern w:val="0"/>
                <w:sz w:val="21"/>
                <w:szCs w:val="21"/>
              </w:rPr>
            </w:pPr>
            <w:r>
              <w:rPr>
                <w:rFonts w:hint="eastAsia"/>
                <w:spacing w:val="-5"/>
                <w:kern w:val="0"/>
                <w:sz w:val="21"/>
                <w:szCs w:val="21"/>
              </w:rPr>
              <w:t>0.55</w:t>
            </w:r>
          </w:p>
        </w:tc>
        <w:tc>
          <w:tcPr>
            <w:tcW w:w="756" w:type="pct"/>
            <w:vAlign w:val="center"/>
          </w:tcPr>
          <w:p>
            <w:pPr>
              <w:pStyle w:val="21"/>
              <w:spacing w:after="0"/>
              <w:jc w:val="center"/>
              <w:rPr>
                <w:rFonts w:eastAsiaTheme="minorEastAsia"/>
                <w:kern w:val="0"/>
                <w:sz w:val="21"/>
                <w:szCs w:val="21"/>
              </w:rPr>
            </w:pPr>
            <w:r>
              <w:rPr>
                <w:rFonts w:hint="eastAsia"/>
                <w:spacing w:val="-5"/>
                <w:kern w:val="0"/>
                <w:sz w:val="21"/>
                <w:szCs w:val="21"/>
              </w:rPr>
              <w:t>0.53</w:t>
            </w:r>
          </w:p>
        </w:tc>
        <w:tc>
          <w:tcPr>
            <w:tcW w:w="547" w:type="pct"/>
            <w:vMerge w:val="restart"/>
            <w:vAlign w:val="center"/>
          </w:tcPr>
          <w:p>
            <w:pPr>
              <w:pStyle w:val="21"/>
              <w:spacing w:after="0"/>
              <w:jc w:val="center"/>
              <w:rPr>
                <w:rFonts w:eastAsiaTheme="minorEastAsia"/>
                <w:kern w:val="0"/>
                <w:sz w:val="21"/>
                <w:szCs w:val="21"/>
              </w:rPr>
            </w:pPr>
            <w:r>
              <w:rPr>
                <w:rFonts w:eastAsiaTheme="minorEastAsia"/>
                <w:kern w:val="0"/>
                <w:sz w:val="21"/>
                <w:szCs w:val="21"/>
              </w:rPr>
              <w:t>4</w:t>
            </w:r>
            <w:r>
              <w:rPr>
                <w:rFonts w:hint="eastAsia" w:eastAsiaTheme="minorEastAsia"/>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Merge w:val="continue"/>
            <w:vAlign w:val="center"/>
          </w:tcPr>
          <w:p>
            <w:pPr>
              <w:pStyle w:val="21"/>
              <w:spacing w:after="0"/>
              <w:jc w:val="center"/>
              <w:rPr>
                <w:rFonts w:eastAsiaTheme="minorEastAsia"/>
                <w:kern w:val="0"/>
                <w:sz w:val="21"/>
                <w:szCs w:val="21"/>
              </w:rPr>
            </w:pPr>
          </w:p>
        </w:tc>
        <w:tc>
          <w:tcPr>
            <w:tcW w:w="714" w:type="pct"/>
            <w:vMerge w:val="continue"/>
            <w:vAlign w:val="center"/>
          </w:tcPr>
          <w:p>
            <w:pPr>
              <w:pStyle w:val="21"/>
              <w:spacing w:after="0"/>
              <w:jc w:val="center"/>
              <w:rPr>
                <w:rFonts w:eastAsiaTheme="minorEastAsia"/>
                <w:kern w:val="0"/>
                <w:sz w:val="21"/>
                <w:szCs w:val="21"/>
              </w:rPr>
            </w:pPr>
          </w:p>
        </w:tc>
        <w:tc>
          <w:tcPr>
            <w:tcW w:w="756" w:type="pct"/>
            <w:vAlign w:val="center"/>
          </w:tcPr>
          <w:p>
            <w:pPr>
              <w:pStyle w:val="21"/>
              <w:spacing w:after="0"/>
              <w:jc w:val="center"/>
              <w:rPr>
                <w:rFonts w:eastAsiaTheme="minorEastAsia"/>
                <w:kern w:val="0"/>
                <w:sz w:val="21"/>
                <w:szCs w:val="21"/>
              </w:rPr>
            </w:pPr>
            <w:r>
              <w:rPr>
                <w:rFonts w:hint="eastAsia" w:eastAsiaTheme="minorEastAsia"/>
                <w:kern w:val="0"/>
                <w:sz w:val="21"/>
                <w:szCs w:val="21"/>
              </w:rPr>
              <w:t>0</w:t>
            </w:r>
            <w:r>
              <w:rPr>
                <w:rFonts w:eastAsiaTheme="minorEastAsia"/>
                <w:kern w:val="0"/>
                <w:sz w:val="21"/>
                <w:szCs w:val="21"/>
              </w:rPr>
              <w:t>.60</w:t>
            </w:r>
          </w:p>
        </w:tc>
        <w:tc>
          <w:tcPr>
            <w:tcW w:w="756" w:type="pct"/>
            <w:gridSpan w:val="2"/>
            <w:vAlign w:val="center"/>
          </w:tcPr>
          <w:p>
            <w:pPr>
              <w:pStyle w:val="21"/>
              <w:spacing w:after="0"/>
              <w:jc w:val="center"/>
              <w:rPr>
                <w:rFonts w:eastAsiaTheme="minorEastAsia"/>
                <w:kern w:val="0"/>
                <w:sz w:val="21"/>
                <w:szCs w:val="21"/>
              </w:rPr>
            </w:pPr>
            <w:r>
              <w:rPr>
                <w:rFonts w:hint="eastAsia"/>
                <w:spacing w:val="-5"/>
                <w:kern w:val="0"/>
                <w:sz w:val="21"/>
                <w:szCs w:val="21"/>
              </w:rPr>
              <w:t>0.62</w:t>
            </w:r>
          </w:p>
        </w:tc>
        <w:tc>
          <w:tcPr>
            <w:tcW w:w="756" w:type="pct"/>
            <w:gridSpan w:val="2"/>
            <w:vAlign w:val="center"/>
          </w:tcPr>
          <w:p>
            <w:pPr>
              <w:pStyle w:val="21"/>
              <w:spacing w:after="0"/>
              <w:jc w:val="center"/>
              <w:rPr>
                <w:rFonts w:eastAsiaTheme="minorEastAsia"/>
                <w:kern w:val="0"/>
                <w:sz w:val="21"/>
                <w:szCs w:val="21"/>
              </w:rPr>
            </w:pPr>
            <w:r>
              <w:rPr>
                <w:rFonts w:hint="eastAsia"/>
                <w:spacing w:val="-5"/>
                <w:kern w:val="0"/>
                <w:sz w:val="21"/>
                <w:szCs w:val="21"/>
              </w:rPr>
              <w:t>0.57</w:t>
            </w:r>
          </w:p>
        </w:tc>
        <w:tc>
          <w:tcPr>
            <w:tcW w:w="756" w:type="pct"/>
            <w:vAlign w:val="center"/>
          </w:tcPr>
          <w:p>
            <w:pPr>
              <w:pStyle w:val="21"/>
              <w:spacing w:after="0"/>
              <w:jc w:val="center"/>
              <w:rPr>
                <w:rFonts w:eastAsiaTheme="minorEastAsia"/>
                <w:kern w:val="0"/>
                <w:sz w:val="21"/>
                <w:szCs w:val="21"/>
              </w:rPr>
            </w:pPr>
            <w:r>
              <w:rPr>
                <w:rFonts w:hint="eastAsia"/>
                <w:spacing w:val="-5"/>
                <w:kern w:val="0"/>
                <w:sz w:val="21"/>
                <w:szCs w:val="21"/>
              </w:rPr>
              <w:t>0.56</w:t>
            </w:r>
          </w:p>
        </w:tc>
        <w:tc>
          <w:tcPr>
            <w:tcW w:w="547" w:type="pct"/>
            <w:vMerge w:val="continue"/>
            <w:vAlign w:val="center"/>
          </w:tcPr>
          <w:p>
            <w:pPr>
              <w:pStyle w:val="21"/>
              <w:spacing w:after="0"/>
              <w:jc w:val="center"/>
              <w:rPr>
                <w:rFonts w:eastAsia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Merge w:val="continue"/>
            <w:vAlign w:val="center"/>
          </w:tcPr>
          <w:p>
            <w:pPr>
              <w:pStyle w:val="21"/>
              <w:spacing w:after="0"/>
              <w:jc w:val="center"/>
              <w:rPr>
                <w:rFonts w:eastAsiaTheme="minorEastAsia"/>
                <w:kern w:val="0"/>
                <w:sz w:val="21"/>
                <w:szCs w:val="21"/>
              </w:rPr>
            </w:pPr>
          </w:p>
        </w:tc>
        <w:tc>
          <w:tcPr>
            <w:tcW w:w="714" w:type="pct"/>
            <w:vMerge w:val="continue"/>
            <w:vAlign w:val="center"/>
          </w:tcPr>
          <w:p>
            <w:pPr>
              <w:pStyle w:val="21"/>
              <w:spacing w:after="0"/>
              <w:jc w:val="center"/>
              <w:rPr>
                <w:rFonts w:eastAsiaTheme="minorEastAsia"/>
                <w:kern w:val="0"/>
                <w:sz w:val="21"/>
                <w:szCs w:val="21"/>
              </w:rPr>
            </w:pPr>
          </w:p>
        </w:tc>
        <w:tc>
          <w:tcPr>
            <w:tcW w:w="756" w:type="pct"/>
            <w:vAlign w:val="center"/>
          </w:tcPr>
          <w:p>
            <w:pPr>
              <w:pStyle w:val="21"/>
              <w:spacing w:after="0"/>
              <w:jc w:val="center"/>
              <w:rPr>
                <w:rFonts w:eastAsiaTheme="minorEastAsia"/>
                <w:kern w:val="0"/>
                <w:sz w:val="21"/>
                <w:szCs w:val="21"/>
              </w:rPr>
            </w:pPr>
            <w:r>
              <w:rPr>
                <w:rFonts w:hint="eastAsia" w:eastAsiaTheme="minorEastAsia"/>
                <w:kern w:val="0"/>
                <w:sz w:val="21"/>
                <w:szCs w:val="21"/>
              </w:rPr>
              <w:t>0</w:t>
            </w:r>
            <w:r>
              <w:rPr>
                <w:rFonts w:eastAsiaTheme="minorEastAsia"/>
                <w:kern w:val="0"/>
                <w:sz w:val="21"/>
                <w:szCs w:val="21"/>
              </w:rPr>
              <w:t>.58</w:t>
            </w:r>
          </w:p>
        </w:tc>
        <w:tc>
          <w:tcPr>
            <w:tcW w:w="756" w:type="pct"/>
            <w:gridSpan w:val="2"/>
            <w:vAlign w:val="center"/>
          </w:tcPr>
          <w:p>
            <w:pPr>
              <w:pStyle w:val="21"/>
              <w:spacing w:after="0"/>
              <w:jc w:val="center"/>
              <w:rPr>
                <w:rFonts w:eastAsiaTheme="minorEastAsia"/>
                <w:kern w:val="0"/>
                <w:sz w:val="21"/>
                <w:szCs w:val="21"/>
              </w:rPr>
            </w:pPr>
            <w:r>
              <w:rPr>
                <w:rFonts w:hint="eastAsia"/>
                <w:spacing w:val="-5"/>
                <w:kern w:val="0"/>
                <w:sz w:val="21"/>
                <w:szCs w:val="21"/>
              </w:rPr>
              <w:t>0.63</w:t>
            </w:r>
          </w:p>
        </w:tc>
        <w:tc>
          <w:tcPr>
            <w:tcW w:w="756" w:type="pct"/>
            <w:gridSpan w:val="2"/>
            <w:vAlign w:val="center"/>
          </w:tcPr>
          <w:p>
            <w:pPr>
              <w:pStyle w:val="21"/>
              <w:spacing w:after="0"/>
              <w:jc w:val="center"/>
              <w:rPr>
                <w:rFonts w:eastAsiaTheme="minorEastAsia"/>
                <w:kern w:val="0"/>
                <w:sz w:val="21"/>
                <w:szCs w:val="21"/>
              </w:rPr>
            </w:pPr>
            <w:r>
              <w:rPr>
                <w:rFonts w:hint="eastAsia"/>
                <w:spacing w:val="-5"/>
                <w:kern w:val="0"/>
                <w:sz w:val="21"/>
                <w:szCs w:val="21"/>
              </w:rPr>
              <w:t>0.57</w:t>
            </w:r>
          </w:p>
        </w:tc>
        <w:tc>
          <w:tcPr>
            <w:tcW w:w="756" w:type="pct"/>
            <w:vAlign w:val="center"/>
          </w:tcPr>
          <w:p>
            <w:pPr>
              <w:pStyle w:val="21"/>
              <w:spacing w:after="0"/>
              <w:jc w:val="center"/>
              <w:rPr>
                <w:rFonts w:eastAsiaTheme="minorEastAsia"/>
                <w:kern w:val="0"/>
                <w:sz w:val="21"/>
                <w:szCs w:val="21"/>
              </w:rPr>
            </w:pPr>
            <w:r>
              <w:rPr>
                <w:rFonts w:hint="eastAsia"/>
                <w:spacing w:val="-5"/>
                <w:kern w:val="0"/>
                <w:sz w:val="21"/>
                <w:szCs w:val="21"/>
              </w:rPr>
              <w:t>0.56</w:t>
            </w:r>
          </w:p>
        </w:tc>
        <w:tc>
          <w:tcPr>
            <w:tcW w:w="547" w:type="pct"/>
            <w:vMerge w:val="continue"/>
            <w:vAlign w:val="center"/>
          </w:tcPr>
          <w:p>
            <w:pPr>
              <w:pStyle w:val="21"/>
              <w:spacing w:after="0"/>
              <w:jc w:val="center"/>
              <w:rPr>
                <w:rFonts w:eastAsia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Merge w:val="restart"/>
            <w:vAlign w:val="center"/>
          </w:tcPr>
          <w:p>
            <w:pPr>
              <w:pStyle w:val="21"/>
              <w:spacing w:after="0"/>
              <w:jc w:val="center"/>
              <w:rPr>
                <w:rFonts w:eastAsiaTheme="minorEastAsia"/>
                <w:kern w:val="0"/>
                <w:sz w:val="21"/>
                <w:szCs w:val="21"/>
              </w:rPr>
            </w:pPr>
            <w:r>
              <w:rPr>
                <w:rFonts w:hint="eastAsia" w:eastAsiaTheme="minorEastAsia"/>
                <w:kern w:val="0"/>
                <w:sz w:val="21"/>
                <w:szCs w:val="21"/>
              </w:rPr>
              <w:t>2</w:t>
            </w:r>
            <w:r>
              <w:rPr>
                <w:rFonts w:eastAsiaTheme="minorEastAsia"/>
                <w:kern w:val="0"/>
                <w:sz w:val="21"/>
                <w:szCs w:val="21"/>
              </w:rPr>
              <w:t>023.3.13</w:t>
            </w:r>
          </w:p>
        </w:tc>
        <w:tc>
          <w:tcPr>
            <w:tcW w:w="714" w:type="pct"/>
            <w:vMerge w:val="restart"/>
            <w:vAlign w:val="center"/>
          </w:tcPr>
          <w:p>
            <w:pPr>
              <w:pStyle w:val="21"/>
              <w:spacing w:after="0"/>
              <w:jc w:val="center"/>
              <w:rPr>
                <w:rFonts w:eastAsiaTheme="minorEastAsia"/>
                <w:kern w:val="0"/>
                <w:sz w:val="21"/>
                <w:szCs w:val="21"/>
              </w:rPr>
            </w:pPr>
            <w:r>
              <w:rPr>
                <w:rFonts w:hint="eastAsia" w:eastAsiaTheme="minorEastAsia"/>
                <w:kern w:val="0"/>
                <w:sz w:val="21"/>
                <w:szCs w:val="21"/>
              </w:rPr>
              <w:t>非甲烷总烃</w:t>
            </w:r>
          </w:p>
        </w:tc>
        <w:tc>
          <w:tcPr>
            <w:tcW w:w="756" w:type="pct"/>
            <w:vAlign w:val="center"/>
          </w:tcPr>
          <w:p>
            <w:pPr>
              <w:pStyle w:val="21"/>
              <w:spacing w:after="0"/>
              <w:jc w:val="center"/>
              <w:rPr>
                <w:rFonts w:eastAsiaTheme="minorEastAsia"/>
                <w:kern w:val="0"/>
                <w:sz w:val="21"/>
                <w:szCs w:val="21"/>
              </w:rPr>
            </w:pPr>
            <w:r>
              <w:rPr>
                <w:rFonts w:hint="eastAsia"/>
                <w:spacing w:val="-5"/>
                <w:kern w:val="0"/>
                <w:sz w:val="21"/>
                <w:szCs w:val="21"/>
              </w:rPr>
              <w:t>0.58</w:t>
            </w:r>
          </w:p>
        </w:tc>
        <w:tc>
          <w:tcPr>
            <w:tcW w:w="756" w:type="pct"/>
            <w:gridSpan w:val="2"/>
            <w:vAlign w:val="center"/>
          </w:tcPr>
          <w:p>
            <w:pPr>
              <w:pStyle w:val="21"/>
              <w:spacing w:after="0"/>
              <w:jc w:val="center"/>
              <w:rPr>
                <w:rFonts w:eastAsiaTheme="minorEastAsia"/>
                <w:kern w:val="0"/>
                <w:sz w:val="21"/>
                <w:szCs w:val="21"/>
              </w:rPr>
            </w:pPr>
            <w:r>
              <w:rPr>
                <w:rFonts w:hint="eastAsia"/>
                <w:spacing w:val="-5"/>
                <w:kern w:val="0"/>
                <w:sz w:val="21"/>
                <w:szCs w:val="21"/>
              </w:rPr>
              <w:t>0.56</w:t>
            </w:r>
          </w:p>
        </w:tc>
        <w:tc>
          <w:tcPr>
            <w:tcW w:w="756" w:type="pct"/>
            <w:gridSpan w:val="2"/>
            <w:vAlign w:val="center"/>
          </w:tcPr>
          <w:p>
            <w:pPr>
              <w:pStyle w:val="21"/>
              <w:spacing w:after="0"/>
              <w:jc w:val="center"/>
              <w:rPr>
                <w:rFonts w:eastAsiaTheme="minorEastAsia"/>
                <w:kern w:val="0"/>
                <w:sz w:val="21"/>
                <w:szCs w:val="21"/>
              </w:rPr>
            </w:pPr>
            <w:r>
              <w:rPr>
                <w:rFonts w:hint="eastAsia"/>
                <w:spacing w:val="-5"/>
                <w:kern w:val="0"/>
                <w:sz w:val="21"/>
                <w:szCs w:val="21"/>
              </w:rPr>
              <w:t>0.54</w:t>
            </w:r>
          </w:p>
        </w:tc>
        <w:tc>
          <w:tcPr>
            <w:tcW w:w="756" w:type="pct"/>
            <w:vAlign w:val="center"/>
          </w:tcPr>
          <w:p>
            <w:pPr>
              <w:pStyle w:val="21"/>
              <w:spacing w:after="0"/>
              <w:jc w:val="center"/>
              <w:rPr>
                <w:rFonts w:eastAsiaTheme="minorEastAsia"/>
                <w:kern w:val="0"/>
                <w:sz w:val="21"/>
                <w:szCs w:val="21"/>
              </w:rPr>
            </w:pPr>
            <w:r>
              <w:rPr>
                <w:rFonts w:hint="eastAsia"/>
                <w:spacing w:val="-5"/>
                <w:kern w:val="0"/>
                <w:sz w:val="21"/>
                <w:szCs w:val="21"/>
              </w:rPr>
              <w:t>0.52</w:t>
            </w:r>
          </w:p>
        </w:tc>
        <w:tc>
          <w:tcPr>
            <w:tcW w:w="547" w:type="pct"/>
            <w:vMerge w:val="restart"/>
            <w:vAlign w:val="center"/>
          </w:tcPr>
          <w:p>
            <w:pPr>
              <w:pStyle w:val="21"/>
              <w:spacing w:after="0"/>
              <w:jc w:val="center"/>
              <w:rPr>
                <w:rFonts w:eastAsiaTheme="minorEastAsia"/>
                <w:kern w:val="0"/>
                <w:sz w:val="21"/>
                <w:szCs w:val="21"/>
              </w:rPr>
            </w:pPr>
            <w:r>
              <w:rPr>
                <w:rFonts w:eastAsiaTheme="minorEastAsia"/>
                <w:kern w:val="0"/>
                <w:sz w:val="21"/>
                <w:szCs w:val="21"/>
              </w:rPr>
              <w:t>4</w:t>
            </w:r>
            <w:r>
              <w:rPr>
                <w:rFonts w:hint="eastAsia" w:eastAsiaTheme="minorEastAsia"/>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Merge w:val="continue"/>
            <w:vAlign w:val="center"/>
          </w:tcPr>
          <w:p>
            <w:pPr>
              <w:pStyle w:val="21"/>
              <w:spacing w:after="0"/>
              <w:jc w:val="center"/>
              <w:rPr>
                <w:rFonts w:eastAsiaTheme="minorEastAsia"/>
                <w:kern w:val="0"/>
                <w:sz w:val="21"/>
                <w:szCs w:val="21"/>
              </w:rPr>
            </w:pPr>
          </w:p>
        </w:tc>
        <w:tc>
          <w:tcPr>
            <w:tcW w:w="714" w:type="pct"/>
            <w:vMerge w:val="continue"/>
            <w:vAlign w:val="center"/>
          </w:tcPr>
          <w:p>
            <w:pPr>
              <w:pStyle w:val="21"/>
              <w:spacing w:after="0"/>
              <w:jc w:val="center"/>
              <w:rPr>
                <w:rFonts w:eastAsiaTheme="minorEastAsia"/>
                <w:kern w:val="0"/>
                <w:sz w:val="21"/>
                <w:szCs w:val="21"/>
              </w:rPr>
            </w:pPr>
          </w:p>
        </w:tc>
        <w:tc>
          <w:tcPr>
            <w:tcW w:w="756" w:type="pct"/>
            <w:vAlign w:val="center"/>
          </w:tcPr>
          <w:p>
            <w:pPr>
              <w:pStyle w:val="21"/>
              <w:spacing w:after="0"/>
              <w:jc w:val="center"/>
              <w:rPr>
                <w:rFonts w:eastAsiaTheme="minorEastAsia"/>
                <w:kern w:val="0"/>
                <w:sz w:val="21"/>
                <w:szCs w:val="21"/>
              </w:rPr>
            </w:pPr>
            <w:r>
              <w:rPr>
                <w:rFonts w:hint="eastAsia"/>
                <w:spacing w:val="-5"/>
                <w:kern w:val="0"/>
                <w:sz w:val="21"/>
                <w:szCs w:val="21"/>
              </w:rPr>
              <w:t>0.55</w:t>
            </w:r>
          </w:p>
        </w:tc>
        <w:tc>
          <w:tcPr>
            <w:tcW w:w="756" w:type="pct"/>
            <w:gridSpan w:val="2"/>
            <w:vAlign w:val="center"/>
          </w:tcPr>
          <w:p>
            <w:pPr>
              <w:pStyle w:val="21"/>
              <w:spacing w:after="0"/>
              <w:jc w:val="center"/>
              <w:rPr>
                <w:rFonts w:eastAsiaTheme="minorEastAsia"/>
                <w:kern w:val="0"/>
                <w:sz w:val="21"/>
                <w:szCs w:val="21"/>
              </w:rPr>
            </w:pPr>
            <w:r>
              <w:rPr>
                <w:rFonts w:hint="eastAsia"/>
                <w:spacing w:val="-5"/>
                <w:kern w:val="0"/>
                <w:sz w:val="21"/>
                <w:szCs w:val="21"/>
              </w:rPr>
              <w:t>0.55</w:t>
            </w:r>
          </w:p>
        </w:tc>
        <w:tc>
          <w:tcPr>
            <w:tcW w:w="756" w:type="pct"/>
            <w:gridSpan w:val="2"/>
            <w:vAlign w:val="center"/>
          </w:tcPr>
          <w:p>
            <w:pPr>
              <w:pStyle w:val="21"/>
              <w:spacing w:after="0"/>
              <w:jc w:val="center"/>
              <w:rPr>
                <w:rFonts w:eastAsiaTheme="minorEastAsia"/>
                <w:kern w:val="0"/>
                <w:sz w:val="21"/>
                <w:szCs w:val="21"/>
              </w:rPr>
            </w:pPr>
            <w:r>
              <w:rPr>
                <w:rFonts w:hint="eastAsia"/>
                <w:spacing w:val="-5"/>
                <w:kern w:val="0"/>
                <w:sz w:val="21"/>
                <w:szCs w:val="21"/>
              </w:rPr>
              <w:t>0.53</w:t>
            </w:r>
          </w:p>
        </w:tc>
        <w:tc>
          <w:tcPr>
            <w:tcW w:w="756" w:type="pct"/>
            <w:vAlign w:val="center"/>
          </w:tcPr>
          <w:p>
            <w:pPr>
              <w:pStyle w:val="21"/>
              <w:spacing w:after="0"/>
              <w:jc w:val="center"/>
              <w:rPr>
                <w:rFonts w:eastAsiaTheme="minorEastAsia"/>
                <w:kern w:val="0"/>
                <w:sz w:val="21"/>
                <w:szCs w:val="21"/>
              </w:rPr>
            </w:pPr>
            <w:r>
              <w:rPr>
                <w:rFonts w:hint="eastAsia"/>
                <w:spacing w:val="-5"/>
                <w:kern w:val="0"/>
                <w:sz w:val="21"/>
                <w:szCs w:val="21"/>
              </w:rPr>
              <w:t>0.52</w:t>
            </w:r>
          </w:p>
        </w:tc>
        <w:tc>
          <w:tcPr>
            <w:tcW w:w="547" w:type="pct"/>
            <w:vMerge w:val="continue"/>
            <w:vAlign w:val="center"/>
          </w:tcPr>
          <w:p>
            <w:pPr>
              <w:pStyle w:val="21"/>
              <w:spacing w:after="0"/>
              <w:jc w:val="center"/>
              <w:rPr>
                <w:rFonts w:eastAsia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Merge w:val="continue"/>
            <w:vAlign w:val="center"/>
          </w:tcPr>
          <w:p>
            <w:pPr>
              <w:pStyle w:val="21"/>
              <w:spacing w:after="0"/>
              <w:jc w:val="center"/>
              <w:rPr>
                <w:rFonts w:eastAsiaTheme="minorEastAsia"/>
                <w:kern w:val="0"/>
                <w:sz w:val="21"/>
                <w:szCs w:val="21"/>
              </w:rPr>
            </w:pPr>
          </w:p>
        </w:tc>
        <w:tc>
          <w:tcPr>
            <w:tcW w:w="714" w:type="pct"/>
            <w:vMerge w:val="continue"/>
            <w:vAlign w:val="center"/>
          </w:tcPr>
          <w:p>
            <w:pPr>
              <w:pStyle w:val="21"/>
              <w:spacing w:after="0"/>
              <w:jc w:val="center"/>
              <w:rPr>
                <w:rFonts w:eastAsiaTheme="minorEastAsia"/>
                <w:kern w:val="0"/>
                <w:sz w:val="21"/>
                <w:szCs w:val="21"/>
              </w:rPr>
            </w:pPr>
          </w:p>
        </w:tc>
        <w:tc>
          <w:tcPr>
            <w:tcW w:w="756" w:type="pct"/>
            <w:vAlign w:val="center"/>
          </w:tcPr>
          <w:p>
            <w:pPr>
              <w:pStyle w:val="21"/>
              <w:spacing w:after="0"/>
              <w:jc w:val="center"/>
              <w:rPr>
                <w:rFonts w:eastAsiaTheme="minorEastAsia"/>
                <w:kern w:val="0"/>
                <w:sz w:val="21"/>
                <w:szCs w:val="21"/>
              </w:rPr>
            </w:pPr>
            <w:r>
              <w:rPr>
                <w:rFonts w:hint="eastAsia"/>
                <w:spacing w:val="-5"/>
                <w:kern w:val="0"/>
                <w:sz w:val="21"/>
                <w:szCs w:val="21"/>
              </w:rPr>
              <w:t>0.56</w:t>
            </w:r>
          </w:p>
        </w:tc>
        <w:tc>
          <w:tcPr>
            <w:tcW w:w="756" w:type="pct"/>
            <w:gridSpan w:val="2"/>
            <w:vAlign w:val="center"/>
          </w:tcPr>
          <w:p>
            <w:pPr>
              <w:pStyle w:val="21"/>
              <w:spacing w:after="0"/>
              <w:jc w:val="center"/>
              <w:rPr>
                <w:rFonts w:eastAsiaTheme="minorEastAsia"/>
                <w:kern w:val="0"/>
                <w:sz w:val="21"/>
                <w:szCs w:val="21"/>
              </w:rPr>
            </w:pPr>
            <w:r>
              <w:rPr>
                <w:rFonts w:hint="eastAsia"/>
                <w:spacing w:val="-5"/>
                <w:kern w:val="0"/>
                <w:sz w:val="21"/>
                <w:szCs w:val="21"/>
              </w:rPr>
              <w:t>0.50</w:t>
            </w:r>
          </w:p>
        </w:tc>
        <w:tc>
          <w:tcPr>
            <w:tcW w:w="756" w:type="pct"/>
            <w:gridSpan w:val="2"/>
            <w:vAlign w:val="center"/>
          </w:tcPr>
          <w:p>
            <w:pPr>
              <w:pStyle w:val="21"/>
              <w:spacing w:after="0"/>
              <w:jc w:val="center"/>
              <w:rPr>
                <w:rFonts w:eastAsiaTheme="minorEastAsia"/>
                <w:kern w:val="0"/>
                <w:sz w:val="21"/>
                <w:szCs w:val="21"/>
              </w:rPr>
            </w:pPr>
            <w:r>
              <w:rPr>
                <w:rFonts w:hint="eastAsia"/>
                <w:spacing w:val="-5"/>
                <w:kern w:val="0"/>
                <w:sz w:val="21"/>
                <w:szCs w:val="21"/>
              </w:rPr>
              <w:t>0.52</w:t>
            </w:r>
          </w:p>
        </w:tc>
        <w:tc>
          <w:tcPr>
            <w:tcW w:w="756" w:type="pct"/>
            <w:vAlign w:val="center"/>
          </w:tcPr>
          <w:p>
            <w:pPr>
              <w:pStyle w:val="21"/>
              <w:spacing w:after="0"/>
              <w:jc w:val="center"/>
              <w:rPr>
                <w:rFonts w:eastAsiaTheme="minorEastAsia"/>
                <w:kern w:val="0"/>
                <w:sz w:val="21"/>
                <w:szCs w:val="21"/>
              </w:rPr>
            </w:pPr>
            <w:r>
              <w:rPr>
                <w:rFonts w:hint="eastAsia"/>
                <w:spacing w:val="-5"/>
                <w:kern w:val="0"/>
                <w:sz w:val="21"/>
                <w:szCs w:val="21"/>
              </w:rPr>
              <w:t>0.50</w:t>
            </w:r>
          </w:p>
        </w:tc>
        <w:tc>
          <w:tcPr>
            <w:tcW w:w="547" w:type="pct"/>
            <w:vMerge w:val="continue"/>
            <w:vAlign w:val="center"/>
          </w:tcPr>
          <w:p>
            <w:pPr>
              <w:pStyle w:val="21"/>
              <w:spacing w:after="0"/>
              <w:jc w:val="center"/>
              <w:rPr>
                <w:rFonts w:eastAsiaTheme="minorEastAsia"/>
                <w:kern w:val="0"/>
                <w:sz w:val="21"/>
                <w:szCs w:val="21"/>
              </w:rPr>
            </w:pPr>
          </w:p>
        </w:tc>
      </w:tr>
    </w:tbl>
    <w:p>
      <w:pPr>
        <w:pStyle w:val="494"/>
        <w:ind w:firstLine="480"/>
      </w:pPr>
      <w:r>
        <w:rPr>
          <w:rFonts w:hint="eastAsia" w:cs="宋体"/>
        </w:rPr>
        <w:t>由监测结果可知，监测期间，厂界无组织废气中非甲烷总烃厂界浓度均满足《陆上石油天然气开采大气污染物排放标准》（GB39728-2020）中企业边界控制要求</w:t>
      </w:r>
      <w:r>
        <w:rPr>
          <w:rFonts w:hint="eastAsia"/>
        </w:rPr>
        <w:t>。</w:t>
      </w:r>
    </w:p>
    <w:p>
      <w:pPr>
        <w:pStyle w:val="5"/>
        <w:spacing w:before="120" w:after="120"/>
      </w:pPr>
      <w:bookmarkStart w:id="154" w:name="_Toc145580370"/>
      <w:r>
        <w:t>2.3.2废水</w:t>
      </w:r>
      <w:bookmarkEnd w:id="154"/>
    </w:p>
    <w:p>
      <w:pPr>
        <w:pStyle w:val="494"/>
        <w:ind w:firstLine="480"/>
      </w:pPr>
      <w:r>
        <w:rPr>
          <w:rFonts w:hint="eastAsia"/>
        </w:rPr>
        <w:t>现有项目</w:t>
      </w:r>
      <w:r>
        <w:t>生产废水经排污管线排入54m</w:t>
      </w:r>
      <w:r>
        <w:rPr>
          <w:vertAlign w:val="superscript"/>
        </w:rPr>
        <w:t>3</w:t>
      </w:r>
      <w:r>
        <w:t>的排污罐中，当罐内液位达到一定高度时，由排污泵输至罐车拉运至春风一号联合站处理达标后进行回注</w:t>
      </w:r>
      <w:r>
        <w:rPr>
          <w:rFonts w:hint="eastAsia"/>
        </w:rPr>
        <w:t>；</w:t>
      </w:r>
      <w:r>
        <w:t>生活污水排入化粪池，</w:t>
      </w:r>
      <w:r>
        <w:rPr>
          <w:rFonts w:hint="eastAsia"/>
        </w:rPr>
        <w:t>委托新疆诺客蒙鑫环境技术有限公司拉运处置</w:t>
      </w:r>
      <w:r>
        <w:t>。</w:t>
      </w:r>
    </w:p>
    <w:p>
      <w:pPr>
        <w:pStyle w:val="5"/>
        <w:spacing w:before="120" w:after="120"/>
      </w:pPr>
      <w:bookmarkStart w:id="155" w:name="_Toc145580371"/>
      <w:r>
        <w:t>2.3.3</w:t>
      </w:r>
      <w:r>
        <w:rPr>
          <w:rFonts w:hint="eastAsia"/>
        </w:rPr>
        <w:t>噪声</w:t>
      </w:r>
      <w:bookmarkEnd w:id="155"/>
    </w:p>
    <w:p>
      <w:pPr>
        <w:pStyle w:val="494"/>
        <w:ind w:firstLine="480"/>
      </w:pPr>
      <w:r>
        <w:rPr>
          <w:rFonts w:hint="eastAsia"/>
        </w:rPr>
        <w:t>现有项目</w:t>
      </w:r>
      <w:r>
        <w:rPr>
          <w:rFonts w:cs="Times New Roman"/>
        </w:rPr>
        <w:t>噪声源主要为压缩机、制冷机组、干燥塔、运输车辆、泵等噪声</w:t>
      </w:r>
      <w:r>
        <w:rPr>
          <w:rFonts w:hint="eastAsia" w:cs="Times New Roman"/>
        </w:rPr>
        <w:t>，根据验收监测数据，现有项目厂界噪声监测结果见下表。</w:t>
      </w:r>
    </w:p>
    <w:p>
      <w:pPr>
        <w:pStyle w:val="400"/>
        <w:ind w:firstLine="420"/>
      </w:pPr>
      <w:r>
        <w:t>表</w:t>
      </w:r>
      <w:r>
        <w:rPr>
          <w:rFonts w:hint="eastAsia"/>
        </w:rPr>
        <w:t>2.</w:t>
      </w:r>
      <w:r>
        <w:t>3-2</w:t>
      </w:r>
      <w:r>
        <w:rPr>
          <w:rFonts w:hint="eastAsia"/>
        </w:rPr>
        <w:t xml:space="preserve"> </w:t>
      </w:r>
      <w:r>
        <w:t xml:space="preserve">             </w:t>
      </w:r>
      <w:r>
        <w:rPr>
          <w:rFonts w:hint="eastAsia"/>
        </w:rPr>
        <w:t xml:space="preserve"> </w:t>
      </w:r>
      <w:r>
        <w:t xml:space="preserve">  </w:t>
      </w:r>
      <w:r>
        <w:rPr>
          <w:rFonts w:hint="eastAsia"/>
        </w:rPr>
        <w:t xml:space="preserve">现有工程噪声监测结果   </w:t>
      </w:r>
      <w:r>
        <w:t xml:space="preserve">          </w:t>
      </w:r>
      <w:r>
        <w:rPr>
          <w:rFonts w:hint="eastAsia"/>
        </w:rPr>
        <w:t>单位：dB（A）</w:t>
      </w: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023"/>
        <w:gridCol w:w="1416"/>
        <w:gridCol w:w="1896"/>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Align w:val="center"/>
          </w:tcPr>
          <w:p>
            <w:pPr>
              <w:pStyle w:val="21"/>
              <w:spacing w:after="0"/>
              <w:jc w:val="center"/>
              <w:rPr>
                <w:rFonts w:eastAsiaTheme="minorEastAsia"/>
                <w:kern w:val="0"/>
                <w:sz w:val="21"/>
                <w:szCs w:val="21"/>
              </w:rPr>
            </w:pPr>
            <w:r>
              <w:rPr>
                <w:rFonts w:hint="eastAsia" w:eastAsiaTheme="minorEastAsia"/>
                <w:kern w:val="0"/>
                <w:sz w:val="21"/>
                <w:szCs w:val="21"/>
              </w:rPr>
              <w:t>监测类型</w:t>
            </w:r>
          </w:p>
        </w:tc>
        <w:tc>
          <w:tcPr>
            <w:tcW w:w="2038" w:type="pct"/>
            <w:gridSpan w:val="2"/>
            <w:vAlign w:val="center"/>
          </w:tcPr>
          <w:p>
            <w:pPr>
              <w:pStyle w:val="21"/>
              <w:spacing w:after="0"/>
              <w:jc w:val="center"/>
              <w:rPr>
                <w:rFonts w:eastAsiaTheme="minorEastAsia"/>
                <w:kern w:val="0"/>
                <w:sz w:val="21"/>
                <w:szCs w:val="21"/>
              </w:rPr>
            </w:pPr>
            <w:r>
              <w:rPr>
                <w:rFonts w:hint="eastAsia" w:eastAsiaTheme="minorEastAsia"/>
                <w:kern w:val="0"/>
                <w:sz w:val="21"/>
                <w:szCs w:val="21"/>
              </w:rPr>
              <w:t>厂界噪声</w:t>
            </w: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监测性质</w:t>
            </w: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Merge w:val="restart"/>
            <w:vAlign w:val="center"/>
          </w:tcPr>
          <w:p>
            <w:pPr>
              <w:pStyle w:val="21"/>
              <w:spacing w:after="0"/>
              <w:jc w:val="center"/>
              <w:rPr>
                <w:rFonts w:eastAsiaTheme="minorEastAsia"/>
                <w:kern w:val="0"/>
                <w:sz w:val="21"/>
                <w:szCs w:val="21"/>
              </w:rPr>
            </w:pPr>
            <w:r>
              <w:rPr>
                <w:rFonts w:hint="eastAsia" w:eastAsiaTheme="minorEastAsia"/>
                <w:kern w:val="0"/>
                <w:sz w:val="21"/>
                <w:szCs w:val="21"/>
              </w:rPr>
              <w:t>气象参数</w:t>
            </w:r>
          </w:p>
        </w:tc>
        <w:tc>
          <w:tcPr>
            <w:tcW w:w="1199" w:type="pct"/>
            <w:vAlign w:val="center"/>
          </w:tcPr>
          <w:p>
            <w:pPr>
              <w:pStyle w:val="21"/>
              <w:spacing w:after="0"/>
              <w:jc w:val="center"/>
              <w:rPr>
                <w:rFonts w:eastAsiaTheme="minorEastAsia"/>
                <w:kern w:val="0"/>
                <w:sz w:val="21"/>
                <w:szCs w:val="21"/>
              </w:rPr>
            </w:pPr>
            <w:r>
              <w:rPr>
                <w:rFonts w:hint="eastAsia" w:eastAsiaTheme="minorEastAsia"/>
                <w:kern w:val="0"/>
                <w:sz w:val="21"/>
                <w:szCs w:val="21"/>
              </w:rPr>
              <w:t>天气状况</w:t>
            </w:r>
          </w:p>
        </w:tc>
        <w:tc>
          <w:tcPr>
            <w:tcW w:w="839" w:type="pct"/>
            <w:vAlign w:val="center"/>
          </w:tcPr>
          <w:p>
            <w:pPr>
              <w:pStyle w:val="21"/>
              <w:spacing w:after="0"/>
              <w:jc w:val="center"/>
              <w:rPr>
                <w:rFonts w:eastAsiaTheme="minorEastAsia"/>
                <w:kern w:val="0"/>
                <w:sz w:val="21"/>
                <w:szCs w:val="21"/>
              </w:rPr>
            </w:pPr>
            <w:r>
              <w:rPr>
                <w:rFonts w:hint="eastAsia" w:eastAsiaTheme="minorEastAsia"/>
                <w:kern w:val="0"/>
                <w:sz w:val="21"/>
                <w:szCs w:val="21"/>
              </w:rPr>
              <w:t>晴</w:t>
            </w: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风速（m/s）</w:t>
            </w: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2</w:t>
            </w:r>
            <w:r>
              <w:rPr>
                <w:rFonts w:eastAsiaTheme="minorEastAsia"/>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Merge w:val="continue"/>
            <w:vAlign w:val="center"/>
          </w:tcPr>
          <w:p>
            <w:pPr>
              <w:pStyle w:val="21"/>
              <w:spacing w:after="0"/>
              <w:jc w:val="center"/>
              <w:rPr>
                <w:rFonts w:eastAsiaTheme="minorEastAsia"/>
                <w:kern w:val="0"/>
                <w:sz w:val="21"/>
                <w:szCs w:val="21"/>
              </w:rPr>
            </w:pPr>
          </w:p>
        </w:tc>
        <w:tc>
          <w:tcPr>
            <w:tcW w:w="1199" w:type="pct"/>
            <w:vAlign w:val="center"/>
          </w:tcPr>
          <w:p>
            <w:pPr>
              <w:pStyle w:val="21"/>
              <w:spacing w:after="0"/>
              <w:jc w:val="center"/>
              <w:rPr>
                <w:rFonts w:eastAsiaTheme="minorEastAsia"/>
                <w:kern w:val="0"/>
                <w:sz w:val="21"/>
                <w:szCs w:val="21"/>
              </w:rPr>
            </w:pPr>
            <w:r>
              <w:rPr>
                <w:rFonts w:hint="eastAsia" w:eastAsiaTheme="minorEastAsia"/>
                <w:kern w:val="0"/>
                <w:sz w:val="21"/>
                <w:szCs w:val="21"/>
              </w:rPr>
              <w:t>天气状况</w:t>
            </w:r>
          </w:p>
        </w:tc>
        <w:tc>
          <w:tcPr>
            <w:tcW w:w="839" w:type="pct"/>
            <w:vAlign w:val="center"/>
          </w:tcPr>
          <w:p>
            <w:pPr>
              <w:pStyle w:val="21"/>
              <w:spacing w:after="0"/>
              <w:jc w:val="center"/>
              <w:rPr>
                <w:rFonts w:eastAsiaTheme="minorEastAsia"/>
                <w:kern w:val="0"/>
                <w:sz w:val="21"/>
                <w:szCs w:val="21"/>
              </w:rPr>
            </w:pPr>
            <w:r>
              <w:rPr>
                <w:rFonts w:hint="eastAsia" w:eastAsiaTheme="minorEastAsia"/>
                <w:kern w:val="0"/>
                <w:sz w:val="21"/>
                <w:szCs w:val="21"/>
              </w:rPr>
              <w:t>晴</w:t>
            </w: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风速（m/s）</w:t>
            </w:r>
          </w:p>
        </w:tc>
        <w:tc>
          <w:tcPr>
            <w:tcW w:w="1124" w:type="pct"/>
            <w:vAlign w:val="center"/>
          </w:tcPr>
          <w:p>
            <w:pPr>
              <w:pStyle w:val="21"/>
              <w:spacing w:after="0"/>
              <w:jc w:val="center"/>
              <w:rPr>
                <w:rFonts w:eastAsiaTheme="minorEastAsia"/>
                <w:kern w:val="0"/>
                <w:sz w:val="21"/>
                <w:szCs w:val="21"/>
              </w:rPr>
            </w:pPr>
            <w:r>
              <w:rPr>
                <w:rFonts w:eastAsiaTheme="minorEastAsia"/>
                <w:kern w:val="0"/>
                <w:sz w:val="21"/>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13" w:type="pct"/>
            <w:gridSpan w:val="2"/>
            <w:vAlign w:val="center"/>
          </w:tcPr>
          <w:p>
            <w:pPr>
              <w:pStyle w:val="21"/>
              <w:spacing w:after="0"/>
              <w:jc w:val="center"/>
              <w:rPr>
                <w:rFonts w:eastAsiaTheme="minorEastAsia"/>
                <w:kern w:val="0"/>
                <w:sz w:val="21"/>
                <w:szCs w:val="21"/>
              </w:rPr>
            </w:pPr>
            <w:r>
              <w:rPr>
                <w:rFonts w:hint="eastAsia" w:eastAsiaTheme="minorEastAsia"/>
                <w:kern w:val="0"/>
                <w:sz w:val="21"/>
                <w:szCs w:val="21"/>
              </w:rPr>
              <w:t>监测点位名称</w:t>
            </w:r>
          </w:p>
        </w:tc>
        <w:tc>
          <w:tcPr>
            <w:tcW w:w="839" w:type="pct"/>
            <w:vAlign w:val="center"/>
          </w:tcPr>
          <w:p>
            <w:pPr>
              <w:pStyle w:val="21"/>
              <w:spacing w:after="0"/>
              <w:jc w:val="center"/>
              <w:rPr>
                <w:rFonts w:eastAsiaTheme="minorEastAsia"/>
                <w:kern w:val="0"/>
                <w:sz w:val="21"/>
                <w:szCs w:val="21"/>
              </w:rPr>
            </w:pPr>
            <w:r>
              <w:rPr>
                <w:rFonts w:hint="eastAsia" w:eastAsiaTheme="minorEastAsia"/>
                <w:kern w:val="0"/>
                <w:sz w:val="21"/>
                <w:szCs w:val="21"/>
              </w:rPr>
              <w:t>监测日期</w:t>
            </w: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昼间监测值</w:t>
            </w: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夜间监测值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13" w:type="pct"/>
            <w:gridSpan w:val="2"/>
            <w:vAlign w:val="center"/>
          </w:tcPr>
          <w:p>
            <w:pPr>
              <w:pStyle w:val="21"/>
              <w:spacing w:after="0"/>
              <w:jc w:val="center"/>
              <w:rPr>
                <w:kern w:val="0"/>
                <w:sz w:val="21"/>
                <w:szCs w:val="21"/>
              </w:rPr>
            </w:pPr>
            <w:r>
              <w:rPr>
                <w:kern w:val="0"/>
                <w:sz w:val="21"/>
                <w:szCs w:val="21"/>
              </w:rPr>
              <w:t>1</w:t>
            </w:r>
            <w:r>
              <w:rPr>
                <w:rFonts w:hint="eastAsia"/>
                <w:kern w:val="0"/>
                <w:sz w:val="21"/>
                <w:szCs w:val="21"/>
              </w:rPr>
              <w:t>#</w:t>
            </w:r>
            <w:r>
              <w:rPr>
                <w:rFonts w:ascii="宋体" w:hAnsi="宋体"/>
                <w:kern w:val="0"/>
                <w:sz w:val="21"/>
                <w:szCs w:val="21"/>
              </w:rPr>
              <w:t xml:space="preserve">  </w:t>
            </w:r>
            <w:r>
              <w:rPr>
                <w:rFonts w:hint="eastAsia"/>
                <w:kern w:val="0"/>
                <w:sz w:val="21"/>
                <w:szCs w:val="21"/>
              </w:rPr>
              <w:t>项目区东侧厂界外1</w:t>
            </w:r>
            <w:r>
              <w:rPr>
                <w:kern w:val="0"/>
                <w:sz w:val="21"/>
                <w:szCs w:val="21"/>
              </w:rPr>
              <w:t>m</w:t>
            </w:r>
          </w:p>
        </w:tc>
        <w:tc>
          <w:tcPr>
            <w:tcW w:w="839" w:type="pct"/>
            <w:vMerge w:val="restart"/>
            <w:vAlign w:val="center"/>
          </w:tcPr>
          <w:p>
            <w:pPr>
              <w:pStyle w:val="21"/>
              <w:spacing w:after="0"/>
              <w:jc w:val="center"/>
              <w:rPr>
                <w:rFonts w:eastAsiaTheme="minorEastAsia"/>
                <w:kern w:val="0"/>
                <w:sz w:val="21"/>
                <w:szCs w:val="21"/>
              </w:rPr>
            </w:pPr>
            <w:r>
              <w:rPr>
                <w:rFonts w:hint="eastAsia" w:eastAsiaTheme="minorEastAsia"/>
                <w:kern w:val="0"/>
                <w:sz w:val="21"/>
                <w:szCs w:val="21"/>
              </w:rPr>
              <w:t>2</w:t>
            </w:r>
            <w:r>
              <w:rPr>
                <w:rFonts w:eastAsiaTheme="minorEastAsia"/>
                <w:kern w:val="0"/>
                <w:sz w:val="21"/>
                <w:szCs w:val="21"/>
              </w:rPr>
              <w:t>023.3.12</w:t>
            </w: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4</w:t>
            </w:r>
            <w:r>
              <w:rPr>
                <w:rFonts w:eastAsiaTheme="minorEastAsia"/>
                <w:kern w:val="0"/>
                <w:sz w:val="21"/>
                <w:szCs w:val="21"/>
              </w:rPr>
              <w:t>6</w:t>
            </w: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3</w:t>
            </w:r>
            <w:r>
              <w:rPr>
                <w:rFonts w:eastAsiaTheme="minorEastAsia"/>
                <w:kern w:val="0"/>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13" w:type="pct"/>
            <w:gridSpan w:val="2"/>
            <w:vAlign w:val="center"/>
          </w:tcPr>
          <w:p>
            <w:pPr>
              <w:pStyle w:val="21"/>
              <w:spacing w:after="0"/>
              <w:jc w:val="center"/>
              <w:rPr>
                <w:kern w:val="0"/>
                <w:sz w:val="21"/>
                <w:szCs w:val="21"/>
              </w:rPr>
            </w:pPr>
            <w:r>
              <w:rPr>
                <w:kern w:val="0"/>
                <w:sz w:val="21"/>
                <w:szCs w:val="21"/>
              </w:rPr>
              <w:t>2</w:t>
            </w:r>
            <w:r>
              <w:rPr>
                <w:rFonts w:hint="eastAsia"/>
                <w:kern w:val="0"/>
                <w:sz w:val="21"/>
                <w:szCs w:val="21"/>
              </w:rPr>
              <w:t>#</w:t>
            </w:r>
            <w:r>
              <w:rPr>
                <w:rFonts w:ascii="宋体" w:hAnsi="宋体"/>
                <w:kern w:val="0"/>
                <w:sz w:val="21"/>
                <w:szCs w:val="21"/>
              </w:rPr>
              <w:t xml:space="preserve">  </w:t>
            </w:r>
            <w:r>
              <w:rPr>
                <w:rFonts w:hint="eastAsia"/>
                <w:kern w:val="0"/>
                <w:sz w:val="21"/>
                <w:szCs w:val="21"/>
              </w:rPr>
              <w:t>项目区南侧厂界外1</w:t>
            </w:r>
            <w:r>
              <w:rPr>
                <w:kern w:val="0"/>
                <w:sz w:val="21"/>
                <w:szCs w:val="21"/>
              </w:rPr>
              <w:t>m</w:t>
            </w:r>
          </w:p>
        </w:tc>
        <w:tc>
          <w:tcPr>
            <w:tcW w:w="839" w:type="pct"/>
            <w:vMerge w:val="continue"/>
            <w:vAlign w:val="center"/>
          </w:tcPr>
          <w:p>
            <w:pPr>
              <w:pStyle w:val="21"/>
              <w:spacing w:after="0"/>
              <w:jc w:val="center"/>
              <w:rPr>
                <w:rFonts w:eastAsiaTheme="minorEastAsia"/>
                <w:kern w:val="0"/>
                <w:sz w:val="21"/>
                <w:szCs w:val="21"/>
              </w:rPr>
            </w:pP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4</w:t>
            </w:r>
            <w:r>
              <w:rPr>
                <w:rFonts w:eastAsiaTheme="minorEastAsia"/>
                <w:kern w:val="0"/>
                <w:sz w:val="21"/>
                <w:szCs w:val="21"/>
              </w:rPr>
              <w:t>6</w:t>
            </w:r>
          </w:p>
        </w:tc>
        <w:tc>
          <w:tcPr>
            <w:tcW w:w="1124" w:type="pct"/>
            <w:vAlign w:val="center"/>
          </w:tcPr>
          <w:p>
            <w:pPr>
              <w:pStyle w:val="21"/>
              <w:spacing w:after="0"/>
              <w:jc w:val="center"/>
              <w:rPr>
                <w:rFonts w:eastAsiaTheme="minorEastAsia"/>
                <w:kern w:val="0"/>
                <w:sz w:val="21"/>
                <w:szCs w:val="21"/>
              </w:rPr>
            </w:pPr>
            <w:r>
              <w:rPr>
                <w:rFonts w:eastAsiaTheme="minorEastAsia"/>
                <w:kern w:val="0"/>
                <w:sz w:val="21"/>
                <w:szCs w:val="21"/>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13" w:type="pct"/>
            <w:gridSpan w:val="2"/>
            <w:vAlign w:val="center"/>
          </w:tcPr>
          <w:p>
            <w:pPr>
              <w:pStyle w:val="21"/>
              <w:spacing w:after="0"/>
              <w:jc w:val="center"/>
              <w:rPr>
                <w:kern w:val="0"/>
                <w:sz w:val="21"/>
                <w:szCs w:val="21"/>
              </w:rPr>
            </w:pPr>
            <w:r>
              <w:rPr>
                <w:kern w:val="0"/>
                <w:sz w:val="21"/>
                <w:szCs w:val="21"/>
              </w:rPr>
              <w:t>3</w:t>
            </w:r>
            <w:r>
              <w:rPr>
                <w:rFonts w:hint="eastAsia"/>
                <w:kern w:val="0"/>
                <w:sz w:val="21"/>
                <w:szCs w:val="21"/>
              </w:rPr>
              <w:t>#</w:t>
            </w:r>
            <w:r>
              <w:rPr>
                <w:rFonts w:ascii="宋体" w:hAnsi="宋体"/>
                <w:kern w:val="0"/>
                <w:sz w:val="21"/>
                <w:szCs w:val="21"/>
              </w:rPr>
              <w:t xml:space="preserve">  </w:t>
            </w:r>
            <w:r>
              <w:rPr>
                <w:rFonts w:hint="eastAsia"/>
                <w:kern w:val="0"/>
                <w:sz w:val="21"/>
                <w:szCs w:val="21"/>
              </w:rPr>
              <w:t>项目区西侧厂界外1</w:t>
            </w:r>
            <w:r>
              <w:rPr>
                <w:kern w:val="0"/>
                <w:sz w:val="21"/>
                <w:szCs w:val="21"/>
              </w:rPr>
              <w:t>m</w:t>
            </w:r>
          </w:p>
        </w:tc>
        <w:tc>
          <w:tcPr>
            <w:tcW w:w="839" w:type="pct"/>
            <w:vMerge w:val="continue"/>
            <w:vAlign w:val="center"/>
          </w:tcPr>
          <w:p>
            <w:pPr>
              <w:pStyle w:val="21"/>
              <w:spacing w:after="0"/>
              <w:jc w:val="center"/>
              <w:rPr>
                <w:rFonts w:eastAsiaTheme="minorEastAsia"/>
                <w:kern w:val="0"/>
                <w:sz w:val="21"/>
                <w:szCs w:val="21"/>
              </w:rPr>
            </w:pP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4</w:t>
            </w:r>
            <w:r>
              <w:rPr>
                <w:rFonts w:eastAsiaTheme="minorEastAsia"/>
                <w:kern w:val="0"/>
                <w:sz w:val="21"/>
                <w:szCs w:val="21"/>
              </w:rPr>
              <w:t>7</w:t>
            </w: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4</w:t>
            </w:r>
            <w:r>
              <w:rPr>
                <w:rFonts w:eastAsiaTheme="minorEastAsia"/>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13" w:type="pct"/>
            <w:gridSpan w:val="2"/>
            <w:vAlign w:val="center"/>
          </w:tcPr>
          <w:p>
            <w:pPr>
              <w:pStyle w:val="21"/>
              <w:spacing w:after="0"/>
              <w:jc w:val="center"/>
              <w:rPr>
                <w:kern w:val="0"/>
                <w:sz w:val="21"/>
                <w:szCs w:val="21"/>
              </w:rPr>
            </w:pPr>
            <w:r>
              <w:rPr>
                <w:kern w:val="0"/>
                <w:sz w:val="21"/>
                <w:szCs w:val="21"/>
              </w:rPr>
              <w:t>4#</w:t>
            </w:r>
            <w:r>
              <w:rPr>
                <w:rFonts w:ascii="宋体" w:hAnsi="宋体"/>
                <w:kern w:val="0"/>
                <w:sz w:val="21"/>
                <w:szCs w:val="21"/>
              </w:rPr>
              <w:t xml:space="preserve">  </w:t>
            </w:r>
            <w:r>
              <w:rPr>
                <w:rFonts w:hint="eastAsia"/>
                <w:kern w:val="0"/>
                <w:sz w:val="21"/>
                <w:szCs w:val="21"/>
              </w:rPr>
              <w:t>项目区北侧厂界外1</w:t>
            </w:r>
            <w:r>
              <w:rPr>
                <w:kern w:val="0"/>
                <w:sz w:val="21"/>
                <w:szCs w:val="21"/>
              </w:rPr>
              <w:t>m</w:t>
            </w:r>
          </w:p>
        </w:tc>
        <w:tc>
          <w:tcPr>
            <w:tcW w:w="839" w:type="pct"/>
            <w:vMerge w:val="continue"/>
            <w:vAlign w:val="center"/>
          </w:tcPr>
          <w:p>
            <w:pPr>
              <w:pStyle w:val="21"/>
              <w:spacing w:after="0"/>
              <w:jc w:val="center"/>
              <w:rPr>
                <w:rFonts w:eastAsiaTheme="minorEastAsia"/>
                <w:kern w:val="0"/>
                <w:sz w:val="21"/>
                <w:szCs w:val="21"/>
              </w:rPr>
            </w:pP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4</w:t>
            </w:r>
            <w:r>
              <w:rPr>
                <w:rFonts w:eastAsiaTheme="minorEastAsia"/>
                <w:kern w:val="0"/>
                <w:sz w:val="21"/>
                <w:szCs w:val="21"/>
              </w:rPr>
              <w:t>6</w:t>
            </w: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4</w:t>
            </w:r>
            <w:r>
              <w:rPr>
                <w:rFonts w:eastAsiaTheme="minorEastAsia"/>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13" w:type="pct"/>
            <w:gridSpan w:val="2"/>
            <w:vAlign w:val="center"/>
          </w:tcPr>
          <w:p>
            <w:pPr>
              <w:pStyle w:val="21"/>
              <w:spacing w:after="0"/>
              <w:jc w:val="center"/>
              <w:rPr>
                <w:rFonts w:eastAsiaTheme="minorEastAsia"/>
                <w:kern w:val="0"/>
                <w:sz w:val="21"/>
                <w:szCs w:val="21"/>
              </w:rPr>
            </w:pPr>
            <w:r>
              <w:rPr>
                <w:kern w:val="0"/>
                <w:sz w:val="21"/>
                <w:szCs w:val="21"/>
              </w:rPr>
              <w:t>1</w:t>
            </w:r>
            <w:r>
              <w:rPr>
                <w:rFonts w:hint="eastAsia"/>
                <w:kern w:val="0"/>
                <w:sz w:val="21"/>
                <w:szCs w:val="21"/>
              </w:rPr>
              <w:t>#</w:t>
            </w:r>
            <w:r>
              <w:rPr>
                <w:rFonts w:ascii="宋体" w:hAnsi="宋体"/>
                <w:kern w:val="0"/>
                <w:sz w:val="21"/>
                <w:szCs w:val="21"/>
              </w:rPr>
              <w:t xml:space="preserve">  </w:t>
            </w:r>
            <w:r>
              <w:rPr>
                <w:rFonts w:hint="eastAsia"/>
                <w:kern w:val="0"/>
                <w:sz w:val="21"/>
                <w:szCs w:val="21"/>
              </w:rPr>
              <w:t>项目区东侧厂界外1</w:t>
            </w:r>
            <w:r>
              <w:rPr>
                <w:kern w:val="0"/>
                <w:sz w:val="21"/>
                <w:szCs w:val="21"/>
              </w:rPr>
              <w:t>m</w:t>
            </w:r>
          </w:p>
        </w:tc>
        <w:tc>
          <w:tcPr>
            <w:tcW w:w="839" w:type="pct"/>
            <w:vMerge w:val="restart"/>
            <w:vAlign w:val="center"/>
          </w:tcPr>
          <w:p>
            <w:pPr>
              <w:pStyle w:val="21"/>
              <w:spacing w:after="0"/>
              <w:jc w:val="center"/>
              <w:rPr>
                <w:rFonts w:eastAsiaTheme="minorEastAsia"/>
                <w:kern w:val="0"/>
                <w:sz w:val="21"/>
                <w:szCs w:val="21"/>
              </w:rPr>
            </w:pPr>
            <w:r>
              <w:rPr>
                <w:rFonts w:hint="eastAsia" w:eastAsiaTheme="minorEastAsia"/>
                <w:kern w:val="0"/>
                <w:sz w:val="21"/>
                <w:szCs w:val="21"/>
              </w:rPr>
              <w:t>2</w:t>
            </w:r>
            <w:r>
              <w:rPr>
                <w:rFonts w:eastAsiaTheme="minorEastAsia"/>
                <w:kern w:val="0"/>
                <w:sz w:val="21"/>
                <w:szCs w:val="21"/>
              </w:rPr>
              <w:t>023.3.13</w:t>
            </w: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4</w:t>
            </w:r>
            <w:r>
              <w:rPr>
                <w:rFonts w:eastAsiaTheme="minorEastAsia"/>
                <w:kern w:val="0"/>
                <w:sz w:val="21"/>
                <w:szCs w:val="21"/>
              </w:rPr>
              <w:t>5</w:t>
            </w: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4</w:t>
            </w:r>
            <w:r>
              <w:rPr>
                <w:rFonts w:eastAsiaTheme="minorEastAsia"/>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13" w:type="pct"/>
            <w:gridSpan w:val="2"/>
            <w:vAlign w:val="center"/>
          </w:tcPr>
          <w:p>
            <w:pPr>
              <w:pStyle w:val="21"/>
              <w:spacing w:after="0"/>
              <w:jc w:val="center"/>
              <w:rPr>
                <w:rFonts w:eastAsiaTheme="minorEastAsia"/>
                <w:kern w:val="0"/>
                <w:sz w:val="21"/>
                <w:szCs w:val="21"/>
              </w:rPr>
            </w:pPr>
            <w:r>
              <w:rPr>
                <w:kern w:val="0"/>
                <w:sz w:val="21"/>
                <w:szCs w:val="21"/>
              </w:rPr>
              <w:t>2</w:t>
            </w:r>
            <w:r>
              <w:rPr>
                <w:rFonts w:hint="eastAsia"/>
                <w:kern w:val="0"/>
                <w:sz w:val="21"/>
                <w:szCs w:val="21"/>
              </w:rPr>
              <w:t>#</w:t>
            </w:r>
            <w:r>
              <w:rPr>
                <w:rFonts w:ascii="宋体" w:hAnsi="宋体"/>
                <w:kern w:val="0"/>
                <w:sz w:val="21"/>
                <w:szCs w:val="21"/>
              </w:rPr>
              <w:t xml:space="preserve">  </w:t>
            </w:r>
            <w:r>
              <w:rPr>
                <w:rFonts w:hint="eastAsia"/>
                <w:kern w:val="0"/>
                <w:sz w:val="21"/>
                <w:szCs w:val="21"/>
              </w:rPr>
              <w:t>项目区南侧厂界外1</w:t>
            </w:r>
            <w:r>
              <w:rPr>
                <w:kern w:val="0"/>
                <w:sz w:val="21"/>
                <w:szCs w:val="21"/>
              </w:rPr>
              <w:t>m</w:t>
            </w:r>
          </w:p>
        </w:tc>
        <w:tc>
          <w:tcPr>
            <w:tcW w:w="839" w:type="pct"/>
            <w:vMerge w:val="continue"/>
            <w:vAlign w:val="center"/>
          </w:tcPr>
          <w:p>
            <w:pPr>
              <w:pStyle w:val="21"/>
              <w:spacing w:after="0"/>
              <w:jc w:val="center"/>
              <w:rPr>
                <w:rFonts w:eastAsiaTheme="minorEastAsia"/>
                <w:kern w:val="0"/>
                <w:sz w:val="21"/>
                <w:szCs w:val="21"/>
              </w:rPr>
            </w:pP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4</w:t>
            </w:r>
            <w:r>
              <w:rPr>
                <w:rFonts w:eastAsiaTheme="minorEastAsia"/>
                <w:kern w:val="0"/>
                <w:sz w:val="21"/>
                <w:szCs w:val="21"/>
              </w:rPr>
              <w:t>6</w:t>
            </w: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4</w:t>
            </w:r>
            <w:r>
              <w:rPr>
                <w:rFonts w:eastAsiaTheme="minorEastAsia"/>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13" w:type="pct"/>
            <w:gridSpan w:val="2"/>
            <w:vAlign w:val="center"/>
          </w:tcPr>
          <w:p>
            <w:pPr>
              <w:pStyle w:val="21"/>
              <w:spacing w:after="0"/>
              <w:jc w:val="center"/>
              <w:rPr>
                <w:rFonts w:eastAsiaTheme="minorEastAsia"/>
                <w:kern w:val="0"/>
                <w:sz w:val="21"/>
                <w:szCs w:val="21"/>
              </w:rPr>
            </w:pPr>
            <w:r>
              <w:rPr>
                <w:kern w:val="0"/>
                <w:sz w:val="21"/>
                <w:szCs w:val="21"/>
              </w:rPr>
              <w:t>3</w:t>
            </w:r>
            <w:r>
              <w:rPr>
                <w:rFonts w:hint="eastAsia"/>
                <w:kern w:val="0"/>
                <w:sz w:val="21"/>
                <w:szCs w:val="21"/>
              </w:rPr>
              <w:t>#</w:t>
            </w:r>
            <w:r>
              <w:rPr>
                <w:rFonts w:ascii="宋体" w:hAnsi="宋体"/>
                <w:kern w:val="0"/>
                <w:sz w:val="21"/>
                <w:szCs w:val="21"/>
              </w:rPr>
              <w:t xml:space="preserve">  </w:t>
            </w:r>
            <w:r>
              <w:rPr>
                <w:rFonts w:hint="eastAsia"/>
                <w:kern w:val="0"/>
                <w:sz w:val="21"/>
                <w:szCs w:val="21"/>
              </w:rPr>
              <w:t>项目区西侧厂界外1</w:t>
            </w:r>
            <w:r>
              <w:rPr>
                <w:kern w:val="0"/>
                <w:sz w:val="21"/>
                <w:szCs w:val="21"/>
              </w:rPr>
              <w:t>m</w:t>
            </w:r>
          </w:p>
        </w:tc>
        <w:tc>
          <w:tcPr>
            <w:tcW w:w="839" w:type="pct"/>
            <w:vMerge w:val="continue"/>
            <w:vAlign w:val="center"/>
          </w:tcPr>
          <w:p>
            <w:pPr>
              <w:pStyle w:val="21"/>
              <w:spacing w:after="0"/>
              <w:jc w:val="center"/>
              <w:rPr>
                <w:rFonts w:eastAsiaTheme="minorEastAsia"/>
                <w:kern w:val="0"/>
                <w:sz w:val="21"/>
                <w:szCs w:val="21"/>
              </w:rPr>
            </w:pP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4</w:t>
            </w:r>
            <w:r>
              <w:rPr>
                <w:rFonts w:eastAsiaTheme="minorEastAsia"/>
                <w:kern w:val="0"/>
                <w:sz w:val="21"/>
                <w:szCs w:val="21"/>
              </w:rPr>
              <w:t>7</w:t>
            </w: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4</w:t>
            </w:r>
            <w:r>
              <w:rPr>
                <w:rFonts w:eastAsiaTheme="minorEastAsia"/>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13" w:type="pct"/>
            <w:gridSpan w:val="2"/>
            <w:vAlign w:val="center"/>
          </w:tcPr>
          <w:p>
            <w:pPr>
              <w:pStyle w:val="21"/>
              <w:spacing w:after="0"/>
              <w:jc w:val="center"/>
              <w:rPr>
                <w:rFonts w:eastAsiaTheme="minorEastAsia"/>
                <w:kern w:val="0"/>
                <w:sz w:val="21"/>
                <w:szCs w:val="21"/>
              </w:rPr>
            </w:pPr>
            <w:r>
              <w:rPr>
                <w:kern w:val="0"/>
                <w:sz w:val="21"/>
                <w:szCs w:val="21"/>
              </w:rPr>
              <w:t>4#</w:t>
            </w:r>
            <w:r>
              <w:rPr>
                <w:rFonts w:ascii="宋体" w:hAnsi="宋体"/>
                <w:kern w:val="0"/>
                <w:sz w:val="21"/>
                <w:szCs w:val="21"/>
              </w:rPr>
              <w:t xml:space="preserve">  </w:t>
            </w:r>
            <w:r>
              <w:rPr>
                <w:rFonts w:hint="eastAsia"/>
                <w:kern w:val="0"/>
                <w:sz w:val="21"/>
                <w:szCs w:val="21"/>
              </w:rPr>
              <w:t>项目区北侧厂界外1</w:t>
            </w:r>
            <w:r>
              <w:rPr>
                <w:kern w:val="0"/>
                <w:sz w:val="21"/>
                <w:szCs w:val="21"/>
              </w:rPr>
              <w:t>m</w:t>
            </w:r>
          </w:p>
        </w:tc>
        <w:tc>
          <w:tcPr>
            <w:tcW w:w="839" w:type="pct"/>
            <w:vMerge w:val="continue"/>
            <w:vAlign w:val="center"/>
          </w:tcPr>
          <w:p>
            <w:pPr>
              <w:pStyle w:val="21"/>
              <w:spacing w:after="0"/>
              <w:jc w:val="center"/>
              <w:rPr>
                <w:rFonts w:eastAsiaTheme="minorEastAsia"/>
                <w:kern w:val="0"/>
                <w:sz w:val="21"/>
                <w:szCs w:val="21"/>
              </w:rPr>
            </w:pP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4</w:t>
            </w:r>
            <w:r>
              <w:rPr>
                <w:rFonts w:eastAsiaTheme="minorEastAsia"/>
                <w:kern w:val="0"/>
                <w:sz w:val="21"/>
                <w:szCs w:val="21"/>
              </w:rPr>
              <w:t>7</w:t>
            </w: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4</w:t>
            </w:r>
            <w:r>
              <w:rPr>
                <w:rFonts w:eastAsiaTheme="minorEastAsia"/>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13" w:type="pct"/>
            <w:gridSpan w:val="2"/>
            <w:vAlign w:val="center"/>
          </w:tcPr>
          <w:p>
            <w:pPr>
              <w:pStyle w:val="21"/>
              <w:spacing w:after="0"/>
              <w:jc w:val="center"/>
              <w:rPr>
                <w:rFonts w:eastAsiaTheme="minorEastAsia"/>
                <w:kern w:val="0"/>
                <w:sz w:val="21"/>
                <w:szCs w:val="21"/>
              </w:rPr>
            </w:pPr>
            <w:r>
              <w:rPr>
                <w:rFonts w:hint="eastAsia" w:eastAsiaTheme="minorEastAsia"/>
                <w:kern w:val="0"/>
                <w:sz w:val="21"/>
                <w:szCs w:val="21"/>
              </w:rPr>
              <w:t>标准值</w:t>
            </w:r>
          </w:p>
        </w:tc>
        <w:tc>
          <w:tcPr>
            <w:tcW w:w="839" w:type="pct"/>
            <w:vAlign w:val="center"/>
          </w:tcPr>
          <w:p>
            <w:pPr>
              <w:pStyle w:val="21"/>
              <w:spacing w:after="0"/>
              <w:jc w:val="center"/>
              <w:rPr>
                <w:rFonts w:eastAsiaTheme="minorEastAsia"/>
                <w:kern w:val="0"/>
                <w:sz w:val="21"/>
                <w:szCs w:val="21"/>
              </w:rPr>
            </w:pPr>
            <w:r>
              <w:rPr>
                <w:rFonts w:hint="eastAsia" w:eastAsiaTheme="minorEastAsia"/>
                <w:kern w:val="0"/>
                <w:sz w:val="21"/>
                <w:szCs w:val="21"/>
              </w:rPr>
              <w:t>/</w:t>
            </w:r>
          </w:p>
        </w:tc>
        <w:tc>
          <w:tcPr>
            <w:tcW w:w="1124" w:type="pct"/>
            <w:vAlign w:val="center"/>
          </w:tcPr>
          <w:p>
            <w:pPr>
              <w:pStyle w:val="21"/>
              <w:spacing w:after="0"/>
              <w:jc w:val="center"/>
              <w:rPr>
                <w:rFonts w:eastAsiaTheme="minorEastAsia"/>
                <w:kern w:val="0"/>
                <w:sz w:val="21"/>
                <w:szCs w:val="21"/>
              </w:rPr>
            </w:pPr>
            <w:r>
              <w:rPr>
                <w:rFonts w:eastAsiaTheme="minorEastAsia"/>
                <w:kern w:val="0"/>
                <w:sz w:val="21"/>
                <w:szCs w:val="21"/>
              </w:rPr>
              <w:t>60</w:t>
            </w:r>
          </w:p>
        </w:tc>
        <w:tc>
          <w:tcPr>
            <w:tcW w:w="1124" w:type="pct"/>
            <w:vAlign w:val="center"/>
          </w:tcPr>
          <w:p>
            <w:pPr>
              <w:pStyle w:val="21"/>
              <w:spacing w:after="0"/>
              <w:jc w:val="center"/>
              <w:rPr>
                <w:rFonts w:eastAsiaTheme="minorEastAsia"/>
                <w:kern w:val="0"/>
                <w:sz w:val="21"/>
                <w:szCs w:val="21"/>
              </w:rPr>
            </w:pPr>
            <w:r>
              <w:rPr>
                <w:rFonts w:hint="eastAsia" w:eastAsiaTheme="minorEastAsia"/>
                <w:kern w:val="0"/>
                <w:sz w:val="21"/>
                <w:szCs w:val="21"/>
              </w:rPr>
              <w:t>5</w:t>
            </w:r>
            <w:r>
              <w:rPr>
                <w:rFonts w:eastAsiaTheme="minorEastAsia"/>
                <w:kern w:val="0"/>
                <w:sz w:val="21"/>
                <w:szCs w:val="21"/>
              </w:rPr>
              <w:t>0</w:t>
            </w:r>
          </w:p>
        </w:tc>
      </w:tr>
    </w:tbl>
    <w:p>
      <w:pPr>
        <w:pStyle w:val="494"/>
        <w:ind w:firstLine="480"/>
      </w:pPr>
      <w:r>
        <w:rPr>
          <w:rFonts w:hint="eastAsia"/>
          <w:bCs/>
        </w:rPr>
        <w:t>由监测结果可知，监测期间，</w:t>
      </w:r>
      <w:r>
        <w:rPr>
          <w:rFonts w:hint="eastAsia"/>
        </w:rPr>
        <w:t>各监测点昼夜间噪声监测值均符合《工业企业厂界环境噪声排放标准》（GB12348-2008）中</w:t>
      </w:r>
      <w:r>
        <w:t>2</w:t>
      </w:r>
      <w:r>
        <w:rPr>
          <w:rFonts w:hint="eastAsia"/>
        </w:rPr>
        <w:t>类标准限值要求。</w:t>
      </w:r>
    </w:p>
    <w:p>
      <w:pPr>
        <w:pStyle w:val="5"/>
        <w:spacing w:before="120" w:after="120"/>
      </w:pPr>
      <w:bookmarkStart w:id="156" w:name="_Toc145580372"/>
      <w:r>
        <w:t>2.3.4</w:t>
      </w:r>
      <w:r>
        <w:rPr>
          <w:rFonts w:hint="eastAsia"/>
        </w:rPr>
        <w:t>固体废物</w:t>
      </w:r>
      <w:bookmarkEnd w:id="156"/>
    </w:p>
    <w:p>
      <w:pPr>
        <w:pStyle w:val="494"/>
        <w:ind w:firstLine="480"/>
        <w:rPr>
          <w:bCs/>
        </w:rPr>
      </w:pPr>
      <w:r>
        <w:rPr>
          <w:rFonts w:hint="eastAsia"/>
          <w:bCs/>
        </w:rPr>
        <w:t>根据建设单位提供资料，现有项目各项固体废物产生量详见下表。</w:t>
      </w:r>
    </w:p>
    <w:p>
      <w:pPr>
        <w:pStyle w:val="400"/>
        <w:ind w:firstLine="420"/>
      </w:pPr>
      <w:r>
        <w:t>表</w:t>
      </w:r>
      <w:r>
        <w:rPr>
          <w:rFonts w:hint="eastAsia"/>
        </w:rPr>
        <w:t>2</w:t>
      </w:r>
      <w:r>
        <w:t>.3</w:t>
      </w:r>
      <w:r>
        <w:rPr>
          <w:rFonts w:hint="eastAsia"/>
        </w:rPr>
        <w:t>-</w:t>
      </w:r>
      <w:r>
        <w:t xml:space="preserve">3             </w:t>
      </w:r>
      <w:r>
        <w:rPr>
          <w:rFonts w:hint="eastAsia"/>
        </w:rPr>
        <w:t>现有工程固体废物产生情况</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276"/>
        <w:gridCol w:w="1276"/>
        <w:gridCol w:w="1276"/>
        <w:gridCol w:w="3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pPr>
              <w:pStyle w:val="687"/>
              <w:rPr>
                <w:lang w:eastAsia="zh-CN"/>
              </w:rPr>
            </w:pPr>
            <w:r>
              <w:rPr>
                <w:rFonts w:hint="eastAsia"/>
                <w:lang w:eastAsia="zh-CN"/>
              </w:rPr>
              <w:t>类别</w:t>
            </w:r>
          </w:p>
        </w:tc>
        <w:tc>
          <w:tcPr>
            <w:tcW w:w="756" w:type="pct"/>
            <w:vAlign w:val="center"/>
          </w:tcPr>
          <w:p>
            <w:pPr>
              <w:pStyle w:val="687"/>
              <w:rPr>
                <w:lang w:eastAsia="zh-CN"/>
              </w:rPr>
            </w:pPr>
            <w:r>
              <w:rPr>
                <w:rFonts w:hint="eastAsia"/>
                <w:lang w:eastAsia="zh-CN"/>
              </w:rPr>
              <w:t>名称</w:t>
            </w:r>
          </w:p>
        </w:tc>
        <w:tc>
          <w:tcPr>
            <w:tcW w:w="756" w:type="pct"/>
            <w:vAlign w:val="center"/>
          </w:tcPr>
          <w:p>
            <w:pPr>
              <w:pStyle w:val="687"/>
              <w:rPr>
                <w:lang w:eastAsia="zh-CN"/>
              </w:rPr>
            </w:pPr>
            <w:r>
              <w:rPr>
                <w:rFonts w:hint="eastAsia"/>
                <w:lang w:eastAsia="zh-CN"/>
              </w:rPr>
              <w:t>单位</w:t>
            </w:r>
          </w:p>
        </w:tc>
        <w:tc>
          <w:tcPr>
            <w:tcW w:w="756" w:type="pct"/>
            <w:vAlign w:val="center"/>
          </w:tcPr>
          <w:p>
            <w:pPr>
              <w:pStyle w:val="687"/>
              <w:rPr>
                <w:lang w:eastAsia="zh-CN"/>
              </w:rPr>
            </w:pPr>
            <w:r>
              <w:rPr>
                <w:rFonts w:hint="eastAsia"/>
                <w:lang w:eastAsia="zh-CN"/>
              </w:rPr>
              <w:t>排放量</w:t>
            </w:r>
          </w:p>
        </w:tc>
        <w:tc>
          <w:tcPr>
            <w:tcW w:w="2247" w:type="pct"/>
            <w:vAlign w:val="center"/>
          </w:tcPr>
          <w:p>
            <w:pPr>
              <w:pStyle w:val="687"/>
              <w:rPr>
                <w:lang w:eastAsia="zh-CN"/>
              </w:rPr>
            </w:pPr>
            <w:r>
              <w:rPr>
                <w:rFonts w:hint="eastAsia"/>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restart"/>
            <w:vAlign w:val="center"/>
          </w:tcPr>
          <w:p>
            <w:pPr>
              <w:pStyle w:val="687"/>
              <w:rPr>
                <w:lang w:eastAsia="zh-CN"/>
              </w:rPr>
            </w:pPr>
            <w:r>
              <w:rPr>
                <w:rFonts w:hint="eastAsia"/>
                <w:lang w:eastAsia="zh-CN"/>
              </w:rPr>
              <w:t>固体废物</w:t>
            </w:r>
          </w:p>
        </w:tc>
        <w:tc>
          <w:tcPr>
            <w:tcW w:w="756" w:type="pct"/>
            <w:vAlign w:val="center"/>
          </w:tcPr>
          <w:p>
            <w:pPr>
              <w:pStyle w:val="687"/>
              <w:rPr>
                <w:lang w:eastAsia="zh-CN"/>
              </w:rPr>
            </w:pPr>
            <w:r>
              <w:rPr>
                <w:rFonts w:hint="eastAsia"/>
                <w:lang w:eastAsia="zh-CN"/>
              </w:rPr>
              <w:t>废分子筛</w:t>
            </w:r>
          </w:p>
        </w:tc>
        <w:tc>
          <w:tcPr>
            <w:tcW w:w="756" w:type="pct"/>
            <w:vAlign w:val="center"/>
          </w:tcPr>
          <w:p>
            <w:pPr>
              <w:pStyle w:val="687"/>
              <w:rPr>
                <w:lang w:eastAsia="zh-CN"/>
              </w:rPr>
            </w:pPr>
            <w:r>
              <w:rPr>
                <w:rFonts w:hint="eastAsia"/>
              </w:rPr>
              <w:t>t/a</w:t>
            </w:r>
          </w:p>
        </w:tc>
        <w:tc>
          <w:tcPr>
            <w:tcW w:w="756" w:type="pct"/>
            <w:vAlign w:val="center"/>
          </w:tcPr>
          <w:p>
            <w:pPr>
              <w:pStyle w:val="687"/>
              <w:rPr>
                <w:lang w:eastAsia="zh-CN"/>
              </w:rPr>
            </w:pPr>
            <w:r>
              <w:rPr>
                <w:rFonts w:hint="eastAsia"/>
                <w:lang w:eastAsia="zh-CN"/>
              </w:rPr>
              <w:t>0</w:t>
            </w:r>
          </w:p>
        </w:tc>
        <w:tc>
          <w:tcPr>
            <w:tcW w:w="2247" w:type="pct"/>
            <w:vMerge w:val="restart"/>
            <w:vAlign w:val="center"/>
          </w:tcPr>
          <w:p>
            <w:pPr>
              <w:pStyle w:val="687"/>
              <w:rPr>
                <w:lang w:eastAsia="zh-CN"/>
              </w:rPr>
            </w:pPr>
            <w:r>
              <w:rPr>
                <w:rFonts w:hint="eastAsia"/>
                <w:lang w:eastAsia="zh-CN"/>
              </w:rPr>
              <w:t>企业目前运行时间较短，暂未产生，待产生后交由新疆诺客蒙鑫环境技术有限公司进行处置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pStyle w:val="687"/>
              <w:rPr>
                <w:lang w:eastAsia="zh-CN"/>
              </w:rPr>
            </w:pPr>
          </w:p>
        </w:tc>
        <w:tc>
          <w:tcPr>
            <w:tcW w:w="756" w:type="pct"/>
            <w:vAlign w:val="center"/>
          </w:tcPr>
          <w:p>
            <w:pPr>
              <w:pStyle w:val="687"/>
              <w:rPr>
                <w:lang w:eastAsia="zh-CN"/>
              </w:rPr>
            </w:pPr>
            <w:r>
              <w:rPr>
                <w:rFonts w:hint="eastAsia"/>
                <w:lang w:eastAsia="zh-CN"/>
              </w:rPr>
              <w:t>废润滑油</w:t>
            </w:r>
          </w:p>
        </w:tc>
        <w:tc>
          <w:tcPr>
            <w:tcW w:w="756" w:type="pct"/>
            <w:vAlign w:val="center"/>
          </w:tcPr>
          <w:p>
            <w:pPr>
              <w:pStyle w:val="687"/>
            </w:pPr>
            <w:r>
              <w:rPr>
                <w:rFonts w:hint="eastAsia"/>
                <w:lang w:eastAsia="zh-CN"/>
              </w:rPr>
              <w:t>t/a</w:t>
            </w:r>
          </w:p>
        </w:tc>
        <w:tc>
          <w:tcPr>
            <w:tcW w:w="756" w:type="pct"/>
            <w:vAlign w:val="center"/>
          </w:tcPr>
          <w:p>
            <w:pPr>
              <w:pStyle w:val="687"/>
              <w:rPr>
                <w:lang w:eastAsia="zh-CN"/>
              </w:rPr>
            </w:pPr>
            <w:r>
              <w:rPr>
                <w:rFonts w:hint="eastAsia"/>
                <w:lang w:eastAsia="zh-CN"/>
              </w:rPr>
              <w:t>0</w:t>
            </w:r>
          </w:p>
        </w:tc>
        <w:tc>
          <w:tcPr>
            <w:tcW w:w="2247" w:type="pct"/>
            <w:vMerge w:val="continue"/>
            <w:vAlign w:val="center"/>
          </w:tcPr>
          <w:p>
            <w:pPr>
              <w:pStyle w:val="687"/>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pStyle w:val="687"/>
            </w:pPr>
          </w:p>
        </w:tc>
        <w:tc>
          <w:tcPr>
            <w:tcW w:w="756" w:type="pct"/>
            <w:vAlign w:val="center"/>
          </w:tcPr>
          <w:p>
            <w:pPr>
              <w:pStyle w:val="687"/>
            </w:pPr>
            <w:r>
              <w:rPr>
                <w:rFonts w:hint="eastAsia"/>
              </w:rPr>
              <w:t>生活垃圾</w:t>
            </w:r>
          </w:p>
        </w:tc>
        <w:tc>
          <w:tcPr>
            <w:tcW w:w="756" w:type="pct"/>
            <w:vAlign w:val="center"/>
          </w:tcPr>
          <w:p>
            <w:pPr>
              <w:pStyle w:val="687"/>
            </w:pPr>
            <w:r>
              <w:rPr>
                <w:rFonts w:hint="eastAsia"/>
              </w:rPr>
              <w:t>t/a</w:t>
            </w:r>
          </w:p>
        </w:tc>
        <w:tc>
          <w:tcPr>
            <w:tcW w:w="756" w:type="pct"/>
            <w:vAlign w:val="center"/>
          </w:tcPr>
          <w:p>
            <w:pPr>
              <w:pStyle w:val="687"/>
              <w:rPr>
                <w:lang w:eastAsia="zh-CN"/>
              </w:rPr>
            </w:pPr>
            <w:r>
              <w:rPr>
                <w:rFonts w:hint="eastAsia"/>
                <w:lang w:eastAsia="zh-CN"/>
              </w:rPr>
              <w:t>1</w:t>
            </w:r>
            <w:r>
              <w:rPr>
                <w:lang w:eastAsia="zh-CN"/>
              </w:rPr>
              <w:t>.98</w:t>
            </w:r>
          </w:p>
        </w:tc>
        <w:tc>
          <w:tcPr>
            <w:tcW w:w="2247" w:type="pct"/>
            <w:vAlign w:val="center"/>
          </w:tcPr>
          <w:p>
            <w:pPr>
              <w:pStyle w:val="687"/>
              <w:rPr>
                <w:lang w:eastAsia="zh-CN"/>
              </w:rPr>
            </w:pPr>
            <w:r>
              <w:rPr>
                <w:lang w:eastAsia="zh-CN"/>
              </w:rPr>
              <w:t>生活垃圾集中收集由当地环卫部门处置</w:t>
            </w:r>
          </w:p>
        </w:tc>
      </w:tr>
    </w:tbl>
    <w:p>
      <w:pPr>
        <w:pStyle w:val="4"/>
        <w:spacing w:before="120" w:after="120"/>
      </w:pPr>
      <w:bookmarkStart w:id="157" w:name="_Toc145580373"/>
      <w:bookmarkStart w:id="158" w:name="_Toc107500327"/>
      <w:r>
        <w:rPr>
          <w:rFonts w:hint="eastAsia"/>
        </w:rPr>
        <w:t>2.</w:t>
      </w:r>
      <w:r>
        <w:t xml:space="preserve">4 </w:t>
      </w:r>
      <w:r>
        <w:rPr>
          <w:rFonts w:hint="eastAsia"/>
        </w:rPr>
        <w:t>主要污染物排放及</w:t>
      </w:r>
      <w:r>
        <w:t>排污许可</w:t>
      </w:r>
      <w:r>
        <w:rPr>
          <w:rFonts w:hint="eastAsia"/>
        </w:rPr>
        <w:t>手续执行情况</w:t>
      </w:r>
      <w:bookmarkEnd w:id="157"/>
      <w:bookmarkEnd w:id="158"/>
    </w:p>
    <w:p>
      <w:pPr>
        <w:pStyle w:val="494"/>
        <w:ind w:firstLine="480"/>
      </w:pPr>
      <w:r>
        <w:rPr>
          <w:rFonts w:hint="eastAsia"/>
        </w:rPr>
        <w:t>根据查阅资料</w:t>
      </w:r>
      <w:r>
        <w:t>，</w:t>
      </w:r>
      <w:r>
        <w:rPr>
          <w:rFonts w:hint="eastAsia"/>
        </w:rPr>
        <w:t>新疆天安鑫业油气技术服务有限公司</w:t>
      </w:r>
      <w:r>
        <w:t>已取得</w:t>
      </w:r>
      <w:r>
        <w:rPr>
          <w:rFonts w:hint="eastAsia"/>
        </w:rPr>
        <w:t>排污登记回执</w:t>
      </w:r>
      <w:r>
        <w:t>（</w:t>
      </w:r>
      <w:r>
        <w:rPr>
          <w:rFonts w:hint="eastAsia"/>
        </w:rPr>
        <w:t>登记</w:t>
      </w:r>
      <w:r>
        <w:t>编号：91652302MA794THH6T001X</w:t>
      </w:r>
      <w:r>
        <w:rPr>
          <w:rFonts w:hint="eastAsia"/>
        </w:rPr>
        <w:t>，</w:t>
      </w:r>
      <w:r>
        <w:t>有效期限：</w:t>
      </w:r>
      <w:r>
        <w:rPr>
          <w:rFonts w:hint="eastAsia"/>
        </w:rPr>
        <w:t>自202</w:t>
      </w:r>
      <w:r>
        <w:t>3</w:t>
      </w:r>
      <w:r>
        <w:rPr>
          <w:rFonts w:hint="eastAsia"/>
        </w:rPr>
        <w:t>年3月</w:t>
      </w:r>
      <w:r>
        <w:t>9</w:t>
      </w:r>
      <w:r>
        <w:rPr>
          <w:rFonts w:hint="eastAsia"/>
        </w:rPr>
        <w:t>日</w:t>
      </w:r>
      <w:r>
        <w:t>至</w:t>
      </w:r>
      <w:r>
        <w:rPr>
          <w:rFonts w:hint="eastAsia"/>
        </w:rPr>
        <w:t>202</w:t>
      </w:r>
      <w:r>
        <w:t>8</w:t>
      </w:r>
      <w:r>
        <w:rPr>
          <w:rFonts w:hint="eastAsia"/>
        </w:rPr>
        <w:t>年3月8日止</w:t>
      </w:r>
      <w:r>
        <w:t>）。</w:t>
      </w:r>
    </w:p>
    <w:p>
      <w:pPr>
        <w:pStyle w:val="494"/>
        <w:ind w:firstLine="480"/>
      </w:pPr>
      <w:r>
        <w:rPr>
          <w:rFonts w:hint="eastAsia"/>
        </w:rPr>
        <w:t>根据</w:t>
      </w:r>
      <w:r>
        <w:rPr>
          <w:bCs/>
        </w:rPr>
        <w:t>《关于</w:t>
      </w:r>
      <w:r>
        <w:rPr>
          <w:rFonts w:hint="eastAsia"/>
        </w:rPr>
        <w:t>新疆天安鑫业油气技术服务有限公司董701区块零散天然气回收项目</w:t>
      </w:r>
      <w:r>
        <w:rPr>
          <w:bCs/>
        </w:rPr>
        <w:t>环境影响报告书的批复》（昌州环评[2021]155号）</w:t>
      </w:r>
      <w:r>
        <w:rPr>
          <w:rFonts w:hint="eastAsia"/>
          <w:bCs/>
        </w:rPr>
        <w:t>，总量指标为S</w:t>
      </w:r>
      <w:r>
        <w:rPr>
          <w:bCs/>
        </w:rPr>
        <w:t>O</w:t>
      </w:r>
      <w:r>
        <w:rPr>
          <w:bCs/>
          <w:vertAlign w:val="subscript"/>
        </w:rPr>
        <w:t>2</w:t>
      </w:r>
      <w:r>
        <w:rPr>
          <w:rFonts w:hint="eastAsia"/>
          <w:bCs/>
        </w:rPr>
        <w:t>:</w:t>
      </w:r>
      <w:r>
        <w:rPr>
          <w:bCs/>
        </w:rPr>
        <w:t>0.58</w:t>
      </w:r>
      <w:r>
        <w:rPr>
          <w:rFonts w:hint="eastAsia"/>
          <w:bCs/>
        </w:rPr>
        <w:t>t/a，N</w:t>
      </w:r>
      <w:r>
        <w:rPr>
          <w:bCs/>
        </w:rPr>
        <w:t>O</w:t>
      </w:r>
      <w:r>
        <w:rPr>
          <w:rFonts w:hint="eastAsia"/>
          <w:bCs/>
        </w:rPr>
        <w:t>x：</w:t>
      </w:r>
      <w:r>
        <w:rPr>
          <w:bCs/>
        </w:rPr>
        <w:t>1.12</w:t>
      </w:r>
      <w:r>
        <w:rPr>
          <w:rFonts w:hint="eastAsia"/>
          <w:bCs/>
        </w:rPr>
        <w:t>t/a。因燃气发电机组停用，因此不会产生二氧化硫及氮氧化物。</w:t>
      </w:r>
      <w:r>
        <w:rPr>
          <w:rFonts w:hint="eastAsia"/>
        </w:rPr>
        <w:t>根据建设单位提供资料，现有工程污染物排放情况详见表2.</w:t>
      </w:r>
      <w:r>
        <w:t>4</w:t>
      </w:r>
      <w:r>
        <w:rPr>
          <w:rFonts w:hint="eastAsia"/>
        </w:rPr>
        <w:t>-1。</w:t>
      </w:r>
    </w:p>
    <w:p>
      <w:pPr>
        <w:pStyle w:val="400"/>
        <w:ind w:firstLine="420"/>
      </w:pPr>
      <w:r>
        <w:t>表</w:t>
      </w:r>
      <w:r>
        <w:rPr>
          <w:rFonts w:hint="eastAsia"/>
        </w:rPr>
        <w:t>2.</w:t>
      </w:r>
      <w:r>
        <w:t>4</w:t>
      </w:r>
      <w:r>
        <w:rPr>
          <w:rFonts w:hint="eastAsia"/>
        </w:rPr>
        <w:t xml:space="preserve">-1   </w:t>
      </w:r>
      <w:r>
        <w:t xml:space="preserve">             </w:t>
      </w:r>
      <w:r>
        <w:rPr>
          <w:rFonts w:hint="eastAsia"/>
        </w:rPr>
        <w:t xml:space="preserve"> </w:t>
      </w:r>
      <w:r>
        <w:t xml:space="preserve">  </w:t>
      </w:r>
      <w:r>
        <w:rPr>
          <w:rFonts w:hint="eastAsia"/>
        </w:rPr>
        <w:t>现有工程污染物排放情况一览表</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129"/>
        <w:gridCol w:w="2117"/>
        <w:gridCol w:w="1981"/>
        <w:gridCol w:w="2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002" w:type="pct"/>
            <w:gridSpan w:val="2"/>
            <w:tcBorders>
              <w:top w:val="single" w:color="auto" w:sz="4" w:space="0"/>
              <w:left w:val="single" w:color="auto" w:sz="4" w:space="0"/>
              <w:bottom w:val="single" w:color="auto" w:sz="4" w:space="0"/>
              <w:right w:val="single" w:color="auto" w:sz="4" w:space="0"/>
            </w:tcBorders>
            <w:vAlign w:val="center"/>
          </w:tcPr>
          <w:p>
            <w:pPr>
              <w:pStyle w:val="687"/>
            </w:pPr>
            <w:r>
              <w:rPr>
                <w:rFonts w:hint="eastAsia"/>
              </w:rPr>
              <w:t>类别</w:t>
            </w:r>
          </w:p>
        </w:tc>
        <w:tc>
          <w:tcPr>
            <w:tcW w:w="1255" w:type="pct"/>
            <w:tcBorders>
              <w:top w:val="single" w:color="auto" w:sz="4" w:space="0"/>
              <w:left w:val="nil"/>
              <w:bottom w:val="single" w:color="auto" w:sz="4" w:space="0"/>
              <w:right w:val="single" w:color="auto" w:sz="4" w:space="0"/>
            </w:tcBorders>
            <w:vAlign w:val="center"/>
          </w:tcPr>
          <w:p>
            <w:pPr>
              <w:pStyle w:val="687"/>
            </w:pPr>
            <w:r>
              <w:rPr>
                <w:rFonts w:hint="eastAsia"/>
              </w:rPr>
              <w:t>污染物</w:t>
            </w:r>
          </w:p>
        </w:tc>
        <w:tc>
          <w:tcPr>
            <w:tcW w:w="1174" w:type="pct"/>
            <w:tcBorders>
              <w:top w:val="single" w:color="auto" w:sz="4" w:space="0"/>
              <w:left w:val="nil"/>
              <w:bottom w:val="single" w:color="auto" w:sz="4" w:space="0"/>
              <w:right w:val="single" w:color="auto" w:sz="4" w:space="0"/>
            </w:tcBorders>
            <w:vAlign w:val="center"/>
          </w:tcPr>
          <w:p>
            <w:pPr>
              <w:pStyle w:val="687"/>
            </w:pPr>
            <w:r>
              <w:rPr>
                <w:rFonts w:hint="eastAsia"/>
              </w:rPr>
              <w:t>单位</w:t>
            </w:r>
          </w:p>
        </w:tc>
        <w:tc>
          <w:tcPr>
            <w:tcW w:w="1569" w:type="pct"/>
            <w:tcBorders>
              <w:top w:val="single" w:color="auto" w:sz="4" w:space="0"/>
              <w:left w:val="nil"/>
              <w:bottom w:val="single" w:color="auto" w:sz="4" w:space="0"/>
              <w:right w:val="single" w:color="auto" w:sz="4" w:space="0"/>
            </w:tcBorders>
            <w:vAlign w:val="center"/>
          </w:tcPr>
          <w:p>
            <w:pPr>
              <w:pStyle w:val="687"/>
            </w:pPr>
            <w:r>
              <w:rPr>
                <w:rFonts w:hint="eastAsia"/>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2" w:type="pct"/>
            <w:gridSpan w:val="2"/>
            <w:tcBorders>
              <w:top w:val="nil"/>
              <w:left w:val="single" w:color="auto" w:sz="4" w:space="0"/>
              <w:right w:val="single" w:color="auto" w:sz="4" w:space="0"/>
            </w:tcBorders>
            <w:vAlign w:val="center"/>
          </w:tcPr>
          <w:p>
            <w:pPr>
              <w:pStyle w:val="687"/>
            </w:pPr>
            <w:r>
              <w:rPr>
                <w:rFonts w:hint="eastAsia"/>
              </w:rPr>
              <w:t>废气</w:t>
            </w:r>
          </w:p>
        </w:tc>
        <w:tc>
          <w:tcPr>
            <w:tcW w:w="1255" w:type="pct"/>
            <w:tcBorders>
              <w:top w:val="single" w:color="auto" w:sz="4" w:space="0"/>
              <w:left w:val="nil"/>
              <w:bottom w:val="single" w:color="auto" w:sz="4" w:space="0"/>
              <w:right w:val="single" w:color="auto" w:sz="4" w:space="0"/>
            </w:tcBorders>
            <w:vAlign w:val="center"/>
          </w:tcPr>
          <w:p>
            <w:pPr>
              <w:pStyle w:val="687"/>
              <w:rPr>
                <w:lang w:eastAsia="zh-CN"/>
              </w:rPr>
            </w:pPr>
            <w:r>
              <w:rPr>
                <w:rFonts w:hint="eastAsia"/>
                <w:lang w:eastAsia="zh-CN"/>
              </w:rPr>
              <w:t>非甲烷总烃</w:t>
            </w:r>
          </w:p>
        </w:tc>
        <w:tc>
          <w:tcPr>
            <w:tcW w:w="1174" w:type="pct"/>
            <w:tcBorders>
              <w:top w:val="single" w:color="auto" w:sz="4" w:space="0"/>
              <w:left w:val="nil"/>
              <w:bottom w:val="single" w:color="auto" w:sz="4" w:space="0"/>
              <w:right w:val="single" w:color="auto" w:sz="4" w:space="0"/>
            </w:tcBorders>
            <w:vAlign w:val="center"/>
          </w:tcPr>
          <w:p>
            <w:pPr>
              <w:pStyle w:val="687"/>
            </w:pPr>
            <w:r>
              <w:rPr>
                <w:rFonts w:hint="eastAsia"/>
              </w:rPr>
              <w:t>t/a</w:t>
            </w:r>
          </w:p>
        </w:tc>
        <w:tc>
          <w:tcPr>
            <w:tcW w:w="1569" w:type="pct"/>
            <w:tcBorders>
              <w:top w:val="single" w:color="auto" w:sz="4" w:space="0"/>
              <w:left w:val="nil"/>
              <w:bottom w:val="single" w:color="auto" w:sz="4" w:space="0"/>
              <w:right w:val="single" w:color="auto" w:sz="4" w:space="0"/>
            </w:tcBorders>
            <w:vAlign w:val="center"/>
          </w:tcPr>
          <w:p>
            <w:pPr>
              <w:pStyle w:val="687"/>
              <w:rPr>
                <w:lang w:eastAsia="zh-CN"/>
              </w:rPr>
            </w:pPr>
            <w:r>
              <w:rPr>
                <w:rFonts w:hint="eastAsia"/>
                <w:lang w:eastAsia="zh-CN"/>
              </w:rPr>
              <w:t>0</w:t>
            </w:r>
            <w:r>
              <w:rPr>
                <w:lang w:eastAsia="zh-CN"/>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restart"/>
            <w:tcBorders>
              <w:top w:val="nil"/>
              <w:left w:val="single" w:color="auto" w:sz="4" w:space="0"/>
              <w:bottom w:val="single" w:color="auto" w:sz="4" w:space="0"/>
              <w:right w:val="single" w:color="auto" w:sz="4" w:space="0"/>
            </w:tcBorders>
            <w:vAlign w:val="center"/>
          </w:tcPr>
          <w:p>
            <w:pPr>
              <w:pStyle w:val="687"/>
            </w:pPr>
            <w:r>
              <w:rPr>
                <w:rFonts w:hint="eastAsia"/>
              </w:rPr>
              <w:t>废水</w:t>
            </w:r>
          </w:p>
        </w:tc>
        <w:tc>
          <w:tcPr>
            <w:tcW w:w="669" w:type="pct"/>
            <w:tcBorders>
              <w:top w:val="nil"/>
              <w:left w:val="nil"/>
              <w:bottom w:val="single" w:color="auto" w:sz="4" w:space="0"/>
              <w:right w:val="single" w:color="auto" w:sz="4" w:space="0"/>
            </w:tcBorders>
            <w:vAlign w:val="center"/>
          </w:tcPr>
          <w:p>
            <w:pPr>
              <w:pStyle w:val="687"/>
            </w:pPr>
            <w:r>
              <w:rPr>
                <w:rFonts w:hint="eastAsia"/>
              </w:rPr>
              <w:t>生活污水</w:t>
            </w:r>
          </w:p>
        </w:tc>
        <w:tc>
          <w:tcPr>
            <w:tcW w:w="1255" w:type="pct"/>
            <w:tcBorders>
              <w:top w:val="single" w:color="auto" w:sz="4" w:space="0"/>
              <w:left w:val="nil"/>
              <w:bottom w:val="single" w:color="auto" w:sz="4" w:space="0"/>
              <w:right w:val="single" w:color="auto" w:sz="4" w:space="0"/>
            </w:tcBorders>
            <w:vAlign w:val="center"/>
          </w:tcPr>
          <w:p>
            <w:pPr>
              <w:pStyle w:val="687"/>
              <w:rPr>
                <w:lang w:eastAsia="zh-CN"/>
              </w:rPr>
            </w:pPr>
            <w:r>
              <w:rPr>
                <w:rFonts w:hint="eastAsia"/>
                <w:lang w:eastAsia="zh-CN"/>
              </w:rPr>
              <w:t>生活污水</w:t>
            </w:r>
          </w:p>
        </w:tc>
        <w:tc>
          <w:tcPr>
            <w:tcW w:w="1174" w:type="pct"/>
            <w:tcBorders>
              <w:top w:val="single" w:color="auto" w:sz="4" w:space="0"/>
              <w:left w:val="nil"/>
              <w:bottom w:val="single" w:color="auto" w:sz="4" w:space="0"/>
              <w:right w:val="single" w:color="auto" w:sz="4" w:space="0"/>
            </w:tcBorders>
            <w:vAlign w:val="center"/>
          </w:tcPr>
          <w:p>
            <w:pPr>
              <w:pStyle w:val="687"/>
            </w:pPr>
            <w:r>
              <w:t>t</w:t>
            </w:r>
            <w:r>
              <w:rPr>
                <w:rFonts w:hint="eastAsia"/>
              </w:rPr>
              <w:t>/a</w:t>
            </w:r>
          </w:p>
        </w:tc>
        <w:tc>
          <w:tcPr>
            <w:tcW w:w="1569" w:type="pct"/>
            <w:tcBorders>
              <w:top w:val="single" w:color="auto" w:sz="4" w:space="0"/>
              <w:left w:val="nil"/>
              <w:bottom w:val="single" w:color="auto" w:sz="4" w:space="0"/>
              <w:right w:val="single" w:color="auto" w:sz="4" w:space="0"/>
            </w:tcBorders>
            <w:vAlign w:val="center"/>
          </w:tcPr>
          <w:p>
            <w:pPr>
              <w:pStyle w:val="687"/>
              <w:rPr>
                <w:lang w:eastAsia="zh-CN"/>
              </w:rPr>
            </w:pPr>
            <w:r>
              <w:rPr>
                <w:lang w:eastAsia="zh-CN"/>
              </w:rPr>
              <w:t>158.4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continue"/>
            <w:tcBorders>
              <w:top w:val="nil"/>
              <w:left w:val="single" w:color="auto" w:sz="4" w:space="0"/>
              <w:bottom w:val="single" w:color="auto" w:sz="4" w:space="0"/>
              <w:right w:val="single" w:color="auto" w:sz="4" w:space="0"/>
            </w:tcBorders>
            <w:vAlign w:val="center"/>
          </w:tcPr>
          <w:p>
            <w:pPr>
              <w:pStyle w:val="687"/>
            </w:pPr>
          </w:p>
        </w:tc>
        <w:tc>
          <w:tcPr>
            <w:tcW w:w="669" w:type="pct"/>
            <w:tcBorders>
              <w:top w:val="single" w:color="auto" w:sz="4" w:space="0"/>
              <w:left w:val="nil"/>
              <w:bottom w:val="single" w:color="auto" w:sz="4" w:space="0"/>
              <w:right w:val="single" w:color="auto" w:sz="4" w:space="0"/>
            </w:tcBorders>
            <w:vAlign w:val="center"/>
          </w:tcPr>
          <w:p>
            <w:pPr>
              <w:pStyle w:val="687"/>
            </w:pPr>
            <w:r>
              <w:rPr>
                <w:rFonts w:hint="eastAsia"/>
              </w:rPr>
              <w:t>生产废水</w:t>
            </w:r>
          </w:p>
        </w:tc>
        <w:tc>
          <w:tcPr>
            <w:tcW w:w="1255" w:type="pct"/>
            <w:tcBorders>
              <w:top w:val="single" w:color="auto" w:sz="4" w:space="0"/>
              <w:left w:val="nil"/>
              <w:bottom w:val="single" w:color="auto" w:sz="4" w:space="0"/>
              <w:right w:val="single" w:color="auto" w:sz="4" w:space="0"/>
            </w:tcBorders>
            <w:vAlign w:val="center"/>
          </w:tcPr>
          <w:p>
            <w:pPr>
              <w:pStyle w:val="687"/>
              <w:rPr>
                <w:lang w:eastAsia="zh-CN"/>
              </w:rPr>
            </w:pPr>
            <w:r>
              <w:rPr>
                <w:rFonts w:hint="eastAsia"/>
                <w:lang w:eastAsia="zh-CN"/>
              </w:rPr>
              <w:t>生产废水</w:t>
            </w:r>
          </w:p>
        </w:tc>
        <w:tc>
          <w:tcPr>
            <w:tcW w:w="1174" w:type="pct"/>
            <w:tcBorders>
              <w:top w:val="single" w:color="auto" w:sz="4" w:space="0"/>
              <w:left w:val="nil"/>
              <w:bottom w:val="single" w:color="auto" w:sz="4" w:space="0"/>
              <w:right w:val="single" w:color="auto" w:sz="4" w:space="0"/>
            </w:tcBorders>
            <w:vAlign w:val="center"/>
          </w:tcPr>
          <w:p>
            <w:pPr>
              <w:pStyle w:val="687"/>
            </w:pPr>
            <w:r>
              <w:rPr>
                <w:rFonts w:hint="eastAsia"/>
              </w:rPr>
              <w:t>t/a</w:t>
            </w:r>
          </w:p>
        </w:tc>
        <w:tc>
          <w:tcPr>
            <w:tcW w:w="1569" w:type="pct"/>
            <w:tcBorders>
              <w:top w:val="nil"/>
              <w:left w:val="nil"/>
              <w:bottom w:val="single" w:color="auto" w:sz="4" w:space="0"/>
              <w:right w:val="single" w:color="auto" w:sz="4" w:space="0"/>
            </w:tcBorders>
            <w:vAlign w:val="center"/>
          </w:tcPr>
          <w:p>
            <w:pPr>
              <w:pStyle w:val="687"/>
              <w:rPr>
                <w:lang w:eastAsia="zh-CN"/>
              </w:rPr>
            </w:pPr>
            <w:r>
              <w:rPr>
                <w:lang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2" w:type="pct"/>
            <w:gridSpan w:val="2"/>
            <w:vMerge w:val="restart"/>
            <w:tcBorders>
              <w:top w:val="nil"/>
              <w:left w:val="single" w:color="auto" w:sz="4" w:space="0"/>
              <w:bottom w:val="single" w:color="auto" w:sz="4" w:space="0"/>
              <w:right w:val="single" w:color="auto" w:sz="4" w:space="0"/>
            </w:tcBorders>
            <w:vAlign w:val="center"/>
          </w:tcPr>
          <w:p>
            <w:pPr>
              <w:pStyle w:val="687"/>
            </w:pPr>
            <w:r>
              <w:rPr>
                <w:rFonts w:hint="eastAsia"/>
              </w:rPr>
              <w:t>固废</w:t>
            </w:r>
          </w:p>
        </w:tc>
        <w:tc>
          <w:tcPr>
            <w:tcW w:w="1255" w:type="pct"/>
            <w:tcBorders>
              <w:top w:val="single" w:color="auto" w:sz="4" w:space="0"/>
              <w:left w:val="nil"/>
              <w:bottom w:val="single" w:color="auto" w:sz="4" w:space="0"/>
              <w:right w:val="single" w:color="auto" w:sz="4" w:space="0"/>
            </w:tcBorders>
            <w:vAlign w:val="center"/>
          </w:tcPr>
          <w:p>
            <w:pPr>
              <w:pStyle w:val="687"/>
            </w:pPr>
            <w:r>
              <w:rPr>
                <w:bCs/>
              </w:rPr>
              <w:t>废分子筛</w:t>
            </w:r>
          </w:p>
        </w:tc>
        <w:tc>
          <w:tcPr>
            <w:tcW w:w="1174" w:type="pct"/>
            <w:tcBorders>
              <w:top w:val="single" w:color="auto" w:sz="4" w:space="0"/>
              <w:left w:val="nil"/>
              <w:bottom w:val="single" w:color="auto" w:sz="4" w:space="0"/>
              <w:right w:val="single" w:color="auto" w:sz="4" w:space="0"/>
            </w:tcBorders>
            <w:vAlign w:val="center"/>
          </w:tcPr>
          <w:p>
            <w:pPr>
              <w:pStyle w:val="687"/>
            </w:pPr>
            <w:r>
              <w:rPr>
                <w:rFonts w:hint="eastAsia"/>
              </w:rPr>
              <w:t>t/a</w:t>
            </w:r>
          </w:p>
        </w:tc>
        <w:tc>
          <w:tcPr>
            <w:tcW w:w="1569" w:type="pct"/>
            <w:tcBorders>
              <w:top w:val="single" w:color="auto" w:sz="4" w:space="0"/>
              <w:left w:val="nil"/>
              <w:bottom w:val="single" w:color="auto" w:sz="4" w:space="0"/>
              <w:right w:val="single" w:color="auto" w:sz="4" w:space="0"/>
            </w:tcBorders>
            <w:vAlign w:val="center"/>
          </w:tcPr>
          <w:p>
            <w:pPr>
              <w:pStyle w:val="687"/>
              <w:rPr>
                <w:lang w:eastAsia="zh-CN"/>
              </w:rPr>
            </w:pPr>
            <w:r>
              <w:rPr>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2" w:type="pct"/>
            <w:gridSpan w:val="2"/>
            <w:vMerge w:val="continue"/>
            <w:tcBorders>
              <w:top w:val="nil"/>
              <w:left w:val="single" w:color="auto" w:sz="4" w:space="0"/>
              <w:bottom w:val="single" w:color="auto" w:sz="4" w:space="0"/>
              <w:right w:val="single" w:color="auto" w:sz="4" w:space="0"/>
            </w:tcBorders>
            <w:vAlign w:val="center"/>
          </w:tcPr>
          <w:p>
            <w:pPr>
              <w:pStyle w:val="687"/>
            </w:pPr>
          </w:p>
        </w:tc>
        <w:tc>
          <w:tcPr>
            <w:tcW w:w="1255" w:type="pct"/>
            <w:tcBorders>
              <w:top w:val="single" w:color="auto" w:sz="4" w:space="0"/>
              <w:left w:val="nil"/>
              <w:bottom w:val="single" w:color="auto" w:sz="4" w:space="0"/>
              <w:right w:val="single" w:color="auto" w:sz="4" w:space="0"/>
            </w:tcBorders>
            <w:vAlign w:val="center"/>
          </w:tcPr>
          <w:p>
            <w:pPr>
              <w:pStyle w:val="687"/>
              <w:rPr>
                <w:lang w:eastAsia="zh-CN"/>
              </w:rPr>
            </w:pPr>
            <w:r>
              <w:rPr>
                <w:bCs/>
              </w:rPr>
              <w:t>废润滑油</w:t>
            </w:r>
          </w:p>
        </w:tc>
        <w:tc>
          <w:tcPr>
            <w:tcW w:w="1174" w:type="pct"/>
            <w:tcBorders>
              <w:top w:val="single" w:color="auto" w:sz="4" w:space="0"/>
              <w:left w:val="nil"/>
              <w:bottom w:val="single" w:color="auto" w:sz="4" w:space="0"/>
              <w:right w:val="single" w:color="auto" w:sz="4" w:space="0"/>
            </w:tcBorders>
            <w:vAlign w:val="center"/>
          </w:tcPr>
          <w:p>
            <w:pPr>
              <w:pStyle w:val="687"/>
            </w:pPr>
            <w:r>
              <w:rPr>
                <w:rFonts w:hint="eastAsia"/>
              </w:rPr>
              <w:t>t/a</w:t>
            </w:r>
          </w:p>
        </w:tc>
        <w:tc>
          <w:tcPr>
            <w:tcW w:w="1569" w:type="pct"/>
            <w:tcBorders>
              <w:top w:val="single" w:color="auto" w:sz="4" w:space="0"/>
              <w:left w:val="nil"/>
              <w:bottom w:val="single" w:color="auto" w:sz="4" w:space="0"/>
              <w:right w:val="single" w:color="auto" w:sz="4" w:space="0"/>
            </w:tcBorders>
            <w:vAlign w:val="center"/>
          </w:tcPr>
          <w:p>
            <w:pPr>
              <w:pStyle w:val="687"/>
              <w:rPr>
                <w:lang w:eastAsia="zh-CN"/>
              </w:rPr>
            </w:pPr>
            <w:r>
              <w:rPr>
                <w:rFonts w:hint="eastAsia"/>
                <w:lang w:eastAsia="zh-CN"/>
              </w:rPr>
              <w:t>0</w:t>
            </w:r>
            <w:r>
              <w:rPr>
                <w:lang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2" w:type="pct"/>
            <w:gridSpan w:val="2"/>
            <w:vMerge w:val="continue"/>
            <w:tcBorders>
              <w:top w:val="nil"/>
              <w:left w:val="single" w:color="auto" w:sz="4" w:space="0"/>
              <w:bottom w:val="single" w:color="auto" w:sz="4" w:space="0"/>
              <w:right w:val="single" w:color="auto" w:sz="4" w:space="0"/>
            </w:tcBorders>
            <w:vAlign w:val="center"/>
          </w:tcPr>
          <w:p>
            <w:pPr>
              <w:pStyle w:val="687"/>
            </w:pPr>
          </w:p>
        </w:tc>
        <w:tc>
          <w:tcPr>
            <w:tcW w:w="1255" w:type="pct"/>
            <w:tcBorders>
              <w:top w:val="single" w:color="auto" w:sz="4" w:space="0"/>
              <w:left w:val="nil"/>
              <w:bottom w:val="single" w:color="auto" w:sz="4" w:space="0"/>
              <w:right w:val="single" w:color="auto" w:sz="4" w:space="0"/>
            </w:tcBorders>
            <w:vAlign w:val="center"/>
          </w:tcPr>
          <w:p>
            <w:pPr>
              <w:pStyle w:val="687"/>
            </w:pPr>
            <w:r>
              <w:rPr>
                <w:rFonts w:hint="eastAsia"/>
              </w:rPr>
              <w:t>生活垃圾</w:t>
            </w:r>
          </w:p>
        </w:tc>
        <w:tc>
          <w:tcPr>
            <w:tcW w:w="1174" w:type="pct"/>
            <w:tcBorders>
              <w:top w:val="single" w:color="auto" w:sz="4" w:space="0"/>
              <w:left w:val="nil"/>
              <w:bottom w:val="single" w:color="auto" w:sz="4" w:space="0"/>
              <w:right w:val="single" w:color="auto" w:sz="4" w:space="0"/>
            </w:tcBorders>
            <w:vAlign w:val="center"/>
          </w:tcPr>
          <w:p>
            <w:pPr>
              <w:pStyle w:val="687"/>
            </w:pPr>
            <w:r>
              <w:rPr>
                <w:rFonts w:hint="eastAsia"/>
              </w:rPr>
              <w:t>t/a</w:t>
            </w:r>
          </w:p>
        </w:tc>
        <w:tc>
          <w:tcPr>
            <w:tcW w:w="1569" w:type="pct"/>
            <w:tcBorders>
              <w:top w:val="single" w:color="auto" w:sz="4" w:space="0"/>
              <w:left w:val="nil"/>
              <w:bottom w:val="single" w:color="auto" w:sz="4" w:space="0"/>
              <w:right w:val="single" w:color="auto" w:sz="4" w:space="0"/>
            </w:tcBorders>
            <w:vAlign w:val="center"/>
          </w:tcPr>
          <w:p>
            <w:pPr>
              <w:pStyle w:val="687"/>
              <w:rPr>
                <w:lang w:eastAsia="zh-CN"/>
              </w:rPr>
            </w:pPr>
            <w:r>
              <w:rPr>
                <w:rFonts w:hint="eastAsia"/>
                <w:lang w:eastAsia="zh-CN"/>
              </w:rPr>
              <w:t>2</w:t>
            </w:r>
            <w:r>
              <w:rPr>
                <w:lang w:eastAsia="zh-CN"/>
              </w:rPr>
              <w:t>7</w:t>
            </w:r>
          </w:p>
        </w:tc>
      </w:tr>
    </w:tbl>
    <w:p>
      <w:pPr>
        <w:pStyle w:val="4"/>
        <w:spacing w:before="120" w:after="120"/>
      </w:pPr>
      <w:bookmarkStart w:id="159" w:name="_Toc145580374"/>
      <w:bookmarkStart w:id="160" w:name="_Toc107500328"/>
      <w:r>
        <w:rPr>
          <w:rFonts w:hint="eastAsia"/>
        </w:rPr>
        <w:t>2.</w:t>
      </w:r>
      <w:r>
        <w:t xml:space="preserve">5 </w:t>
      </w:r>
      <w:r>
        <w:rPr>
          <w:rFonts w:hint="eastAsia"/>
        </w:rPr>
        <w:t>环境</w:t>
      </w:r>
      <w:r>
        <w:t>管理与应急预案落实情况</w:t>
      </w:r>
      <w:bookmarkEnd w:id="159"/>
    </w:p>
    <w:p>
      <w:pPr>
        <w:pStyle w:val="494"/>
        <w:ind w:firstLine="480"/>
      </w:pPr>
      <w:r>
        <w:rPr>
          <w:rFonts w:hint="eastAsia"/>
        </w:rPr>
        <w:t>（1）“三同时”执行</w:t>
      </w:r>
      <w:r>
        <w:t>情况</w:t>
      </w:r>
    </w:p>
    <w:p>
      <w:pPr>
        <w:pStyle w:val="494"/>
        <w:ind w:firstLine="480"/>
      </w:pPr>
      <w:r>
        <w:rPr>
          <w:rFonts w:hint="eastAsia"/>
        </w:rPr>
        <w:t>现有</w:t>
      </w:r>
      <w:r>
        <w:t>工程根据《</w:t>
      </w:r>
      <w:r>
        <w:rPr>
          <w:rFonts w:hint="eastAsia"/>
        </w:rPr>
        <w:t>中</w:t>
      </w:r>
      <w:r>
        <w:t>华人民共和国环境保护法》</w:t>
      </w:r>
      <w:r>
        <w:rPr>
          <w:rFonts w:hint="eastAsia"/>
        </w:rPr>
        <w:t>和</w:t>
      </w:r>
      <w:r>
        <w:t>《</w:t>
      </w:r>
      <w:r>
        <w:rPr>
          <w:rFonts w:hint="eastAsia"/>
        </w:rPr>
        <w:t>建设</w:t>
      </w:r>
      <w:r>
        <w:t>项目环境保护管理条例》</w:t>
      </w:r>
      <w:r>
        <w:rPr>
          <w:rFonts w:hint="eastAsia"/>
        </w:rPr>
        <w:t>等</w:t>
      </w:r>
      <w:r>
        <w:t>有关规定落实了相关环保措施，基本做到了环保设施与主体工程的同时</w:t>
      </w:r>
      <w:r>
        <w:rPr>
          <w:rFonts w:hint="eastAsia"/>
        </w:rPr>
        <w:t>设计</w:t>
      </w:r>
      <w:r>
        <w:t>、同时施工、同时投产使用，企业</w:t>
      </w:r>
      <w:r>
        <w:rPr>
          <w:rFonts w:ascii="宋体" w:hAnsi="宋体"/>
        </w:rPr>
        <w:t>“</w:t>
      </w:r>
      <w:r>
        <w:rPr>
          <w:rFonts w:hint="eastAsia" w:ascii="宋体" w:hAnsi="宋体"/>
        </w:rPr>
        <w:t>三同时</w:t>
      </w:r>
      <w:r>
        <w:rPr>
          <w:rFonts w:ascii="宋体" w:hAnsi="宋体"/>
        </w:rPr>
        <w:t>”</w:t>
      </w:r>
      <w:r>
        <w:rPr>
          <w:rFonts w:hint="eastAsia"/>
        </w:rPr>
        <w:t>制度</w:t>
      </w:r>
      <w:r>
        <w:t>基本落实。</w:t>
      </w:r>
    </w:p>
    <w:p>
      <w:pPr>
        <w:pStyle w:val="494"/>
        <w:ind w:firstLine="480"/>
      </w:pPr>
      <w:r>
        <w:rPr>
          <w:rFonts w:hint="eastAsia"/>
        </w:rPr>
        <w:t>（2）环境</w:t>
      </w:r>
      <w:r>
        <w:t>风险应急预案</w:t>
      </w:r>
      <w:r>
        <w:rPr>
          <w:rFonts w:hint="eastAsia"/>
        </w:rPr>
        <w:t>及</w:t>
      </w:r>
      <w:r>
        <w:t>应急措施落实情况</w:t>
      </w:r>
    </w:p>
    <w:p>
      <w:pPr>
        <w:pStyle w:val="494"/>
        <w:ind w:firstLine="480"/>
      </w:pPr>
      <w:r>
        <w:rPr>
          <w:rFonts w:hint="eastAsia"/>
        </w:rPr>
        <w:t>新疆天安鑫业油气技术服务有限公司</w:t>
      </w:r>
      <w:r>
        <w:t>制定了《</w:t>
      </w:r>
      <w:r>
        <w:rPr>
          <w:rFonts w:hint="eastAsia"/>
        </w:rPr>
        <w:t>新疆天安鑫业油气技术服务有限公司突发</w:t>
      </w:r>
      <w:r>
        <w:t>环境事件应急预案》</w:t>
      </w:r>
      <w:r>
        <w:rPr>
          <w:rFonts w:hint="eastAsia"/>
        </w:rPr>
        <w:t>，并</w:t>
      </w:r>
      <w:r>
        <w:t>已在</w:t>
      </w:r>
      <w:r>
        <w:rPr>
          <w:rFonts w:hint="eastAsia"/>
        </w:rPr>
        <w:t>昌吉州生态环境局阜康</w:t>
      </w:r>
      <w:r>
        <w:t>市</w:t>
      </w:r>
      <w:r>
        <w:rPr>
          <w:rFonts w:hint="eastAsia"/>
        </w:rPr>
        <w:t>分局</w:t>
      </w:r>
      <w:r>
        <w:t>进行了备案（</w:t>
      </w:r>
      <w:r>
        <w:rPr>
          <w:rFonts w:hint="eastAsia"/>
        </w:rPr>
        <w:t>备案编号</w:t>
      </w:r>
      <w:r>
        <w:t>：</w:t>
      </w:r>
      <w:r>
        <w:rPr>
          <w:rFonts w:hint="eastAsia"/>
        </w:rPr>
        <w:t>65230</w:t>
      </w:r>
      <w:r>
        <w:t>2</w:t>
      </w:r>
      <w:r>
        <w:rPr>
          <w:rFonts w:hint="eastAsia"/>
        </w:rPr>
        <w:t>-202</w:t>
      </w:r>
      <w:r>
        <w:t>3</w:t>
      </w:r>
      <w:r>
        <w:rPr>
          <w:rFonts w:hint="eastAsia"/>
        </w:rPr>
        <w:t>-0</w:t>
      </w:r>
      <w:r>
        <w:t>30</w:t>
      </w:r>
      <w:r>
        <w:rPr>
          <w:rFonts w:hint="eastAsia"/>
        </w:rPr>
        <w:t>-L</w:t>
      </w:r>
      <w:r>
        <w:t>）</w:t>
      </w:r>
      <w:r>
        <w:rPr>
          <w:rFonts w:hint="eastAsia"/>
        </w:rPr>
        <w:t>，</w:t>
      </w:r>
      <w:r>
        <w:t>应急预案备案登记表见附件。</w:t>
      </w:r>
    </w:p>
    <w:p>
      <w:pPr>
        <w:pStyle w:val="4"/>
        <w:spacing w:before="120" w:after="120"/>
      </w:pPr>
      <w:bookmarkStart w:id="161" w:name="_Toc145580375"/>
      <w:r>
        <w:rPr>
          <w:rFonts w:hint="eastAsia"/>
        </w:rPr>
        <w:t>2.</w:t>
      </w:r>
      <w:r>
        <w:t xml:space="preserve">6 </w:t>
      </w:r>
      <w:r>
        <w:rPr>
          <w:rFonts w:hint="eastAsia"/>
        </w:rPr>
        <w:t>现有工程存在的环保问题及“以新带老”措施</w:t>
      </w:r>
      <w:bookmarkEnd w:id="160"/>
      <w:bookmarkEnd w:id="161"/>
    </w:p>
    <w:p>
      <w:pPr>
        <w:pStyle w:val="494"/>
        <w:ind w:firstLine="480"/>
      </w:pPr>
      <w:r>
        <w:rPr>
          <w:rFonts w:hint="eastAsia"/>
        </w:rPr>
        <w:t>根据现场勘查及查阅资料，现有工程不存在环保问题。</w:t>
      </w:r>
    </w:p>
    <w:p>
      <w:pPr>
        <w:pStyle w:val="676"/>
        <w:spacing w:line="360" w:lineRule="auto"/>
        <w:ind w:firstLine="480" w:firstLineChars="200"/>
        <w:rPr>
          <w:rFonts w:asciiTheme="minorEastAsia" w:hAnsiTheme="minorEastAsia" w:eastAsiaTheme="minorEastAsia"/>
          <w:sz w:val="24"/>
          <w:lang w:bidi="en-US"/>
        </w:rPr>
      </w:pPr>
      <w:bookmarkStart w:id="162" w:name="_Toc16684"/>
      <w:bookmarkStart w:id="163" w:name="_Toc327365468"/>
      <w:bookmarkStart w:id="164" w:name="_Toc112678025"/>
      <w:bookmarkStart w:id="165" w:name="_Toc112685775"/>
      <w:bookmarkStart w:id="166" w:name="_Toc113078374"/>
      <w:r>
        <w:rPr>
          <w:rFonts w:asciiTheme="minorEastAsia" w:hAnsiTheme="minorEastAsia" w:eastAsiaTheme="minorEastAsia"/>
          <w:sz w:val="24"/>
          <w:lang w:bidi="en-US"/>
        </w:rPr>
        <w:br w:type="page"/>
      </w:r>
    </w:p>
    <w:bookmarkEnd w:id="162"/>
    <w:bookmarkEnd w:id="163"/>
    <w:p>
      <w:pPr>
        <w:pStyle w:val="3"/>
      </w:pPr>
      <w:bookmarkStart w:id="167" w:name="_Toc107500329"/>
      <w:bookmarkStart w:id="168" w:name="_Toc145580376"/>
      <w:r>
        <w:rPr>
          <w:rFonts w:hint="eastAsia"/>
        </w:rPr>
        <w:t>3 建设项目</w:t>
      </w:r>
      <w:r>
        <w:t>工程分析</w:t>
      </w:r>
      <w:bookmarkEnd w:id="167"/>
      <w:bookmarkEnd w:id="168"/>
    </w:p>
    <w:bookmarkEnd w:id="164"/>
    <w:bookmarkEnd w:id="165"/>
    <w:bookmarkEnd w:id="166"/>
    <w:p>
      <w:pPr>
        <w:pStyle w:val="4"/>
        <w:spacing w:before="120" w:after="120"/>
      </w:pPr>
      <w:bookmarkStart w:id="169" w:name="_Toc107500330"/>
      <w:bookmarkStart w:id="170" w:name="_Toc145580377"/>
      <w:bookmarkStart w:id="171" w:name="_Toc309715281"/>
      <w:r>
        <w:rPr>
          <w:rFonts w:hint="eastAsia"/>
        </w:rPr>
        <w:t>3.1</w:t>
      </w:r>
      <w:r>
        <w:t xml:space="preserve"> </w:t>
      </w:r>
      <w:r>
        <w:rPr>
          <w:rFonts w:hint="eastAsia"/>
        </w:rPr>
        <w:t>项目建设概况</w:t>
      </w:r>
      <w:bookmarkEnd w:id="169"/>
      <w:bookmarkEnd w:id="170"/>
    </w:p>
    <w:p>
      <w:pPr>
        <w:pStyle w:val="5"/>
        <w:spacing w:before="120" w:after="120"/>
        <w:rPr>
          <w:spacing w:val="0"/>
        </w:rPr>
      </w:pPr>
      <w:bookmarkStart w:id="172" w:name="_Toc107500331"/>
      <w:bookmarkStart w:id="173" w:name="_Toc145580378"/>
      <w:r>
        <w:rPr>
          <w:rFonts w:hint="eastAsia"/>
          <w:spacing w:val="0"/>
        </w:rPr>
        <w:t>3.1.1项目基本情况</w:t>
      </w:r>
      <w:bookmarkEnd w:id="172"/>
      <w:bookmarkEnd w:id="173"/>
    </w:p>
    <w:p>
      <w:pPr>
        <w:pStyle w:val="494"/>
        <w:ind w:firstLine="480"/>
      </w:pPr>
      <w:r>
        <w:rPr>
          <w:rFonts w:hint="eastAsia"/>
        </w:rPr>
        <w:t>（1）</w:t>
      </w:r>
      <w:r>
        <w:t>项目名称：</w:t>
      </w:r>
      <w:r>
        <w:rPr>
          <w:rFonts w:hint="eastAsia"/>
        </w:rPr>
        <w:t>新疆天安鑫业油气技术服务有限公司董701区块零散天然气回收项目技改项目</w:t>
      </w:r>
    </w:p>
    <w:p>
      <w:pPr>
        <w:pStyle w:val="494"/>
        <w:ind w:firstLine="480"/>
      </w:pPr>
      <w:r>
        <w:rPr>
          <w:rFonts w:hint="eastAsia"/>
        </w:rPr>
        <w:t>（2）</w:t>
      </w:r>
      <w:r>
        <w:t>建设单位：</w:t>
      </w:r>
      <w:r>
        <w:rPr>
          <w:rFonts w:hint="eastAsia"/>
        </w:rPr>
        <w:t>新疆天安鑫业油气技术服务有限公司</w:t>
      </w:r>
    </w:p>
    <w:p>
      <w:pPr>
        <w:pStyle w:val="494"/>
        <w:ind w:firstLine="480"/>
      </w:pPr>
      <w:r>
        <w:rPr>
          <w:rFonts w:hint="eastAsia"/>
        </w:rPr>
        <w:t>（3）项目</w:t>
      </w:r>
      <w:r>
        <w:t>性质：</w:t>
      </w:r>
      <w:r>
        <w:rPr>
          <w:rFonts w:hint="eastAsia"/>
        </w:rPr>
        <w:t>技术改造</w:t>
      </w:r>
    </w:p>
    <w:p>
      <w:pPr>
        <w:pStyle w:val="494"/>
        <w:ind w:firstLine="480"/>
        <w:rPr>
          <w:rFonts w:eastAsiaTheme="minorEastAsia"/>
          <w:shd w:val="clear" w:color="auto" w:fill="FFFFFF"/>
        </w:rPr>
      </w:pPr>
      <w:r>
        <w:rPr>
          <w:rFonts w:hint="eastAsia" w:eastAsiaTheme="minorEastAsia"/>
        </w:rPr>
        <w:t>（</w:t>
      </w:r>
      <w:r>
        <w:rPr>
          <w:rFonts w:eastAsiaTheme="minorEastAsia"/>
        </w:rPr>
        <w:t>4</w:t>
      </w:r>
      <w:r>
        <w:rPr>
          <w:rFonts w:hint="eastAsia" w:eastAsiaTheme="minorEastAsia"/>
        </w:rPr>
        <w:t>）</w:t>
      </w:r>
      <w:r>
        <w:rPr>
          <w:rFonts w:eastAsiaTheme="minorEastAsia"/>
        </w:rPr>
        <w:t>建设地点：</w:t>
      </w:r>
      <w:r>
        <w:rPr>
          <w:rFonts w:hint="eastAsia" w:eastAsiaTheme="minorEastAsia"/>
          <w:lang w:bidi="en-US"/>
        </w:rPr>
        <w:t>新疆天安鑫业油气技术服务有限公司现有厂区</w:t>
      </w:r>
      <w:r>
        <w:rPr>
          <w:rFonts w:eastAsiaTheme="minorEastAsia"/>
        </w:rPr>
        <w:t>位于新疆维吾尔自治区昌吉回族自治州阜康市境内北部沙漠区，阜康市董701区块董701-X1井场东侧</w:t>
      </w:r>
      <w:r>
        <w:rPr>
          <w:rFonts w:hint="eastAsia" w:eastAsiaTheme="minorEastAsia"/>
        </w:rPr>
        <w:t>22m处</w:t>
      </w:r>
      <w:r>
        <w:rPr>
          <w:rFonts w:eastAsiaTheme="minorEastAsia"/>
        </w:rPr>
        <w:t>，距离阜康市中心约34km，区域构造位置位于准噶尔盆地中央坳陷阜康凹陷东部的北斜坡，构造区划上属于中央坳陷，开发层系为侏罗系头屯河组J</w:t>
      </w:r>
      <w:r>
        <w:rPr>
          <w:rFonts w:eastAsiaTheme="minorEastAsia"/>
          <w:vertAlign w:val="subscript"/>
        </w:rPr>
        <w:t>2</w:t>
      </w:r>
      <w:r>
        <w:rPr>
          <w:rFonts w:eastAsiaTheme="minorEastAsia"/>
        </w:rPr>
        <w:t>t</w:t>
      </w:r>
      <w:r>
        <w:rPr>
          <w:rFonts w:eastAsiaTheme="minorEastAsia"/>
          <w:vertAlign w:val="subscript"/>
        </w:rPr>
        <w:t>3</w:t>
      </w:r>
      <w:r>
        <w:rPr>
          <w:rFonts w:eastAsiaTheme="minorEastAsia"/>
        </w:rPr>
        <w:t>5砂体。</w:t>
      </w:r>
      <w:r>
        <w:rPr>
          <w:rFonts w:hint="eastAsia" w:eastAsiaTheme="minorEastAsia"/>
        </w:rPr>
        <w:t>本项目位于</w:t>
      </w:r>
      <w:r>
        <w:rPr>
          <w:rFonts w:hint="eastAsia" w:eastAsiaTheme="minorEastAsia"/>
          <w:lang w:bidi="en-US"/>
        </w:rPr>
        <w:t>新疆天安鑫业油气技术服务有限公司现有厂区内</w:t>
      </w:r>
      <w:r>
        <w:rPr>
          <w:rFonts w:eastAsiaTheme="minorEastAsia"/>
          <w:lang w:bidi="en-US"/>
        </w:rPr>
        <w:t>。</w:t>
      </w:r>
      <w:r>
        <w:rPr>
          <w:rFonts w:cs="Times New Roman"/>
        </w:rPr>
        <w:t>厂区中心地理位置坐标为：88°2′15.49″E，44°27′47.76″N。</w:t>
      </w:r>
      <w:r>
        <w:rPr>
          <w:rFonts w:cs="Times New Roman"/>
          <w:lang w:bidi="en-US"/>
        </w:rPr>
        <w:t>具体见图</w:t>
      </w:r>
      <w:r>
        <w:rPr>
          <w:rFonts w:hint="eastAsia" w:cs="Times New Roman"/>
          <w:lang w:bidi="en-US"/>
        </w:rPr>
        <w:t>3</w:t>
      </w:r>
      <w:r>
        <w:rPr>
          <w:rFonts w:cs="Times New Roman"/>
          <w:lang w:bidi="en-US"/>
        </w:rPr>
        <w:t>.1-1项目地理位置图。</w:t>
      </w:r>
    </w:p>
    <w:p>
      <w:pPr>
        <w:pStyle w:val="494"/>
        <w:ind w:firstLine="480"/>
      </w:pPr>
      <w:r>
        <w:rPr>
          <w:rFonts w:hint="eastAsia"/>
        </w:rPr>
        <w:t>（5）</w:t>
      </w:r>
      <w:r>
        <w:t>工程总投资：项目总投资8</w:t>
      </w:r>
      <w:r>
        <w:rPr>
          <w:rFonts w:hint="eastAsia"/>
        </w:rPr>
        <w:t>00</w:t>
      </w:r>
      <w:r>
        <w:t>万元</w:t>
      </w:r>
      <w:r>
        <w:rPr>
          <w:rFonts w:hint="eastAsia"/>
        </w:rPr>
        <w:t>，资金来源于</w:t>
      </w:r>
      <w:r>
        <w:t>企业自筹。</w:t>
      </w:r>
    </w:p>
    <w:p>
      <w:pPr>
        <w:pStyle w:val="494"/>
        <w:ind w:firstLine="480"/>
      </w:pPr>
      <w:r>
        <w:rPr>
          <w:rFonts w:hint="eastAsia"/>
        </w:rPr>
        <w:t>（6）占地</w:t>
      </w:r>
      <w:r>
        <w:t>面积：</w:t>
      </w:r>
      <w:r>
        <w:rPr>
          <w:rFonts w:hint="eastAsia"/>
        </w:rPr>
        <w:t>本项目在现有厂区内进行</w:t>
      </w:r>
      <w:r>
        <w:t>建设，</w:t>
      </w:r>
      <w:r>
        <w:rPr>
          <w:rFonts w:hint="eastAsia"/>
        </w:rPr>
        <w:t>不新增</w:t>
      </w:r>
      <w:r>
        <w:t>占地面积。</w:t>
      </w:r>
    </w:p>
    <w:p>
      <w:pPr>
        <w:pStyle w:val="488"/>
        <w:ind w:firstLine="480"/>
        <w:rPr>
          <w:rFonts w:ascii="Times New Roman" w:hAnsi="Times New Roman" w:cs="Times New Roman"/>
        </w:rPr>
      </w:pPr>
      <w:r>
        <w:rPr>
          <w:rFonts w:ascii="Times New Roman" w:hAnsi="Times New Roman" w:cs="Times New Roman"/>
        </w:rPr>
        <w:t>（7）劳动定员及工作制度：本项目</w:t>
      </w:r>
      <w:r>
        <w:rPr>
          <w:rFonts w:hint="eastAsia" w:ascii="Times New Roman" w:hAnsi="Times New Roman" w:cs="Times New Roman"/>
        </w:rPr>
        <w:t>不新增工作人员</w:t>
      </w:r>
      <w:r>
        <w:rPr>
          <w:rFonts w:ascii="Times New Roman" w:hAnsi="Times New Roman" w:cs="Times New Roman"/>
        </w:rPr>
        <w:t>，年工作时间为330天，采用两班制，每班工作12h。</w:t>
      </w:r>
    </w:p>
    <w:p>
      <w:pPr>
        <w:pStyle w:val="5"/>
        <w:spacing w:before="120" w:after="120"/>
        <w:rPr>
          <w:spacing w:val="0"/>
        </w:rPr>
      </w:pPr>
      <w:bookmarkStart w:id="174" w:name="_Toc107500332"/>
      <w:bookmarkStart w:id="175" w:name="_Toc145580379"/>
      <w:r>
        <w:rPr>
          <w:rFonts w:hint="eastAsia"/>
          <w:spacing w:val="0"/>
        </w:rPr>
        <w:t>3.1.2工程组成与主要建设内容</w:t>
      </w:r>
      <w:bookmarkEnd w:id="174"/>
      <w:bookmarkEnd w:id="175"/>
    </w:p>
    <w:p>
      <w:pPr>
        <w:pStyle w:val="494"/>
        <w:ind w:firstLine="480"/>
        <w:rPr>
          <w:lang w:bidi="en-US"/>
        </w:rPr>
      </w:pPr>
      <w:r>
        <w:rPr>
          <w:rFonts w:hint="eastAsia"/>
          <w:lang w:bidi="en-US"/>
        </w:rPr>
        <w:t>本项目建设地点位于公司现有厂区内，拆除现有工程的前置压缩机及高压压缩机，新建2台压缩机、1座风冷式天然气冰机以及1座干燥制冷脱烃撬，天然气</w:t>
      </w:r>
      <w:r>
        <w:rPr>
          <w:lang w:bidi="en-US"/>
        </w:rPr>
        <w:t>处理规模</w:t>
      </w:r>
      <w:r>
        <w:rPr>
          <w:rFonts w:hint="eastAsia"/>
          <w:lang w:bidi="en-US"/>
        </w:rPr>
        <w:t>由</w:t>
      </w:r>
      <w:r>
        <w:rPr>
          <w:lang w:bidi="en-US"/>
        </w:rPr>
        <w:t>3×10</w:t>
      </w:r>
      <w:r>
        <w:rPr>
          <w:vertAlign w:val="superscript"/>
          <w:lang w:bidi="en-US"/>
        </w:rPr>
        <w:t>4</w:t>
      </w:r>
      <w:r>
        <w:rPr>
          <w:lang w:bidi="en-US"/>
        </w:rPr>
        <w:t>Nm³/d</w:t>
      </w:r>
      <w:r>
        <w:rPr>
          <w:rFonts w:hint="eastAsia"/>
          <w:lang w:bidi="en-US"/>
        </w:rPr>
        <w:t>增至</w:t>
      </w:r>
      <w:r>
        <w:rPr>
          <w:lang w:bidi="en-US"/>
        </w:rPr>
        <w:t>6×10</w:t>
      </w:r>
      <w:r>
        <w:rPr>
          <w:vertAlign w:val="superscript"/>
          <w:lang w:bidi="en-US"/>
        </w:rPr>
        <w:t>4</w:t>
      </w:r>
      <w:r>
        <w:rPr>
          <w:lang w:bidi="en-US"/>
        </w:rPr>
        <w:t>Nm³/d</w:t>
      </w:r>
      <w:r>
        <w:rPr>
          <w:rFonts w:hint="eastAsia"/>
          <w:lang w:bidi="en-US"/>
        </w:rPr>
        <w:t>，。项目组成与建设内容见表3.1-1。</w:t>
      </w:r>
    </w:p>
    <w:p>
      <w:pPr>
        <w:pStyle w:val="400"/>
        <w:ind w:firstLine="420"/>
        <w:rPr>
          <w:color w:val="FF0000"/>
          <w:lang w:bidi="en-US"/>
        </w:rPr>
      </w:pPr>
      <w:bookmarkStart w:id="176" w:name="_Hlk147653995"/>
      <w:r>
        <w:rPr>
          <w:rFonts w:hint="eastAsia"/>
          <w:color w:val="FF0000"/>
          <w:lang w:bidi="en-US"/>
        </w:rPr>
        <w:t>表3</w:t>
      </w:r>
      <w:r>
        <w:rPr>
          <w:color w:val="FF0000"/>
          <w:lang w:bidi="en-US"/>
        </w:rPr>
        <w:t xml:space="preserve">.1-1     </w:t>
      </w:r>
      <w:r>
        <w:rPr>
          <w:rFonts w:hint="eastAsia"/>
          <w:color w:val="FF0000"/>
          <w:lang w:bidi="en-US"/>
        </w:rPr>
        <w:t xml:space="preserve">    </w:t>
      </w:r>
      <w:r>
        <w:rPr>
          <w:color w:val="FF0000"/>
          <w:lang w:bidi="en-US"/>
        </w:rPr>
        <w:t xml:space="preserve">    </w:t>
      </w:r>
      <w:r>
        <w:rPr>
          <w:rFonts w:hint="eastAsia"/>
          <w:color w:val="FF0000"/>
          <w:lang w:bidi="en-US"/>
        </w:rPr>
        <w:t>项目工程组成及主要建设内容</w:t>
      </w:r>
    </w:p>
    <w:tbl>
      <w:tblPr>
        <w:tblStyle w:val="5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6"/>
        <w:gridCol w:w="1146"/>
        <w:gridCol w:w="5244"/>
        <w:gridCol w:w="1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tcBorders>
              <w:top w:val="single" w:color="000000" w:sz="4" w:space="0"/>
              <w:left w:val="single" w:color="000000" w:sz="4" w:space="0"/>
              <w:bottom w:val="single" w:color="000000" w:sz="4" w:space="0"/>
              <w:right w:val="single" w:color="000000" w:sz="4" w:space="0"/>
            </w:tcBorders>
            <w:vAlign w:val="center"/>
          </w:tcPr>
          <w:p>
            <w:pPr>
              <w:pStyle w:val="670"/>
              <w:rPr>
                <w:color w:val="FF0000"/>
              </w:rPr>
            </w:pPr>
            <w:bookmarkStart w:id="177" w:name="_Toc107500333"/>
            <w:r>
              <w:rPr>
                <w:color w:val="FF0000"/>
              </w:rPr>
              <w:t>工程分类</w:t>
            </w: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rPr>
                <w:color w:val="FF0000"/>
              </w:rPr>
            </w:pPr>
            <w:r>
              <w:rPr>
                <w:color w:val="FF0000"/>
              </w:rPr>
              <w:t>项目名称</w:t>
            </w:r>
          </w:p>
        </w:tc>
        <w:tc>
          <w:tcPr>
            <w:tcW w:w="3108" w:type="pct"/>
            <w:tcBorders>
              <w:top w:val="single" w:color="000000" w:sz="4" w:space="0"/>
              <w:left w:val="single" w:color="000000" w:sz="4" w:space="0"/>
              <w:bottom w:val="single" w:color="000000" w:sz="4" w:space="0"/>
              <w:right w:val="single" w:color="000000" w:sz="4" w:space="0"/>
            </w:tcBorders>
            <w:vAlign w:val="center"/>
          </w:tcPr>
          <w:p>
            <w:pPr>
              <w:pStyle w:val="670"/>
              <w:rPr>
                <w:color w:val="FF0000"/>
              </w:rPr>
            </w:pPr>
            <w:r>
              <w:rPr>
                <w:color w:val="FF0000"/>
              </w:rPr>
              <w:t>建设规模</w:t>
            </w:r>
          </w:p>
        </w:tc>
        <w:tc>
          <w:tcPr>
            <w:tcW w:w="735"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color w:val="FF0000"/>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tcBorders>
              <w:top w:val="single" w:color="000000" w:sz="4" w:space="0"/>
              <w:left w:val="single" w:color="000000" w:sz="4" w:space="0"/>
              <w:bottom w:val="single" w:color="000000" w:sz="4" w:space="0"/>
              <w:right w:val="single" w:color="000000" w:sz="4" w:space="0"/>
            </w:tcBorders>
            <w:vAlign w:val="center"/>
          </w:tcPr>
          <w:p>
            <w:pPr>
              <w:pStyle w:val="670"/>
              <w:rPr>
                <w:color w:val="FF0000"/>
              </w:rPr>
            </w:pPr>
            <w:r>
              <w:rPr>
                <w:rFonts w:hint="eastAsia"/>
                <w:color w:val="FF0000"/>
                <w:lang w:eastAsia="zh-CN"/>
              </w:rPr>
              <w:t>拆除工程</w:t>
            </w: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rFonts w:hint="eastAsia"/>
                <w:color w:val="FF0000"/>
                <w:lang w:eastAsia="zh-CN"/>
              </w:rPr>
              <w:t>前置压缩机及高压压缩机</w:t>
            </w:r>
          </w:p>
        </w:tc>
        <w:tc>
          <w:tcPr>
            <w:tcW w:w="3108"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rFonts w:hint="eastAsia"/>
                <w:color w:val="FF0000"/>
                <w:lang w:eastAsia="zh-CN"/>
              </w:rPr>
              <w:t>拆除现有工程的前置压缩机及高压压缩机</w:t>
            </w:r>
          </w:p>
        </w:tc>
        <w:tc>
          <w:tcPr>
            <w:tcW w:w="735"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rFonts w:hint="eastAsia"/>
                <w:color w:val="FF0000"/>
                <w:lang w:eastAsia="zh-CN"/>
              </w:rPr>
              <w:t>拆除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tcBorders>
              <w:top w:val="single" w:color="000000" w:sz="4" w:space="0"/>
              <w:left w:val="single" w:color="000000" w:sz="4" w:space="0"/>
              <w:bottom w:val="single" w:color="000000" w:sz="4" w:space="0"/>
              <w:right w:val="single" w:color="000000" w:sz="4" w:space="0"/>
            </w:tcBorders>
            <w:vAlign w:val="center"/>
          </w:tcPr>
          <w:p>
            <w:pPr>
              <w:pStyle w:val="670"/>
              <w:rPr>
                <w:color w:val="FF0000"/>
              </w:rPr>
            </w:pPr>
            <w:r>
              <w:rPr>
                <w:color w:val="FF0000"/>
              </w:rPr>
              <w:t>主体工程</w:t>
            </w: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color w:val="FF0000"/>
                <w:lang w:eastAsia="zh-CN"/>
              </w:rPr>
              <w:t>天然气处理站</w:t>
            </w:r>
          </w:p>
        </w:tc>
        <w:tc>
          <w:tcPr>
            <w:tcW w:w="3108"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rFonts w:hint="eastAsia"/>
                <w:color w:val="FF0000"/>
                <w:lang w:eastAsia="zh-CN"/>
              </w:rPr>
              <w:t>新建2台压缩机、1座风冷式天然气冰机以及1座干燥制冷脱烃撬，天然气</w:t>
            </w:r>
            <w:r>
              <w:rPr>
                <w:color w:val="FF0000"/>
                <w:lang w:eastAsia="zh-CN"/>
              </w:rPr>
              <w:t>处理规模</w:t>
            </w:r>
            <w:r>
              <w:rPr>
                <w:rFonts w:hint="eastAsia"/>
                <w:color w:val="FF0000"/>
                <w:lang w:eastAsia="zh-CN"/>
              </w:rPr>
              <w:t>由</w:t>
            </w:r>
            <w:r>
              <w:rPr>
                <w:color w:val="FF0000"/>
                <w:lang w:eastAsia="zh-CN"/>
              </w:rPr>
              <w:t>3×10</w:t>
            </w:r>
            <w:r>
              <w:rPr>
                <w:color w:val="FF0000"/>
                <w:vertAlign w:val="superscript"/>
                <w:lang w:eastAsia="zh-CN"/>
              </w:rPr>
              <w:t>4</w:t>
            </w:r>
            <w:r>
              <w:rPr>
                <w:color w:val="FF0000"/>
                <w:lang w:eastAsia="zh-CN"/>
              </w:rPr>
              <w:t>Nm³/d</w:t>
            </w:r>
            <w:r>
              <w:rPr>
                <w:rFonts w:hint="eastAsia"/>
                <w:color w:val="FF0000"/>
                <w:lang w:eastAsia="zh-CN"/>
              </w:rPr>
              <w:t>增至</w:t>
            </w:r>
            <w:r>
              <w:rPr>
                <w:color w:val="FF0000"/>
                <w:lang w:eastAsia="zh-CN"/>
              </w:rPr>
              <w:t>6×10</w:t>
            </w:r>
            <w:r>
              <w:rPr>
                <w:color w:val="FF0000"/>
                <w:vertAlign w:val="superscript"/>
                <w:lang w:eastAsia="zh-CN"/>
              </w:rPr>
              <w:t>4</w:t>
            </w:r>
            <w:r>
              <w:rPr>
                <w:color w:val="FF0000"/>
                <w:lang w:eastAsia="zh-CN"/>
              </w:rPr>
              <w:t>Nm³/d</w:t>
            </w:r>
          </w:p>
        </w:tc>
        <w:tc>
          <w:tcPr>
            <w:tcW w:w="735"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rFonts w:hint="eastAsia"/>
                <w:color w:val="FF0000"/>
                <w:lang w:eastAsia="zh-CN"/>
              </w:rPr>
              <w:t>技术改造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vMerge w:val="restart"/>
            <w:tcBorders>
              <w:top w:val="single" w:color="000000" w:sz="4" w:space="0"/>
              <w:left w:val="single" w:color="000000" w:sz="4" w:space="0"/>
              <w:bottom w:val="single" w:color="000000" w:sz="4" w:space="0"/>
              <w:right w:val="single" w:color="000000" w:sz="4" w:space="0"/>
            </w:tcBorders>
            <w:vAlign w:val="center"/>
          </w:tcPr>
          <w:p>
            <w:pPr>
              <w:pStyle w:val="670"/>
              <w:rPr>
                <w:color w:val="FF0000"/>
              </w:rPr>
            </w:pPr>
            <w:r>
              <w:rPr>
                <w:color w:val="FF0000"/>
              </w:rPr>
              <w:t>配套工程</w:t>
            </w: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color w:val="FF0000"/>
                <w:lang w:eastAsia="zh-CN"/>
              </w:rPr>
              <w:t>门卫室</w:t>
            </w:r>
          </w:p>
        </w:tc>
        <w:tc>
          <w:tcPr>
            <w:tcW w:w="3108"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color w:val="FF0000"/>
                <w:lang w:eastAsia="zh-CN"/>
              </w:rPr>
              <w:t>建筑面积为32m</w:t>
            </w:r>
            <w:r>
              <w:rPr>
                <w:color w:val="FF0000"/>
                <w:vertAlign w:val="superscript"/>
                <w:lang w:eastAsia="zh-CN"/>
              </w:rPr>
              <w:t>2</w:t>
            </w:r>
          </w:p>
        </w:tc>
        <w:tc>
          <w:tcPr>
            <w:tcW w:w="735"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rFonts w:hint="eastAsia"/>
                <w:color w:val="FF0000"/>
                <w:lang w:eastAsia="zh-CN"/>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FF0000"/>
                <w:kern w:val="0"/>
                <w:szCs w:val="21"/>
                <w:lang w:eastAsia="en-US" w:bidi="en-US"/>
              </w:rPr>
            </w:pP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color w:val="FF0000"/>
                <w:lang w:eastAsia="zh-CN"/>
              </w:rPr>
              <w:t>休息区</w:t>
            </w:r>
          </w:p>
        </w:tc>
        <w:tc>
          <w:tcPr>
            <w:tcW w:w="3108"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color w:val="FF0000"/>
                <w:lang w:eastAsia="zh-CN"/>
              </w:rPr>
              <w:t>建筑面积为337.41m</w:t>
            </w:r>
            <w:r>
              <w:rPr>
                <w:color w:val="FF0000"/>
                <w:vertAlign w:val="superscript"/>
                <w:lang w:eastAsia="zh-CN"/>
              </w:rPr>
              <w:t>2</w:t>
            </w:r>
          </w:p>
        </w:tc>
        <w:tc>
          <w:tcPr>
            <w:tcW w:w="735"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rFonts w:hint="eastAsia"/>
                <w:color w:val="FF0000"/>
                <w:lang w:eastAsia="zh-CN"/>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vMerge w:val="restart"/>
            <w:tcBorders>
              <w:top w:val="single" w:color="000000" w:sz="4" w:space="0"/>
              <w:left w:val="single" w:color="000000" w:sz="4" w:space="0"/>
              <w:bottom w:val="single" w:color="000000" w:sz="4" w:space="0"/>
              <w:right w:val="single" w:color="000000" w:sz="4" w:space="0"/>
            </w:tcBorders>
            <w:vAlign w:val="center"/>
          </w:tcPr>
          <w:p>
            <w:pPr>
              <w:pStyle w:val="670"/>
              <w:rPr>
                <w:color w:val="FF0000"/>
              </w:rPr>
            </w:pPr>
            <w:r>
              <w:rPr>
                <w:color w:val="FF0000"/>
              </w:rPr>
              <w:t>公用工程</w:t>
            </w: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rPr>
                <w:color w:val="FF0000"/>
              </w:rPr>
            </w:pPr>
            <w:r>
              <w:rPr>
                <w:color w:val="FF0000"/>
              </w:rPr>
              <w:t>供水</w:t>
            </w:r>
          </w:p>
        </w:tc>
        <w:tc>
          <w:tcPr>
            <w:tcW w:w="3108"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color w:val="FF0000"/>
                <w:lang w:eastAsia="zh-CN"/>
              </w:rPr>
              <w:t>生活用水采用水车拉运</w:t>
            </w:r>
          </w:p>
        </w:tc>
        <w:tc>
          <w:tcPr>
            <w:tcW w:w="735"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rFonts w:hint="eastAsia"/>
                <w:color w:val="FF0000"/>
                <w:lang w:eastAsia="zh-CN"/>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FF0000"/>
                <w:kern w:val="0"/>
                <w:szCs w:val="21"/>
                <w:lang w:eastAsia="en-US" w:bidi="en-US"/>
              </w:rPr>
            </w:pP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rPr>
                <w:color w:val="FF0000"/>
              </w:rPr>
            </w:pPr>
            <w:r>
              <w:rPr>
                <w:color w:val="FF0000"/>
              </w:rPr>
              <w:t>排水</w:t>
            </w:r>
          </w:p>
        </w:tc>
        <w:tc>
          <w:tcPr>
            <w:tcW w:w="3108"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color w:val="FF0000"/>
                <w:lang w:eastAsia="zh-CN"/>
              </w:rPr>
              <w:t>生产废水经排污管线排入54m</w:t>
            </w:r>
            <w:r>
              <w:rPr>
                <w:color w:val="FF0000"/>
                <w:vertAlign w:val="superscript"/>
                <w:lang w:eastAsia="zh-CN"/>
              </w:rPr>
              <w:t>3</w:t>
            </w:r>
            <w:r>
              <w:rPr>
                <w:color w:val="FF0000"/>
                <w:lang w:eastAsia="zh-CN"/>
              </w:rPr>
              <w:t>的排污罐中，当罐内液位达到一定高度时，由排污泵输至罐车拉运至春风一号联合站处理达标后进行回注。</w:t>
            </w:r>
          </w:p>
        </w:tc>
        <w:tc>
          <w:tcPr>
            <w:tcW w:w="735"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rFonts w:hint="eastAsia"/>
                <w:color w:val="FF0000"/>
                <w:lang w:eastAsia="zh-CN"/>
              </w:rPr>
              <w:t>依托，新增部分排污管线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FF0000"/>
                <w:kern w:val="0"/>
                <w:szCs w:val="21"/>
                <w:lang w:bidi="en-US"/>
              </w:rPr>
            </w:pP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rPr>
                <w:color w:val="FF0000"/>
              </w:rPr>
            </w:pPr>
            <w:r>
              <w:rPr>
                <w:color w:val="FF0000"/>
              </w:rPr>
              <w:t>供电</w:t>
            </w:r>
          </w:p>
        </w:tc>
        <w:tc>
          <w:tcPr>
            <w:tcW w:w="3108"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rFonts w:hint="eastAsia"/>
                <w:color w:val="FF0000"/>
                <w:lang w:eastAsia="zh-CN"/>
              </w:rPr>
              <w:t>由2</w:t>
            </w:r>
            <w:r>
              <w:rPr>
                <w:color w:val="FF0000"/>
                <w:lang w:eastAsia="zh-CN"/>
              </w:rPr>
              <w:t>22</w:t>
            </w:r>
            <w:r>
              <w:rPr>
                <w:rFonts w:hint="eastAsia"/>
                <w:color w:val="FF0000"/>
                <w:lang w:eastAsia="zh-CN"/>
              </w:rPr>
              <w:t>团电网供给</w:t>
            </w:r>
          </w:p>
        </w:tc>
        <w:tc>
          <w:tcPr>
            <w:tcW w:w="735"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rFonts w:hint="eastAsia"/>
                <w:color w:val="FF0000"/>
                <w:lang w:eastAsia="zh-CN"/>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FF0000"/>
                <w:kern w:val="0"/>
                <w:szCs w:val="21"/>
                <w:lang w:eastAsia="en-US" w:bidi="en-US"/>
              </w:rPr>
            </w:pP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rPr>
                <w:color w:val="FF0000"/>
              </w:rPr>
            </w:pPr>
            <w:r>
              <w:rPr>
                <w:color w:val="FF0000"/>
              </w:rPr>
              <w:t>供暖</w:t>
            </w:r>
          </w:p>
        </w:tc>
        <w:tc>
          <w:tcPr>
            <w:tcW w:w="3108"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color w:val="FF0000"/>
                <w:lang w:eastAsia="zh-CN"/>
              </w:rPr>
              <w:t>采用电采暖</w:t>
            </w:r>
          </w:p>
        </w:tc>
        <w:tc>
          <w:tcPr>
            <w:tcW w:w="735"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rFonts w:hint="eastAsia"/>
                <w:color w:val="FF0000"/>
                <w:lang w:eastAsia="zh-CN"/>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vMerge w:val="restart"/>
            <w:tcBorders>
              <w:top w:val="single" w:color="000000" w:sz="4" w:space="0"/>
              <w:left w:val="single" w:color="000000" w:sz="4" w:space="0"/>
              <w:bottom w:val="single" w:color="000000" w:sz="4" w:space="0"/>
              <w:right w:val="single" w:color="000000" w:sz="4" w:space="0"/>
            </w:tcBorders>
            <w:vAlign w:val="center"/>
          </w:tcPr>
          <w:p>
            <w:pPr>
              <w:pStyle w:val="670"/>
              <w:rPr>
                <w:color w:val="FF0000"/>
              </w:rPr>
            </w:pPr>
            <w:r>
              <w:rPr>
                <w:color w:val="FF0000"/>
              </w:rPr>
              <w:t>环保工程</w:t>
            </w: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rPr>
                <w:color w:val="FF0000"/>
              </w:rPr>
            </w:pPr>
            <w:r>
              <w:rPr>
                <w:color w:val="FF0000"/>
              </w:rPr>
              <w:t>固废处置</w:t>
            </w:r>
          </w:p>
        </w:tc>
        <w:tc>
          <w:tcPr>
            <w:tcW w:w="3108"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color w:val="FF0000"/>
                <w:lang w:eastAsia="zh-CN"/>
              </w:rPr>
              <w:t>废分子筛、废润滑油暂存于危废暂存间，定期交由有资质的单位处理；生活垃圾设置垃圾收集设置，定期拉运至垃圾填埋场</w:t>
            </w:r>
          </w:p>
        </w:tc>
        <w:tc>
          <w:tcPr>
            <w:tcW w:w="735"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rFonts w:hint="eastAsia"/>
                <w:color w:val="FF0000"/>
                <w:lang w:eastAsia="zh-CN"/>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FF0000"/>
                <w:kern w:val="0"/>
                <w:szCs w:val="21"/>
                <w:lang w:eastAsia="en-US" w:bidi="en-US"/>
              </w:rPr>
            </w:pP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rPr>
                <w:color w:val="FF0000"/>
              </w:rPr>
            </w:pPr>
            <w:r>
              <w:rPr>
                <w:color w:val="FF0000"/>
              </w:rPr>
              <w:t>废水治理</w:t>
            </w:r>
          </w:p>
        </w:tc>
        <w:tc>
          <w:tcPr>
            <w:tcW w:w="3108"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color w:val="FF0000"/>
                <w:lang w:eastAsia="zh-CN"/>
              </w:rPr>
              <w:t>生产废水经排污管线排入54m</w:t>
            </w:r>
            <w:r>
              <w:rPr>
                <w:color w:val="FF0000"/>
                <w:vertAlign w:val="superscript"/>
                <w:lang w:eastAsia="zh-CN"/>
              </w:rPr>
              <w:t>3</w:t>
            </w:r>
            <w:r>
              <w:rPr>
                <w:color w:val="FF0000"/>
                <w:lang w:eastAsia="zh-CN"/>
              </w:rPr>
              <w:t>的排污罐中，当罐内液位达到一定高度时，由排污泵输至罐车拉运至春风一号联合站处理达标后进行回注</w:t>
            </w:r>
          </w:p>
        </w:tc>
        <w:tc>
          <w:tcPr>
            <w:tcW w:w="735"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rFonts w:hint="eastAsia"/>
                <w:color w:val="FF0000"/>
                <w:lang w:eastAsia="zh-CN"/>
              </w:rPr>
              <w:t>依托，新增部分排污管线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FF0000"/>
                <w:kern w:val="0"/>
                <w:szCs w:val="21"/>
                <w:lang w:bidi="en-US"/>
              </w:rPr>
            </w:pP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rPr>
                <w:color w:val="FF0000"/>
              </w:rPr>
            </w:pPr>
            <w:r>
              <w:rPr>
                <w:color w:val="FF0000"/>
              </w:rPr>
              <w:t>噪声治理</w:t>
            </w:r>
          </w:p>
        </w:tc>
        <w:tc>
          <w:tcPr>
            <w:tcW w:w="3108"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color w:val="FF0000"/>
                <w:lang w:eastAsia="zh-CN"/>
              </w:rPr>
              <w:t>对产生噪声的设备采取消音及</w:t>
            </w:r>
            <w:r>
              <w:rPr>
                <w:rFonts w:hint="eastAsia"/>
                <w:color w:val="FF0000"/>
                <w:lang w:eastAsia="zh-CN"/>
              </w:rPr>
              <w:t>减震</w:t>
            </w:r>
            <w:r>
              <w:rPr>
                <w:color w:val="FF0000"/>
                <w:lang w:eastAsia="zh-CN"/>
              </w:rPr>
              <w:t>措施</w:t>
            </w:r>
          </w:p>
        </w:tc>
        <w:tc>
          <w:tcPr>
            <w:tcW w:w="735"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rFonts w:hint="eastAsia"/>
                <w:color w:val="FF0000"/>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7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FF0000"/>
                <w:kern w:val="0"/>
                <w:szCs w:val="21"/>
                <w:lang w:eastAsia="en-US" w:bidi="en-US"/>
              </w:rPr>
            </w:pPr>
          </w:p>
        </w:tc>
        <w:tc>
          <w:tcPr>
            <w:tcW w:w="679" w:type="pct"/>
            <w:tcBorders>
              <w:top w:val="single" w:color="000000" w:sz="4" w:space="0"/>
              <w:left w:val="single" w:color="000000" w:sz="4" w:space="0"/>
              <w:bottom w:val="single" w:color="000000" w:sz="4" w:space="0"/>
              <w:right w:val="single" w:color="000000" w:sz="4" w:space="0"/>
            </w:tcBorders>
            <w:vAlign w:val="center"/>
          </w:tcPr>
          <w:p>
            <w:pPr>
              <w:pStyle w:val="670"/>
              <w:rPr>
                <w:color w:val="FF0000"/>
              </w:rPr>
            </w:pPr>
            <w:r>
              <w:rPr>
                <w:color w:val="FF0000"/>
              </w:rPr>
              <w:t>废气治理</w:t>
            </w:r>
          </w:p>
        </w:tc>
        <w:tc>
          <w:tcPr>
            <w:tcW w:w="3108"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bCs/>
                <w:color w:val="FF0000"/>
                <w:lang w:eastAsia="zh-CN"/>
              </w:rPr>
              <w:t>生产区无组织废气采取</w:t>
            </w:r>
            <w:r>
              <w:rPr>
                <w:rFonts w:hint="eastAsia"/>
                <w:bCs/>
                <w:color w:val="FF0000"/>
                <w:lang w:eastAsia="zh-CN"/>
              </w:rPr>
              <w:t>加强设备管理及巡检，减少无组织挥发</w:t>
            </w:r>
          </w:p>
        </w:tc>
        <w:tc>
          <w:tcPr>
            <w:tcW w:w="735" w:type="pct"/>
            <w:tcBorders>
              <w:top w:val="single" w:color="000000" w:sz="4" w:space="0"/>
              <w:left w:val="single" w:color="000000" w:sz="4" w:space="0"/>
              <w:bottom w:val="single" w:color="000000" w:sz="4" w:space="0"/>
              <w:right w:val="single" w:color="000000" w:sz="4" w:space="0"/>
            </w:tcBorders>
            <w:vAlign w:val="center"/>
          </w:tcPr>
          <w:p>
            <w:pPr>
              <w:pStyle w:val="670"/>
              <w:rPr>
                <w:color w:val="FF0000"/>
                <w:lang w:eastAsia="zh-CN"/>
              </w:rPr>
            </w:pPr>
            <w:r>
              <w:rPr>
                <w:color w:val="FF0000"/>
                <w:lang w:eastAsia="zh-CN"/>
              </w:rPr>
              <w:t>/</w:t>
            </w:r>
          </w:p>
        </w:tc>
      </w:tr>
      <w:bookmarkEnd w:id="176"/>
    </w:tbl>
    <w:p>
      <w:pPr>
        <w:pStyle w:val="5"/>
        <w:spacing w:before="120" w:after="120"/>
        <w:rPr>
          <w:color w:val="FF0000"/>
          <w:spacing w:val="0"/>
        </w:rPr>
      </w:pPr>
      <w:bookmarkStart w:id="178" w:name="_Toc145580380"/>
      <w:r>
        <w:rPr>
          <w:rFonts w:hint="eastAsia"/>
          <w:color w:val="FF0000"/>
          <w:spacing w:val="0"/>
        </w:rPr>
        <w:t>3.1.</w:t>
      </w:r>
      <w:r>
        <w:rPr>
          <w:color w:val="FF0000"/>
          <w:spacing w:val="0"/>
        </w:rPr>
        <w:t>3</w:t>
      </w:r>
      <w:bookmarkStart w:id="179" w:name="_Hlk147571125"/>
      <w:r>
        <w:rPr>
          <w:rFonts w:hint="eastAsia"/>
          <w:color w:val="FF0000"/>
          <w:spacing w:val="0"/>
        </w:rPr>
        <w:t>产品规模及方案</w:t>
      </w:r>
      <w:bookmarkEnd w:id="178"/>
    </w:p>
    <w:p>
      <w:pPr>
        <w:pStyle w:val="494"/>
        <w:ind w:firstLine="480"/>
        <w:rPr>
          <w:color w:val="FF0000"/>
          <w:lang w:bidi="en-US"/>
        </w:rPr>
      </w:pPr>
      <w:r>
        <w:rPr>
          <w:rFonts w:hint="eastAsia"/>
          <w:color w:val="FF0000"/>
          <w:lang w:bidi="en-US"/>
        </w:rPr>
        <w:t>本项目完成</w:t>
      </w:r>
      <w:r>
        <w:rPr>
          <w:color w:val="FF0000"/>
          <w:lang w:bidi="en-US"/>
        </w:rPr>
        <w:t>后，</w:t>
      </w:r>
      <w:r>
        <w:rPr>
          <w:rFonts w:hint="eastAsia"/>
          <w:color w:val="FF0000"/>
        </w:rPr>
        <w:t>天然气</w:t>
      </w:r>
      <w:r>
        <w:rPr>
          <w:color w:val="FF0000"/>
        </w:rPr>
        <w:t>处理规模</w:t>
      </w:r>
      <w:r>
        <w:rPr>
          <w:rFonts w:hint="eastAsia"/>
          <w:color w:val="FF0000"/>
        </w:rPr>
        <w:t>由</w:t>
      </w:r>
      <w:r>
        <w:rPr>
          <w:color w:val="FF0000"/>
        </w:rPr>
        <w:t>3×10</w:t>
      </w:r>
      <w:r>
        <w:rPr>
          <w:color w:val="FF0000"/>
          <w:vertAlign w:val="superscript"/>
        </w:rPr>
        <w:t>4</w:t>
      </w:r>
      <w:r>
        <w:rPr>
          <w:color w:val="FF0000"/>
        </w:rPr>
        <w:t>Nm³/d</w:t>
      </w:r>
      <w:r>
        <w:rPr>
          <w:rFonts w:hint="eastAsia"/>
          <w:color w:val="FF0000"/>
        </w:rPr>
        <w:t>增至</w:t>
      </w:r>
      <w:r>
        <w:rPr>
          <w:color w:val="FF0000"/>
        </w:rPr>
        <w:t>6×10</w:t>
      </w:r>
      <w:r>
        <w:rPr>
          <w:color w:val="FF0000"/>
          <w:vertAlign w:val="superscript"/>
        </w:rPr>
        <w:t>4</w:t>
      </w:r>
      <w:r>
        <w:rPr>
          <w:color w:val="FF0000"/>
        </w:rPr>
        <w:t>Nm³/d</w:t>
      </w:r>
      <w:r>
        <w:rPr>
          <w:rFonts w:hint="eastAsia"/>
          <w:color w:val="FF0000"/>
          <w:lang w:bidi="en-US"/>
        </w:rPr>
        <w:t>。项目产品方案详见表3.1</w:t>
      </w:r>
      <w:r>
        <w:rPr>
          <w:color w:val="FF0000"/>
          <w:lang w:bidi="en-US"/>
        </w:rPr>
        <w:t>-2</w:t>
      </w:r>
      <w:r>
        <w:rPr>
          <w:rFonts w:hint="eastAsia"/>
          <w:color w:val="FF0000"/>
          <w:lang w:bidi="en-US"/>
        </w:rPr>
        <w:t>。</w:t>
      </w:r>
    </w:p>
    <w:p>
      <w:pPr>
        <w:pStyle w:val="400"/>
        <w:ind w:firstLine="420"/>
        <w:rPr>
          <w:color w:val="FF0000"/>
          <w:lang w:bidi="en-US"/>
        </w:rPr>
      </w:pPr>
      <w:r>
        <w:rPr>
          <w:rFonts w:hint="eastAsia"/>
          <w:color w:val="FF0000"/>
          <w:lang w:bidi="en-US"/>
        </w:rPr>
        <w:t>表3</w:t>
      </w:r>
      <w:r>
        <w:rPr>
          <w:color w:val="FF0000"/>
          <w:lang w:bidi="en-US"/>
        </w:rPr>
        <w:t xml:space="preserve">.1-2      </w:t>
      </w:r>
      <w:r>
        <w:rPr>
          <w:rFonts w:hint="eastAsia"/>
          <w:color w:val="FF0000"/>
          <w:lang w:bidi="en-US"/>
        </w:rPr>
        <w:t xml:space="preserve">     </w:t>
      </w:r>
      <w:r>
        <w:rPr>
          <w:color w:val="FF0000"/>
          <w:lang w:bidi="en-US"/>
        </w:rPr>
        <w:t xml:space="preserve">      </w:t>
      </w:r>
      <w:r>
        <w:rPr>
          <w:rFonts w:hint="eastAsia"/>
          <w:color w:val="FF0000"/>
          <w:lang w:bidi="en-US"/>
        </w:rPr>
        <w:t xml:space="preserve"> 项目产品规模一览表</w:t>
      </w:r>
    </w:p>
    <w:tbl>
      <w:tblPr>
        <w:tblStyle w:val="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979"/>
        <w:gridCol w:w="1856"/>
        <w:gridCol w:w="1939"/>
        <w:gridCol w:w="1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pPr>
              <w:pStyle w:val="687"/>
              <w:rPr>
                <w:color w:val="FF0000"/>
                <w:sz w:val="21"/>
              </w:rPr>
            </w:pPr>
            <w:r>
              <w:rPr>
                <w:rFonts w:hint="eastAsia"/>
                <w:color w:val="FF0000"/>
                <w:sz w:val="21"/>
              </w:rPr>
              <w:t>序号</w:t>
            </w:r>
          </w:p>
        </w:tc>
        <w:tc>
          <w:tcPr>
            <w:tcW w:w="1173" w:type="pct"/>
            <w:vAlign w:val="center"/>
          </w:tcPr>
          <w:p>
            <w:pPr>
              <w:pStyle w:val="687"/>
              <w:rPr>
                <w:color w:val="FF0000"/>
                <w:sz w:val="21"/>
              </w:rPr>
            </w:pPr>
            <w:r>
              <w:rPr>
                <w:rFonts w:hint="eastAsia"/>
                <w:color w:val="FF0000"/>
                <w:sz w:val="21"/>
              </w:rPr>
              <w:t>产品名称</w:t>
            </w:r>
          </w:p>
        </w:tc>
        <w:tc>
          <w:tcPr>
            <w:tcW w:w="1100" w:type="pct"/>
            <w:vAlign w:val="center"/>
          </w:tcPr>
          <w:p>
            <w:pPr>
              <w:pStyle w:val="687"/>
              <w:rPr>
                <w:color w:val="FF0000"/>
                <w:sz w:val="21"/>
                <w:lang w:eastAsia="zh-CN"/>
              </w:rPr>
            </w:pPr>
            <w:r>
              <w:rPr>
                <w:rFonts w:hint="eastAsia"/>
                <w:color w:val="FF0000"/>
                <w:sz w:val="21"/>
                <w:lang w:eastAsia="zh-CN"/>
              </w:rPr>
              <w:t>改造前</w:t>
            </w:r>
            <w:r>
              <w:rPr>
                <w:color w:val="FF0000"/>
                <w:sz w:val="21"/>
                <w:lang w:eastAsia="zh-CN"/>
              </w:rPr>
              <w:t>生产规模</w:t>
            </w:r>
          </w:p>
        </w:tc>
        <w:tc>
          <w:tcPr>
            <w:tcW w:w="1149" w:type="pct"/>
            <w:vAlign w:val="center"/>
          </w:tcPr>
          <w:p>
            <w:pPr>
              <w:pStyle w:val="687"/>
              <w:rPr>
                <w:color w:val="FF0000"/>
                <w:sz w:val="21"/>
              </w:rPr>
            </w:pPr>
            <w:r>
              <w:rPr>
                <w:rFonts w:hint="eastAsia"/>
                <w:color w:val="FF0000"/>
                <w:sz w:val="21"/>
                <w:lang w:eastAsia="zh-CN"/>
              </w:rPr>
              <w:t>改造后</w:t>
            </w:r>
            <w:r>
              <w:rPr>
                <w:rFonts w:hint="eastAsia"/>
                <w:color w:val="FF0000"/>
                <w:sz w:val="21"/>
              </w:rPr>
              <w:t>生产规模</w:t>
            </w:r>
          </w:p>
        </w:tc>
        <w:tc>
          <w:tcPr>
            <w:tcW w:w="1148" w:type="pct"/>
            <w:vAlign w:val="center"/>
          </w:tcPr>
          <w:p>
            <w:pPr>
              <w:pStyle w:val="687"/>
              <w:rPr>
                <w:color w:val="FF0000"/>
                <w:sz w:val="21"/>
                <w:lang w:eastAsia="zh-CN"/>
              </w:rPr>
            </w:pPr>
            <w:r>
              <w:rPr>
                <w:rFonts w:hint="eastAsia"/>
                <w:color w:val="FF0000"/>
                <w:sz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30" w:type="pct"/>
            <w:vAlign w:val="center"/>
          </w:tcPr>
          <w:p>
            <w:pPr>
              <w:pStyle w:val="687"/>
              <w:rPr>
                <w:color w:val="FF0000"/>
                <w:sz w:val="21"/>
              </w:rPr>
            </w:pPr>
            <w:r>
              <w:rPr>
                <w:color w:val="FF0000"/>
                <w:sz w:val="21"/>
              </w:rPr>
              <w:t>1</w:t>
            </w:r>
          </w:p>
        </w:tc>
        <w:tc>
          <w:tcPr>
            <w:tcW w:w="1173" w:type="pct"/>
            <w:vAlign w:val="center"/>
          </w:tcPr>
          <w:p>
            <w:pPr>
              <w:pStyle w:val="687"/>
              <w:rPr>
                <w:color w:val="FF0000"/>
                <w:sz w:val="21"/>
                <w:lang w:eastAsia="zh-CN"/>
              </w:rPr>
            </w:pPr>
            <w:r>
              <w:rPr>
                <w:rFonts w:hint="eastAsia"/>
                <w:color w:val="FF0000"/>
                <w:sz w:val="21"/>
              </w:rPr>
              <w:t>CNG</w:t>
            </w:r>
          </w:p>
        </w:tc>
        <w:tc>
          <w:tcPr>
            <w:tcW w:w="1100" w:type="pct"/>
            <w:vAlign w:val="center"/>
          </w:tcPr>
          <w:p>
            <w:pPr>
              <w:pStyle w:val="687"/>
              <w:rPr>
                <w:color w:val="FF0000"/>
                <w:sz w:val="21"/>
                <w:lang w:eastAsia="zh-CN"/>
              </w:rPr>
            </w:pPr>
            <w:r>
              <w:rPr>
                <w:rFonts w:hint="eastAsia"/>
                <w:color w:val="FF0000"/>
                <w:sz w:val="21"/>
              </w:rPr>
              <w:t>2</w:t>
            </w:r>
            <w:r>
              <w:rPr>
                <w:color w:val="FF0000"/>
                <w:sz w:val="21"/>
              </w:rPr>
              <w:t>8</w:t>
            </w:r>
            <w:r>
              <w:rPr>
                <w:rFonts w:hint="eastAsia"/>
                <w:color w:val="FF0000"/>
                <w:sz w:val="21"/>
              </w:rPr>
              <w:t>770</w:t>
            </w:r>
            <w:r>
              <w:rPr>
                <w:color w:val="FF0000"/>
                <w:sz w:val="21"/>
              </w:rPr>
              <w:t>m³</w:t>
            </w:r>
            <w:r>
              <w:rPr>
                <w:rFonts w:hint="eastAsia"/>
                <w:color w:val="FF0000"/>
                <w:sz w:val="21"/>
              </w:rPr>
              <w:t>/d</w:t>
            </w:r>
          </w:p>
        </w:tc>
        <w:tc>
          <w:tcPr>
            <w:tcW w:w="1149" w:type="pct"/>
            <w:vAlign w:val="center"/>
          </w:tcPr>
          <w:p>
            <w:pPr>
              <w:pStyle w:val="687"/>
              <w:rPr>
                <w:color w:val="FF0000"/>
                <w:sz w:val="21"/>
                <w:lang w:eastAsia="zh-CN"/>
              </w:rPr>
            </w:pPr>
            <w:r>
              <w:rPr>
                <w:rFonts w:hint="eastAsia"/>
                <w:color w:val="FF0000"/>
                <w:sz w:val="21"/>
                <w:lang w:eastAsia="zh-CN"/>
              </w:rPr>
              <w:t>5</w:t>
            </w:r>
            <w:r>
              <w:rPr>
                <w:color w:val="FF0000"/>
                <w:sz w:val="21"/>
                <w:lang w:eastAsia="zh-CN"/>
              </w:rPr>
              <w:t>6340</w:t>
            </w:r>
            <w:r>
              <w:rPr>
                <w:color w:val="FF0000"/>
                <w:sz w:val="21"/>
              </w:rPr>
              <w:t>m³</w:t>
            </w:r>
            <w:r>
              <w:rPr>
                <w:rFonts w:hint="eastAsia"/>
                <w:color w:val="FF0000"/>
                <w:sz w:val="21"/>
              </w:rPr>
              <w:t>/d</w:t>
            </w:r>
          </w:p>
        </w:tc>
        <w:tc>
          <w:tcPr>
            <w:tcW w:w="1148" w:type="pct"/>
            <w:vAlign w:val="center"/>
          </w:tcPr>
          <w:p>
            <w:pPr>
              <w:pStyle w:val="687"/>
              <w:rPr>
                <w:color w:val="FF0000"/>
                <w:sz w:val="21"/>
              </w:rPr>
            </w:pPr>
            <w:r>
              <w:rPr>
                <w:rFonts w:hint="eastAsia"/>
                <w:color w:val="FF0000"/>
                <w:sz w:val="21"/>
                <w:lang w:eastAsia="zh-CN"/>
              </w:rPr>
              <w:t>0</w:t>
            </w:r>
            <w:r>
              <w:rPr>
                <w:color w:val="FF0000"/>
                <w:sz w:val="21"/>
                <w:lang w:eastAsia="zh-CN"/>
              </w:rPr>
              <w:t>.76</w:t>
            </w:r>
            <w:r>
              <w:rPr>
                <w:rFonts w:hint="eastAsia"/>
                <w:color w:val="FF0000"/>
                <w:sz w:val="21"/>
                <w:lang w:eastAsia="zh-CN"/>
              </w:rPr>
              <w:t>kg/m</w:t>
            </w:r>
            <w:r>
              <w:rPr>
                <w:rFonts w:hint="eastAsia"/>
                <w:color w:val="FF0000"/>
                <w:sz w:val="21"/>
                <w:vertAlign w:val="superscript"/>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30" w:type="pct"/>
            <w:vAlign w:val="center"/>
          </w:tcPr>
          <w:p>
            <w:pPr>
              <w:pStyle w:val="687"/>
              <w:rPr>
                <w:color w:val="FF0000"/>
                <w:sz w:val="21"/>
              </w:rPr>
            </w:pPr>
            <w:r>
              <w:rPr>
                <w:color w:val="FF0000"/>
                <w:sz w:val="21"/>
              </w:rPr>
              <w:t>2</w:t>
            </w:r>
          </w:p>
        </w:tc>
        <w:tc>
          <w:tcPr>
            <w:tcW w:w="1173" w:type="pct"/>
            <w:vAlign w:val="center"/>
          </w:tcPr>
          <w:p>
            <w:pPr>
              <w:pStyle w:val="687"/>
              <w:rPr>
                <w:color w:val="FF0000"/>
                <w:sz w:val="21"/>
                <w:lang w:eastAsia="zh-CN"/>
              </w:rPr>
            </w:pPr>
            <w:r>
              <w:rPr>
                <w:color w:val="FF0000"/>
                <w:sz w:val="21"/>
              </w:rPr>
              <w:t>混烃</w:t>
            </w:r>
          </w:p>
        </w:tc>
        <w:tc>
          <w:tcPr>
            <w:tcW w:w="1100" w:type="pct"/>
            <w:vAlign w:val="center"/>
          </w:tcPr>
          <w:p>
            <w:pPr>
              <w:pStyle w:val="687"/>
              <w:rPr>
                <w:color w:val="FF0000"/>
                <w:sz w:val="21"/>
                <w:lang w:eastAsia="zh-CN"/>
              </w:rPr>
            </w:pPr>
            <w:r>
              <w:rPr>
                <w:color w:val="FF0000"/>
                <w:sz w:val="21"/>
              </w:rPr>
              <w:t>2t</w:t>
            </w:r>
            <w:r>
              <w:rPr>
                <w:rFonts w:hint="eastAsia"/>
                <w:color w:val="FF0000"/>
                <w:sz w:val="21"/>
              </w:rPr>
              <w:t>/d</w:t>
            </w:r>
          </w:p>
        </w:tc>
        <w:tc>
          <w:tcPr>
            <w:tcW w:w="1149" w:type="pct"/>
            <w:vAlign w:val="center"/>
          </w:tcPr>
          <w:p>
            <w:pPr>
              <w:pStyle w:val="687"/>
              <w:rPr>
                <w:color w:val="FF0000"/>
                <w:sz w:val="21"/>
                <w:lang w:eastAsia="zh-CN"/>
              </w:rPr>
            </w:pPr>
            <w:r>
              <w:rPr>
                <w:color w:val="FF0000"/>
                <w:sz w:val="21"/>
                <w:lang w:eastAsia="zh-CN"/>
              </w:rPr>
              <w:t>6t/d</w:t>
            </w:r>
          </w:p>
        </w:tc>
        <w:tc>
          <w:tcPr>
            <w:tcW w:w="1148" w:type="pct"/>
            <w:vAlign w:val="center"/>
          </w:tcPr>
          <w:p>
            <w:pPr>
              <w:pStyle w:val="687"/>
              <w:rPr>
                <w:color w:val="FF0000"/>
                <w:sz w:val="21"/>
                <w:lang w:eastAsia="zh-CN"/>
              </w:rPr>
            </w:pPr>
            <w:r>
              <w:rPr>
                <w:rFonts w:hint="eastAsia"/>
                <w:color w:val="FF0000"/>
                <w:sz w:val="21"/>
                <w:lang w:eastAsia="zh-CN"/>
              </w:rPr>
              <w:t>600m</w:t>
            </w:r>
            <w:r>
              <w:rPr>
                <w:rFonts w:hint="eastAsia"/>
                <w:color w:val="FF0000"/>
                <w:sz w:val="21"/>
                <w:vertAlign w:val="superscript"/>
                <w:lang w:eastAsia="zh-CN"/>
              </w:rPr>
              <w:t>3</w:t>
            </w:r>
            <w:r>
              <w:rPr>
                <w:rFonts w:hint="eastAsia"/>
                <w:color w:val="FF0000"/>
                <w:sz w:val="21"/>
                <w:lang w:eastAsia="zh-CN"/>
              </w:rPr>
              <w:t>/t</w:t>
            </w:r>
          </w:p>
        </w:tc>
      </w:tr>
      <w:bookmarkEnd w:id="179"/>
    </w:tbl>
    <w:p>
      <w:pPr>
        <w:pStyle w:val="5"/>
        <w:spacing w:before="120" w:after="120"/>
        <w:rPr>
          <w:spacing w:val="0"/>
        </w:rPr>
      </w:pPr>
      <w:bookmarkStart w:id="180" w:name="_Toc145580381"/>
      <w:r>
        <w:rPr>
          <w:rFonts w:hint="eastAsia"/>
          <w:spacing w:val="0"/>
        </w:rPr>
        <w:t>3.1.</w:t>
      </w:r>
      <w:r>
        <w:rPr>
          <w:spacing w:val="0"/>
        </w:rPr>
        <w:t>4</w:t>
      </w:r>
      <w:bookmarkEnd w:id="177"/>
      <w:r>
        <w:rPr>
          <w:rFonts w:hint="eastAsia"/>
          <w:spacing w:val="0"/>
        </w:rPr>
        <w:t>原料气的质量指标</w:t>
      </w:r>
      <w:bookmarkEnd w:id="180"/>
    </w:p>
    <w:p>
      <w:pPr>
        <w:pStyle w:val="488"/>
        <w:ind w:firstLine="480"/>
        <w:rPr>
          <w:rFonts w:ascii="Times New Roman" w:hAnsi="Times New Roman" w:cs="Times New Roman"/>
          <w:color w:val="FF0000"/>
        </w:rPr>
      </w:pPr>
      <w:bookmarkStart w:id="181" w:name="_Hlk147571090"/>
      <w:bookmarkStart w:id="182" w:name="_Toc40289854"/>
      <w:bookmarkStart w:id="183" w:name="_Toc107500334"/>
      <w:r>
        <w:rPr>
          <w:rFonts w:hint="eastAsia" w:ascii="Times New Roman" w:hAnsi="Times New Roman" w:cs="Times New Roman"/>
          <w:color w:val="FF0000"/>
        </w:rPr>
        <w:t>根据可研及提供的资料，</w:t>
      </w:r>
      <w:r>
        <w:rPr>
          <w:rFonts w:ascii="Times New Roman" w:hAnsi="Times New Roman" w:cs="Times New Roman"/>
          <w:color w:val="FF0000"/>
        </w:rPr>
        <w:t>本项目的原料气来自董701区块</w:t>
      </w:r>
      <w:r>
        <w:rPr>
          <w:rFonts w:hint="eastAsia" w:ascii="Times New Roman" w:hAnsi="Times New Roman" w:cs="Times New Roman"/>
          <w:color w:val="FF0000"/>
        </w:rPr>
        <w:t>天然气处理站处理后的</w:t>
      </w:r>
      <w:r>
        <w:rPr>
          <w:rFonts w:ascii="Times New Roman" w:hAnsi="Times New Roman" w:cs="Times New Roman"/>
          <w:color w:val="FF0000"/>
        </w:rPr>
        <w:t>放空天然气，</w:t>
      </w:r>
      <w:r>
        <w:rPr>
          <w:rFonts w:hint="eastAsia" w:ascii="Times New Roman" w:hAnsi="Times New Roman" w:cs="Times New Roman"/>
          <w:color w:val="FF0000"/>
        </w:rPr>
        <w:t>无需进行</w:t>
      </w:r>
      <w:r>
        <w:rPr>
          <w:rFonts w:hint="eastAsia" w:ascii="Times New Roman" w:hAnsi="Times New Roman" w:cs="Times New Roman"/>
          <w:bCs/>
          <w:color w:val="FF0000"/>
        </w:rPr>
        <w:t>脱酸性气体和脱汞，</w:t>
      </w:r>
      <w:r>
        <w:rPr>
          <w:rFonts w:ascii="Times New Roman" w:hAnsi="Times New Roman" w:cs="Times New Roman"/>
          <w:color w:val="FF0000"/>
        </w:rPr>
        <w:t>原料气的进站条件为：温度：20</w:t>
      </w:r>
      <w:r>
        <w:rPr>
          <w:rFonts w:hint="eastAsia" w:eastAsia="宋体"/>
          <w:color w:val="FF0000"/>
        </w:rPr>
        <w:t>℃</w:t>
      </w:r>
      <w:r>
        <w:rPr>
          <w:rFonts w:ascii="Times New Roman" w:hAnsi="Times New Roman" w:cs="Times New Roman"/>
          <w:color w:val="FF0000"/>
        </w:rPr>
        <w:t>；压力：0.3MPa；具体的放空气组分参数表3.1-3。</w:t>
      </w:r>
    </w:p>
    <w:bookmarkEnd w:id="181"/>
    <w:p>
      <w:pPr>
        <w:pStyle w:val="672"/>
        <w:rPr>
          <w:rStyle w:val="401"/>
          <w:color w:val="FF0000"/>
        </w:rPr>
      </w:pPr>
      <w:r>
        <w:rPr>
          <w:rFonts w:hint="eastAsia"/>
          <w:color w:val="FF0000"/>
        </w:rPr>
        <w:t>表</w:t>
      </w:r>
      <w:r>
        <w:rPr>
          <w:rStyle w:val="401"/>
          <w:rFonts w:hint="eastAsia"/>
          <w:color w:val="FF0000"/>
        </w:rPr>
        <w:t>3</w:t>
      </w:r>
      <w:r>
        <w:rPr>
          <w:rStyle w:val="401"/>
          <w:color w:val="FF0000"/>
        </w:rPr>
        <w:t>.1-3                     原料气组分表</w:t>
      </w:r>
    </w:p>
    <w:bookmarkEnd w:id="182"/>
    <w:bookmarkEnd w:id="183"/>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64"/>
        <w:gridCol w:w="2326"/>
        <w:gridCol w:w="2034"/>
        <w:gridCol w:w="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93" w:type="pct"/>
            <w:tcBorders>
              <w:top w:val="single" w:color="auto" w:sz="4" w:space="0"/>
              <w:left w:val="single" w:color="auto" w:sz="4" w:space="0"/>
              <w:bottom w:val="single" w:color="auto" w:sz="4" w:space="0"/>
              <w:right w:val="single" w:color="auto" w:sz="4" w:space="0"/>
            </w:tcBorders>
            <w:vAlign w:val="center"/>
          </w:tcPr>
          <w:p>
            <w:pPr>
              <w:widowControl/>
              <w:jc w:val="center"/>
              <w:rPr>
                <w:color w:val="FF0000"/>
                <w:kern w:val="0"/>
                <w:szCs w:val="21"/>
                <w:lang w:eastAsia="en-US" w:bidi="en-US"/>
              </w:rPr>
            </w:pPr>
            <w:bookmarkStart w:id="184" w:name="_Toc40289855"/>
            <w:bookmarkStart w:id="185" w:name="_Toc107500335"/>
            <w:bookmarkStart w:id="186" w:name="_Toc145580382"/>
            <w:r>
              <w:rPr>
                <w:color w:val="FF0000"/>
                <w:kern w:val="0"/>
                <w:szCs w:val="21"/>
                <w:lang w:eastAsia="en-US" w:bidi="en-US"/>
              </w:rPr>
              <w:t>组分名称</w:t>
            </w:r>
          </w:p>
        </w:tc>
        <w:tc>
          <w:tcPr>
            <w:tcW w:w="1413" w:type="pct"/>
            <w:tcBorders>
              <w:top w:val="single" w:color="auto" w:sz="4" w:space="0"/>
              <w:left w:val="single" w:color="auto" w:sz="4" w:space="0"/>
              <w:bottom w:val="single" w:color="auto" w:sz="4" w:space="0"/>
              <w:right w:val="single" w:color="auto" w:sz="4" w:space="0"/>
            </w:tcBorders>
            <w:vAlign w:val="center"/>
          </w:tcPr>
          <w:p>
            <w:pPr>
              <w:widowControl/>
              <w:jc w:val="center"/>
              <w:rPr>
                <w:color w:val="FF0000"/>
                <w:kern w:val="0"/>
                <w:szCs w:val="21"/>
                <w:lang w:eastAsia="en-US" w:bidi="en-US"/>
              </w:rPr>
            </w:pPr>
            <w:r>
              <w:rPr>
                <w:color w:val="FF0000"/>
                <w:kern w:val="0"/>
                <w:szCs w:val="21"/>
                <w:lang w:eastAsia="en-US" w:bidi="en-US"/>
              </w:rPr>
              <w:t>组分含量</w:t>
            </w:r>
          </w:p>
        </w:tc>
        <w:tc>
          <w:tcPr>
            <w:tcW w:w="1236" w:type="pct"/>
            <w:tcBorders>
              <w:top w:val="single" w:color="auto" w:sz="4" w:space="0"/>
              <w:left w:val="single" w:color="auto" w:sz="4" w:space="0"/>
              <w:bottom w:val="single" w:color="auto" w:sz="4" w:space="0"/>
              <w:right w:val="single" w:color="auto" w:sz="4" w:space="0"/>
            </w:tcBorders>
            <w:vAlign w:val="center"/>
          </w:tcPr>
          <w:p>
            <w:pPr>
              <w:widowControl/>
              <w:jc w:val="center"/>
              <w:rPr>
                <w:color w:val="FF0000"/>
                <w:kern w:val="0"/>
                <w:szCs w:val="21"/>
                <w:lang w:eastAsia="en-US" w:bidi="en-US"/>
              </w:rPr>
            </w:pPr>
            <w:r>
              <w:rPr>
                <w:color w:val="FF0000"/>
                <w:kern w:val="0"/>
                <w:szCs w:val="21"/>
                <w:lang w:eastAsia="en-US" w:bidi="en-US"/>
              </w:rPr>
              <w:t>组分名称</w:t>
            </w:r>
          </w:p>
        </w:tc>
        <w:tc>
          <w:tcPr>
            <w:tcW w:w="1158" w:type="pct"/>
            <w:tcBorders>
              <w:top w:val="single" w:color="auto" w:sz="4" w:space="0"/>
              <w:left w:val="single" w:color="auto" w:sz="4" w:space="0"/>
              <w:bottom w:val="single" w:color="auto" w:sz="4" w:space="0"/>
              <w:right w:val="single" w:color="auto" w:sz="4" w:space="0"/>
            </w:tcBorders>
            <w:vAlign w:val="center"/>
          </w:tcPr>
          <w:p>
            <w:pPr>
              <w:widowControl/>
              <w:jc w:val="center"/>
              <w:rPr>
                <w:color w:val="FF0000"/>
                <w:kern w:val="0"/>
                <w:szCs w:val="21"/>
                <w:lang w:eastAsia="en-US" w:bidi="en-US"/>
              </w:rPr>
            </w:pPr>
            <w:r>
              <w:rPr>
                <w:color w:val="FF0000"/>
                <w:kern w:val="0"/>
                <w:szCs w:val="21"/>
                <w:lang w:eastAsia="en-US" w:bidi="en-US"/>
              </w:rPr>
              <w:t>组分含量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93"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Times New Roman"/>
                <w:color w:val="FF0000"/>
                <w:kern w:val="0"/>
                <w:szCs w:val="21"/>
                <w:lang w:eastAsia="en-US" w:bidi="en-US"/>
              </w:rPr>
            </w:pPr>
            <w:r>
              <w:rPr>
                <w:color w:val="FF0000"/>
                <w:kern w:val="0"/>
                <w:position w:val="2"/>
                <w:szCs w:val="21"/>
                <w:lang w:eastAsia="en-US" w:bidi="en-US"/>
              </w:rPr>
              <w:t>C</w:t>
            </w:r>
            <w:r>
              <w:rPr>
                <w:color w:val="FF0000"/>
                <w:kern w:val="0"/>
                <w:szCs w:val="21"/>
                <w:lang w:eastAsia="en-US" w:bidi="en-US"/>
              </w:rPr>
              <w:t>1</w:t>
            </w:r>
          </w:p>
        </w:tc>
        <w:tc>
          <w:tcPr>
            <w:tcW w:w="1413"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Times New Roman"/>
                <w:color w:val="FF0000"/>
                <w:kern w:val="0"/>
                <w:szCs w:val="21"/>
                <w:lang w:eastAsia="en-US" w:bidi="en-US"/>
              </w:rPr>
            </w:pPr>
            <w:r>
              <w:rPr>
                <w:color w:val="FF0000"/>
                <w:kern w:val="0"/>
                <w:szCs w:val="21"/>
                <w:lang w:eastAsia="en-US" w:bidi="en-US"/>
              </w:rPr>
              <w:t>93.68%</w:t>
            </w:r>
          </w:p>
        </w:tc>
        <w:tc>
          <w:tcPr>
            <w:tcW w:w="1236"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Times New Roman"/>
                <w:color w:val="FF0000"/>
                <w:kern w:val="0"/>
                <w:szCs w:val="21"/>
                <w:lang w:eastAsia="en-US" w:bidi="en-US"/>
              </w:rPr>
            </w:pPr>
            <w:r>
              <w:rPr>
                <w:color w:val="FF0000"/>
                <w:kern w:val="0"/>
                <w:position w:val="2"/>
                <w:szCs w:val="21"/>
                <w:lang w:eastAsia="en-US" w:bidi="en-US"/>
              </w:rPr>
              <w:t>iC</w:t>
            </w:r>
            <w:r>
              <w:rPr>
                <w:color w:val="FF0000"/>
                <w:kern w:val="0"/>
                <w:szCs w:val="21"/>
                <w:lang w:eastAsia="en-US" w:bidi="en-US"/>
              </w:rPr>
              <w:t>5</w:t>
            </w:r>
          </w:p>
        </w:tc>
        <w:tc>
          <w:tcPr>
            <w:tcW w:w="1158"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Times New Roman"/>
                <w:color w:val="FF0000"/>
                <w:kern w:val="0"/>
                <w:szCs w:val="21"/>
                <w:lang w:eastAsia="en-US" w:bidi="en-US"/>
              </w:rPr>
            </w:pPr>
            <w:r>
              <w:rPr>
                <w:color w:val="FF0000"/>
                <w:kern w:val="0"/>
                <w:szCs w:val="21"/>
                <w:lang w:eastAsia="en-US" w:bidi="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93"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Times New Roman"/>
                <w:color w:val="FF0000"/>
                <w:kern w:val="0"/>
                <w:szCs w:val="21"/>
                <w:lang w:eastAsia="en-US" w:bidi="en-US"/>
              </w:rPr>
            </w:pPr>
            <w:r>
              <w:rPr>
                <w:color w:val="FF0000"/>
                <w:kern w:val="0"/>
                <w:position w:val="2"/>
                <w:szCs w:val="21"/>
                <w:lang w:eastAsia="en-US" w:bidi="en-US"/>
              </w:rPr>
              <w:t>C</w:t>
            </w:r>
            <w:r>
              <w:rPr>
                <w:color w:val="FF0000"/>
                <w:kern w:val="0"/>
                <w:szCs w:val="21"/>
                <w:lang w:eastAsia="en-US" w:bidi="en-US"/>
              </w:rPr>
              <w:t>2</w:t>
            </w:r>
          </w:p>
        </w:tc>
        <w:tc>
          <w:tcPr>
            <w:tcW w:w="1413"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Times New Roman"/>
                <w:color w:val="FF0000"/>
                <w:kern w:val="0"/>
                <w:szCs w:val="21"/>
                <w:lang w:eastAsia="en-US" w:bidi="en-US"/>
              </w:rPr>
            </w:pPr>
            <w:r>
              <w:rPr>
                <w:color w:val="FF0000"/>
                <w:kern w:val="0"/>
                <w:szCs w:val="21"/>
                <w:lang w:eastAsia="en-US" w:bidi="en-US"/>
              </w:rPr>
              <w:t>1.14%</w:t>
            </w:r>
          </w:p>
        </w:tc>
        <w:tc>
          <w:tcPr>
            <w:tcW w:w="1236"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Times New Roman"/>
                <w:color w:val="FF0000"/>
                <w:kern w:val="0"/>
                <w:szCs w:val="21"/>
                <w:lang w:eastAsia="en-US" w:bidi="en-US"/>
              </w:rPr>
            </w:pPr>
            <w:r>
              <w:rPr>
                <w:color w:val="FF0000"/>
                <w:kern w:val="0"/>
                <w:position w:val="2"/>
                <w:szCs w:val="21"/>
                <w:lang w:eastAsia="en-US" w:bidi="en-US"/>
              </w:rPr>
              <w:t>nC</w:t>
            </w:r>
            <w:r>
              <w:rPr>
                <w:color w:val="FF0000"/>
                <w:kern w:val="0"/>
                <w:szCs w:val="21"/>
                <w:lang w:eastAsia="en-US" w:bidi="en-US"/>
              </w:rPr>
              <w:t>5</w:t>
            </w:r>
          </w:p>
        </w:tc>
        <w:tc>
          <w:tcPr>
            <w:tcW w:w="1158"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Times New Roman"/>
                <w:color w:val="FF0000"/>
                <w:kern w:val="0"/>
                <w:szCs w:val="21"/>
                <w:lang w:eastAsia="en-US" w:bidi="en-US"/>
              </w:rPr>
            </w:pPr>
            <w:r>
              <w:rPr>
                <w:color w:val="FF0000"/>
                <w:kern w:val="0"/>
                <w:szCs w:val="21"/>
                <w:lang w:eastAsia="en-US" w:bidi="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93"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Times New Roman"/>
                <w:color w:val="FF0000"/>
                <w:kern w:val="0"/>
                <w:szCs w:val="21"/>
                <w:lang w:eastAsia="en-US" w:bidi="en-US"/>
              </w:rPr>
            </w:pPr>
            <w:r>
              <w:rPr>
                <w:color w:val="FF0000"/>
                <w:kern w:val="0"/>
                <w:position w:val="2"/>
                <w:szCs w:val="21"/>
                <w:lang w:eastAsia="en-US" w:bidi="en-US"/>
              </w:rPr>
              <w:t>C</w:t>
            </w:r>
            <w:r>
              <w:rPr>
                <w:color w:val="FF0000"/>
                <w:kern w:val="0"/>
                <w:szCs w:val="21"/>
                <w:lang w:eastAsia="en-US" w:bidi="en-US"/>
              </w:rPr>
              <w:t>3</w:t>
            </w:r>
          </w:p>
        </w:tc>
        <w:tc>
          <w:tcPr>
            <w:tcW w:w="1413"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Times New Roman"/>
                <w:color w:val="FF0000"/>
                <w:kern w:val="0"/>
                <w:szCs w:val="21"/>
                <w:lang w:eastAsia="en-US" w:bidi="en-US"/>
              </w:rPr>
            </w:pPr>
            <w:r>
              <w:rPr>
                <w:color w:val="FF0000"/>
                <w:kern w:val="0"/>
                <w:szCs w:val="21"/>
                <w:lang w:eastAsia="en-US" w:bidi="en-US"/>
              </w:rPr>
              <w:t>0.18%</w:t>
            </w:r>
          </w:p>
        </w:tc>
        <w:tc>
          <w:tcPr>
            <w:tcW w:w="1236"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Times New Roman"/>
                <w:color w:val="FF0000"/>
                <w:kern w:val="0"/>
                <w:szCs w:val="21"/>
                <w:lang w:eastAsia="en-US" w:bidi="en-US"/>
              </w:rPr>
            </w:pPr>
            <w:r>
              <w:rPr>
                <w:color w:val="FF0000"/>
                <w:kern w:val="0"/>
                <w:position w:val="2"/>
                <w:szCs w:val="21"/>
                <w:lang w:eastAsia="en-US" w:bidi="en-US"/>
              </w:rPr>
              <w:t>O</w:t>
            </w:r>
            <w:r>
              <w:rPr>
                <w:color w:val="FF0000"/>
                <w:kern w:val="0"/>
                <w:szCs w:val="21"/>
                <w:vertAlign w:val="subscript"/>
                <w:lang w:eastAsia="en-US" w:bidi="en-US"/>
              </w:rPr>
              <w:t>2</w:t>
            </w:r>
          </w:p>
        </w:tc>
        <w:tc>
          <w:tcPr>
            <w:tcW w:w="1158"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Times New Roman"/>
                <w:color w:val="FF0000"/>
                <w:kern w:val="0"/>
                <w:szCs w:val="21"/>
                <w:lang w:eastAsia="en-US" w:bidi="en-US"/>
              </w:rPr>
            </w:pPr>
            <w:r>
              <w:rPr>
                <w:color w:val="FF0000"/>
                <w:kern w:val="0"/>
                <w:szCs w:val="21"/>
                <w:lang w:eastAsia="en-US" w:bidi="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93"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Times New Roman"/>
                <w:color w:val="FF0000"/>
                <w:kern w:val="0"/>
                <w:szCs w:val="21"/>
                <w:lang w:eastAsia="en-US" w:bidi="en-US"/>
              </w:rPr>
            </w:pPr>
            <w:r>
              <w:rPr>
                <w:color w:val="FF0000"/>
                <w:kern w:val="0"/>
                <w:position w:val="2"/>
                <w:szCs w:val="21"/>
                <w:lang w:eastAsia="en-US" w:bidi="en-US"/>
              </w:rPr>
              <w:t>iC</w:t>
            </w:r>
            <w:r>
              <w:rPr>
                <w:color w:val="FF0000"/>
                <w:kern w:val="0"/>
                <w:szCs w:val="21"/>
                <w:lang w:eastAsia="en-US" w:bidi="en-US"/>
              </w:rPr>
              <w:t>4</w:t>
            </w:r>
          </w:p>
        </w:tc>
        <w:tc>
          <w:tcPr>
            <w:tcW w:w="1413"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Times New Roman"/>
                <w:color w:val="FF0000"/>
                <w:kern w:val="0"/>
                <w:szCs w:val="21"/>
                <w:lang w:eastAsia="en-US" w:bidi="en-US"/>
              </w:rPr>
            </w:pPr>
            <w:r>
              <w:rPr>
                <w:color w:val="FF0000"/>
                <w:kern w:val="0"/>
                <w:szCs w:val="21"/>
                <w:lang w:eastAsia="en-US" w:bidi="en-US"/>
              </w:rPr>
              <w:t>0.04%</w:t>
            </w:r>
          </w:p>
        </w:tc>
        <w:tc>
          <w:tcPr>
            <w:tcW w:w="1236"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Times New Roman"/>
                <w:color w:val="FF0000"/>
                <w:kern w:val="0"/>
                <w:szCs w:val="21"/>
                <w:lang w:eastAsia="en-US" w:bidi="en-US"/>
              </w:rPr>
            </w:pPr>
            <w:r>
              <w:rPr>
                <w:color w:val="FF0000"/>
                <w:kern w:val="0"/>
                <w:position w:val="2"/>
                <w:szCs w:val="21"/>
                <w:lang w:eastAsia="en-US" w:bidi="en-US"/>
              </w:rPr>
              <w:t>CO</w:t>
            </w:r>
            <w:r>
              <w:rPr>
                <w:color w:val="FF0000"/>
                <w:kern w:val="0"/>
                <w:szCs w:val="21"/>
                <w:vertAlign w:val="subscript"/>
                <w:lang w:eastAsia="en-US" w:bidi="en-US"/>
              </w:rPr>
              <w:t>2</w:t>
            </w:r>
          </w:p>
        </w:tc>
        <w:tc>
          <w:tcPr>
            <w:tcW w:w="1158"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Times New Roman"/>
                <w:color w:val="FF0000"/>
                <w:kern w:val="0"/>
                <w:szCs w:val="21"/>
                <w:lang w:eastAsia="en-US" w:bidi="en-US"/>
              </w:rPr>
            </w:pPr>
            <w:r>
              <w:rPr>
                <w:color w:val="FF0000"/>
                <w:kern w:val="0"/>
                <w:szCs w:val="21"/>
                <w:lang w:eastAsia="en-US" w:bidi="en-US"/>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93"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Times New Roman"/>
                <w:color w:val="FF0000"/>
                <w:kern w:val="0"/>
                <w:szCs w:val="21"/>
                <w:lang w:eastAsia="en-US" w:bidi="en-US"/>
              </w:rPr>
            </w:pPr>
            <w:r>
              <w:rPr>
                <w:color w:val="FF0000"/>
                <w:kern w:val="0"/>
                <w:position w:val="2"/>
                <w:szCs w:val="21"/>
                <w:lang w:eastAsia="en-US" w:bidi="en-US"/>
              </w:rPr>
              <w:t>nC</w:t>
            </w:r>
            <w:r>
              <w:rPr>
                <w:color w:val="FF0000"/>
                <w:kern w:val="0"/>
                <w:szCs w:val="21"/>
                <w:lang w:eastAsia="en-US" w:bidi="en-US"/>
              </w:rPr>
              <w:t>4</w:t>
            </w:r>
          </w:p>
        </w:tc>
        <w:tc>
          <w:tcPr>
            <w:tcW w:w="1413"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Times New Roman"/>
                <w:color w:val="FF0000"/>
                <w:kern w:val="0"/>
                <w:szCs w:val="21"/>
                <w:lang w:eastAsia="en-US" w:bidi="en-US"/>
              </w:rPr>
            </w:pPr>
            <w:r>
              <w:rPr>
                <w:color w:val="FF0000"/>
                <w:kern w:val="0"/>
                <w:szCs w:val="21"/>
                <w:lang w:eastAsia="en-US" w:bidi="en-US"/>
              </w:rPr>
              <w:t>0.04%</w:t>
            </w:r>
          </w:p>
        </w:tc>
        <w:tc>
          <w:tcPr>
            <w:tcW w:w="1236"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Times New Roman"/>
                <w:color w:val="FF0000"/>
                <w:kern w:val="0"/>
                <w:szCs w:val="21"/>
                <w:lang w:eastAsia="en-US" w:bidi="en-US"/>
              </w:rPr>
            </w:pPr>
            <w:r>
              <w:rPr>
                <w:color w:val="FF0000"/>
                <w:kern w:val="0"/>
                <w:position w:val="2"/>
                <w:szCs w:val="21"/>
                <w:lang w:eastAsia="en-US" w:bidi="en-US"/>
              </w:rPr>
              <w:t>N</w:t>
            </w:r>
            <w:r>
              <w:rPr>
                <w:color w:val="FF0000"/>
                <w:kern w:val="0"/>
                <w:szCs w:val="21"/>
                <w:vertAlign w:val="subscript"/>
                <w:lang w:eastAsia="en-US" w:bidi="en-US"/>
              </w:rPr>
              <w:t>2</w:t>
            </w:r>
          </w:p>
        </w:tc>
        <w:tc>
          <w:tcPr>
            <w:tcW w:w="1158"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Times New Roman"/>
                <w:color w:val="FF0000"/>
                <w:kern w:val="0"/>
                <w:szCs w:val="21"/>
                <w:lang w:eastAsia="en-US" w:bidi="en-US"/>
              </w:rPr>
            </w:pPr>
            <w:r>
              <w:rPr>
                <w:color w:val="FF0000"/>
                <w:kern w:val="0"/>
                <w:szCs w:val="21"/>
                <w:lang w:eastAsia="en-US" w:bidi="en-US"/>
              </w:rPr>
              <w:t>2.78%</w:t>
            </w:r>
          </w:p>
        </w:tc>
      </w:tr>
    </w:tbl>
    <w:p>
      <w:pPr>
        <w:pStyle w:val="5"/>
        <w:spacing w:before="120" w:after="120"/>
        <w:rPr>
          <w:spacing w:val="0"/>
        </w:rPr>
      </w:pPr>
      <w:r>
        <w:rPr>
          <w:rFonts w:hint="eastAsia"/>
          <w:spacing w:val="0"/>
        </w:rPr>
        <w:t>3.1.5主要生产设备</w:t>
      </w:r>
      <w:bookmarkEnd w:id="184"/>
      <w:bookmarkEnd w:id="185"/>
      <w:bookmarkEnd w:id="186"/>
    </w:p>
    <w:p>
      <w:pPr>
        <w:pStyle w:val="494"/>
        <w:ind w:firstLine="480"/>
        <w:rPr>
          <w:lang w:bidi="en-US"/>
        </w:rPr>
      </w:pPr>
      <w:r>
        <w:rPr>
          <w:rFonts w:hint="eastAsia"/>
          <w:lang w:bidi="en-US"/>
        </w:rPr>
        <w:t>本项目拆除现有工程的前置压缩机及高压压缩机，新建2台压缩机、1座风冷式天然气冰机以及1座干燥制冷脱烃撬，天然气</w:t>
      </w:r>
      <w:r>
        <w:rPr>
          <w:lang w:bidi="en-US"/>
        </w:rPr>
        <w:t>处理规模</w:t>
      </w:r>
      <w:r>
        <w:rPr>
          <w:rFonts w:hint="eastAsia"/>
          <w:lang w:bidi="en-US"/>
        </w:rPr>
        <w:t>由</w:t>
      </w:r>
      <w:r>
        <w:rPr>
          <w:lang w:bidi="en-US"/>
        </w:rPr>
        <w:t>3×10</w:t>
      </w:r>
      <w:r>
        <w:rPr>
          <w:vertAlign w:val="superscript"/>
          <w:lang w:bidi="en-US"/>
        </w:rPr>
        <w:t>4</w:t>
      </w:r>
      <w:r>
        <w:rPr>
          <w:lang w:bidi="en-US"/>
        </w:rPr>
        <w:t>Nm³/d</w:t>
      </w:r>
      <w:r>
        <w:rPr>
          <w:rFonts w:hint="eastAsia"/>
          <w:lang w:bidi="en-US"/>
        </w:rPr>
        <w:t>增至</w:t>
      </w:r>
      <w:r>
        <w:rPr>
          <w:lang w:bidi="en-US"/>
        </w:rPr>
        <w:t>6×10</w:t>
      </w:r>
      <w:r>
        <w:rPr>
          <w:vertAlign w:val="superscript"/>
          <w:lang w:bidi="en-US"/>
        </w:rPr>
        <w:t>4</w:t>
      </w:r>
      <w:r>
        <w:rPr>
          <w:lang w:bidi="en-US"/>
        </w:rPr>
        <w:t>Nm³/d</w:t>
      </w:r>
      <w:r>
        <w:rPr>
          <w:rFonts w:hint="eastAsia"/>
          <w:lang w:bidi="en-US"/>
        </w:rPr>
        <w:t>，主要设备见下表。</w:t>
      </w:r>
    </w:p>
    <w:p>
      <w:pPr>
        <w:pStyle w:val="400"/>
        <w:ind w:firstLine="420"/>
        <w:rPr>
          <w:lang w:bidi="en-US"/>
        </w:rPr>
      </w:pPr>
      <w:r>
        <w:rPr>
          <w:rFonts w:hint="eastAsia"/>
          <w:lang w:bidi="en-US"/>
        </w:rPr>
        <w:t>表3</w:t>
      </w:r>
      <w:r>
        <w:rPr>
          <w:lang w:bidi="en-US"/>
        </w:rPr>
        <w:t>.1</w:t>
      </w:r>
      <w:r>
        <w:rPr>
          <w:rFonts w:hint="eastAsia"/>
          <w:lang w:bidi="en-US"/>
        </w:rPr>
        <w:t>-</w:t>
      </w:r>
      <w:r>
        <w:rPr>
          <w:lang w:bidi="en-US"/>
        </w:rPr>
        <w:t xml:space="preserve">4       </w:t>
      </w:r>
      <w:r>
        <w:rPr>
          <w:rFonts w:hint="eastAsia"/>
          <w:lang w:bidi="en-US"/>
        </w:rPr>
        <w:t xml:space="preserve">         主要生产设备一览表</w:t>
      </w:r>
    </w:p>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1"/>
        <w:gridCol w:w="1539"/>
        <w:gridCol w:w="3865"/>
        <w:gridCol w:w="644"/>
        <w:gridCol w:w="642"/>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7" w:type="pct"/>
            <w:tcBorders>
              <w:top w:val="single" w:color="auto" w:sz="4" w:space="0"/>
              <w:left w:val="single" w:color="auto" w:sz="4" w:space="0"/>
              <w:bottom w:val="single" w:color="auto" w:sz="4" w:space="0"/>
              <w:right w:val="single" w:color="auto" w:sz="4" w:space="0"/>
            </w:tcBorders>
            <w:vAlign w:val="center"/>
          </w:tcPr>
          <w:p>
            <w:pPr>
              <w:pStyle w:val="670"/>
            </w:pPr>
            <w:bookmarkStart w:id="187" w:name="_Toc40289856"/>
            <w:bookmarkStart w:id="188" w:name="_Toc107500336"/>
            <w:r>
              <w:t>序号</w:t>
            </w:r>
            <w:r>
              <w:rPr>
                <w:w w:val="99"/>
              </w:rPr>
              <w:t xml:space="preserve"> </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pPr>
            <w:r>
              <w:t>名称</w:t>
            </w:r>
            <w:r>
              <w:rPr>
                <w:w w:val="99"/>
              </w:rPr>
              <w:t xml:space="preserve"> </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t>规格型号</w:t>
            </w:r>
            <w:r>
              <w:rPr>
                <w:w w:val="99"/>
              </w:rPr>
              <w:t xml:space="preserve"> </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pPr>
            <w:r>
              <w:t>单位</w:t>
            </w:r>
            <w:r>
              <w:rPr>
                <w:w w:val="99"/>
              </w:rPr>
              <w:t xml:space="preserve"> </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pPr>
            <w:r>
              <w:t>数量</w:t>
            </w:r>
            <w:r>
              <w:rPr>
                <w:w w:val="99"/>
              </w:rPr>
              <w:t xml:space="preserve"> </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pPr>
            <w:r>
              <w:t>备注</w:t>
            </w:r>
            <w:r>
              <w:rPr>
                <w:w w:val="99"/>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7" w:type="pct"/>
            <w:tcBorders>
              <w:top w:val="single" w:color="auto" w:sz="4" w:space="0"/>
              <w:left w:val="single" w:color="auto" w:sz="4" w:space="0"/>
              <w:bottom w:val="single" w:color="auto" w:sz="4" w:space="0"/>
              <w:right w:val="single" w:color="auto" w:sz="4" w:space="0"/>
            </w:tcBorders>
            <w:vAlign w:val="center"/>
          </w:tcPr>
          <w:p>
            <w:pPr>
              <w:pStyle w:val="670"/>
            </w:pPr>
            <w:r>
              <w:t xml:space="preserve">1 </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pPr>
            <w:r>
              <w:t xml:space="preserve">三相分离器 </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spacing w:val="-3"/>
                <w:lang w:eastAsia="zh-CN"/>
              </w:rPr>
              <w:t>V=10.34m³，最高工作压力：0.30MPa，设计压力：</w:t>
            </w:r>
            <w:r>
              <w:rPr>
                <w:spacing w:val="-89"/>
                <w:lang w:eastAsia="zh-CN"/>
              </w:rPr>
              <w:t xml:space="preserve"> </w:t>
            </w:r>
            <w:r>
              <w:rPr>
                <w:spacing w:val="-3"/>
                <w:lang w:eastAsia="zh-CN"/>
              </w:rPr>
              <w:t>6.30MPa；工作温度:-40-100</w:t>
            </w:r>
            <w:r>
              <w:rPr>
                <w:rFonts w:hint="eastAsia" w:ascii="宋体" w:hAnsi="宋体" w:cs="宋体"/>
                <w:spacing w:val="-3"/>
                <w:lang w:eastAsia="zh-CN"/>
              </w:rPr>
              <w:t>℃</w:t>
            </w:r>
            <w:r>
              <w:rPr>
                <w:spacing w:val="-3"/>
                <w:lang w:eastAsia="zh-CN"/>
              </w:rPr>
              <w:t>，设计温度：100</w:t>
            </w:r>
            <w:r>
              <w:rPr>
                <w:rFonts w:hint="eastAsia" w:ascii="宋体" w:hAnsi="宋体" w:cs="宋体"/>
                <w:spacing w:val="-3"/>
                <w:lang w:eastAsia="zh-CN"/>
              </w:rPr>
              <w:t>℃</w:t>
            </w:r>
            <w:r>
              <w:rPr>
                <w:lang w:eastAsia="zh-CN"/>
              </w:rPr>
              <w:t xml:space="preserve"> 容器类别：</w:t>
            </w:r>
            <w:r>
              <w:rPr>
                <w:rFonts w:hint="eastAsia" w:ascii="宋体" w:hAnsi="宋体" w:cs="宋体"/>
                <w:lang w:eastAsia="zh-CN"/>
              </w:rPr>
              <w:t>Ⅲ</w:t>
            </w:r>
            <w:r>
              <w:rPr>
                <w:w w:val="99"/>
                <w:lang w:eastAsia="zh-CN"/>
              </w:rPr>
              <w:t xml:space="preserve"> </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pPr>
            <w:r>
              <w:t xml:space="preserve">台 </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pPr>
            <w:r>
              <w:t xml:space="preserve">1 </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现有工程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7" w:type="pct"/>
            <w:tcBorders>
              <w:top w:val="single" w:color="auto" w:sz="4" w:space="0"/>
              <w:left w:val="single" w:color="auto" w:sz="4" w:space="0"/>
              <w:bottom w:val="single" w:color="auto" w:sz="4" w:space="0"/>
              <w:right w:val="single" w:color="auto" w:sz="4" w:space="0"/>
            </w:tcBorders>
            <w:vAlign w:val="center"/>
          </w:tcPr>
          <w:p>
            <w:pPr>
              <w:pStyle w:val="670"/>
            </w:pPr>
            <w:r>
              <w:t xml:space="preserve">2 </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压缩机</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型号： MFD-5.5/(2～4)-220；供气量： 4800Nm³/h； 进气压力:0.3MPa；排气压力:4.0Mpa 额定功率：280KW</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台</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2</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7" w:type="pct"/>
            <w:tcBorders>
              <w:top w:val="single" w:color="auto" w:sz="4" w:space="0"/>
              <w:left w:val="single" w:color="auto" w:sz="4" w:space="0"/>
              <w:bottom w:val="single" w:color="auto" w:sz="4" w:space="0"/>
              <w:right w:val="single" w:color="auto" w:sz="4" w:space="0"/>
            </w:tcBorders>
            <w:vAlign w:val="center"/>
          </w:tcPr>
          <w:p>
            <w:pPr>
              <w:pStyle w:val="670"/>
            </w:pPr>
            <w:r>
              <w:t xml:space="preserve">3 </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pPr>
            <w:r>
              <w:t>干燥制冷脱</w:t>
            </w:r>
            <w:r>
              <w:rPr>
                <w:spacing w:val="-102"/>
              </w:rPr>
              <w:t xml:space="preserve"> </w:t>
            </w:r>
            <w:r>
              <w:t xml:space="preserve">烃撬 </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spacing w:val="-2"/>
                <w:lang w:eastAsia="zh-CN"/>
              </w:rPr>
              <w:t>额定流量：1250Nm³/h；工作压力范围：4.0MPa，</w:t>
            </w:r>
            <w:r>
              <w:rPr>
                <w:spacing w:val="-53"/>
                <w:lang w:eastAsia="zh-CN"/>
              </w:rPr>
              <w:t xml:space="preserve"> </w:t>
            </w:r>
            <w:r>
              <w:rPr>
                <w:lang w:eastAsia="zh-CN"/>
              </w:rPr>
              <w:t>电源：380V</w:t>
            </w:r>
            <w:r>
              <w:rPr>
                <w:spacing w:val="17"/>
                <w:lang w:eastAsia="zh-CN"/>
              </w:rPr>
              <w:t xml:space="preserve"> </w:t>
            </w:r>
            <w:r>
              <w:rPr>
                <w:lang w:eastAsia="zh-CN"/>
              </w:rPr>
              <w:t>50HZ</w:t>
            </w:r>
            <w:r>
              <w:rPr>
                <w:spacing w:val="19"/>
                <w:lang w:eastAsia="zh-CN"/>
              </w:rPr>
              <w:t xml:space="preserve"> </w:t>
            </w:r>
            <w:r>
              <w:rPr>
                <w:lang w:eastAsia="zh-CN"/>
              </w:rPr>
              <w:t>80KW，包含干燥塔、过滤器、</w:t>
            </w:r>
            <w:r>
              <w:rPr>
                <w:spacing w:val="-94"/>
                <w:lang w:eastAsia="zh-CN"/>
              </w:rPr>
              <w:t xml:space="preserve"> </w:t>
            </w:r>
            <w:r>
              <w:rPr>
                <w:lang w:eastAsia="zh-CN"/>
              </w:rPr>
              <w:t xml:space="preserve">制冷压缩机、风冷器、浅冷器、冷媒蒸发器等 </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pPr>
            <w:r>
              <w:t xml:space="preserve">套 </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pPr>
            <w:r>
              <w:t xml:space="preserve">1 </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rFonts w:hint="eastAsia"/>
                <w:lang w:eastAsia="zh-CN"/>
              </w:rPr>
              <w:t>现有工程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7" w:type="pct"/>
            <w:tcBorders>
              <w:top w:val="single" w:color="auto" w:sz="4" w:space="0"/>
              <w:left w:val="single" w:color="auto" w:sz="4" w:space="0"/>
              <w:bottom w:val="single" w:color="auto" w:sz="4" w:space="0"/>
              <w:right w:val="single" w:color="auto" w:sz="4" w:space="0"/>
            </w:tcBorders>
            <w:vAlign w:val="center"/>
          </w:tcPr>
          <w:p>
            <w:pPr>
              <w:pStyle w:val="670"/>
            </w:pPr>
            <w:r>
              <w:t xml:space="preserve">4 </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pPr>
            <w:r>
              <w:t>干燥制冷脱</w:t>
            </w:r>
            <w:r>
              <w:rPr>
                <w:spacing w:val="-102"/>
              </w:rPr>
              <w:t xml:space="preserve"> </w:t>
            </w:r>
            <w:r>
              <w:t xml:space="preserve">烃撬 </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rPr>
                <w:spacing w:val="-2"/>
                <w:lang w:eastAsia="zh-CN"/>
              </w:rPr>
            </w:pPr>
            <w:r>
              <w:rPr>
                <w:spacing w:val="-2"/>
                <w:lang w:eastAsia="zh-CN"/>
              </w:rPr>
              <w:t>额定流量：1250Nm³/h；工作压力范围：4.0MPa，</w:t>
            </w:r>
            <w:r>
              <w:rPr>
                <w:spacing w:val="-53"/>
                <w:lang w:eastAsia="zh-CN"/>
              </w:rPr>
              <w:t xml:space="preserve"> </w:t>
            </w:r>
            <w:r>
              <w:rPr>
                <w:lang w:eastAsia="zh-CN"/>
              </w:rPr>
              <w:t>电源：380V</w:t>
            </w:r>
            <w:r>
              <w:rPr>
                <w:spacing w:val="17"/>
                <w:lang w:eastAsia="zh-CN"/>
              </w:rPr>
              <w:t xml:space="preserve"> </w:t>
            </w:r>
            <w:r>
              <w:rPr>
                <w:lang w:eastAsia="zh-CN"/>
              </w:rPr>
              <w:t>50HZ</w:t>
            </w:r>
            <w:r>
              <w:rPr>
                <w:spacing w:val="19"/>
                <w:lang w:eastAsia="zh-CN"/>
              </w:rPr>
              <w:t xml:space="preserve"> </w:t>
            </w:r>
            <w:r>
              <w:rPr>
                <w:lang w:eastAsia="zh-CN"/>
              </w:rPr>
              <w:t xml:space="preserve">80KW，包含干燥塔、过滤器、风冷器、浅冷器等 </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pPr>
            <w:r>
              <w:t xml:space="preserve">套 </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pPr>
            <w:r>
              <w:t xml:space="preserve">1 </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新增1套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7" w:type="pct"/>
            <w:tcBorders>
              <w:top w:val="single" w:color="auto" w:sz="4" w:space="0"/>
              <w:left w:val="single" w:color="auto" w:sz="4" w:space="0"/>
              <w:bottom w:val="single" w:color="auto" w:sz="4" w:space="0"/>
              <w:right w:val="single" w:color="auto" w:sz="4" w:space="0"/>
            </w:tcBorders>
            <w:vAlign w:val="center"/>
          </w:tcPr>
          <w:p>
            <w:pPr>
              <w:pStyle w:val="670"/>
            </w:pPr>
            <w:r>
              <w:t xml:space="preserve">5 </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pPr>
            <w:r>
              <w:t>风冷式天然气冰机</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额定流量：1250Nm³/h；工作压力范围：4.0MPa，电源：380V 50HZ 80KW，包含制冷压缩机、风冷器、冷媒蒸发器等</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套</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1</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7" w:type="pct"/>
            <w:tcBorders>
              <w:top w:val="single" w:color="auto" w:sz="4" w:space="0"/>
              <w:left w:val="single" w:color="auto" w:sz="4" w:space="0"/>
              <w:bottom w:val="single" w:color="auto" w:sz="4" w:space="0"/>
              <w:right w:val="single" w:color="auto" w:sz="4" w:space="0"/>
            </w:tcBorders>
            <w:vAlign w:val="center"/>
          </w:tcPr>
          <w:p>
            <w:pPr>
              <w:pStyle w:val="670"/>
            </w:pPr>
            <w:r>
              <w:t xml:space="preserve">6 </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pPr>
            <w:r>
              <w:t xml:space="preserve">充气柱 </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rPr>
                <w:spacing w:val="41"/>
                <w:lang w:eastAsia="zh-CN"/>
              </w:rPr>
            </w:pPr>
            <w:r>
              <w:rPr>
                <w:spacing w:val="-5"/>
                <w:lang w:eastAsia="zh-CN"/>
              </w:rPr>
              <w:t>标准流量:0.5m³/min（工作状态）；</w:t>
            </w:r>
            <w:r>
              <w:rPr>
                <w:spacing w:val="41"/>
                <w:lang w:eastAsia="zh-CN"/>
              </w:rPr>
              <w:t xml:space="preserve"> </w:t>
            </w:r>
          </w:p>
          <w:p>
            <w:pPr>
              <w:pStyle w:val="670"/>
              <w:rPr>
                <w:lang w:eastAsia="zh-CN"/>
              </w:rPr>
            </w:pPr>
            <w:r>
              <w:rPr>
                <w:lang w:eastAsia="zh-CN"/>
              </w:rPr>
              <w:t>形式：单线</w:t>
            </w:r>
            <w:r>
              <w:rPr>
                <w:spacing w:val="-97"/>
                <w:lang w:eastAsia="zh-CN"/>
              </w:rPr>
              <w:t xml:space="preserve"> </w:t>
            </w:r>
            <w:r>
              <w:rPr>
                <w:lang w:eastAsia="zh-CN"/>
              </w:rPr>
              <w:t xml:space="preserve">双枪； </w:t>
            </w:r>
          </w:p>
          <w:p>
            <w:pPr>
              <w:pStyle w:val="670"/>
              <w:rPr>
                <w:lang w:eastAsia="zh-CN"/>
              </w:rPr>
            </w:pPr>
            <w:r>
              <w:rPr>
                <w:lang w:eastAsia="zh-CN"/>
              </w:rPr>
              <w:t xml:space="preserve">工作压力：25MPa,设计压力：27.5MPa </w:t>
            </w:r>
          </w:p>
          <w:p>
            <w:pPr>
              <w:pStyle w:val="670"/>
            </w:pPr>
            <w:r>
              <w:t>防爆等级</w:t>
            </w:r>
            <w:r>
              <w:rPr>
                <w:lang w:eastAsia="zh-CN"/>
              </w:rPr>
              <w:t>：</w:t>
            </w:r>
            <w:r>
              <w:t>EXibdmeIIAT4</w:t>
            </w:r>
            <w:r>
              <w:rPr>
                <w:lang w:eastAsia="zh-CN"/>
              </w:rPr>
              <w:t>；</w:t>
            </w:r>
            <w:r>
              <w:t>计量准确度</w:t>
            </w:r>
            <w:r>
              <w:rPr>
                <w:lang w:eastAsia="zh-CN"/>
              </w:rPr>
              <w:t>：</w:t>
            </w:r>
            <w:r>
              <w:t xml:space="preserve">±0.5% </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pPr>
            <w:r>
              <w:t xml:space="preserve">台 </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pPr>
            <w:r>
              <w:t>3</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pPr>
            <w:r>
              <w:rPr>
                <w:rFonts w:hint="eastAsia"/>
                <w:lang w:eastAsia="zh-CN"/>
              </w:rPr>
              <w:t>新增1台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7" w:type="pct"/>
            <w:tcBorders>
              <w:top w:val="single" w:color="auto" w:sz="4" w:space="0"/>
              <w:left w:val="single" w:color="auto" w:sz="4" w:space="0"/>
              <w:bottom w:val="single" w:color="auto" w:sz="4" w:space="0"/>
              <w:right w:val="single" w:color="auto" w:sz="4" w:space="0"/>
            </w:tcBorders>
            <w:vAlign w:val="center"/>
          </w:tcPr>
          <w:p>
            <w:pPr>
              <w:pStyle w:val="670"/>
            </w:pPr>
            <w:r>
              <w:t xml:space="preserve">7 </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pPr>
            <w:r>
              <w:t xml:space="preserve">排污罐 </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 xml:space="preserve">V=54m³，工作压力：常压；工作温度：常温 </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pPr>
            <w:r>
              <w:t xml:space="preserve">台 </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pPr>
            <w:r>
              <w:t xml:space="preserve">1 </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pPr>
            <w:r>
              <w:rPr>
                <w:lang w:eastAsia="zh-CN"/>
              </w:rPr>
              <w:t>现有工程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7" w:type="pct"/>
            <w:tcBorders>
              <w:top w:val="single" w:color="auto" w:sz="4" w:space="0"/>
              <w:left w:val="single" w:color="auto" w:sz="4" w:space="0"/>
              <w:bottom w:val="single" w:color="auto" w:sz="4" w:space="0"/>
              <w:right w:val="single" w:color="auto" w:sz="4" w:space="0"/>
            </w:tcBorders>
            <w:vAlign w:val="center"/>
          </w:tcPr>
          <w:p>
            <w:pPr>
              <w:pStyle w:val="670"/>
            </w:pPr>
            <w:r>
              <w:t xml:space="preserve">8 </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pPr>
            <w:r>
              <w:t xml:space="preserve">混烃储罐 </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spacing w:val="4"/>
                <w:lang w:eastAsia="zh-CN"/>
              </w:rPr>
              <w:t>V=40m³，最高工作压力：1.65MPa，设计压力：</w:t>
            </w:r>
            <w:r>
              <w:rPr>
                <w:spacing w:val="-65"/>
                <w:lang w:eastAsia="zh-CN"/>
              </w:rPr>
              <w:t xml:space="preserve"> </w:t>
            </w:r>
            <w:r>
              <w:rPr>
                <w:spacing w:val="-3"/>
                <w:lang w:eastAsia="zh-CN"/>
              </w:rPr>
              <w:t>1.78MPa；工作温度：-40-100</w:t>
            </w:r>
            <w:r>
              <w:rPr>
                <w:rFonts w:hint="eastAsia" w:ascii="宋体" w:hAnsi="宋体" w:cs="宋体"/>
                <w:spacing w:val="-3"/>
                <w:lang w:eastAsia="zh-CN"/>
              </w:rPr>
              <w:t>℃</w:t>
            </w:r>
            <w:r>
              <w:rPr>
                <w:spacing w:val="-3"/>
                <w:lang w:eastAsia="zh-CN"/>
              </w:rPr>
              <w:t>，设计温度：100</w:t>
            </w:r>
            <w:r>
              <w:rPr>
                <w:rFonts w:hint="eastAsia" w:ascii="宋体" w:hAnsi="宋体" w:cs="宋体"/>
                <w:spacing w:val="-3"/>
                <w:lang w:eastAsia="zh-CN"/>
              </w:rPr>
              <w:t>℃</w:t>
            </w:r>
            <w:r>
              <w:rPr>
                <w:spacing w:val="-75"/>
                <w:lang w:eastAsia="zh-CN"/>
              </w:rPr>
              <w:t xml:space="preserve"> </w:t>
            </w:r>
            <w:r>
              <w:rPr>
                <w:lang w:eastAsia="zh-CN"/>
              </w:rPr>
              <w:t>容器类别：</w:t>
            </w:r>
            <w:r>
              <w:rPr>
                <w:rFonts w:hint="eastAsia" w:ascii="宋体" w:hAnsi="宋体" w:cs="宋体"/>
                <w:lang w:eastAsia="zh-CN"/>
              </w:rPr>
              <w:t>Ⅱ</w:t>
            </w:r>
            <w:r>
              <w:rPr>
                <w:lang w:eastAsia="zh-CN"/>
              </w:rPr>
              <w:t xml:space="preserve"> </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pPr>
            <w:r>
              <w:t xml:space="preserve">台 </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pPr>
            <w:r>
              <w:t xml:space="preserve">2 </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pPr>
            <w:r>
              <w:rPr>
                <w:lang w:eastAsia="zh-CN"/>
              </w:rPr>
              <w:t>现有工程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7" w:type="pct"/>
            <w:tcBorders>
              <w:top w:val="single" w:color="auto" w:sz="4" w:space="0"/>
              <w:left w:val="single" w:color="auto" w:sz="4" w:space="0"/>
              <w:bottom w:val="single" w:color="auto" w:sz="4" w:space="0"/>
              <w:right w:val="single" w:color="auto" w:sz="4" w:space="0"/>
            </w:tcBorders>
            <w:vAlign w:val="center"/>
          </w:tcPr>
          <w:p>
            <w:pPr>
              <w:pStyle w:val="670"/>
            </w:pPr>
            <w:r>
              <w:t xml:space="preserve">9 </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pPr>
            <w:r>
              <w:t xml:space="preserve">混烃装车泵 </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 xml:space="preserve">流量：20m³/h，扬程：25m </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pPr>
            <w:r>
              <w:t xml:space="preserve">台 </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pPr>
            <w:r>
              <w:t xml:space="preserve">2 </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pPr>
            <w:r>
              <w:rPr>
                <w:lang w:eastAsia="zh-CN"/>
              </w:rPr>
              <w:t>现有工程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7"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rFonts w:hint="eastAsia"/>
                <w:lang w:eastAsia="zh-CN"/>
              </w:rPr>
              <w:t>1</w:t>
            </w:r>
            <w:r>
              <w:rPr>
                <w:lang w:eastAsia="zh-CN"/>
              </w:rPr>
              <w:t>0</w:t>
            </w:r>
          </w:p>
        </w:tc>
        <w:tc>
          <w:tcPr>
            <w:tcW w:w="935" w:type="pct"/>
            <w:tcBorders>
              <w:top w:val="single" w:color="auto" w:sz="4" w:space="0"/>
              <w:left w:val="single" w:color="auto" w:sz="4" w:space="0"/>
              <w:bottom w:val="single" w:color="auto" w:sz="4" w:space="0"/>
              <w:right w:val="single" w:color="auto" w:sz="4" w:space="0"/>
            </w:tcBorders>
            <w:vAlign w:val="center"/>
          </w:tcPr>
          <w:p>
            <w:pPr>
              <w:pStyle w:val="670"/>
            </w:pPr>
            <w:r>
              <w:t xml:space="preserve">万向装车臂 </w:t>
            </w:r>
          </w:p>
        </w:tc>
        <w:tc>
          <w:tcPr>
            <w:tcW w:w="2348" w:type="pct"/>
            <w:tcBorders>
              <w:top w:val="single" w:color="auto" w:sz="4" w:space="0"/>
              <w:left w:val="single" w:color="auto" w:sz="4" w:space="0"/>
              <w:bottom w:val="single" w:color="auto" w:sz="4" w:space="0"/>
              <w:right w:val="single" w:color="auto" w:sz="4" w:space="0"/>
            </w:tcBorders>
            <w:vAlign w:val="center"/>
          </w:tcPr>
          <w:p>
            <w:pPr>
              <w:pStyle w:val="670"/>
            </w:pPr>
            <w:r>
              <w:t xml:space="preserve">整套设备 </w:t>
            </w:r>
          </w:p>
        </w:tc>
        <w:tc>
          <w:tcPr>
            <w:tcW w:w="391" w:type="pct"/>
            <w:tcBorders>
              <w:top w:val="single" w:color="auto" w:sz="4" w:space="0"/>
              <w:left w:val="single" w:color="auto" w:sz="4" w:space="0"/>
              <w:bottom w:val="single" w:color="auto" w:sz="4" w:space="0"/>
              <w:right w:val="single" w:color="auto" w:sz="4" w:space="0"/>
            </w:tcBorders>
            <w:vAlign w:val="center"/>
          </w:tcPr>
          <w:p>
            <w:pPr>
              <w:pStyle w:val="670"/>
            </w:pPr>
            <w:r>
              <w:t xml:space="preserve">套 </w:t>
            </w:r>
          </w:p>
        </w:tc>
        <w:tc>
          <w:tcPr>
            <w:tcW w:w="390" w:type="pct"/>
            <w:tcBorders>
              <w:top w:val="single" w:color="auto" w:sz="4" w:space="0"/>
              <w:left w:val="single" w:color="auto" w:sz="4" w:space="0"/>
              <w:bottom w:val="single" w:color="auto" w:sz="4" w:space="0"/>
              <w:right w:val="single" w:color="auto" w:sz="4" w:space="0"/>
            </w:tcBorders>
            <w:vAlign w:val="center"/>
          </w:tcPr>
          <w:p>
            <w:pPr>
              <w:pStyle w:val="670"/>
            </w:pPr>
            <w:r>
              <w:t xml:space="preserve">1 </w:t>
            </w:r>
          </w:p>
        </w:tc>
        <w:tc>
          <w:tcPr>
            <w:tcW w:w="589" w:type="pct"/>
            <w:tcBorders>
              <w:top w:val="single" w:color="auto" w:sz="4" w:space="0"/>
              <w:left w:val="single" w:color="auto" w:sz="4" w:space="0"/>
              <w:bottom w:val="single" w:color="auto" w:sz="4" w:space="0"/>
              <w:right w:val="single" w:color="auto" w:sz="4" w:space="0"/>
            </w:tcBorders>
            <w:vAlign w:val="center"/>
          </w:tcPr>
          <w:p>
            <w:pPr>
              <w:pStyle w:val="670"/>
            </w:pPr>
            <w:r>
              <w:rPr>
                <w:lang w:eastAsia="zh-CN"/>
              </w:rPr>
              <w:t>现有工程</w:t>
            </w:r>
          </w:p>
        </w:tc>
      </w:tr>
    </w:tbl>
    <w:p>
      <w:pPr>
        <w:pStyle w:val="5"/>
        <w:spacing w:before="120" w:after="120"/>
        <w:ind w:firstLine="241" w:firstLineChars="100"/>
        <w:rPr>
          <w:spacing w:val="0"/>
        </w:rPr>
      </w:pPr>
      <w:bookmarkStart w:id="189" w:name="_Toc145580383"/>
      <w:r>
        <w:rPr>
          <w:rFonts w:hint="eastAsia"/>
          <w:spacing w:val="0"/>
        </w:rPr>
        <w:t>3.1.6公用工程</w:t>
      </w:r>
      <w:bookmarkEnd w:id="187"/>
      <w:bookmarkEnd w:id="188"/>
      <w:bookmarkEnd w:id="189"/>
    </w:p>
    <w:p>
      <w:pPr>
        <w:pStyle w:val="494"/>
        <w:ind w:firstLine="480"/>
        <w:rPr>
          <w:lang w:bidi="en-US"/>
        </w:rPr>
      </w:pPr>
      <w:r>
        <w:rPr>
          <w:rFonts w:hint="eastAsia"/>
          <w:lang w:bidi="en-US"/>
        </w:rPr>
        <w:t>1、给排水</w:t>
      </w:r>
    </w:p>
    <w:p>
      <w:pPr>
        <w:pStyle w:val="494"/>
        <w:ind w:firstLine="480"/>
        <w:rPr>
          <w:lang w:bidi="en-US"/>
        </w:rPr>
      </w:pPr>
      <w:r>
        <w:rPr>
          <w:rFonts w:hint="eastAsia"/>
          <w:lang w:bidi="en-US"/>
        </w:rPr>
        <w:t>本次不新增劳动定员，不增加生活用水及生活污水</w:t>
      </w:r>
      <w:r>
        <w:rPr>
          <w:lang w:bidi="en-US"/>
        </w:rPr>
        <w:t>。三相分离器中产生的含油污水、缓冲罐脱除的废水、干燥塔分子筛再生过程中脱离出的废水经排污管线排入排污罐中，当罐内液位达到一定高度时，由排污泵输至罐车拉运至春风一号联合站处理达标后进行回注。</w:t>
      </w:r>
    </w:p>
    <w:p>
      <w:pPr>
        <w:pStyle w:val="494"/>
        <w:ind w:firstLine="480"/>
        <w:rPr>
          <w:lang w:bidi="en-US"/>
        </w:rPr>
      </w:pPr>
      <w:r>
        <w:rPr>
          <w:lang w:bidi="en-US"/>
        </w:rPr>
        <w:t>2</w:t>
      </w:r>
      <w:r>
        <w:rPr>
          <w:rFonts w:hint="eastAsia"/>
          <w:lang w:bidi="en-US"/>
        </w:rPr>
        <w:t>、供电</w:t>
      </w:r>
    </w:p>
    <w:p>
      <w:pPr>
        <w:pStyle w:val="494"/>
        <w:ind w:firstLine="480"/>
      </w:pPr>
      <w:r>
        <w:rPr>
          <w:rFonts w:hint="eastAsia"/>
          <w:lang w:bidi="en-US"/>
        </w:rPr>
        <w:t>本项目供电依托2</w:t>
      </w:r>
      <w:r>
        <w:rPr>
          <w:lang w:bidi="en-US"/>
        </w:rPr>
        <w:t>22</w:t>
      </w:r>
      <w:r>
        <w:rPr>
          <w:rFonts w:hint="eastAsia"/>
          <w:lang w:bidi="en-US"/>
        </w:rPr>
        <w:t>团供电线路</w:t>
      </w:r>
      <w:r>
        <w:rPr>
          <w:rFonts w:hint="eastAsia"/>
        </w:rPr>
        <w:t>。</w:t>
      </w:r>
    </w:p>
    <w:p>
      <w:pPr>
        <w:pStyle w:val="494"/>
        <w:ind w:firstLine="480"/>
        <w:rPr>
          <w:lang w:bidi="en-US"/>
        </w:rPr>
      </w:pPr>
      <w:r>
        <w:rPr>
          <w:rFonts w:hint="eastAsia"/>
          <w:lang w:bidi="en-US"/>
        </w:rPr>
        <w:t>3、供暖</w:t>
      </w:r>
    </w:p>
    <w:p>
      <w:pPr>
        <w:pStyle w:val="494"/>
        <w:ind w:firstLine="480"/>
        <w:rPr>
          <w:lang w:bidi="en-US"/>
        </w:rPr>
      </w:pPr>
      <w:r>
        <w:rPr>
          <w:rFonts w:hint="eastAsia"/>
          <w:lang w:bidi="en-US"/>
        </w:rPr>
        <w:t>项目冬季采暖依托现有空调取暖设施。</w:t>
      </w:r>
    </w:p>
    <w:p>
      <w:pPr>
        <w:pStyle w:val="5"/>
        <w:spacing w:before="120" w:after="120"/>
        <w:rPr>
          <w:spacing w:val="0"/>
        </w:rPr>
      </w:pPr>
      <w:bookmarkStart w:id="190" w:name="_Toc145580384"/>
      <w:bookmarkStart w:id="191" w:name="_Toc107500338"/>
      <w:bookmarkStart w:id="192" w:name="_Toc40289858"/>
      <w:r>
        <w:rPr>
          <w:rFonts w:hint="eastAsia"/>
          <w:spacing w:val="0"/>
        </w:rPr>
        <w:t>3.1.</w:t>
      </w:r>
      <w:r>
        <w:rPr>
          <w:spacing w:val="0"/>
        </w:rPr>
        <w:t>7</w:t>
      </w:r>
      <w:r>
        <w:rPr>
          <w:rFonts w:hint="eastAsia"/>
          <w:spacing w:val="0"/>
        </w:rPr>
        <w:t>厂区平面布置</w:t>
      </w:r>
      <w:bookmarkEnd w:id="190"/>
      <w:bookmarkEnd w:id="191"/>
      <w:bookmarkEnd w:id="192"/>
    </w:p>
    <w:p>
      <w:pPr>
        <w:pStyle w:val="494"/>
        <w:ind w:firstLine="480"/>
        <w:rPr>
          <w:lang w:bidi="en-US"/>
        </w:rPr>
      </w:pPr>
      <w:r>
        <w:rPr>
          <w:lang w:bidi="en-US"/>
        </w:rPr>
        <w:t>项目厂区主要分为生产区和办公区，生产区位于场区北部。主要包括消防泵房、消防水池、事故应急池、配电室、设备区、混烃储罐区域、加气柱区域、危险废物暂存间，厂区北部由西向东依次为消防泵房、消防水池、</w:t>
      </w:r>
      <w:r>
        <w:rPr>
          <w:rFonts w:hint="eastAsia"/>
          <w:lang w:bidi="en-US"/>
        </w:rPr>
        <w:t>辅助用房</w:t>
      </w:r>
      <w:r>
        <w:rPr>
          <w:lang w:bidi="en-US"/>
        </w:rPr>
        <w:t>，厂区中部依次为配电室、混烃储罐区域、设备区、加气柱区域；危废暂存间位于厂区北侧。生活办公区位于厂区南侧，主要包括门卫室、停车场和辅助生产设施（主要是员工休息区）。</w:t>
      </w:r>
    </w:p>
    <w:p>
      <w:pPr>
        <w:pStyle w:val="494"/>
        <w:ind w:firstLine="480"/>
        <w:rPr>
          <w:lang w:bidi="en-US"/>
        </w:rPr>
      </w:pPr>
      <w:r>
        <w:rPr>
          <w:lang w:bidi="en-US"/>
        </w:rPr>
        <w:t>本项目总平面布置功能分区清晰，工艺流程顺畅，物流短捷，人流、物流互不交叉干扰，协调了生产和环保的关系，从环保角度分析其平面布局基本合理。</w:t>
      </w:r>
    </w:p>
    <w:p>
      <w:pPr>
        <w:pStyle w:val="494"/>
        <w:ind w:firstLine="480"/>
        <w:rPr>
          <w:lang w:bidi="en-US"/>
        </w:rPr>
      </w:pPr>
      <w:r>
        <w:rPr>
          <w:lang w:bidi="en-US"/>
        </w:rPr>
        <w:t>本项目厂区平面布置图详见图3.1-2。</w:t>
      </w:r>
    </w:p>
    <w:p>
      <w:pPr>
        <w:pStyle w:val="5"/>
        <w:spacing w:before="120" w:after="120"/>
      </w:pPr>
      <w:bookmarkStart w:id="193" w:name="_Toc145580385"/>
      <w:r>
        <w:rPr>
          <w:rFonts w:hint="eastAsia"/>
        </w:rPr>
        <w:t>3</w:t>
      </w:r>
      <w:r>
        <w:t>.1.8</w:t>
      </w:r>
      <w:r>
        <w:rPr>
          <w:rFonts w:hint="eastAsia"/>
        </w:rPr>
        <w:t>依托工程</w:t>
      </w:r>
      <w:bookmarkEnd w:id="193"/>
    </w:p>
    <w:p>
      <w:pPr>
        <w:pStyle w:val="488"/>
        <w:ind w:firstLine="482"/>
        <w:rPr>
          <w:rFonts w:ascii="Times New Roman" w:hAnsi="Times New Roman" w:cs="Times New Roman"/>
          <w:b/>
          <w:bCs/>
          <w:color w:val="FF0000"/>
        </w:rPr>
      </w:pPr>
      <w:bookmarkStart w:id="194" w:name="_Hlk147571575"/>
      <w:r>
        <w:rPr>
          <w:rFonts w:hint="eastAsia" w:ascii="Times New Roman" w:hAnsi="Times New Roman" w:cs="Times New Roman"/>
          <w:b/>
          <w:bCs/>
          <w:color w:val="FF0000"/>
        </w:rPr>
        <w:t>1、</w:t>
      </w:r>
      <w:bookmarkStart w:id="195" w:name="_Hlk147594112"/>
      <w:r>
        <w:rPr>
          <w:rFonts w:hint="eastAsia" w:ascii="Times New Roman" w:hAnsi="Times New Roman" w:cs="Times New Roman"/>
          <w:b/>
          <w:bCs/>
          <w:color w:val="FF0000"/>
        </w:rPr>
        <w:t>准中董</w:t>
      </w:r>
      <w:r>
        <w:rPr>
          <w:rFonts w:ascii="Times New Roman" w:hAnsi="Times New Roman" w:cs="Times New Roman"/>
          <w:b/>
          <w:bCs/>
          <w:color w:val="FF0000"/>
        </w:rPr>
        <w:t>701</w:t>
      </w:r>
      <w:r>
        <w:rPr>
          <w:rFonts w:hint="eastAsia" w:ascii="Times New Roman" w:hAnsi="Times New Roman" w:cs="Times New Roman"/>
          <w:b/>
          <w:bCs/>
          <w:color w:val="FF0000"/>
        </w:rPr>
        <w:t>井区产能建设工程</w:t>
      </w:r>
      <w:bookmarkEnd w:id="195"/>
    </w:p>
    <w:p>
      <w:pPr>
        <w:pStyle w:val="488"/>
        <w:ind w:firstLine="480"/>
        <w:rPr>
          <w:rFonts w:ascii="Times New Roman" w:hAnsi="Times New Roman" w:cs="Times New Roman"/>
          <w:color w:val="FF0000"/>
        </w:rPr>
      </w:pPr>
      <w:r>
        <w:rPr>
          <w:rFonts w:hint="eastAsia" w:ascii="Times New Roman" w:hAnsi="Times New Roman" w:cs="Times New Roman"/>
          <w:color w:val="FF0000"/>
        </w:rPr>
        <w:t>本项目处置的原料天然气均来自准中董</w:t>
      </w:r>
      <w:r>
        <w:rPr>
          <w:rFonts w:ascii="Times New Roman" w:hAnsi="Times New Roman" w:cs="Times New Roman"/>
          <w:color w:val="FF0000"/>
        </w:rPr>
        <w:t>701</w:t>
      </w:r>
      <w:r>
        <w:rPr>
          <w:rFonts w:hint="eastAsia" w:ascii="Times New Roman" w:hAnsi="Times New Roman" w:cs="Times New Roman"/>
          <w:color w:val="FF0000"/>
        </w:rPr>
        <w:t>井区。</w:t>
      </w:r>
    </w:p>
    <w:p>
      <w:pPr>
        <w:pStyle w:val="488"/>
        <w:ind w:firstLine="480"/>
        <w:rPr>
          <w:rFonts w:ascii="Times New Roman" w:hAnsi="Times New Roman" w:cs="Times New Roman"/>
          <w:color w:val="FF0000"/>
        </w:rPr>
      </w:pPr>
      <w:r>
        <w:rPr>
          <w:rFonts w:hint="eastAsia" w:ascii="Times New Roman" w:hAnsi="Times New Roman" w:cs="Times New Roman"/>
          <w:color w:val="FF0000"/>
        </w:rPr>
        <w:t>准中董</w:t>
      </w:r>
      <w:r>
        <w:rPr>
          <w:rFonts w:ascii="Times New Roman" w:hAnsi="Times New Roman" w:cs="Times New Roman"/>
          <w:color w:val="FF0000"/>
        </w:rPr>
        <w:t>701</w:t>
      </w:r>
      <w:r>
        <w:rPr>
          <w:rFonts w:hint="eastAsia" w:ascii="Times New Roman" w:hAnsi="Times New Roman" w:cs="Times New Roman"/>
          <w:color w:val="FF0000"/>
        </w:rPr>
        <w:t>井区产能建设工程位于本项目西侧22m处，项目计划部署气井</w:t>
      </w:r>
      <w:r>
        <w:rPr>
          <w:rFonts w:ascii="Times New Roman" w:hAnsi="Times New Roman" w:cs="Times New Roman"/>
          <w:color w:val="FF0000"/>
        </w:rPr>
        <w:t>5</w:t>
      </w:r>
      <w:r>
        <w:rPr>
          <w:rFonts w:hint="eastAsia" w:ascii="Times New Roman" w:hAnsi="Times New Roman" w:cs="Times New Roman"/>
          <w:color w:val="FF0000"/>
        </w:rPr>
        <w:t>口，</w:t>
      </w:r>
      <w:r>
        <w:rPr>
          <w:rFonts w:ascii="Times New Roman" w:hAnsi="Times New Roman" w:cs="Times New Roman"/>
          <w:color w:val="FF0000"/>
        </w:rPr>
        <w:t>5</w:t>
      </w:r>
      <w:r>
        <w:rPr>
          <w:rFonts w:hint="eastAsia" w:ascii="Times New Roman" w:hAnsi="Times New Roman" w:cs="Times New Roman"/>
          <w:bCs/>
          <w:color w:val="FF0000"/>
        </w:rPr>
        <w:t>口气井动用凝析油储量</w:t>
      </w:r>
      <w:r>
        <w:rPr>
          <w:rFonts w:ascii="Times New Roman" w:hAnsi="Times New Roman" w:cs="Times New Roman"/>
          <w:bCs/>
          <w:color w:val="FF0000"/>
        </w:rPr>
        <w:t>84.83</w:t>
      </w:r>
      <w:r>
        <w:rPr>
          <w:rFonts w:hint="eastAsia" w:ascii="Times New Roman" w:hAnsi="Times New Roman" w:cs="Times New Roman"/>
          <w:bCs/>
          <w:color w:val="FF0000"/>
        </w:rPr>
        <w:t>×</w:t>
      </w:r>
      <w:r>
        <w:rPr>
          <w:rFonts w:ascii="Times New Roman" w:hAnsi="Times New Roman" w:cs="Times New Roman"/>
          <w:bCs/>
          <w:color w:val="FF0000"/>
        </w:rPr>
        <w:t>10</w:t>
      </w:r>
      <w:r>
        <w:rPr>
          <w:rFonts w:ascii="Times New Roman" w:hAnsi="Times New Roman" w:cs="Times New Roman"/>
          <w:bCs/>
          <w:color w:val="FF0000"/>
          <w:vertAlign w:val="superscript"/>
        </w:rPr>
        <w:t>4</w:t>
      </w:r>
      <w:r>
        <w:rPr>
          <w:rFonts w:ascii="Times New Roman" w:hAnsi="Times New Roman" w:cs="Times New Roman"/>
          <w:bCs/>
          <w:color w:val="FF0000"/>
        </w:rPr>
        <w:t>t</w:t>
      </w:r>
      <w:r>
        <w:rPr>
          <w:rFonts w:hint="eastAsia" w:ascii="Times New Roman" w:hAnsi="Times New Roman" w:cs="Times New Roman"/>
          <w:bCs/>
          <w:color w:val="FF0000"/>
        </w:rPr>
        <w:t>、动用天然气储量</w:t>
      </w:r>
      <w:r>
        <w:rPr>
          <w:rFonts w:ascii="Times New Roman" w:hAnsi="Times New Roman" w:cs="Times New Roman"/>
          <w:bCs/>
          <w:color w:val="FF0000"/>
        </w:rPr>
        <w:t>17.45</w:t>
      </w:r>
      <w:r>
        <w:rPr>
          <w:rFonts w:hint="eastAsia" w:ascii="Times New Roman" w:hAnsi="Times New Roman" w:cs="Times New Roman"/>
          <w:bCs/>
          <w:color w:val="FF0000"/>
        </w:rPr>
        <w:t>×</w:t>
      </w:r>
      <w:r>
        <w:rPr>
          <w:rFonts w:ascii="Times New Roman" w:hAnsi="Times New Roman" w:cs="Times New Roman"/>
          <w:bCs/>
          <w:color w:val="FF0000"/>
        </w:rPr>
        <w:t>10</w:t>
      </w:r>
      <w:r>
        <w:rPr>
          <w:rFonts w:ascii="Times New Roman" w:hAnsi="Times New Roman" w:cs="Times New Roman"/>
          <w:bCs/>
          <w:color w:val="FF0000"/>
          <w:vertAlign w:val="superscript"/>
        </w:rPr>
        <w:t>8</w:t>
      </w:r>
      <w:r>
        <w:rPr>
          <w:rFonts w:ascii="Times New Roman" w:hAnsi="Times New Roman" w:cs="Times New Roman"/>
          <w:bCs/>
          <w:color w:val="FF0000"/>
        </w:rPr>
        <w:t>m</w:t>
      </w:r>
      <w:r>
        <w:rPr>
          <w:rFonts w:ascii="Times New Roman" w:hAnsi="Times New Roman" w:cs="Times New Roman"/>
          <w:bCs/>
          <w:color w:val="FF0000"/>
          <w:vertAlign w:val="superscript"/>
        </w:rPr>
        <w:t>3</w:t>
      </w:r>
      <w:r>
        <w:rPr>
          <w:rFonts w:hint="eastAsia" w:ascii="Times New Roman" w:hAnsi="Times New Roman" w:cs="Times New Roman"/>
          <w:bCs/>
          <w:color w:val="FF0000"/>
        </w:rPr>
        <w:t>，</w:t>
      </w:r>
      <w:r>
        <w:rPr>
          <w:rFonts w:hint="eastAsia" w:ascii="Times New Roman" w:hAnsi="Times New Roman" w:cs="Times New Roman"/>
          <w:color w:val="FF0000"/>
        </w:rPr>
        <w:t>采用衰竭开发方式，</w:t>
      </w:r>
      <w:r>
        <w:rPr>
          <w:rFonts w:hint="eastAsia" w:ascii="Times New Roman" w:hAnsi="Times New Roman" w:cs="Times New Roman"/>
          <w:bCs/>
          <w:color w:val="FF0000"/>
        </w:rPr>
        <w:t>套管固井负压射孔投产，前三年平均新井年产凝析油能力</w:t>
      </w:r>
      <w:r>
        <w:rPr>
          <w:rFonts w:ascii="Times New Roman" w:hAnsi="Times New Roman" w:cs="Times New Roman"/>
          <w:bCs/>
          <w:color w:val="FF0000"/>
        </w:rPr>
        <w:t>1.36</w:t>
      </w:r>
      <w:r>
        <w:rPr>
          <w:rFonts w:hint="eastAsia" w:ascii="Times New Roman" w:hAnsi="Times New Roman" w:cs="Times New Roman"/>
          <w:bCs/>
          <w:color w:val="FF0000"/>
        </w:rPr>
        <w:t>×</w:t>
      </w:r>
      <w:r>
        <w:rPr>
          <w:rFonts w:ascii="Times New Roman" w:hAnsi="Times New Roman" w:cs="Times New Roman"/>
          <w:bCs/>
          <w:color w:val="FF0000"/>
        </w:rPr>
        <w:t>10</w:t>
      </w:r>
      <w:r>
        <w:rPr>
          <w:rFonts w:ascii="Times New Roman" w:hAnsi="Times New Roman" w:cs="Times New Roman"/>
          <w:bCs/>
          <w:color w:val="FF0000"/>
          <w:vertAlign w:val="superscript"/>
        </w:rPr>
        <w:t>4</w:t>
      </w:r>
      <w:r>
        <w:rPr>
          <w:rFonts w:ascii="Times New Roman" w:hAnsi="Times New Roman" w:cs="Times New Roman"/>
          <w:bCs/>
          <w:color w:val="FF0000"/>
        </w:rPr>
        <w:t>t</w:t>
      </w:r>
      <w:r>
        <w:rPr>
          <w:rFonts w:hint="eastAsia" w:ascii="Times New Roman" w:hAnsi="Times New Roman" w:cs="Times New Roman"/>
          <w:bCs/>
          <w:color w:val="FF0000"/>
        </w:rPr>
        <w:t>，年产气能力</w:t>
      </w:r>
      <w:r>
        <w:rPr>
          <w:rFonts w:ascii="Times New Roman" w:hAnsi="Times New Roman" w:cs="Times New Roman"/>
          <w:bCs/>
          <w:color w:val="FF0000"/>
        </w:rPr>
        <w:t>0.39</w:t>
      </w:r>
      <w:r>
        <w:rPr>
          <w:rFonts w:hint="eastAsia" w:ascii="Times New Roman" w:hAnsi="Times New Roman" w:cs="Times New Roman"/>
          <w:bCs/>
          <w:color w:val="FF0000"/>
        </w:rPr>
        <w:t>×</w:t>
      </w:r>
      <w:r>
        <w:rPr>
          <w:rFonts w:ascii="Times New Roman" w:hAnsi="Times New Roman" w:cs="Times New Roman"/>
          <w:bCs/>
          <w:color w:val="FF0000"/>
        </w:rPr>
        <w:t>10</w:t>
      </w:r>
      <w:r>
        <w:rPr>
          <w:rFonts w:ascii="Times New Roman" w:hAnsi="Times New Roman" w:cs="Times New Roman"/>
          <w:bCs/>
          <w:color w:val="FF0000"/>
          <w:vertAlign w:val="superscript"/>
        </w:rPr>
        <w:t>8</w:t>
      </w:r>
      <w:r>
        <w:rPr>
          <w:rFonts w:ascii="Times New Roman" w:hAnsi="Times New Roman" w:cs="Times New Roman"/>
          <w:bCs/>
          <w:color w:val="FF0000"/>
        </w:rPr>
        <w:t>m</w:t>
      </w:r>
      <w:r>
        <w:rPr>
          <w:rFonts w:ascii="Times New Roman" w:hAnsi="Times New Roman" w:cs="Times New Roman"/>
          <w:bCs/>
          <w:color w:val="FF0000"/>
          <w:vertAlign w:val="superscript"/>
        </w:rPr>
        <w:t>3</w:t>
      </w:r>
      <w:r>
        <w:rPr>
          <w:rFonts w:hint="eastAsia" w:ascii="Times New Roman" w:hAnsi="Times New Roman" w:cs="Times New Roman"/>
          <w:bCs/>
          <w:color w:val="FF0000"/>
        </w:rPr>
        <w:t>。</w:t>
      </w:r>
    </w:p>
    <w:p>
      <w:pPr>
        <w:pStyle w:val="488"/>
        <w:ind w:firstLine="480"/>
        <w:rPr>
          <w:rFonts w:ascii="Times New Roman" w:hAnsi="Times New Roman" w:cs="Times New Roman"/>
          <w:color w:val="FF0000"/>
        </w:rPr>
      </w:pPr>
      <w:r>
        <w:rPr>
          <w:rFonts w:hint="eastAsia" w:ascii="Times New Roman" w:hAnsi="Times New Roman" w:cs="Times New Roman"/>
          <w:color w:val="FF0000"/>
        </w:rPr>
        <w:t>该项目于2020年5月委托新疆天合环境技术咨询有限公司编制了《准中董</w:t>
      </w:r>
      <w:r>
        <w:rPr>
          <w:rFonts w:ascii="Times New Roman" w:hAnsi="Times New Roman" w:cs="Times New Roman"/>
          <w:color w:val="FF0000"/>
        </w:rPr>
        <w:t>701</w:t>
      </w:r>
      <w:r>
        <w:rPr>
          <w:rFonts w:hint="eastAsia" w:ascii="Times New Roman" w:hAnsi="Times New Roman" w:cs="Times New Roman"/>
          <w:color w:val="FF0000"/>
        </w:rPr>
        <w:t>井区产能建设工程环境影响报告书》，并于2020年12月25日取得由新疆维吾尔自治区生态环境厅《关于准中董701井区产能建设工程环境影响报告书的批复》（新环审〔2020〕254号），同意该项目建设。目前正在进行竣工环境保护验收工作。</w:t>
      </w:r>
    </w:p>
    <w:p>
      <w:pPr>
        <w:pStyle w:val="488"/>
        <w:ind w:firstLine="482"/>
        <w:rPr>
          <w:rFonts w:ascii="Times New Roman" w:hAnsi="Times New Roman" w:cs="Times New Roman"/>
          <w:b/>
          <w:bCs/>
          <w:color w:val="FF0000"/>
        </w:rPr>
      </w:pPr>
      <w:r>
        <w:rPr>
          <w:rFonts w:hint="eastAsia" w:ascii="Times New Roman" w:hAnsi="Times New Roman" w:cs="Times New Roman"/>
          <w:b/>
          <w:bCs/>
          <w:color w:val="FF0000"/>
        </w:rPr>
        <w:t>2、</w:t>
      </w:r>
      <w:bookmarkStart w:id="196" w:name="_Hlk147568492"/>
      <w:r>
        <w:rPr>
          <w:rFonts w:hint="eastAsia" w:ascii="Times New Roman" w:hAnsi="Times New Roman" w:cs="Times New Roman"/>
          <w:b/>
          <w:bCs/>
          <w:color w:val="FF0000"/>
        </w:rPr>
        <w:t>春风一号联合站</w:t>
      </w:r>
    </w:p>
    <w:p>
      <w:pPr>
        <w:pStyle w:val="488"/>
        <w:ind w:firstLine="480"/>
        <w:rPr>
          <w:rFonts w:ascii="Times New Roman" w:hAnsi="Times New Roman" w:cs="Times New Roman"/>
          <w:color w:val="FF0000"/>
        </w:rPr>
      </w:pPr>
      <w:bookmarkStart w:id="197" w:name="_Hlk147654638"/>
      <w:r>
        <w:rPr>
          <w:rFonts w:hint="eastAsia" w:ascii="Times New Roman" w:hAnsi="Times New Roman" w:cs="Times New Roman"/>
          <w:color w:val="FF0000"/>
        </w:rPr>
        <w:t>本项目产生的生产废水拉运至春风一号联合站处置后回注。</w:t>
      </w:r>
    </w:p>
    <w:p>
      <w:pPr>
        <w:pStyle w:val="488"/>
        <w:ind w:firstLine="480"/>
        <w:rPr>
          <w:rFonts w:ascii="Times New Roman" w:hAnsi="Times New Roman"/>
          <w:color w:val="FF0000"/>
        </w:rPr>
      </w:pPr>
      <w:r>
        <w:rPr>
          <w:rFonts w:hint="eastAsia" w:ascii="Times New Roman" w:hAnsi="Times New Roman"/>
          <w:color w:val="FF0000"/>
        </w:rPr>
        <w:t>（1）工程概况及环保手续情况</w:t>
      </w:r>
    </w:p>
    <w:p>
      <w:pPr>
        <w:pStyle w:val="488"/>
        <w:ind w:firstLine="480"/>
        <w:rPr>
          <w:rFonts w:ascii="Times New Roman" w:hAnsi="Times New Roman"/>
          <w:color w:val="FF0000"/>
        </w:rPr>
      </w:pPr>
      <w:r>
        <w:rPr>
          <w:rFonts w:hint="eastAsia" w:ascii="Times New Roman" w:hAnsi="Times New Roman"/>
          <w:color w:val="FF0000"/>
        </w:rPr>
        <w:t>春风一号联合站位于工程区西方280km处。</w:t>
      </w:r>
      <w:bookmarkStart w:id="198" w:name="_Hlk55836986"/>
      <w:r>
        <w:rPr>
          <w:rFonts w:hint="eastAsia" w:ascii="Times New Roman" w:hAnsi="Times New Roman"/>
          <w:bCs/>
          <w:color w:val="FF0000"/>
        </w:rPr>
        <w:t>目前设计规模为</w:t>
      </w:r>
      <w:r>
        <w:rPr>
          <w:rFonts w:ascii="Times New Roman" w:hAnsi="Times New Roman"/>
          <w:bCs/>
          <w:color w:val="FF0000"/>
        </w:rPr>
        <w:t>50×10</w:t>
      </w:r>
      <w:r>
        <w:rPr>
          <w:rFonts w:ascii="Times New Roman" w:hAnsi="Times New Roman"/>
          <w:bCs/>
          <w:color w:val="FF0000"/>
          <w:vertAlign w:val="superscript"/>
        </w:rPr>
        <w:t>4</w:t>
      </w:r>
      <w:r>
        <w:rPr>
          <w:rFonts w:ascii="Times New Roman" w:hAnsi="Times New Roman"/>
          <w:bCs/>
          <w:color w:val="FF0000"/>
        </w:rPr>
        <w:t>t/a</w:t>
      </w:r>
      <w:r>
        <w:rPr>
          <w:rFonts w:hint="eastAsia" w:ascii="Times New Roman" w:hAnsi="Times New Roman"/>
          <w:color w:val="FF0000"/>
        </w:rPr>
        <w:t>，主要担负着排</w:t>
      </w:r>
      <w:r>
        <w:rPr>
          <w:rFonts w:ascii="Times New Roman" w:hAnsi="Times New Roman"/>
          <w:color w:val="FF0000"/>
        </w:rPr>
        <w:t>601</w:t>
      </w:r>
      <w:r>
        <w:rPr>
          <w:rFonts w:hint="eastAsia" w:ascii="Times New Roman" w:hAnsi="Times New Roman"/>
          <w:color w:val="FF0000"/>
        </w:rPr>
        <w:t>北区、中区、排</w:t>
      </w:r>
      <w:r>
        <w:rPr>
          <w:rFonts w:ascii="Times New Roman" w:hAnsi="Times New Roman"/>
          <w:color w:val="FF0000"/>
        </w:rPr>
        <w:t>6</w:t>
      </w:r>
      <w:r>
        <w:rPr>
          <w:rFonts w:hint="eastAsia" w:ascii="Times New Roman" w:hAnsi="Times New Roman"/>
          <w:color w:val="FF0000"/>
        </w:rPr>
        <w:t>南区、排</w:t>
      </w:r>
      <w:r>
        <w:rPr>
          <w:rFonts w:ascii="Times New Roman" w:hAnsi="Times New Roman"/>
          <w:color w:val="FF0000"/>
        </w:rPr>
        <w:t>601</w:t>
      </w:r>
      <w:r>
        <w:rPr>
          <w:rFonts w:hint="eastAsia" w:ascii="Times New Roman" w:hAnsi="Times New Roman"/>
          <w:color w:val="FF0000"/>
        </w:rPr>
        <w:t>南区四个区块的原油处理任务。</w:t>
      </w:r>
      <w:bookmarkEnd w:id="198"/>
      <w:r>
        <w:rPr>
          <w:rFonts w:hint="eastAsia" w:ascii="Times New Roman" w:hAnsi="Times New Roman"/>
          <w:color w:val="FF0000"/>
        </w:rPr>
        <w:t>主要功能有：管输进站、汽车拉油卸车、掺蒸汽加热、加药、沉降分水、原油储存、计量、汽车装车外运、管输外运、站内循环、污油回收；站内同时具有水处理、污水回灌，配套消防、结构、建筑、供配电、暖通等功能。</w:t>
      </w:r>
    </w:p>
    <w:p>
      <w:pPr>
        <w:pStyle w:val="488"/>
        <w:ind w:firstLine="480"/>
        <w:rPr>
          <w:rFonts w:ascii="Times New Roman" w:hAnsi="Times New Roman" w:cs="Times New Roman"/>
          <w:color w:val="FF0000"/>
        </w:rPr>
      </w:pPr>
      <w:r>
        <w:rPr>
          <w:rFonts w:hint="eastAsia" w:ascii="Times New Roman" w:hAnsi="Times New Roman" w:cs="Times New Roman"/>
          <w:color w:val="FF0000"/>
        </w:rPr>
        <w:t>春风油田一号联合站于</w:t>
      </w:r>
      <w:r>
        <w:rPr>
          <w:rFonts w:ascii="Times New Roman" w:hAnsi="Times New Roman" w:cs="Times New Roman"/>
          <w:color w:val="FF0000"/>
        </w:rPr>
        <w:t>2010</w:t>
      </w:r>
      <w:r>
        <w:rPr>
          <w:rFonts w:hint="eastAsia" w:ascii="Times New Roman" w:hAnsi="Times New Roman" w:cs="Times New Roman"/>
          <w:color w:val="FF0000"/>
        </w:rPr>
        <w:t>年</w:t>
      </w:r>
      <w:r>
        <w:rPr>
          <w:rFonts w:ascii="Times New Roman" w:hAnsi="Times New Roman" w:cs="Times New Roman"/>
          <w:color w:val="FF0000"/>
        </w:rPr>
        <w:t>12</w:t>
      </w:r>
      <w:r>
        <w:rPr>
          <w:rFonts w:hint="eastAsia" w:ascii="Times New Roman" w:hAnsi="Times New Roman" w:cs="Times New Roman"/>
          <w:color w:val="FF0000"/>
        </w:rPr>
        <w:t>月</w:t>
      </w:r>
      <w:r>
        <w:rPr>
          <w:rFonts w:ascii="Times New Roman" w:hAnsi="Times New Roman" w:cs="Times New Roman"/>
          <w:color w:val="FF0000"/>
        </w:rPr>
        <w:t>13</w:t>
      </w:r>
      <w:r>
        <w:rPr>
          <w:rFonts w:hint="eastAsia" w:ascii="Times New Roman" w:hAnsi="Times New Roman" w:cs="Times New Roman"/>
          <w:color w:val="FF0000"/>
        </w:rPr>
        <w:t>日取得自治区环保厅《关于胜利油田分公司新疆准格尔盆地西缘排</w:t>
      </w:r>
      <w:r>
        <w:rPr>
          <w:rFonts w:ascii="Times New Roman" w:hAnsi="Times New Roman" w:cs="Times New Roman"/>
          <w:color w:val="FF0000"/>
        </w:rPr>
        <w:t>601</w:t>
      </w:r>
      <w:r>
        <w:rPr>
          <w:rFonts w:hint="eastAsia" w:ascii="Times New Roman" w:hAnsi="Times New Roman" w:cs="Times New Roman"/>
          <w:color w:val="FF0000"/>
        </w:rPr>
        <w:t>新区产能建设工程环境影响报告书的批复》（新环评价函〔</w:t>
      </w:r>
      <w:r>
        <w:rPr>
          <w:rFonts w:ascii="Times New Roman" w:hAnsi="Times New Roman" w:cs="Times New Roman"/>
          <w:color w:val="FF0000"/>
        </w:rPr>
        <w:t>2010</w:t>
      </w:r>
      <w:r>
        <w:rPr>
          <w:rFonts w:hint="eastAsia" w:ascii="Times New Roman" w:hAnsi="Times New Roman" w:cs="Times New Roman"/>
          <w:color w:val="FF0000"/>
        </w:rPr>
        <w:t>〕</w:t>
      </w:r>
      <w:r>
        <w:rPr>
          <w:rFonts w:ascii="Times New Roman" w:hAnsi="Times New Roman" w:cs="Times New Roman"/>
          <w:color w:val="FF0000"/>
        </w:rPr>
        <w:t>863</w:t>
      </w:r>
      <w:r>
        <w:rPr>
          <w:rFonts w:hint="eastAsia" w:ascii="Times New Roman" w:hAnsi="Times New Roman" w:cs="Times New Roman"/>
          <w:color w:val="FF0000"/>
        </w:rPr>
        <w:t>号），原油处理规模为</w:t>
      </w:r>
      <w:r>
        <w:rPr>
          <w:rFonts w:ascii="Times New Roman" w:hAnsi="Times New Roman" w:cs="Times New Roman"/>
          <w:color w:val="FF0000"/>
        </w:rPr>
        <w:t>10</w:t>
      </w:r>
      <w:r>
        <w:rPr>
          <w:rFonts w:hint="eastAsia" w:ascii="Times New Roman" w:hAnsi="Times New Roman" w:cs="Times New Roman"/>
          <w:color w:val="FF0000"/>
        </w:rPr>
        <w:t>×</w:t>
      </w:r>
      <w:r>
        <w:rPr>
          <w:rFonts w:ascii="Times New Roman" w:hAnsi="Times New Roman" w:cs="Times New Roman"/>
          <w:color w:val="FF0000"/>
        </w:rPr>
        <w:t>10</w:t>
      </w:r>
      <w:r>
        <w:rPr>
          <w:rFonts w:ascii="Times New Roman" w:hAnsi="Times New Roman" w:cs="Times New Roman"/>
          <w:color w:val="FF0000"/>
          <w:vertAlign w:val="superscript"/>
        </w:rPr>
        <w:t>4</w:t>
      </w:r>
      <w:r>
        <w:rPr>
          <w:rFonts w:ascii="Times New Roman" w:hAnsi="Times New Roman" w:cs="Times New Roman"/>
          <w:color w:val="FF0000"/>
        </w:rPr>
        <w:t>t/a</w:t>
      </w:r>
      <w:r>
        <w:rPr>
          <w:rFonts w:hint="eastAsia" w:ascii="Times New Roman" w:hAnsi="Times New Roman" w:cs="Times New Roman"/>
          <w:color w:val="FF0000"/>
        </w:rPr>
        <w:t>，；并于</w:t>
      </w:r>
      <w:r>
        <w:rPr>
          <w:rFonts w:ascii="Times New Roman" w:hAnsi="Times New Roman" w:cs="Times New Roman"/>
          <w:color w:val="FF0000"/>
        </w:rPr>
        <w:t>2012</w:t>
      </w:r>
      <w:r>
        <w:rPr>
          <w:rFonts w:hint="eastAsia" w:ascii="Times New Roman" w:hAnsi="Times New Roman" w:cs="Times New Roman"/>
          <w:color w:val="FF0000"/>
        </w:rPr>
        <w:t>年</w:t>
      </w:r>
      <w:r>
        <w:rPr>
          <w:rFonts w:ascii="Times New Roman" w:hAnsi="Times New Roman" w:cs="Times New Roman"/>
          <w:color w:val="FF0000"/>
        </w:rPr>
        <w:t>9</w:t>
      </w:r>
      <w:r>
        <w:rPr>
          <w:rFonts w:hint="eastAsia" w:ascii="Times New Roman" w:hAnsi="Times New Roman" w:cs="Times New Roman"/>
          <w:color w:val="FF0000"/>
        </w:rPr>
        <w:t>月</w:t>
      </w:r>
      <w:r>
        <w:rPr>
          <w:rFonts w:ascii="Times New Roman" w:hAnsi="Times New Roman" w:cs="Times New Roman"/>
          <w:color w:val="FF0000"/>
        </w:rPr>
        <w:t>21</w:t>
      </w:r>
      <w:r>
        <w:rPr>
          <w:rFonts w:hint="eastAsia" w:ascii="Times New Roman" w:hAnsi="Times New Roman" w:cs="Times New Roman"/>
          <w:color w:val="FF0000"/>
        </w:rPr>
        <w:t>日取得自治区环保厅《关于胜利油田分公司新疆准格尔盆地西缘排</w:t>
      </w:r>
      <w:r>
        <w:rPr>
          <w:rFonts w:ascii="Times New Roman" w:hAnsi="Times New Roman" w:cs="Times New Roman"/>
          <w:color w:val="FF0000"/>
        </w:rPr>
        <w:t>601</w:t>
      </w:r>
      <w:r>
        <w:rPr>
          <w:rFonts w:hint="eastAsia" w:ascii="Times New Roman" w:hAnsi="Times New Roman" w:cs="Times New Roman"/>
          <w:color w:val="FF0000"/>
        </w:rPr>
        <w:t>新区产能建设工程竣工环境保护意见的函》（新环评价函〔</w:t>
      </w:r>
      <w:r>
        <w:rPr>
          <w:rFonts w:ascii="Times New Roman" w:hAnsi="Times New Roman" w:cs="Times New Roman"/>
          <w:color w:val="FF0000"/>
        </w:rPr>
        <w:t>2012</w:t>
      </w:r>
      <w:r>
        <w:rPr>
          <w:rFonts w:hint="eastAsia" w:ascii="Times New Roman" w:hAnsi="Times New Roman" w:cs="Times New Roman"/>
          <w:color w:val="FF0000"/>
        </w:rPr>
        <w:t>〕</w:t>
      </w:r>
      <w:r>
        <w:rPr>
          <w:rFonts w:ascii="Times New Roman" w:hAnsi="Times New Roman" w:cs="Times New Roman"/>
          <w:color w:val="FF0000"/>
        </w:rPr>
        <w:t>939</w:t>
      </w:r>
      <w:r>
        <w:rPr>
          <w:rFonts w:hint="eastAsia" w:ascii="Times New Roman" w:hAnsi="Times New Roman" w:cs="Times New Roman"/>
          <w:color w:val="FF0000"/>
        </w:rPr>
        <w:t>号）。后期又在</w:t>
      </w:r>
      <w:r>
        <w:rPr>
          <w:rFonts w:ascii="Times New Roman" w:hAnsi="Times New Roman" w:cs="Times New Roman"/>
          <w:color w:val="FF0000"/>
        </w:rPr>
        <w:t>2011</w:t>
      </w:r>
      <w:r>
        <w:rPr>
          <w:rFonts w:hint="eastAsia" w:ascii="Times New Roman" w:hAnsi="Times New Roman" w:cs="Times New Roman"/>
          <w:color w:val="FF0000"/>
        </w:rPr>
        <w:t>年</w:t>
      </w:r>
      <w:r>
        <w:rPr>
          <w:rFonts w:ascii="Times New Roman" w:hAnsi="Times New Roman" w:cs="Times New Roman"/>
          <w:color w:val="FF0000"/>
        </w:rPr>
        <w:t>9</w:t>
      </w:r>
      <w:r>
        <w:rPr>
          <w:rFonts w:hint="eastAsia" w:ascii="Times New Roman" w:hAnsi="Times New Roman" w:cs="Times New Roman"/>
          <w:color w:val="FF0000"/>
        </w:rPr>
        <w:t>月</w:t>
      </w:r>
      <w:r>
        <w:rPr>
          <w:rFonts w:ascii="Times New Roman" w:hAnsi="Times New Roman" w:cs="Times New Roman"/>
          <w:color w:val="FF0000"/>
        </w:rPr>
        <w:t>21</w:t>
      </w:r>
      <w:r>
        <w:rPr>
          <w:rFonts w:hint="eastAsia" w:ascii="Times New Roman" w:hAnsi="Times New Roman" w:cs="Times New Roman"/>
          <w:color w:val="FF0000"/>
        </w:rPr>
        <w:t>日取得自治区环保厅《关于春风油田排</w:t>
      </w:r>
      <w:r>
        <w:rPr>
          <w:rFonts w:ascii="Times New Roman" w:hAnsi="Times New Roman" w:cs="Times New Roman"/>
          <w:color w:val="FF0000"/>
        </w:rPr>
        <w:t>601</w:t>
      </w:r>
      <w:r>
        <w:rPr>
          <w:rFonts w:hint="eastAsia" w:ascii="Times New Roman" w:hAnsi="Times New Roman" w:cs="Times New Roman"/>
          <w:color w:val="FF0000"/>
        </w:rPr>
        <w:t>中区产能建设项目环境影响报告书的批复》（新环评价函〔</w:t>
      </w:r>
      <w:r>
        <w:rPr>
          <w:rFonts w:ascii="Times New Roman" w:hAnsi="Times New Roman" w:cs="Times New Roman"/>
          <w:color w:val="FF0000"/>
        </w:rPr>
        <w:t>2011</w:t>
      </w:r>
      <w:r>
        <w:rPr>
          <w:rFonts w:hint="eastAsia" w:ascii="Times New Roman" w:hAnsi="Times New Roman" w:cs="Times New Roman"/>
          <w:color w:val="FF0000"/>
        </w:rPr>
        <w:t>〕</w:t>
      </w:r>
      <w:r>
        <w:rPr>
          <w:rFonts w:ascii="Times New Roman" w:hAnsi="Times New Roman" w:cs="Times New Roman"/>
          <w:color w:val="FF0000"/>
        </w:rPr>
        <w:t>683</w:t>
      </w:r>
      <w:r>
        <w:rPr>
          <w:rFonts w:hint="eastAsia" w:ascii="Times New Roman" w:hAnsi="Times New Roman" w:cs="Times New Roman"/>
          <w:color w:val="FF0000"/>
        </w:rPr>
        <w:t>号），春风一号联合站处理规模由</w:t>
      </w:r>
      <w:r>
        <w:rPr>
          <w:rFonts w:ascii="Times New Roman" w:hAnsi="Times New Roman" w:cs="Times New Roman"/>
          <w:color w:val="FF0000"/>
        </w:rPr>
        <w:t>10</w:t>
      </w:r>
      <w:r>
        <w:rPr>
          <w:rFonts w:hint="eastAsia" w:ascii="Times New Roman" w:hAnsi="Times New Roman" w:cs="Times New Roman"/>
          <w:color w:val="FF0000"/>
        </w:rPr>
        <w:t>×</w:t>
      </w:r>
      <w:r>
        <w:rPr>
          <w:rFonts w:ascii="Times New Roman" w:hAnsi="Times New Roman" w:cs="Times New Roman"/>
          <w:color w:val="FF0000"/>
        </w:rPr>
        <w:t>10</w:t>
      </w:r>
      <w:r>
        <w:rPr>
          <w:rFonts w:ascii="Times New Roman" w:hAnsi="Times New Roman" w:cs="Times New Roman"/>
          <w:color w:val="FF0000"/>
          <w:vertAlign w:val="superscript"/>
        </w:rPr>
        <w:t>4</w:t>
      </w:r>
      <w:r>
        <w:rPr>
          <w:rFonts w:ascii="Times New Roman" w:hAnsi="Times New Roman" w:cs="Times New Roman"/>
          <w:color w:val="FF0000"/>
        </w:rPr>
        <w:t>t/a</w:t>
      </w:r>
      <w:r>
        <w:rPr>
          <w:rFonts w:hint="eastAsia" w:ascii="Times New Roman" w:hAnsi="Times New Roman" w:cs="Times New Roman"/>
          <w:color w:val="FF0000"/>
        </w:rPr>
        <w:t>扩建至</w:t>
      </w:r>
      <w:r>
        <w:rPr>
          <w:rFonts w:ascii="Times New Roman" w:hAnsi="Times New Roman" w:cs="Times New Roman"/>
          <w:color w:val="FF0000"/>
        </w:rPr>
        <w:t>30</w:t>
      </w:r>
      <w:r>
        <w:rPr>
          <w:rFonts w:hint="eastAsia" w:ascii="Times New Roman" w:hAnsi="Times New Roman" w:cs="Times New Roman"/>
          <w:color w:val="FF0000"/>
        </w:rPr>
        <w:t>×</w:t>
      </w:r>
      <w:r>
        <w:rPr>
          <w:rFonts w:ascii="Times New Roman" w:hAnsi="Times New Roman" w:cs="Times New Roman"/>
          <w:color w:val="FF0000"/>
        </w:rPr>
        <w:t>10</w:t>
      </w:r>
      <w:r>
        <w:rPr>
          <w:rFonts w:ascii="Times New Roman" w:hAnsi="Times New Roman" w:cs="Times New Roman"/>
          <w:color w:val="FF0000"/>
          <w:vertAlign w:val="superscript"/>
        </w:rPr>
        <w:t>4</w:t>
      </w:r>
      <w:r>
        <w:rPr>
          <w:rFonts w:ascii="Times New Roman" w:hAnsi="Times New Roman" w:cs="Times New Roman"/>
          <w:color w:val="FF0000"/>
        </w:rPr>
        <w:t>t/a</w:t>
      </w:r>
      <w:r>
        <w:rPr>
          <w:rFonts w:hint="eastAsia" w:ascii="Times New Roman" w:hAnsi="Times New Roman" w:cs="Times New Roman"/>
          <w:color w:val="FF0000"/>
        </w:rPr>
        <w:t>，；并于</w:t>
      </w:r>
      <w:r>
        <w:rPr>
          <w:rFonts w:ascii="Times New Roman" w:hAnsi="Times New Roman" w:cs="Times New Roman"/>
          <w:color w:val="FF0000"/>
        </w:rPr>
        <w:t>2014</w:t>
      </w:r>
      <w:r>
        <w:rPr>
          <w:rFonts w:hint="eastAsia" w:ascii="Times New Roman" w:hAnsi="Times New Roman" w:cs="Times New Roman"/>
          <w:color w:val="FF0000"/>
        </w:rPr>
        <w:t>年</w:t>
      </w:r>
      <w:r>
        <w:rPr>
          <w:rFonts w:ascii="Times New Roman" w:hAnsi="Times New Roman" w:cs="Times New Roman"/>
          <w:color w:val="FF0000"/>
        </w:rPr>
        <w:t>4</w:t>
      </w:r>
      <w:r>
        <w:rPr>
          <w:rFonts w:hint="eastAsia" w:ascii="Times New Roman" w:hAnsi="Times New Roman" w:cs="Times New Roman"/>
          <w:color w:val="FF0000"/>
        </w:rPr>
        <w:t>月</w:t>
      </w:r>
      <w:r>
        <w:rPr>
          <w:rFonts w:ascii="Times New Roman" w:hAnsi="Times New Roman" w:cs="Times New Roman"/>
          <w:color w:val="FF0000"/>
        </w:rPr>
        <w:t>21</w:t>
      </w:r>
      <w:r>
        <w:rPr>
          <w:rFonts w:hint="eastAsia" w:ascii="Times New Roman" w:hAnsi="Times New Roman" w:cs="Times New Roman"/>
          <w:color w:val="FF0000"/>
        </w:rPr>
        <w:t>日取得自治区环保厅《关于春风油田排</w:t>
      </w:r>
      <w:r>
        <w:rPr>
          <w:rFonts w:ascii="Times New Roman" w:hAnsi="Times New Roman" w:cs="Times New Roman"/>
          <w:color w:val="FF0000"/>
        </w:rPr>
        <w:t>601</w:t>
      </w:r>
      <w:r>
        <w:rPr>
          <w:rFonts w:hint="eastAsia" w:ascii="Times New Roman" w:hAnsi="Times New Roman" w:cs="Times New Roman"/>
          <w:color w:val="FF0000"/>
        </w:rPr>
        <w:t>中区产能建设项目竣工环境保护意见的函》（新环评价函〔</w:t>
      </w:r>
      <w:r>
        <w:rPr>
          <w:rFonts w:ascii="Times New Roman" w:hAnsi="Times New Roman" w:cs="Times New Roman"/>
          <w:color w:val="FF0000"/>
        </w:rPr>
        <w:t>2014</w:t>
      </w:r>
      <w:r>
        <w:rPr>
          <w:rFonts w:hint="eastAsia" w:ascii="Times New Roman" w:hAnsi="Times New Roman" w:cs="Times New Roman"/>
          <w:color w:val="FF0000"/>
        </w:rPr>
        <w:t>〕</w:t>
      </w:r>
      <w:r>
        <w:rPr>
          <w:rFonts w:ascii="Times New Roman" w:hAnsi="Times New Roman" w:cs="Times New Roman"/>
          <w:color w:val="FF0000"/>
        </w:rPr>
        <w:t>458</w:t>
      </w:r>
      <w:r>
        <w:rPr>
          <w:rFonts w:hint="eastAsia" w:ascii="Times New Roman" w:hAnsi="Times New Roman" w:cs="Times New Roman"/>
          <w:color w:val="FF0000"/>
        </w:rPr>
        <w:t>号）。第三阶段又</w:t>
      </w:r>
      <w:bookmarkStart w:id="199" w:name="_Hlk146722227"/>
      <w:r>
        <w:rPr>
          <w:rFonts w:hint="eastAsia" w:ascii="Times New Roman" w:hAnsi="Times New Roman" w:cs="Times New Roman"/>
          <w:color w:val="FF0000"/>
        </w:rPr>
        <w:t>在</w:t>
      </w:r>
      <w:r>
        <w:rPr>
          <w:rFonts w:ascii="Times New Roman" w:hAnsi="Times New Roman" w:cs="Times New Roman"/>
          <w:color w:val="FF0000"/>
        </w:rPr>
        <w:t>2013</w:t>
      </w:r>
      <w:r>
        <w:rPr>
          <w:rFonts w:hint="eastAsia" w:ascii="Times New Roman" w:hAnsi="Times New Roman" w:cs="Times New Roman"/>
          <w:color w:val="FF0000"/>
        </w:rPr>
        <w:t>年</w:t>
      </w:r>
      <w:r>
        <w:rPr>
          <w:rFonts w:ascii="Times New Roman" w:hAnsi="Times New Roman" w:cs="Times New Roman"/>
          <w:color w:val="FF0000"/>
        </w:rPr>
        <w:t>2</w:t>
      </w:r>
      <w:r>
        <w:rPr>
          <w:rFonts w:hint="eastAsia" w:ascii="Times New Roman" w:hAnsi="Times New Roman" w:cs="Times New Roman"/>
          <w:color w:val="FF0000"/>
        </w:rPr>
        <w:t>月</w:t>
      </w:r>
      <w:r>
        <w:rPr>
          <w:rFonts w:ascii="Times New Roman" w:hAnsi="Times New Roman" w:cs="Times New Roman"/>
          <w:color w:val="FF0000"/>
        </w:rPr>
        <w:t>27</w:t>
      </w:r>
      <w:r>
        <w:rPr>
          <w:rFonts w:hint="eastAsia" w:ascii="Times New Roman" w:hAnsi="Times New Roman" w:cs="Times New Roman"/>
          <w:color w:val="FF0000"/>
        </w:rPr>
        <w:t>日取得兵团环保局《关于春风油田排</w:t>
      </w:r>
      <w:r>
        <w:rPr>
          <w:rFonts w:ascii="Times New Roman" w:hAnsi="Times New Roman" w:cs="Times New Roman"/>
          <w:color w:val="FF0000"/>
        </w:rPr>
        <w:t>601</w:t>
      </w:r>
      <w:r>
        <w:rPr>
          <w:rFonts w:hint="eastAsia" w:ascii="Times New Roman" w:hAnsi="Times New Roman" w:cs="Times New Roman"/>
          <w:color w:val="FF0000"/>
        </w:rPr>
        <w:t>块南区产能建设工程环境影响报告书的批复》（兵环函〔</w:t>
      </w:r>
      <w:r>
        <w:rPr>
          <w:rFonts w:ascii="Times New Roman" w:hAnsi="Times New Roman" w:cs="Times New Roman"/>
          <w:color w:val="FF0000"/>
        </w:rPr>
        <w:t>2013</w:t>
      </w:r>
      <w:r>
        <w:rPr>
          <w:rFonts w:hint="eastAsia" w:ascii="Times New Roman" w:hAnsi="Times New Roman" w:cs="Times New Roman"/>
          <w:color w:val="FF0000"/>
        </w:rPr>
        <w:t>〕</w:t>
      </w:r>
      <w:r>
        <w:rPr>
          <w:rFonts w:ascii="Times New Roman" w:hAnsi="Times New Roman" w:cs="Times New Roman"/>
          <w:color w:val="FF0000"/>
        </w:rPr>
        <w:t>58</w:t>
      </w:r>
      <w:r>
        <w:rPr>
          <w:rFonts w:hint="eastAsia" w:ascii="Times New Roman" w:hAnsi="Times New Roman" w:cs="Times New Roman"/>
          <w:color w:val="FF0000"/>
        </w:rPr>
        <w:t>号），春风一号联合站处理规模由</w:t>
      </w:r>
      <w:r>
        <w:rPr>
          <w:rFonts w:ascii="Times New Roman" w:hAnsi="Times New Roman" w:cs="Times New Roman"/>
          <w:color w:val="FF0000"/>
        </w:rPr>
        <w:t>30</w:t>
      </w:r>
      <w:r>
        <w:rPr>
          <w:rFonts w:hint="eastAsia" w:ascii="Times New Roman" w:hAnsi="Times New Roman" w:cs="Times New Roman"/>
          <w:color w:val="FF0000"/>
        </w:rPr>
        <w:t>×</w:t>
      </w:r>
      <w:r>
        <w:rPr>
          <w:rFonts w:ascii="Times New Roman" w:hAnsi="Times New Roman" w:cs="Times New Roman"/>
          <w:color w:val="FF0000"/>
        </w:rPr>
        <w:t>10</w:t>
      </w:r>
      <w:r>
        <w:rPr>
          <w:rFonts w:ascii="Times New Roman" w:hAnsi="Times New Roman" w:cs="Times New Roman"/>
          <w:color w:val="FF0000"/>
          <w:vertAlign w:val="superscript"/>
        </w:rPr>
        <w:t>4</w:t>
      </w:r>
      <w:r>
        <w:rPr>
          <w:rFonts w:ascii="Times New Roman" w:hAnsi="Times New Roman" w:cs="Times New Roman"/>
          <w:color w:val="FF0000"/>
        </w:rPr>
        <w:t>t/a</w:t>
      </w:r>
      <w:r>
        <w:rPr>
          <w:rFonts w:hint="eastAsia" w:ascii="Times New Roman" w:hAnsi="Times New Roman" w:cs="Times New Roman"/>
          <w:color w:val="FF0000"/>
        </w:rPr>
        <w:t>扩建至</w:t>
      </w:r>
      <w:r>
        <w:rPr>
          <w:rFonts w:ascii="Times New Roman" w:hAnsi="Times New Roman" w:cs="Times New Roman"/>
          <w:color w:val="FF0000"/>
        </w:rPr>
        <w:t>50</w:t>
      </w:r>
      <w:r>
        <w:rPr>
          <w:rFonts w:hint="eastAsia" w:ascii="Times New Roman" w:hAnsi="Times New Roman" w:cs="Times New Roman"/>
          <w:color w:val="FF0000"/>
        </w:rPr>
        <w:t>×</w:t>
      </w:r>
      <w:r>
        <w:rPr>
          <w:rFonts w:ascii="Times New Roman" w:hAnsi="Times New Roman" w:cs="Times New Roman"/>
          <w:color w:val="FF0000"/>
        </w:rPr>
        <w:t>10</w:t>
      </w:r>
      <w:r>
        <w:rPr>
          <w:rFonts w:ascii="Times New Roman" w:hAnsi="Times New Roman" w:cs="Times New Roman"/>
          <w:color w:val="FF0000"/>
          <w:vertAlign w:val="superscript"/>
        </w:rPr>
        <w:t>4</w:t>
      </w:r>
      <w:r>
        <w:rPr>
          <w:rFonts w:ascii="Times New Roman" w:hAnsi="Times New Roman" w:cs="Times New Roman"/>
          <w:color w:val="FF0000"/>
        </w:rPr>
        <w:t>t/a</w:t>
      </w:r>
      <w:r>
        <w:rPr>
          <w:rFonts w:hint="eastAsia" w:ascii="Times New Roman" w:hAnsi="Times New Roman" w:cs="Times New Roman"/>
          <w:color w:val="FF0000"/>
        </w:rPr>
        <w:t>；并</w:t>
      </w:r>
      <w:bookmarkStart w:id="200" w:name="_Hlk55239957"/>
      <w:r>
        <w:rPr>
          <w:rFonts w:hint="eastAsia" w:ascii="Times New Roman" w:hAnsi="Times New Roman" w:cs="Times New Roman"/>
          <w:color w:val="FF0000"/>
        </w:rPr>
        <w:t>于</w:t>
      </w:r>
      <w:r>
        <w:rPr>
          <w:rFonts w:ascii="Times New Roman" w:hAnsi="Times New Roman" w:cs="Times New Roman"/>
          <w:color w:val="FF0000"/>
        </w:rPr>
        <w:t>2015</w:t>
      </w:r>
      <w:r>
        <w:rPr>
          <w:rFonts w:hint="eastAsia" w:ascii="Times New Roman" w:hAnsi="Times New Roman" w:cs="Times New Roman"/>
          <w:color w:val="FF0000"/>
        </w:rPr>
        <w:t>年</w:t>
      </w:r>
      <w:r>
        <w:rPr>
          <w:rFonts w:ascii="Times New Roman" w:hAnsi="Times New Roman" w:cs="Times New Roman"/>
          <w:color w:val="FF0000"/>
        </w:rPr>
        <w:t>12</w:t>
      </w:r>
      <w:r>
        <w:rPr>
          <w:rFonts w:hint="eastAsia" w:ascii="Times New Roman" w:hAnsi="Times New Roman" w:cs="Times New Roman"/>
          <w:color w:val="FF0000"/>
        </w:rPr>
        <w:t>月</w:t>
      </w:r>
      <w:r>
        <w:rPr>
          <w:rFonts w:ascii="Times New Roman" w:hAnsi="Times New Roman" w:cs="Times New Roman"/>
          <w:color w:val="FF0000"/>
        </w:rPr>
        <w:t>23</w:t>
      </w:r>
      <w:r>
        <w:rPr>
          <w:rFonts w:hint="eastAsia" w:ascii="Times New Roman" w:hAnsi="Times New Roman" w:cs="Times New Roman"/>
          <w:color w:val="FF0000"/>
        </w:rPr>
        <w:t>日取得兵团环保局《关于春风油田排</w:t>
      </w:r>
      <w:r>
        <w:rPr>
          <w:rFonts w:ascii="Times New Roman" w:hAnsi="Times New Roman" w:cs="Times New Roman"/>
          <w:color w:val="FF0000"/>
        </w:rPr>
        <w:t>601</w:t>
      </w:r>
      <w:r>
        <w:rPr>
          <w:rFonts w:hint="eastAsia" w:ascii="Times New Roman" w:hAnsi="Times New Roman" w:cs="Times New Roman"/>
          <w:color w:val="FF0000"/>
        </w:rPr>
        <w:t>块南区产能建设工程竣工环境保护意见的函》（兵环函〔</w:t>
      </w:r>
      <w:r>
        <w:rPr>
          <w:rFonts w:ascii="Times New Roman" w:hAnsi="Times New Roman" w:cs="Times New Roman"/>
          <w:color w:val="FF0000"/>
        </w:rPr>
        <w:t>2015</w:t>
      </w:r>
      <w:r>
        <w:rPr>
          <w:rFonts w:hint="eastAsia" w:ascii="Times New Roman" w:hAnsi="Times New Roman" w:cs="Times New Roman"/>
          <w:color w:val="FF0000"/>
        </w:rPr>
        <w:t>〕</w:t>
      </w:r>
      <w:r>
        <w:rPr>
          <w:rFonts w:ascii="Times New Roman" w:hAnsi="Times New Roman" w:cs="Times New Roman"/>
          <w:color w:val="FF0000"/>
        </w:rPr>
        <w:t>272</w:t>
      </w:r>
      <w:r>
        <w:rPr>
          <w:rFonts w:hint="eastAsia" w:ascii="Times New Roman" w:hAnsi="Times New Roman" w:cs="Times New Roman"/>
          <w:color w:val="FF0000"/>
        </w:rPr>
        <w:t>号</w:t>
      </w:r>
      <w:bookmarkEnd w:id="200"/>
      <w:r>
        <w:rPr>
          <w:rFonts w:hint="eastAsia" w:ascii="Times New Roman" w:hAnsi="Times New Roman" w:cs="Times New Roman"/>
          <w:color w:val="FF0000"/>
        </w:rPr>
        <w:t>），验收监测数据表明，春风一号联合站含油污水处理系统出水中的石油类可达到《碎屑岩油藏注水水质指标及分析方法》（SY/T5329－2012）中的控制指标，根据对比</w:t>
      </w:r>
      <w:r>
        <w:rPr>
          <w:rFonts w:hint="eastAsia" w:ascii="Times New Roman" w:hAnsi="Times New Roman"/>
          <w:color w:val="FF0000"/>
        </w:rPr>
        <w:t>《碎屑岩油藏注水水质指标技术要求及分析方法》（SY/T5329-2022），同样满足《碎屑岩油藏注水水质指标技术要求及分析方法》（SY/T5329-2022）中有关要求</w:t>
      </w:r>
      <w:r>
        <w:rPr>
          <w:rFonts w:hint="eastAsia" w:ascii="Times New Roman" w:hAnsi="Times New Roman" w:cs="Times New Roman"/>
          <w:color w:val="FF0000"/>
        </w:rPr>
        <w:t>。</w:t>
      </w:r>
      <w:bookmarkEnd w:id="199"/>
    </w:p>
    <w:p>
      <w:pPr>
        <w:pStyle w:val="488"/>
        <w:ind w:firstLine="480"/>
        <w:rPr>
          <w:rFonts w:ascii="Times New Roman" w:hAnsi="Times New Roman"/>
          <w:color w:val="FF0000"/>
        </w:rPr>
      </w:pPr>
      <w:bookmarkStart w:id="201" w:name="_Hlk55837039"/>
      <w:r>
        <w:rPr>
          <w:rFonts w:hint="eastAsia" w:ascii="Times New Roman" w:hAnsi="Times New Roman"/>
          <w:color w:val="FF0000"/>
        </w:rPr>
        <w:t>（2）污水处理系统</w:t>
      </w:r>
    </w:p>
    <w:p>
      <w:pPr>
        <w:pStyle w:val="488"/>
        <w:ind w:firstLine="480"/>
        <w:rPr>
          <w:rFonts w:ascii="Times New Roman" w:hAnsi="Times New Roman"/>
          <w:color w:val="FF0000"/>
        </w:rPr>
      </w:pPr>
      <w:r>
        <w:rPr>
          <w:rFonts w:hint="eastAsia" w:ascii="Times New Roman" w:hAnsi="Times New Roman"/>
          <w:color w:val="FF0000"/>
        </w:rPr>
        <w:t>春风一号联合站于</w:t>
      </w:r>
      <w:r>
        <w:rPr>
          <w:rFonts w:ascii="Times New Roman" w:hAnsi="Times New Roman"/>
          <w:color w:val="FF0000"/>
        </w:rPr>
        <w:t>2010</w:t>
      </w:r>
      <w:r>
        <w:rPr>
          <w:rFonts w:hint="eastAsia" w:ascii="Times New Roman" w:hAnsi="Times New Roman"/>
          <w:color w:val="FF0000"/>
        </w:rPr>
        <w:t>年</w:t>
      </w:r>
      <w:r>
        <w:rPr>
          <w:rFonts w:ascii="Times New Roman" w:hAnsi="Times New Roman"/>
          <w:color w:val="FF0000"/>
        </w:rPr>
        <w:t>10</w:t>
      </w:r>
      <w:r>
        <w:rPr>
          <w:rFonts w:hint="eastAsia" w:ascii="Times New Roman" w:hAnsi="Times New Roman"/>
          <w:color w:val="FF0000"/>
        </w:rPr>
        <w:t>月建成，</w:t>
      </w:r>
      <w:r>
        <w:rPr>
          <w:rFonts w:ascii="Times New Roman" w:hAnsi="Times New Roman"/>
          <w:color w:val="FF0000"/>
        </w:rPr>
        <w:t>11</w:t>
      </w:r>
      <w:r>
        <w:rPr>
          <w:rFonts w:hint="eastAsia" w:ascii="Times New Roman" w:hAnsi="Times New Roman"/>
          <w:color w:val="FF0000"/>
        </w:rPr>
        <w:t>月投产运行。</w:t>
      </w:r>
      <w:r>
        <w:rPr>
          <w:rFonts w:hint="eastAsia" w:ascii="Times New Roman" w:hAnsi="Times New Roman"/>
          <w:bCs/>
          <w:color w:val="FF0000"/>
        </w:rPr>
        <w:t>目前设计规模为</w:t>
      </w:r>
      <w:r>
        <w:rPr>
          <w:rFonts w:ascii="Times New Roman" w:hAnsi="Times New Roman"/>
          <w:bCs/>
          <w:color w:val="FF0000"/>
        </w:rPr>
        <w:t>50×10</w:t>
      </w:r>
      <w:r>
        <w:rPr>
          <w:rFonts w:ascii="Times New Roman" w:hAnsi="Times New Roman"/>
          <w:bCs/>
          <w:color w:val="FF0000"/>
          <w:vertAlign w:val="superscript"/>
        </w:rPr>
        <w:t>4</w:t>
      </w:r>
      <w:r>
        <w:rPr>
          <w:rFonts w:ascii="Times New Roman" w:hAnsi="Times New Roman"/>
          <w:bCs/>
          <w:color w:val="FF0000"/>
        </w:rPr>
        <w:t>t/a</w:t>
      </w:r>
      <w:r>
        <w:rPr>
          <w:rFonts w:hint="eastAsia" w:ascii="Times New Roman" w:hAnsi="Times New Roman"/>
          <w:bCs/>
          <w:color w:val="FF0000"/>
        </w:rPr>
        <w:t>。主要担负着排</w:t>
      </w:r>
      <w:r>
        <w:rPr>
          <w:rFonts w:ascii="Times New Roman" w:hAnsi="Times New Roman"/>
          <w:bCs/>
          <w:color w:val="FF0000"/>
        </w:rPr>
        <w:t>601</w:t>
      </w:r>
      <w:r>
        <w:rPr>
          <w:rFonts w:hint="eastAsia" w:ascii="Times New Roman" w:hAnsi="Times New Roman"/>
          <w:bCs/>
          <w:color w:val="FF0000"/>
        </w:rPr>
        <w:t>北区、中区、排</w:t>
      </w:r>
      <w:r>
        <w:rPr>
          <w:rFonts w:ascii="Times New Roman" w:hAnsi="Times New Roman"/>
          <w:bCs/>
          <w:color w:val="FF0000"/>
        </w:rPr>
        <w:t>6</w:t>
      </w:r>
      <w:r>
        <w:rPr>
          <w:rFonts w:hint="eastAsia" w:ascii="Times New Roman" w:hAnsi="Times New Roman"/>
          <w:bCs/>
          <w:color w:val="FF0000"/>
        </w:rPr>
        <w:t>南区、排</w:t>
      </w:r>
      <w:r>
        <w:rPr>
          <w:rFonts w:ascii="Times New Roman" w:hAnsi="Times New Roman"/>
          <w:bCs/>
          <w:color w:val="FF0000"/>
        </w:rPr>
        <w:t>601</w:t>
      </w:r>
      <w:r>
        <w:rPr>
          <w:rFonts w:hint="eastAsia" w:ascii="Times New Roman" w:hAnsi="Times New Roman"/>
          <w:bCs/>
          <w:color w:val="FF0000"/>
        </w:rPr>
        <w:t>南区、排</w:t>
      </w:r>
      <w:r>
        <w:rPr>
          <w:rFonts w:ascii="Times New Roman" w:hAnsi="Times New Roman"/>
          <w:bCs/>
          <w:color w:val="FF0000"/>
        </w:rPr>
        <w:t>6</w:t>
      </w:r>
      <w:r>
        <w:rPr>
          <w:rFonts w:hint="eastAsia" w:ascii="Times New Roman" w:hAnsi="Times New Roman"/>
          <w:bCs/>
          <w:color w:val="FF0000"/>
        </w:rPr>
        <w:t>南区五个区块</w:t>
      </w:r>
      <w:r>
        <w:rPr>
          <w:rFonts w:hint="eastAsia" w:ascii="Times New Roman" w:hAnsi="Times New Roman"/>
          <w:color w:val="FF0000"/>
        </w:rPr>
        <w:t>采出水，设计污水处理规模</w:t>
      </w:r>
      <w:r>
        <w:rPr>
          <w:rFonts w:ascii="Times New Roman" w:hAnsi="Times New Roman"/>
          <w:color w:val="FF0000"/>
        </w:rPr>
        <w:t>6300m</w:t>
      </w:r>
      <w:r>
        <w:rPr>
          <w:rFonts w:hint="eastAsia" w:ascii="Times New Roman" w:hAnsi="Times New Roman"/>
          <w:color w:val="FF0000"/>
        </w:rPr>
        <w:t>³</w:t>
      </w:r>
      <w:r>
        <w:rPr>
          <w:rFonts w:ascii="Times New Roman" w:hAnsi="Times New Roman"/>
          <w:color w:val="FF0000"/>
        </w:rPr>
        <w:t>/d</w:t>
      </w:r>
      <w:r>
        <w:rPr>
          <w:rFonts w:hint="eastAsia" w:ascii="Times New Roman" w:hAnsi="Times New Roman"/>
          <w:color w:val="FF0000"/>
        </w:rPr>
        <w:t>，目前实际处理量约</w:t>
      </w:r>
      <w:r>
        <w:rPr>
          <w:rFonts w:ascii="Times New Roman" w:hAnsi="Times New Roman"/>
          <w:color w:val="FF0000"/>
        </w:rPr>
        <w:t>5500m</w:t>
      </w:r>
      <w:r>
        <w:rPr>
          <w:rFonts w:hint="eastAsia" w:ascii="Times New Roman" w:hAnsi="Times New Roman"/>
          <w:color w:val="FF0000"/>
        </w:rPr>
        <w:t>³</w:t>
      </w:r>
      <w:r>
        <w:rPr>
          <w:rFonts w:ascii="Times New Roman" w:hAnsi="Times New Roman"/>
          <w:color w:val="FF0000"/>
        </w:rPr>
        <w:t>/d</w:t>
      </w:r>
      <w:r>
        <w:rPr>
          <w:rFonts w:hint="eastAsia" w:ascii="Times New Roman" w:hAnsi="Times New Roman"/>
          <w:color w:val="FF0000"/>
        </w:rPr>
        <w:t>，富余污水处理能力约</w:t>
      </w:r>
      <w:r>
        <w:rPr>
          <w:rFonts w:ascii="Times New Roman" w:hAnsi="Times New Roman"/>
          <w:color w:val="FF0000"/>
        </w:rPr>
        <w:t>800m</w:t>
      </w:r>
      <w:r>
        <w:rPr>
          <w:rFonts w:hint="eastAsia" w:ascii="Times New Roman" w:hAnsi="Times New Roman"/>
          <w:color w:val="FF0000"/>
        </w:rPr>
        <w:t>³</w:t>
      </w:r>
      <w:r>
        <w:rPr>
          <w:rFonts w:ascii="Times New Roman" w:hAnsi="Times New Roman"/>
          <w:color w:val="FF0000"/>
        </w:rPr>
        <w:t>/d</w:t>
      </w:r>
      <w:r>
        <w:rPr>
          <w:rFonts w:hint="eastAsia" w:ascii="Times New Roman" w:hAnsi="Times New Roman"/>
          <w:color w:val="FF0000"/>
        </w:rPr>
        <w:t>，设计出水水质为含油量≤</w:t>
      </w:r>
      <w:r>
        <w:rPr>
          <w:rFonts w:ascii="Times New Roman" w:hAnsi="Times New Roman"/>
          <w:color w:val="FF0000"/>
        </w:rPr>
        <w:t>30mg/L</w:t>
      </w:r>
      <w:r>
        <w:rPr>
          <w:rFonts w:hint="eastAsia" w:ascii="Times New Roman" w:hAnsi="Times New Roman"/>
          <w:color w:val="FF0000"/>
        </w:rPr>
        <w:t>，悬浮固体含量≤</w:t>
      </w:r>
      <w:r>
        <w:rPr>
          <w:rFonts w:ascii="Times New Roman" w:hAnsi="Times New Roman"/>
          <w:color w:val="FF0000"/>
        </w:rPr>
        <w:t>10mg/L</w:t>
      </w:r>
      <w:r>
        <w:rPr>
          <w:rFonts w:hint="eastAsia" w:ascii="Times New Roman" w:hAnsi="Times New Roman"/>
          <w:color w:val="FF0000"/>
        </w:rPr>
        <w:t>。春风一号联合站污水处理系统尚有</w:t>
      </w:r>
      <w:r>
        <w:rPr>
          <w:rFonts w:ascii="Times New Roman" w:hAnsi="Times New Roman"/>
          <w:color w:val="FF0000"/>
        </w:rPr>
        <w:t>800m</w:t>
      </w:r>
      <w:r>
        <w:rPr>
          <w:rFonts w:hint="eastAsia" w:ascii="Times New Roman" w:hAnsi="Times New Roman"/>
          <w:color w:val="FF0000"/>
        </w:rPr>
        <w:t>³</w:t>
      </w:r>
      <w:r>
        <w:rPr>
          <w:rFonts w:ascii="Times New Roman" w:hAnsi="Times New Roman"/>
          <w:color w:val="FF0000"/>
        </w:rPr>
        <w:t>/d</w:t>
      </w:r>
      <w:r>
        <w:rPr>
          <w:rFonts w:hint="eastAsia" w:ascii="Times New Roman" w:hAnsi="Times New Roman"/>
          <w:color w:val="FF0000"/>
        </w:rPr>
        <w:t>的污水处理余量，故其污水处理规模能够满足本工程依托要求，处理后的污水达到</w:t>
      </w:r>
      <w:bookmarkStart w:id="202" w:name="_Hlk146722188"/>
      <w:r>
        <w:rPr>
          <w:rFonts w:hint="eastAsia" w:ascii="Times New Roman" w:hAnsi="Times New Roman"/>
          <w:color w:val="FF0000"/>
        </w:rPr>
        <w:t>《碎屑岩油藏注水水质指标技术要求及分析方法》（SY/T5329-2022）中的有关标准后用于回注排注水</w:t>
      </w:r>
      <w:r>
        <w:rPr>
          <w:rFonts w:ascii="Times New Roman" w:hAnsi="Times New Roman"/>
          <w:color w:val="FF0000"/>
        </w:rPr>
        <w:t>7</w:t>
      </w:r>
      <w:r>
        <w:rPr>
          <w:rFonts w:hint="eastAsia" w:ascii="Times New Roman" w:hAnsi="Times New Roman"/>
          <w:color w:val="FF0000"/>
        </w:rPr>
        <w:t>区</w:t>
      </w:r>
      <w:bookmarkEnd w:id="202"/>
      <w:r>
        <w:rPr>
          <w:rFonts w:hint="eastAsia" w:ascii="Times New Roman" w:hAnsi="Times New Roman"/>
          <w:color w:val="FF0000"/>
        </w:rPr>
        <w:t>。</w:t>
      </w:r>
    </w:p>
    <w:bookmarkEnd w:id="201"/>
    <w:p>
      <w:pPr>
        <w:pStyle w:val="488"/>
        <w:ind w:firstLine="480"/>
        <w:rPr>
          <w:rFonts w:ascii="Times New Roman" w:hAnsi="Times New Roman" w:cs="Times New Roman"/>
          <w:color w:val="FF0000"/>
        </w:rPr>
      </w:pPr>
      <w:r>
        <w:rPr>
          <w:rFonts w:hint="eastAsia" w:ascii="Times New Roman" w:hAnsi="Times New Roman" w:cs="Times New Roman"/>
          <w:color w:val="FF0000"/>
        </w:rPr>
        <w:t>春风一号联合站污水处理系统采用“重力除油</w:t>
      </w:r>
      <w:r>
        <w:rPr>
          <w:rFonts w:ascii="Times New Roman" w:hAnsi="Times New Roman" w:cs="Times New Roman"/>
          <w:color w:val="FF0000"/>
        </w:rPr>
        <w:t>+</w:t>
      </w:r>
      <w:r>
        <w:rPr>
          <w:rFonts w:hint="eastAsia" w:ascii="Times New Roman" w:hAnsi="Times New Roman" w:cs="Times New Roman"/>
          <w:color w:val="FF0000"/>
        </w:rPr>
        <w:t>沉降</w:t>
      </w:r>
      <w:r>
        <w:rPr>
          <w:rFonts w:ascii="Times New Roman" w:hAnsi="Times New Roman" w:cs="Times New Roman"/>
          <w:color w:val="FF0000"/>
        </w:rPr>
        <w:t>+</w:t>
      </w:r>
      <w:r>
        <w:rPr>
          <w:rFonts w:hint="eastAsia" w:ascii="Times New Roman" w:hAnsi="Times New Roman" w:cs="Times New Roman"/>
          <w:color w:val="FF0000"/>
        </w:rPr>
        <w:t>过滤”工艺，具体工艺流程如下：油站来水→一次除油罐→二次沉降罐→缓冲罐→污水提升泵→多介质过滤器→注水系统。</w:t>
      </w:r>
    </w:p>
    <w:p>
      <w:pPr>
        <w:pStyle w:val="488"/>
        <w:ind w:firstLine="480"/>
        <w:rPr>
          <w:rFonts w:ascii="Times New Roman" w:hAnsi="Times New Roman" w:cs="Times New Roman"/>
          <w:color w:val="FF0000"/>
        </w:rPr>
      </w:pPr>
      <w:r>
        <w:rPr>
          <w:rFonts w:hint="eastAsia" w:ascii="Times New Roman" w:hAnsi="Times New Roman" w:cs="Times New Roman"/>
          <w:color w:val="FF0000"/>
        </w:rPr>
        <w:t>（3）污水回注系统</w:t>
      </w:r>
    </w:p>
    <w:p>
      <w:pPr>
        <w:pStyle w:val="488"/>
        <w:ind w:firstLine="480"/>
        <w:rPr>
          <w:rFonts w:ascii="Times New Roman" w:hAnsi="Times New Roman"/>
          <w:color w:val="FF0000"/>
        </w:rPr>
      </w:pPr>
      <w:r>
        <w:rPr>
          <w:rFonts w:hint="eastAsia" w:ascii="Times New Roman" w:hAnsi="Times New Roman"/>
          <w:color w:val="FF0000"/>
        </w:rPr>
        <w:t>目前春风一号联合站内建有回注系统</w:t>
      </w:r>
      <w:r>
        <w:rPr>
          <w:rFonts w:ascii="Times New Roman" w:hAnsi="Times New Roman"/>
          <w:color w:val="FF0000"/>
        </w:rPr>
        <w:t>1</w:t>
      </w:r>
      <w:r>
        <w:rPr>
          <w:rFonts w:hint="eastAsia" w:ascii="Times New Roman" w:hAnsi="Times New Roman"/>
          <w:color w:val="FF0000"/>
        </w:rPr>
        <w:t>套，共分三期建设，一期建成投产时间为</w:t>
      </w:r>
      <w:r>
        <w:rPr>
          <w:rFonts w:ascii="Times New Roman" w:hAnsi="Times New Roman"/>
          <w:color w:val="FF0000"/>
        </w:rPr>
        <w:t>2010</w:t>
      </w:r>
      <w:r>
        <w:rPr>
          <w:rFonts w:hint="eastAsia" w:ascii="Times New Roman" w:hAnsi="Times New Roman"/>
          <w:color w:val="FF0000"/>
        </w:rPr>
        <w:t>年，设计注水能力</w:t>
      </w:r>
      <w:r>
        <w:rPr>
          <w:rFonts w:ascii="Times New Roman" w:hAnsi="Times New Roman"/>
          <w:color w:val="FF0000"/>
        </w:rPr>
        <w:t>1820m</w:t>
      </w:r>
      <w:r>
        <w:rPr>
          <w:rFonts w:hint="eastAsia" w:ascii="Times New Roman" w:hAnsi="Times New Roman"/>
          <w:color w:val="FF0000"/>
        </w:rPr>
        <w:t>³</w:t>
      </w:r>
      <w:r>
        <w:rPr>
          <w:rFonts w:ascii="Times New Roman" w:hAnsi="Times New Roman"/>
          <w:color w:val="FF0000"/>
        </w:rPr>
        <w:t>/d</w:t>
      </w:r>
      <w:r>
        <w:rPr>
          <w:rFonts w:hint="eastAsia" w:ascii="Times New Roman" w:hAnsi="Times New Roman"/>
          <w:color w:val="FF0000"/>
        </w:rPr>
        <w:t>，注水压力等级为</w:t>
      </w:r>
      <w:r>
        <w:rPr>
          <w:rFonts w:ascii="Times New Roman" w:hAnsi="Times New Roman"/>
          <w:color w:val="FF0000"/>
        </w:rPr>
        <w:t>16MPa</w:t>
      </w:r>
      <w:r>
        <w:rPr>
          <w:rFonts w:hint="eastAsia" w:ascii="Times New Roman" w:hAnsi="Times New Roman"/>
          <w:color w:val="FF0000"/>
        </w:rPr>
        <w:t>；二期建成投产时间为</w:t>
      </w:r>
      <w:r>
        <w:rPr>
          <w:rFonts w:ascii="Times New Roman" w:hAnsi="Times New Roman"/>
          <w:color w:val="FF0000"/>
        </w:rPr>
        <w:t>2011</w:t>
      </w:r>
      <w:r>
        <w:rPr>
          <w:rFonts w:hint="eastAsia" w:ascii="Times New Roman" w:hAnsi="Times New Roman"/>
          <w:color w:val="FF0000"/>
        </w:rPr>
        <w:t>年，利用春风一号联合站内原预留场地进行扩建，设计注水能力扩建至</w:t>
      </w:r>
      <w:r>
        <w:rPr>
          <w:rFonts w:ascii="Times New Roman" w:hAnsi="Times New Roman"/>
          <w:color w:val="FF0000"/>
        </w:rPr>
        <w:t>6120m</w:t>
      </w:r>
      <w:r>
        <w:rPr>
          <w:rFonts w:hint="eastAsia" w:ascii="Times New Roman" w:hAnsi="Times New Roman"/>
          <w:color w:val="FF0000"/>
        </w:rPr>
        <w:t>³</w:t>
      </w:r>
      <w:r>
        <w:rPr>
          <w:rFonts w:ascii="Times New Roman" w:hAnsi="Times New Roman"/>
          <w:color w:val="FF0000"/>
        </w:rPr>
        <w:t>/d</w:t>
      </w:r>
      <w:r>
        <w:rPr>
          <w:rFonts w:hint="eastAsia" w:ascii="Times New Roman" w:hAnsi="Times New Roman"/>
          <w:color w:val="FF0000"/>
        </w:rPr>
        <w:t>，注水压力等级为</w:t>
      </w:r>
      <w:r>
        <w:rPr>
          <w:rFonts w:ascii="Times New Roman" w:hAnsi="Times New Roman"/>
          <w:color w:val="FF0000"/>
        </w:rPr>
        <w:t>16MPa</w:t>
      </w:r>
      <w:r>
        <w:rPr>
          <w:rFonts w:hint="eastAsia" w:ascii="Times New Roman" w:hAnsi="Times New Roman"/>
          <w:color w:val="FF0000"/>
        </w:rPr>
        <w:t>；三期建成投产时间为</w:t>
      </w:r>
      <w:r>
        <w:rPr>
          <w:rFonts w:ascii="Times New Roman" w:hAnsi="Times New Roman"/>
          <w:color w:val="FF0000"/>
        </w:rPr>
        <w:t>2015</w:t>
      </w:r>
      <w:r>
        <w:rPr>
          <w:rFonts w:hint="eastAsia" w:ascii="Times New Roman" w:hAnsi="Times New Roman"/>
          <w:color w:val="FF0000"/>
        </w:rPr>
        <w:t>年，设计注水能力扩建至</w:t>
      </w:r>
      <w:r>
        <w:rPr>
          <w:rFonts w:ascii="Times New Roman" w:hAnsi="Times New Roman"/>
          <w:color w:val="FF0000"/>
        </w:rPr>
        <w:t>8500m</w:t>
      </w:r>
      <w:r>
        <w:rPr>
          <w:rFonts w:hint="eastAsia" w:ascii="Times New Roman" w:hAnsi="Times New Roman"/>
          <w:color w:val="FF0000"/>
        </w:rPr>
        <w:t>³</w:t>
      </w:r>
      <w:r>
        <w:rPr>
          <w:rFonts w:ascii="Times New Roman" w:hAnsi="Times New Roman"/>
          <w:color w:val="FF0000"/>
        </w:rPr>
        <w:t>/d</w:t>
      </w:r>
      <w:r>
        <w:rPr>
          <w:rFonts w:hint="eastAsia" w:ascii="Times New Roman" w:hAnsi="Times New Roman"/>
          <w:color w:val="FF0000"/>
        </w:rPr>
        <w:t>，注水压力等级为</w:t>
      </w:r>
      <w:r>
        <w:rPr>
          <w:rFonts w:ascii="Times New Roman" w:hAnsi="Times New Roman"/>
          <w:color w:val="FF0000"/>
        </w:rPr>
        <w:t>16MPa</w:t>
      </w:r>
      <w:r>
        <w:rPr>
          <w:rFonts w:hint="eastAsia" w:ascii="Times New Roman" w:hAnsi="Times New Roman"/>
          <w:color w:val="FF0000"/>
        </w:rPr>
        <w:t>。注水系统设计注水水质为含油量≤</w:t>
      </w:r>
      <w:r>
        <w:rPr>
          <w:rFonts w:ascii="Times New Roman" w:hAnsi="Times New Roman"/>
          <w:color w:val="FF0000"/>
        </w:rPr>
        <w:t>30mg/L</w:t>
      </w:r>
      <w:r>
        <w:rPr>
          <w:rFonts w:hint="eastAsia" w:ascii="Times New Roman" w:hAnsi="Times New Roman"/>
          <w:color w:val="FF0000"/>
        </w:rPr>
        <w:t>，悬浮固体含量≤</w:t>
      </w:r>
      <w:r>
        <w:rPr>
          <w:rFonts w:ascii="Times New Roman" w:hAnsi="Times New Roman"/>
          <w:color w:val="FF0000"/>
        </w:rPr>
        <w:t>10mg/L</w:t>
      </w:r>
      <w:r>
        <w:rPr>
          <w:rFonts w:hint="eastAsia" w:ascii="Times New Roman" w:hAnsi="Times New Roman"/>
          <w:color w:val="FF0000"/>
        </w:rPr>
        <w:t>。根据春风油田</w:t>
      </w:r>
      <w:r>
        <w:rPr>
          <w:rFonts w:ascii="Times New Roman" w:hAnsi="Times New Roman"/>
          <w:color w:val="FF0000"/>
        </w:rPr>
        <w:t>2018</w:t>
      </w:r>
      <w:r>
        <w:rPr>
          <w:rFonts w:hint="eastAsia" w:ascii="Times New Roman" w:hAnsi="Times New Roman"/>
          <w:color w:val="FF0000"/>
        </w:rPr>
        <w:t>年</w:t>
      </w:r>
      <w:r>
        <w:rPr>
          <w:rFonts w:ascii="Times New Roman" w:hAnsi="Times New Roman"/>
          <w:color w:val="FF0000"/>
        </w:rPr>
        <w:t>5</w:t>
      </w:r>
      <w:r>
        <w:rPr>
          <w:rFonts w:hint="eastAsia" w:ascii="Times New Roman" w:hAnsi="Times New Roman"/>
          <w:color w:val="FF0000"/>
        </w:rPr>
        <w:t>月份上旬生产数据统计，目前注水泵出口压力</w:t>
      </w:r>
      <w:r>
        <w:rPr>
          <w:rFonts w:ascii="Times New Roman" w:hAnsi="Times New Roman"/>
          <w:color w:val="FF0000"/>
        </w:rPr>
        <w:t>12MPa</w:t>
      </w:r>
      <w:r>
        <w:rPr>
          <w:rFonts w:hint="eastAsia" w:ascii="Times New Roman" w:hAnsi="Times New Roman"/>
          <w:color w:val="FF0000"/>
        </w:rPr>
        <w:t>～</w:t>
      </w:r>
      <w:r>
        <w:rPr>
          <w:rFonts w:ascii="Times New Roman" w:hAnsi="Times New Roman"/>
          <w:color w:val="FF0000"/>
        </w:rPr>
        <w:t>13.6MPa</w:t>
      </w:r>
      <w:r>
        <w:rPr>
          <w:rFonts w:hint="eastAsia" w:ascii="Times New Roman" w:hAnsi="Times New Roman"/>
          <w:color w:val="FF0000"/>
        </w:rPr>
        <w:t>，平均为</w:t>
      </w:r>
      <w:r>
        <w:rPr>
          <w:rFonts w:ascii="Times New Roman" w:hAnsi="Times New Roman"/>
          <w:color w:val="FF0000"/>
        </w:rPr>
        <w:t>13.1MPa</w:t>
      </w:r>
      <w:r>
        <w:rPr>
          <w:rFonts w:hint="eastAsia" w:ascii="Times New Roman" w:hAnsi="Times New Roman"/>
          <w:color w:val="FF0000"/>
        </w:rPr>
        <w:t>，实际注水量平均为</w:t>
      </w:r>
      <w:r>
        <w:rPr>
          <w:rFonts w:ascii="Times New Roman" w:hAnsi="Times New Roman"/>
          <w:color w:val="FF0000"/>
        </w:rPr>
        <w:t>6000m</w:t>
      </w:r>
      <w:r>
        <w:rPr>
          <w:rFonts w:hint="eastAsia" w:ascii="Times New Roman" w:hAnsi="Times New Roman"/>
          <w:color w:val="FF0000"/>
        </w:rPr>
        <w:t>³</w:t>
      </w:r>
      <w:r>
        <w:rPr>
          <w:rFonts w:ascii="Times New Roman" w:hAnsi="Times New Roman"/>
          <w:color w:val="FF0000"/>
        </w:rPr>
        <w:t>/d</w:t>
      </w:r>
      <w:r>
        <w:rPr>
          <w:rFonts w:hint="eastAsia" w:ascii="Times New Roman" w:hAnsi="Times New Roman"/>
          <w:color w:val="FF0000"/>
        </w:rPr>
        <w:t>。</w:t>
      </w:r>
    </w:p>
    <w:p>
      <w:pPr>
        <w:pStyle w:val="488"/>
        <w:ind w:firstLine="480"/>
        <w:rPr>
          <w:rFonts w:ascii="Times New Roman" w:hAnsi="Times New Roman"/>
          <w:color w:val="FF0000"/>
        </w:rPr>
      </w:pPr>
      <w:r>
        <w:rPr>
          <w:rFonts w:hint="eastAsia" w:ascii="Times New Roman" w:hAnsi="Times New Roman"/>
          <w:color w:val="FF0000"/>
        </w:rPr>
        <w:t>①</w:t>
      </w:r>
      <w:r>
        <w:rPr>
          <w:rFonts w:ascii="Times New Roman" w:hAnsi="Times New Roman"/>
          <w:color w:val="FF0000"/>
        </w:rPr>
        <w:t xml:space="preserve"> </w:t>
      </w:r>
      <w:r>
        <w:rPr>
          <w:rFonts w:hint="eastAsia" w:ascii="Times New Roman" w:hAnsi="Times New Roman"/>
          <w:color w:val="FF0000"/>
        </w:rPr>
        <w:t>回注工艺流程</w:t>
      </w:r>
    </w:p>
    <w:p>
      <w:pPr>
        <w:pStyle w:val="488"/>
        <w:ind w:firstLine="480"/>
        <w:rPr>
          <w:rFonts w:ascii="Times New Roman" w:hAnsi="Times New Roman"/>
          <w:color w:val="FF0000"/>
        </w:rPr>
      </w:pPr>
      <w:r>
        <w:rPr>
          <w:rFonts w:hint="eastAsia" w:ascii="Times New Roman" w:hAnsi="Times New Roman"/>
          <w:color w:val="FF0000"/>
        </w:rPr>
        <w:t>春风联合站回注系统工艺流程如下：</w:t>
      </w:r>
    </w:p>
    <w:p>
      <w:pPr>
        <w:pStyle w:val="488"/>
        <w:ind w:firstLine="480"/>
        <w:rPr>
          <w:rFonts w:ascii="Times New Roman" w:hAnsi="Times New Roman"/>
          <w:color w:val="FF0000"/>
        </w:rPr>
      </w:pPr>
      <w:r>
        <w:rPr>
          <w:rFonts w:hint="eastAsia" w:ascii="Times New Roman" w:hAnsi="Times New Roman"/>
          <w:color w:val="FF0000"/>
        </w:rPr>
        <w:t>春风一号联合站和春风二号联合站污水处理系统来水→注水罐→喂水泵→注水泵→高压注水管线→排</w:t>
      </w:r>
      <w:r>
        <w:rPr>
          <w:rFonts w:ascii="Times New Roman" w:hAnsi="Times New Roman"/>
          <w:color w:val="FF0000"/>
        </w:rPr>
        <w:t>7</w:t>
      </w:r>
      <w:r>
        <w:rPr>
          <w:rFonts w:hint="eastAsia" w:ascii="Times New Roman" w:hAnsi="Times New Roman"/>
          <w:color w:val="FF0000"/>
        </w:rPr>
        <w:t>块注水井</w:t>
      </w:r>
    </w:p>
    <w:p>
      <w:pPr>
        <w:pStyle w:val="488"/>
        <w:ind w:firstLine="480"/>
        <w:rPr>
          <w:rFonts w:ascii="Times New Roman" w:hAnsi="Times New Roman" w:cs="Times New Roman"/>
          <w:color w:val="FF0000"/>
        </w:rPr>
      </w:pPr>
      <w:r>
        <w:rPr>
          <w:rFonts w:hint="eastAsia" w:ascii="Times New Roman" w:hAnsi="Times New Roman" w:cs="Times New Roman"/>
          <w:color w:val="FF0000"/>
        </w:rPr>
        <w:t>春风油田共建有</w:t>
      </w:r>
      <w:r>
        <w:rPr>
          <w:rFonts w:ascii="Times New Roman" w:hAnsi="Times New Roman" w:cs="Times New Roman"/>
          <w:color w:val="FF0000"/>
        </w:rPr>
        <w:t>2</w:t>
      </w:r>
      <w:r>
        <w:rPr>
          <w:rFonts w:hint="eastAsia" w:ascii="Times New Roman" w:hAnsi="Times New Roman" w:cs="Times New Roman"/>
          <w:color w:val="FF0000"/>
        </w:rPr>
        <w:t>座联合站，分别为春风一号联合站和春风二号联合站。</w:t>
      </w:r>
      <w:r>
        <w:rPr>
          <w:rFonts w:ascii="Times New Roman" w:hAnsi="Times New Roman" w:cs="Times New Roman"/>
          <w:color w:val="FF0000"/>
        </w:rPr>
        <w:t>2</w:t>
      </w:r>
      <w:r>
        <w:rPr>
          <w:rFonts w:hint="eastAsia" w:ascii="Times New Roman" w:hAnsi="Times New Roman" w:cs="Times New Roman"/>
          <w:color w:val="FF0000"/>
        </w:rPr>
        <w:t>座联合站均建有污水处理系统，处理后的污水均输至春风一号联合站注水系统，然后高压输至距离春风联合站</w:t>
      </w:r>
      <w:r>
        <w:rPr>
          <w:rFonts w:ascii="Times New Roman" w:hAnsi="Times New Roman" w:cs="Times New Roman"/>
          <w:color w:val="FF0000"/>
        </w:rPr>
        <w:t>10km</w:t>
      </w:r>
      <w:r>
        <w:rPr>
          <w:rFonts w:hint="eastAsia" w:ascii="Times New Roman" w:hAnsi="Times New Roman" w:cs="Times New Roman"/>
          <w:color w:val="FF0000"/>
        </w:rPr>
        <w:t>外的排</w:t>
      </w:r>
      <w:r>
        <w:rPr>
          <w:rFonts w:ascii="Times New Roman" w:hAnsi="Times New Roman" w:cs="Times New Roman"/>
          <w:color w:val="FF0000"/>
        </w:rPr>
        <w:t>7</w:t>
      </w:r>
      <w:r>
        <w:rPr>
          <w:rFonts w:hint="eastAsia" w:ascii="Times New Roman" w:hAnsi="Times New Roman" w:cs="Times New Roman"/>
          <w:color w:val="FF0000"/>
        </w:rPr>
        <w:t>注水区进行注水。</w:t>
      </w:r>
    </w:p>
    <w:p>
      <w:pPr>
        <w:pStyle w:val="488"/>
        <w:ind w:firstLine="480"/>
        <w:rPr>
          <w:rFonts w:ascii="Times New Roman" w:hAnsi="Times New Roman"/>
          <w:color w:val="FF0000"/>
        </w:rPr>
      </w:pPr>
      <w:r>
        <w:rPr>
          <w:rFonts w:hint="eastAsia" w:ascii="Times New Roman" w:hAnsi="Times New Roman"/>
          <w:color w:val="FF0000"/>
        </w:rPr>
        <w:t>根据工程分析，本工程采出水量约</w:t>
      </w:r>
      <w:r>
        <w:rPr>
          <w:rFonts w:ascii="Times New Roman" w:hAnsi="Times New Roman"/>
          <w:color w:val="FF0000"/>
        </w:rPr>
        <w:t>60m</w:t>
      </w:r>
      <w:r>
        <w:rPr>
          <w:rFonts w:hint="eastAsia" w:ascii="Times New Roman" w:hAnsi="Times New Roman"/>
          <w:color w:val="FF0000"/>
        </w:rPr>
        <w:t>³</w:t>
      </w:r>
      <w:r>
        <w:rPr>
          <w:rFonts w:ascii="Times New Roman" w:hAnsi="Times New Roman"/>
          <w:color w:val="FF0000"/>
        </w:rPr>
        <w:t>/d</w:t>
      </w:r>
      <w:r>
        <w:rPr>
          <w:rFonts w:hint="eastAsia" w:ascii="Times New Roman" w:hAnsi="Times New Roman"/>
          <w:color w:val="FF0000"/>
        </w:rPr>
        <w:t>，春风一号联合站污水处理系统尚有</w:t>
      </w:r>
      <w:r>
        <w:rPr>
          <w:rFonts w:ascii="Times New Roman" w:hAnsi="Times New Roman"/>
          <w:color w:val="FF0000"/>
        </w:rPr>
        <w:t>800m</w:t>
      </w:r>
      <w:r>
        <w:rPr>
          <w:rFonts w:hint="eastAsia" w:ascii="Times New Roman" w:hAnsi="Times New Roman"/>
          <w:color w:val="FF0000"/>
        </w:rPr>
        <w:t>³</w:t>
      </w:r>
      <w:r>
        <w:rPr>
          <w:rFonts w:ascii="Times New Roman" w:hAnsi="Times New Roman"/>
          <w:color w:val="FF0000"/>
        </w:rPr>
        <w:t>/d</w:t>
      </w:r>
      <w:r>
        <w:rPr>
          <w:rFonts w:hint="eastAsia" w:ascii="Times New Roman" w:hAnsi="Times New Roman"/>
          <w:color w:val="FF0000"/>
        </w:rPr>
        <w:t>的污水处理余量，故其污水处理规模能够满足本工程依托要求，处理后的污水达到《碎屑岩油藏注水水质指标技术要求及分析方法》（SY/T5329-2022）中的有关标准后用于回注排注水</w:t>
      </w:r>
      <w:r>
        <w:rPr>
          <w:rFonts w:ascii="Times New Roman" w:hAnsi="Times New Roman"/>
          <w:color w:val="FF0000"/>
        </w:rPr>
        <w:t>7</w:t>
      </w:r>
      <w:r>
        <w:rPr>
          <w:rFonts w:hint="eastAsia" w:ascii="Times New Roman" w:hAnsi="Times New Roman"/>
          <w:color w:val="FF0000"/>
        </w:rPr>
        <w:t>区</w:t>
      </w:r>
      <w:bookmarkEnd w:id="197"/>
      <w:r>
        <w:rPr>
          <w:rFonts w:hint="eastAsia" w:ascii="Times New Roman" w:hAnsi="Times New Roman"/>
          <w:color w:val="FF0000"/>
        </w:rPr>
        <w:t>。</w:t>
      </w:r>
    </w:p>
    <w:bookmarkEnd w:id="196"/>
    <w:p>
      <w:pPr>
        <w:pStyle w:val="488"/>
        <w:ind w:firstLine="480"/>
        <w:rPr>
          <w:rFonts w:ascii="Times New Roman" w:hAnsi="Times New Roman" w:cs="Times New Roman"/>
          <w:color w:val="FF0000"/>
        </w:rPr>
      </w:pPr>
      <w:r>
        <w:rPr>
          <w:rFonts w:hint="eastAsia" w:ascii="Times New Roman" w:hAnsi="Times New Roman" w:cs="Times New Roman"/>
          <w:color w:val="FF0000"/>
        </w:rPr>
        <w:t>3、依托现有工程</w:t>
      </w:r>
    </w:p>
    <w:p>
      <w:pPr>
        <w:pStyle w:val="488"/>
        <w:ind w:firstLine="480"/>
        <w:rPr>
          <w:rFonts w:ascii="Times New Roman" w:hAnsi="Times New Roman" w:eastAsia="宋体" w:cs="Times New Roman"/>
          <w:color w:val="FF0000"/>
        </w:rPr>
      </w:pPr>
      <w:r>
        <w:rPr>
          <w:rFonts w:hint="eastAsia" w:ascii="Times New Roman" w:hAnsi="Times New Roman" w:eastAsia="宋体" w:cs="Times New Roman"/>
          <w:color w:val="FF0000"/>
        </w:rPr>
        <w:t>现有工程</w:t>
      </w:r>
      <w:r>
        <w:rPr>
          <w:rFonts w:ascii="Times New Roman" w:hAnsi="Times New Roman" w:eastAsia="宋体" w:cs="Times New Roman"/>
          <w:color w:val="FF0000"/>
        </w:rPr>
        <w:t>于2021年9月委托乌鲁木齐众智安环工程咨询有限公司编制了《新疆天安鑫业油气技术服务有限公司董701区块零散天然气回收项目环境影响报告书》，于2021年11月23日取得了昌吉回族自治州生态环境局下发的《关于新疆天安鑫业油气技术服务有限公司董701区块零散天然气回收项目环境影响报告书的批复》（昌州环评﹝2021﹞155号），同意该项目建设。</w:t>
      </w:r>
      <w:r>
        <w:rPr>
          <w:rFonts w:hint="eastAsia" w:ascii="Times New Roman" w:hAnsi="Times New Roman" w:eastAsia="宋体" w:cs="Times New Roman"/>
          <w:color w:val="FF0000"/>
        </w:rPr>
        <w:t>2</w:t>
      </w:r>
      <w:r>
        <w:rPr>
          <w:rFonts w:ascii="Times New Roman" w:hAnsi="Times New Roman" w:eastAsia="宋体" w:cs="Times New Roman"/>
          <w:color w:val="FF0000"/>
        </w:rPr>
        <w:t>023</w:t>
      </w:r>
      <w:r>
        <w:rPr>
          <w:rFonts w:hint="eastAsia" w:ascii="Times New Roman" w:hAnsi="Times New Roman" w:eastAsia="宋体" w:cs="Times New Roman"/>
          <w:color w:val="FF0000"/>
        </w:rPr>
        <w:t>年</w:t>
      </w:r>
      <w:r>
        <w:rPr>
          <w:rFonts w:ascii="Times New Roman" w:hAnsi="Times New Roman" w:eastAsia="宋体" w:cs="Times New Roman"/>
          <w:color w:val="FF0000"/>
        </w:rPr>
        <w:t>8</w:t>
      </w:r>
      <w:r>
        <w:rPr>
          <w:rFonts w:hint="eastAsia" w:ascii="Times New Roman" w:hAnsi="Times New Roman" w:eastAsia="宋体" w:cs="Times New Roman"/>
          <w:color w:val="FF0000"/>
        </w:rPr>
        <w:t>月委托新疆众智安环工程咨询服务有限公司完成了</w:t>
      </w:r>
      <w:r>
        <w:rPr>
          <w:rFonts w:ascii="Times New Roman" w:hAnsi="Times New Roman" w:eastAsia="宋体" w:cs="Times New Roman"/>
          <w:color w:val="FF0000"/>
        </w:rPr>
        <w:t>《新疆天安鑫业油气技术服务有限公司董701区块零散天然气回收项目</w:t>
      </w:r>
      <w:r>
        <w:rPr>
          <w:rFonts w:hint="eastAsia" w:ascii="Times New Roman" w:hAnsi="Times New Roman" w:eastAsia="宋体" w:cs="Times New Roman"/>
          <w:color w:val="FF0000"/>
        </w:rPr>
        <w:t>竣工环境保护验收监测报告</w:t>
      </w:r>
      <w:r>
        <w:rPr>
          <w:rFonts w:ascii="Times New Roman" w:hAnsi="Times New Roman" w:eastAsia="宋体" w:cs="Times New Roman"/>
          <w:color w:val="FF0000"/>
        </w:rPr>
        <w:t>》</w:t>
      </w:r>
      <w:r>
        <w:rPr>
          <w:rFonts w:hint="eastAsia" w:ascii="Times New Roman" w:hAnsi="Times New Roman" w:eastAsia="宋体" w:cs="Times New Roman"/>
          <w:color w:val="FF0000"/>
        </w:rPr>
        <w:t>，同意竣工环境保护验收。</w:t>
      </w:r>
    </w:p>
    <w:p>
      <w:pPr>
        <w:pStyle w:val="488"/>
        <w:ind w:firstLine="480"/>
        <w:rPr>
          <w:rFonts w:ascii="Times New Roman" w:hAnsi="Times New Roman" w:eastAsia="宋体" w:cs="Times New Roman"/>
          <w:color w:val="FF0000"/>
        </w:rPr>
      </w:pPr>
      <w:r>
        <w:rPr>
          <w:rFonts w:hint="eastAsia" w:ascii="Times New Roman" w:hAnsi="Times New Roman" w:eastAsia="宋体" w:cs="Times New Roman"/>
          <w:color w:val="FF0000"/>
        </w:rPr>
        <w:t>本项目依托现有工程中的门卫室、休息区、公用工程以及环保工程。本项目不新增劳动定员，因此门卫室、休息区以及公用工程均满足本项目所需；本项目生产废水依托现有工程的</w:t>
      </w:r>
      <w:r>
        <w:rPr>
          <w:rFonts w:ascii="Times New Roman" w:hAnsi="Times New Roman" w:eastAsia="宋体" w:cs="Times New Roman"/>
          <w:color w:val="FF0000"/>
        </w:rPr>
        <w:t>54m</w:t>
      </w:r>
      <w:r>
        <w:rPr>
          <w:rFonts w:ascii="Times New Roman" w:hAnsi="Times New Roman" w:eastAsia="宋体" w:cs="Times New Roman"/>
          <w:color w:val="FF0000"/>
          <w:vertAlign w:val="superscript"/>
        </w:rPr>
        <w:t>3</w:t>
      </w:r>
      <w:r>
        <w:rPr>
          <w:rFonts w:ascii="Times New Roman" w:hAnsi="Times New Roman" w:eastAsia="宋体" w:cs="Times New Roman"/>
          <w:color w:val="FF0000"/>
        </w:rPr>
        <w:t>的排污罐</w:t>
      </w:r>
      <w:r>
        <w:rPr>
          <w:rFonts w:hint="eastAsia" w:ascii="Times New Roman" w:hAnsi="Times New Roman" w:eastAsia="宋体" w:cs="Times New Roman"/>
          <w:color w:val="FF0000"/>
        </w:rPr>
        <w:t>，排污罐设有液位计，</w:t>
      </w:r>
      <w:r>
        <w:rPr>
          <w:rFonts w:ascii="Times New Roman" w:hAnsi="Times New Roman" w:eastAsia="宋体" w:cs="Times New Roman"/>
          <w:color w:val="FF0000"/>
        </w:rPr>
        <w:t>当</w:t>
      </w:r>
      <w:r>
        <w:rPr>
          <w:rFonts w:hint="eastAsia" w:ascii="Times New Roman" w:hAnsi="Times New Roman" w:eastAsia="宋体" w:cs="Times New Roman"/>
          <w:color w:val="FF0000"/>
        </w:rPr>
        <w:t>排污</w:t>
      </w:r>
      <w:r>
        <w:rPr>
          <w:rFonts w:ascii="Times New Roman" w:hAnsi="Times New Roman" w:eastAsia="宋体" w:cs="Times New Roman"/>
          <w:color w:val="FF0000"/>
        </w:rPr>
        <w:t>罐内液位达到一定高度时，由排污泵输至罐车拉运至春风一号联合站处理达标后进行回注</w:t>
      </w:r>
      <w:r>
        <w:rPr>
          <w:rFonts w:hint="eastAsia" w:ascii="Times New Roman" w:hAnsi="Times New Roman" w:eastAsia="宋体" w:cs="Times New Roman"/>
          <w:color w:val="FF0000"/>
        </w:rPr>
        <w:t>，依托可行；本项目废分子筛、废润滑油产生量较小，暂存于现有工程的危废暂存间，</w:t>
      </w:r>
      <w:r>
        <w:rPr>
          <w:rFonts w:ascii="Times New Roman" w:hAnsi="Times New Roman" w:eastAsia="宋体" w:cs="Times New Roman"/>
          <w:color w:val="FF0000"/>
        </w:rPr>
        <w:t>定期交由</w:t>
      </w:r>
      <w:r>
        <w:rPr>
          <w:rFonts w:hint="eastAsia" w:ascii="Times New Roman" w:hAnsi="Times New Roman" w:eastAsia="宋体" w:cs="Times New Roman"/>
          <w:bCs/>
          <w:color w:val="FF0000"/>
        </w:rPr>
        <w:t>新疆诺客蒙鑫环境技术有限公司</w:t>
      </w:r>
      <w:r>
        <w:rPr>
          <w:rFonts w:ascii="Times New Roman" w:hAnsi="Times New Roman" w:eastAsia="宋体" w:cs="Times New Roman"/>
          <w:color w:val="FF0000"/>
        </w:rPr>
        <w:t>处理</w:t>
      </w:r>
      <w:r>
        <w:rPr>
          <w:rFonts w:hint="eastAsia" w:ascii="Times New Roman" w:hAnsi="Times New Roman" w:eastAsia="宋体" w:cs="Times New Roman"/>
          <w:color w:val="FF0000"/>
        </w:rPr>
        <w:t>，处置措施合理可行。</w:t>
      </w:r>
      <w:bookmarkEnd w:id="194"/>
    </w:p>
    <w:p>
      <w:pPr>
        <w:pStyle w:val="4"/>
        <w:spacing w:before="120" w:after="120"/>
      </w:pPr>
      <w:bookmarkStart w:id="203" w:name="_Toc145580386"/>
      <w:bookmarkStart w:id="204" w:name="_Toc40289860"/>
      <w:bookmarkStart w:id="205" w:name="_Toc107500339"/>
      <w:r>
        <w:rPr>
          <w:rFonts w:hint="eastAsia"/>
        </w:rPr>
        <w:t>3.2 产业政策、规划及选址合理性</w:t>
      </w:r>
      <w:bookmarkEnd w:id="203"/>
      <w:bookmarkEnd w:id="204"/>
      <w:bookmarkEnd w:id="205"/>
    </w:p>
    <w:p>
      <w:pPr>
        <w:pStyle w:val="5"/>
        <w:spacing w:before="120" w:after="120"/>
        <w:rPr>
          <w:spacing w:val="0"/>
        </w:rPr>
      </w:pPr>
      <w:bookmarkStart w:id="206" w:name="_Toc107500340"/>
      <w:bookmarkStart w:id="207" w:name="_Toc145580387"/>
      <w:bookmarkStart w:id="208" w:name="_Toc40289861"/>
      <w:r>
        <w:rPr>
          <w:rFonts w:hint="eastAsia"/>
          <w:spacing w:val="0"/>
        </w:rPr>
        <w:t>3.2.1产业政策符合性分析</w:t>
      </w:r>
      <w:bookmarkEnd w:id="206"/>
      <w:bookmarkEnd w:id="207"/>
      <w:bookmarkEnd w:id="208"/>
    </w:p>
    <w:p>
      <w:pPr>
        <w:pStyle w:val="494"/>
        <w:ind w:firstLine="480"/>
        <w:rPr>
          <w:lang w:bidi="en-US"/>
        </w:rPr>
      </w:pPr>
      <w:r>
        <w:rPr>
          <w:lang w:bidi="en-US"/>
        </w:rPr>
        <w:t>根据《产业结构调整指导目录》（2019年本）</w:t>
      </w:r>
      <w:r>
        <w:rPr>
          <w:rFonts w:hint="eastAsia"/>
          <w:lang w:bidi="en-US"/>
        </w:rPr>
        <w:t>（2</w:t>
      </w:r>
      <w:r>
        <w:rPr>
          <w:lang w:bidi="en-US"/>
        </w:rPr>
        <w:t>021</w:t>
      </w:r>
      <w:r>
        <w:rPr>
          <w:rFonts w:hint="eastAsia"/>
          <w:lang w:bidi="en-US"/>
        </w:rPr>
        <w:t>年修订）</w:t>
      </w:r>
      <w:r>
        <w:rPr>
          <w:lang w:bidi="en-US"/>
        </w:rPr>
        <w:t>，本项目属于该目录鼓励类中“第一类 鼓励类 七、石油、天然气  油气伴生资源综合利用”，本项目属于鼓励类，项目符合国家产业政策要求。</w:t>
      </w:r>
    </w:p>
    <w:p>
      <w:pPr>
        <w:pStyle w:val="5"/>
        <w:spacing w:before="120" w:after="120"/>
        <w:rPr>
          <w:spacing w:val="0"/>
        </w:rPr>
      </w:pPr>
      <w:bookmarkStart w:id="209" w:name="_Toc107500341"/>
      <w:bookmarkStart w:id="210" w:name="_Toc145580388"/>
      <w:bookmarkStart w:id="211" w:name="_Toc40289862"/>
      <w:r>
        <w:rPr>
          <w:rFonts w:hint="eastAsia"/>
          <w:spacing w:val="0"/>
        </w:rPr>
        <w:t>3.2.2</w:t>
      </w:r>
      <w:r>
        <w:rPr>
          <w:spacing w:val="0"/>
        </w:rPr>
        <w:t>规划符合性</w:t>
      </w:r>
      <w:r>
        <w:rPr>
          <w:rFonts w:hint="eastAsia"/>
          <w:spacing w:val="0"/>
        </w:rPr>
        <w:t>分析</w:t>
      </w:r>
      <w:bookmarkEnd w:id="209"/>
      <w:bookmarkEnd w:id="210"/>
      <w:bookmarkEnd w:id="211"/>
    </w:p>
    <w:p>
      <w:pPr>
        <w:pStyle w:val="488"/>
        <w:ind w:firstLine="480"/>
        <w:rPr>
          <w:rFonts w:ascii="Times New Roman" w:hAnsi="Times New Roman" w:cs="Times New Roman"/>
        </w:rPr>
      </w:pPr>
      <w:r>
        <w:rPr>
          <w:rFonts w:ascii="Times New Roman" w:hAnsi="Times New Roman" w:cs="Times New Roman"/>
        </w:rPr>
        <w:t>1、与《新疆维吾尔自治区国民经济和社会发展第十四个五年规划纲要》符合性分析</w:t>
      </w:r>
    </w:p>
    <w:p>
      <w:pPr>
        <w:pStyle w:val="488"/>
        <w:ind w:firstLine="480"/>
        <w:rPr>
          <w:rFonts w:ascii="Times New Roman" w:hAnsi="Times New Roman" w:cs="Times New Roman"/>
        </w:rPr>
      </w:pPr>
      <w:r>
        <w:rPr>
          <w:rFonts w:ascii="Times New Roman" w:hAnsi="Times New Roman" w:cs="Times New Roman"/>
        </w:rPr>
        <w:t>根据《新疆维吾尔自治区国民经济和社会发展第十四个五年规划纲要》中要求“第五篇推动工业强基增效和转型升级提升新型工业化发展水平 第一章加快建设国家“三基地一通道” 落实国家能源发展战略，围绕国家“三基地一通道”定位，加快煤电油气风光储一体化示范，构建清洁低碳、安全高效的能源体系，保障国家能源安全供应。</w:t>
      </w:r>
    </w:p>
    <w:p>
      <w:pPr>
        <w:pStyle w:val="488"/>
        <w:ind w:firstLine="480"/>
        <w:rPr>
          <w:rFonts w:ascii="Times New Roman" w:hAnsi="Times New Roman" w:cs="Times New Roman"/>
        </w:rPr>
      </w:pPr>
      <w:r>
        <w:rPr>
          <w:rFonts w:ascii="Times New Roman" w:hAnsi="Times New Roman" w:cs="Times New Roman"/>
        </w:rPr>
        <w:t>建设国家大型油气生产加工和储备基地。加大准噶尔、吐哈、塔里木三大盆地油气勘探开发力度，提高新疆在油气资源开发利用转化过程中的参与度。加快中石油玛湖、吉木萨尔、准噶尔盆地南缘以及中石化顺北等大型油气田建设，促进油气增储上产。加强成品油储备，提升油气供应保障能力。”</w:t>
      </w:r>
    </w:p>
    <w:p>
      <w:pPr>
        <w:pStyle w:val="488"/>
        <w:ind w:firstLine="480"/>
        <w:rPr>
          <w:rFonts w:ascii="Times New Roman" w:hAnsi="Times New Roman" w:cs="Times New Roman"/>
        </w:rPr>
      </w:pPr>
      <w:r>
        <w:rPr>
          <w:rFonts w:ascii="Times New Roman" w:hAnsi="Times New Roman" w:cs="Times New Roman"/>
        </w:rPr>
        <w:t>本工程属于天然气开采项目，位于</w:t>
      </w:r>
      <w:r>
        <w:rPr>
          <w:rFonts w:ascii="Times New Roman" w:hAnsi="Times New Roman" w:cs="Times New Roman"/>
          <w:bCs/>
        </w:rPr>
        <w:t>准噶尔盆地。</w:t>
      </w:r>
      <w:r>
        <w:rPr>
          <w:rFonts w:ascii="Times New Roman" w:hAnsi="Times New Roman" w:cs="Times New Roman"/>
        </w:rPr>
        <w:t>符合《新疆维吾尔自治区国民经济和社会发展第十四个五年规划纲要》的要求。</w:t>
      </w:r>
    </w:p>
    <w:p>
      <w:pPr>
        <w:pStyle w:val="488"/>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与《新疆维吾尔自治区主体功能区规划》符合性分析</w:t>
      </w:r>
    </w:p>
    <w:p>
      <w:pPr>
        <w:pStyle w:val="488"/>
        <w:ind w:firstLine="480"/>
        <w:rPr>
          <w:rFonts w:ascii="Times New Roman" w:hAnsi="Times New Roman" w:cs="Times New Roman"/>
        </w:rPr>
      </w:pPr>
      <w:r>
        <w:rPr>
          <w:rFonts w:ascii="Times New Roman" w:hAnsi="Times New Roman" w:cs="Times New Roman"/>
        </w:rPr>
        <w:t>根据《新疆维吾尔自治区主体功能区规划》，将新疆国土空间划分为重点开发、限制开发和禁止开发区域。重点开发、限制开发和禁止开发三类主体功能区，是基于不同区域的资源环境承载能力、现有开发强度和未来发展潜力，以是否适宜或如何进行大规模、高强度的工业化城镇化开发为基准划分的。新疆主体功能区划中，重点开发区域和限制开发区域覆盖国土全域，而禁止开发区域镶嵌于重点开发区域或者限制开发区域内。</w:t>
      </w:r>
    </w:p>
    <w:p>
      <w:pPr>
        <w:pStyle w:val="488"/>
        <w:ind w:firstLine="480"/>
        <w:rPr>
          <w:rFonts w:ascii="Times New Roman" w:hAnsi="Times New Roman" w:cs="Times New Roman"/>
        </w:rPr>
      </w:pPr>
      <w:r>
        <w:rPr>
          <w:rFonts w:ascii="Times New Roman" w:hAnsi="Times New Roman" w:cs="Times New Roman"/>
        </w:rPr>
        <w:t>本项目建设地点位于</w:t>
      </w:r>
      <w:r>
        <w:rPr>
          <w:rFonts w:ascii="Times New Roman" w:hAnsi="Times New Roman" w:cs="Times New Roman"/>
          <w:bCs/>
        </w:rPr>
        <w:t>新疆维吾尔自治区昌吉回族自治州阜康市境内北部沙漠区，阜康市董701区块董701-X1井场东侧</w:t>
      </w:r>
      <w:r>
        <w:rPr>
          <w:rFonts w:ascii="Times New Roman" w:hAnsi="Times New Roman" w:cs="Times New Roman"/>
        </w:rPr>
        <w:t>，不在新疆维吾尔自治区主体功能区规划划定的限制开发区和禁止开发区，与主体功能区划不冲突。</w:t>
      </w:r>
    </w:p>
    <w:p>
      <w:pPr>
        <w:pStyle w:val="488"/>
        <w:ind w:firstLine="480"/>
        <w:rPr>
          <w:rFonts w:ascii="Times New Roman" w:hAnsi="Times New Roman" w:cs="Times New Roman"/>
        </w:rPr>
      </w:pPr>
      <w:r>
        <w:rPr>
          <w:rFonts w:hint="eastAsia" w:ascii="Times New Roman" w:hAnsi="Times New Roman" w:cs="Times New Roman"/>
        </w:rPr>
        <w:t>3、与《新疆生态环境保护“十四五”规划》符合性分析</w:t>
      </w:r>
    </w:p>
    <w:p>
      <w:pPr>
        <w:pStyle w:val="488"/>
        <w:ind w:firstLine="480"/>
        <w:rPr>
          <w:rFonts w:ascii="Times New Roman" w:hAnsi="Times New Roman" w:cs="Times New Roman"/>
        </w:rPr>
      </w:pPr>
      <w:r>
        <w:rPr>
          <w:rFonts w:hint="eastAsia" w:ascii="Times New Roman" w:hAnsi="Times New Roman" w:cs="Times New Roman"/>
        </w:rPr>
        <w:t>《新疆生态环境保护“十四五”规划》提出“加强重点行业VOCs治理。实施VOCs排放总量控制，重点推进石油天然气开采、石化、化工、包装印刷、工业涂装、油品储运销等，重点行业排放源以及机动车等移动源VOCs污染防治，加强重点行业、重点企业的精细化管控；全面推进使用低VOCs含量涂料、油墨、胶粘剂、清洗剂等；加强汽修行业VOCs综合治理，加大餐饮油烟污染治理力度，持续削减VOCs排放量。”</w:t>
      </w:r>
    </w:p>
    <w:p>
      <w:pPr>
        <w:pStyle w:val="488"/>
        <w:ind w:firstLine="480"/>
        <w:rPr>
          <w:rFonts w:ascii="Times New Roman" w:hAnsi="Times New Roman" w:cs="Times New Roman"/>
        </w:rPr>
      </w:pPr>
      <w:r>
        <w:rPr>
          <w:rFonts w:hint="eastAsia" w:ascii="Times New Roman" w:hAnsi="Times New Roman" w:cs="Times New Roman"/>
        </w:rPr>
        <w:t>本项目无组织废气排放涉及VOCs排放，报告中已针对无组织排放提出相应措施。符合《新疆生态环境保护“十四五”规划》相关要求。</w:t>
      </w:r>
    </w:p>
    <w:p>
      <w:pPr>
        <w:pStyle w:val="488"/>
        <w:ind w:firstLine="480"/>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w:t>
      </w:r>
      <w:r>
        <w:rPr>
          <w:rFonts w:ascii="Times New Roman" w:hAnsi="Times New Roman" w:cs="Times New Roman"/>
        </w:rPr>
        <w:t>与《新疆维吾尔自治区煤炭石油天然气开发环境保护条例》相符性</w:t>
      </w:r>
    </w:p>
    <w:p>
      <w:pPr>
        <w:pStyle w:val="672"/>
        <w:spacing w:before="120"/>
        <w:rPr>
          <w:color w:val="auto"/>
        </w:rPr>
      </w:pPr>
      <w:r>
        <w:rPr>
          <w:color w:val="auto"/>
        </w:rPr>
        <w:t>表3.2-1  与《新疆维吾尔自治区煤炭石油天然气开发环境保护条例》符合性分析</w:t>
      </w:r>
    </w:p>
    <w:tbl>
      <w:tblPr>
        <w:tblStyle w:val="5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982"/>
        <w:gridCol w:w="3256"/>
        <w:gridCol w:w="3054"/>
        <w:gridCol w:w="9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983" w:type="dxa"/>
            <w:tcBorders>
              <w:top w:val="single" w:color="auto" w:sz="8" w:space="0"/>
              <w:left w:val="single" w:color="auto" w:sz="8" w:space="0"/>
              <w:bottom w:val="single" w:color="auto" w:sz="4" w:space="0"/>
              <w:right w:val="single" w:color="auto" w:sz="4" w:space="0"/>
            </w:tcBorders>
            <w:vAlign w:val="center"/>
          </w:tcPr>
          <w:p>
            <w:pPr>
              <w:pStyle w:val="670"/>
            </w:pPr>
            <w:r>
              <w:t>文件名称</w:t>
            </w:r>
          </w:p>
        </w:tc>
        <w:tc>
          <w:tcPr>
            <w:tcW w:w="3260" w:type="dxa"/>
            <w:tcBorders>
              <w:top w:val="single" w:color="auto" w:sz="8" w:space="0"/>
              <w:left w:val="single" w:color="auto" w:sz="4" w:space="0"/>
              <w:bottom w:val="single" w:color="auto" w:sz="4" w:space="0"/>
              <w:right w:val="single" w:color="auto" w:sz="4" w:space="0"/>
            </w:tcBorders>
            <w:vAlign w:val="center"/>
          </w:tcPr>
          <w:p>
            <w:pPr>
              <w:pStyle w:val="670"/>
            </w:pPr>
            <w:r>
              <w:t>相关要求</w:t>
            </w:r>
          </w:p>
        </w:tc>
        <w:tc>
          <w:tcPr>
            <w:tcW w:w="3058" w:type="dxa"/>
            <w:tcBorders>
              <w:top w:val="single" w:color="auto" w:sz="8" w:space="0"/>
              <w:left w:val="single" w:color="auto" w:sz="4" w:space="0"/>
              <w:bottom w:val="single" w:color="auto" w:sz="4" w:space="0"/>
              <w:right w:val="single" w:color="auto" w:sz="4" w:space="0"/>
            </w:tcBorders>
            <w:vAlign w:val="center"/>
          </w:tcPr>
          <w:p>
            <w:pPr>
              <w:pStyle w:val="670"/>
            </w:pPr>
            <w:r>
              <w:t>本项目</w:t>
            </w:r>
          </w:p>
        </w:tc>
        <w:tc>
          <w:tcPr>
            <w:tcW w:w="985" w:type="dxa"/>
            <w:tcBorders>
              <w:top w:val="single" w:color="auto" w:sz="8" w:space="0"/>
              <w:left w:val="single" w:color="auto" w:sz="4" w:space="0"/>
              <w:bottom w:val="single" w:color="auto" w:sz="4" w:space="0"/>
              <w:right w:val="single" w:color="auto" w:sz="8" w:space="0"/>
            </w:tcBorders>
            <w:vAlign w:val="center"/>
          </w:tcPr>
          <w:p>
            <w:pPr>
              <w:pStyle w:val="670"/>
            </w:pPr>
            <w:r>
              <w:t>分析结果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61" w:hRule="atLeast"/>
          <w:jc w:val="center"/>
        </w:trPr>
        <w:tc>
          <w:tcPr>
            <w:tcW w:w="983" w:type="dxa"/>
            <w:vMerge w:val="restart"/>
            <w:tcBorders>
              <w:top w:val="single" w:color="auto" w:sz="4" w:space="0"/>
              <w:left w:val="single" w:color="auto" w:sz="8" w:space="0"/>
              <w:bottom w:val="single" w:color="auto" w:sz="8" w:space="0"/>
              <w:right w:val="single" w:color="auto" w:sz="4" w:space="0"/>
            </w:tcBorders>
            <w:vAlign w:val="center"/>
          </w:tcPr>
          <w:p>
            <w:pPr>
              <w:pStyle w:val="670"/>
              <w:rPr>
                <w:lang w:eastAsia="zh-CN"/>
              </w:rPr>
            </w:pPr>
            <w:r>
              <w:rPr>
                <w:lang w:eastAsia="zh-CN"/>
              </w:rPr>
              <w:t>《新疆维吾尔自治区煤炭石油天然气开发环境保护条例》</w:t>
            </w:r>
          </w:p>
        </w:tc>
        <w:tc>
          <w:tcPr>
            <w:tcW w:w="3260"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第八条 禁止在水源涵养区、地下水源、饮用水源、自然保护区、风景名胜区、森林公园、重要湿地及人群密集区等生态敏感区域内进行煤炭、石油、天然气开发。</w:t>
            </w:r>
          </w:p>
        </w:tc>
        <w:tc>
          <w:tcPr>
            <w:tcW w:w="3058"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本项目天然气处理站选址不涉及水源涵养区、地下水源、饮用水源、自然保护区、风景名胜区、森林公园、重要湿地及人群密集区等生态敏感区域</w:t>
            </w:r>
          </w:p>
        </w:tc>
        <w:tc>
          <w:tcPr>
            <w:tcW w:w="985" w:type="dxa"/>
            <w:tcBorders>
              <w:top w:val="single" w:color="auto" w:sz="4" w:space="0"/>
              <w:left w:val="single" w:color="auto" w:sz="4" w:space="0"/>
              <w:bottom w:val="single" w:color="auto" w:sz="4" w:space="0"/>
              <w:right w:val="single" w:color="auto" w:sz="8" w:space="0"/>
            </w:tcBorders>
            <w:vAlign w:val="center"/>
          </w:tcPr>
          <w:p>
            <w:pPr>
              <w:pStyle w:val="670"/>
            </w:pPr>
            <w: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857" w:hRule="atLeast"/>
          <w:jc w:val="center"/>
        </w:trPr>
        <w:tc>
          <w:tcPr>
            <w:tcW w:w="0" w:type="auto"/>
            <w:vMerge w:val="continue"/>
            <w:tcBorders>
              <w:top w:val="single" w:color="auto" w:sz="4" w:space="0"/>
              <w:left w:val="single" w:color="auto" w:sz="8" w:space="0"/>
              <w:bottom w:val="single" w:color="auto" w:sz="8" w:space="0"/>
              <w:right w:val="single" w:color="auto" w:sz="4" w:space="0"/>
            </w:tcBorders>
            <w:vAlign w:val="center"/>
          </w:tcPr>
          <w:p>
            <w:pPr>
              <w:widowControl/>
              <w:jc w:val="left"/>
              <w:rPr>
                <w:kern w:val="0"/>
                <w:szCs w:val="21"/>
                <w:lang w:bidi="en-US"/>
              </w:rPr>
            </w:pPr>
          </w:p>
        </w:tc>
        <w:tc>
          <w:tcPr>
            <w:tcW w:w="3260"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第九条 新建、改建、扩建煤炭、石油、天然气开发项目，开发单位应当进行环境影响评价，编制环境影响评价文件，报环境保护主管部门审批。环境影响评价文件未经批准，发展和改革、国土资源等有关部门不予办理相关手续，开发单位不得动工建设。</w:t>
            </w:r>
          </w:p>
          <w:p>
            <w:pPr>
              <w:pStyle w:val="670"/>
              <w:rPr>
                <w:lang w:eastAsia="zh-CN"/>
              </w:rPr>
            </w:pPr>
            <w:r>
              <w:rPr>
                <w:lang w:eastAsia="zh-CN"/>
              </w:rPr>
              <w:t>煤炭、石油、天然气开发项目建设过程中，开发单位应当同时实施环境影响评价文件及其审批部门审批意见中提出的环境保护对策措施；在项目建设、运行过程中产生不符合经审批的环境影响评价文件的情形的，开发单位应当组织环境影响的后评价，并采取改进</w:t>
            </w:r>
          </w:p>
          <w:p>
            <w:pPr>
              <w:pStyle w:val="670"/>
            </w:pPr>
            <w:r>
              <w:t>措施。</w:t>
            </w:r>
          </w:p>
        </w:tc>
        <w:tc>
          <w:tcPr>
            <w:tcW w:w="3058"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项目按环评相关法律法规，开展环境影响报告书的编制</w:t>
            </w:r>
          </w:p>
        </w:tc>
        <w:tc>
          <w:tcPr>
            <w:tcW w:w="985" w:type="dxa"/>
            <w:tcBorders>
              <w:top w:val="single" w:color="auto" w:sz="4" w:space="0"/>
              <w:left w:val="single" w:color="auto" w:sz="4" w:space="0"/>
              <w:bottom w:val="single" w:color="auto" w:sz="4" w:space="0"/>
              <w:right w:val="single" w:color="auto" w:sz="8" w:space="0"/>
            </w:tcBorders>
            <w:vAlign w:val="center"/>
          </w:tcPr>
          <w:p>
            <w:pPr>
              <w:pStyle w:val="670"/>
            </w:pPr>
            <w: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544" w:hRule="atLeast"/>
          <w:jc w:val="center"/>
        </w:trPr>
        <w:tc>
          <w:tcPr>
            <w:tcW w:w="0" w:type="auto"/>
            <w:vMerge w:val="continue"/>
            <w:tcBorders>
              <w:top w:val="single" w:color="auto" w:sz="4" w:space="0"/>
              <w:left w:val="single" w:color="auto" w:sz="8" w:space="0"/>
              <w:bottom w:val="single" w:color="auto" w:sz="8" w:space="0"/>
              <w:right w:val="single" w:color="auto" w:sz="4" w:space="0"/>
            </w:tcBorders>
            <w:vAlign w:val="center"/>
          </w:tcPr>
          <w:p>
            <w:pPr>
              <w:widowControl/>
              <w:jc w:val="left"/>
              <w:rPr>
                <w:kern w:val="0"/>
                <w:szCs w:val="21"/>
                <w:lang w:bidi="en-US"/>
              </w:rPr>
            </w:pPr>
          </w:p>
        </w:tc>
        <w:tc>
          <w:tcPr>
            <w:tcW w:w="3260"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第十条 煤炭、石油、天然气开发项目实行环境监理，其大气、水体、固体废物等污染防治设施与主体工程同时设计、同时施工、同时投产使用。</w:t>
            </w:r>
          </w:p>
        </w:tc>
        <w:tc>
          <w:tcPr>
            <w:tcW w:w="3058"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项目实行环境监理，工程设计阶段已经对大气、水体、固体废物等污染防治进行了设计，环评要求项目大气、水体、固体废物等污染防治设施与主体工程同时设计、同时施工、同时投产使用</w:t>
            </w:r>
          </w:p>
        </w:tc>
        <w:tc>
          <w:tcPr>
            <w:tcW w:w="985" w:type="dxa"/>
            <w:tcBorders>
              <w:top w:val="single" w:color="auto" w:sz="4" w:space="0"/>
              <w:left w:val="single" w:color="auto" w:sz="4" w:space="0"/>
              <w:bottom w:val="single" w:color="auto" w:sz="4" w:space="0"/>
              <w:right w:val="single" w:color="auto" w:sz="8" w:space="0"/>
            </w:tcBorders>
            <w:vAlign w:val="center"/>
          </w:tcPr>
          <w:p>
            <w:pPr>
              <w:pStyle w:val="670"/>
            </w:pPr>
            <w: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28" w:hRule="atLeast"/>
          <w:jc w:val="center"/>
        </w:trPr>
        <w:tc>
          <w:tcPr>
            <w:tcW w:w="0" w:type="auto"/>
            <w:vMerge w:val="continue"/>
            <w:tcBorders>
              <w:top w:val="single" w:color="auto" w:sz="4" w:space="0"/>
              <w:left w:val="single" w:color="auto" w:sz="8" w:space="0"/>
              <w:bottom w:val="single" w:color="auto" w:sz="8" w:space="0"/>
              <w:right w:val="single" w:color="auto" w:sz="4" w:space="0"/>
            </w:tcBorders>
            <w:vAlign w:val="center"/>
          </w:tcPr>
          <w:p>
            <w:pPr>
              <w:widowControl/>
              <w:jc w:val="left"/>
              <w:rPr>
                <w:kern w:val="0"/>
                <w:szCs w:val="21"/>
                <w:lang w:bidi="en-US"/>
              </w:rPr>
            </w:pPr>
          </w:p>
        </w:tc>
        <w:tc>
          <w:tcPr>
            <w:tcW w:w="3260" w:type="dxa"/>
            <w:tcBorders>
              <w:top w:val="single" w:color="auto" w:sz="4" w:space="0"/>
              <w:left w:val="single" w:color="auto" w:sz="4" w:space="0"/>
              <w:bottom w:val="single" w:color="auto" w:sz="8" w:space="0"/>
              <w:right w:val="single" w:color="auto" w:sz="4" w:space="0"/>
            </w:tcBorders>
            <w:vAlign w:val="center"/>
          </w:tcPr>
          <w:p>
            <w:pPr>
              <w:pStyle w:val="670"/>
              <w:rPr>
                <w:lang w:eastAsia="zh-CN"/>
              </w:rPr>
            </w:pPr>
            <w:r>
              <w:rPr>
                <w:lang w:eastAsia="zh-CN"/>
              </w:rPr>
              <w:t>第十一条 煤炭、石油、天然气开发单位应当制定生态保护和恢复治理方案，并予以实施。生态保护和恢复治理方案内容应当向社会公布，接受社会监督。</w:t>
            </w:r>
          </w:p>
        </w:tc>
        <w:tc>
          <w:tcPr>
            <w:tcW w:w="3058" w:type="dxa"/>
            <w:tcBorders>
              <w:top w:val="single" w:color="auto" w:sz="4" w:space="0"/>
              <w:left w:val="single" w:color="auto" w:sz="4" w:space="0"/>
              <w:bottom w:val="single" w:color="auto" w:sz="8" w:space="0"/>
              <w:right w:val="single" w:color="auto" w:sz="4" w:space="0"/>
            </w:tcBorders>
            <w:vAlign w:val="center"/>
          </w:tcPr>
          <w:p>
            <w:pPr>
              <w:pStyle w:val="670"/>
              <w:rPr>
                <w:lang w:eastAsia="zh-CN"/>
              </w:rPr>
            </w:pPr>
            <w:r>
              <w:rPr>
                <w:lang w:eastAsia="zh-CN"/>
              </w:rPr>
              <w:t>环评报告中在生态影响章节，提出了生态恢复的相关要求</w:t>
            </w:r>
          </w:p>
        </w:tc>
        <w:tc>
          <w:tcPr>
            <w:tcW w:w="985" w:type="dxa"/>
            <w:tcBorders>
              <w:top w:val="single" w:color="auto" w:sz="4" w:space="0"/>
              <w:left w:val="single" w:color="auto" w:sz="4" w:space="0"/>
              <w:bottom w:val="single" w:color="auto" w:sz="8" w:space="0"/>
              <w:right w:val="single" w:color="auto" w:sz="8" w:space="0"/>
            </w:tcBorders>
            <w:vAlign w:val="center"/>
          </w:tcPr>
          <w:p>
            <w:pPr>
              <w:pStyle w:val="670"/>
            </w:pPr>
            <w:r>
              <w:t>符合</w:t>
            </w:r>
          </w:p>
        </w:tc>
      </w:tr>
    </w:tbl>
    <w:p>
      <w:pPr>
        <w:pStyle w:val="488"/>
        <w:ind w:firstLine="480"/>
        <w:rPr>
          <w:rFonts w:ascii="Times New Roman" w:hAnsi="Times New Roman" w:cs="Times New Roman"/>
          <w:kern w:val="0"/>
          <w:lang w:bidi="en-US"/>
        </w:rPr>
      </w:pPr>
      <w:r>
        <w:rPr>
          <w:rFonts w:ascii="Times New Roman" w:hAnsi="Times New Roman" w:cs="Times New Roman"/>
          <w:lang w:bidi="en-US"/>
        </w:rPr>
        <w:t>5</w:t>
      </w:r>
      <w:r>
        <w:rPr>
          <w:rFonts w:hint="eastAsia" w:ascii="Times New Roman" w:hAnsi="Times New Roman" w:cs="Times New Roman"/>
          <w:lang w:bidi="en-US"/>
        </w:rPr>
        <w:t>、</w:t>
      </w:r>
      <w:r>
        <w:rPr>
          <w:rFonts w:ascii="Times New Roman" w:hAnsi="Times New Roman" w:cs="Times New Roman"/>
          <w:lang w:bidi="en-US"/>
        </w:rPr>
        <w:t>与《新疆维吾尔自治区大气污染防治条例》符合性分析</w:t>
      </w:r>
    </w:p>
    <w:p>
      <w:pPr>
        <w:pStyle w:val="488"/>
        <w:ind w:firstLine="480"/>
        <w:rPr>
          <w:rFonts w:ascii="Times New Roman" w:hAnsi="Times New Roman" w:cs="Times New Roman"/>
          <w:lang w:bidi="en-US"/>
        </w:rPr>
      </w:pPr>
      <w:r>
        <w:rPr>
          <w:rFonts w:ascii="Times New Roman" w:hAnsi="Times New Roman" w:cs="Times New Roman"/>
          <w:lang w:bidi="en-US"/>
        </w:rPr>
        <w:t>根据《新疆维吾尔自治区大气污染防治条例》要求：</w:t>
      </w:r>
    </w:p>
    <w:p>
      <w:pPr>
        <w:pStyle w:val="488"/>
        <w:ind w:firstLine="480"/>
        <w:rPr>
          <w:rFonts w:ascii="Times New Roman" w:hAnsi="Times New Roman" w:cs="Times New Roman"/>
          <w:lang w:bidi="en-US"/>
        </w:rPr>
      </w:pPr>
      <w:r>
        <w:rPr>
          <w:rFonts w:ascii="Times New Roman" w:hAnsi="Times New Roman" w:cs="Times New Roman"/>
          <w:lang w:bidi="en-US"/>
        </w:rPr>
        <w:t>第二十四条推进城市建成区、工业园区实行集中供热，使用清洁燃料。在集中供热管网覆盖区域内，禁止新建、改建、扩建燃煤供热锅炉，集中供热管网覆盖前，已建成使用的燃煤供热锅炉应当限期停止使用。</w:t>
      </w:r>
    </w:p>
    <w:p>
      <w:pPr>
        <w:pStyle w:val="488"/>
        <w:ind w:firstLine="480"/>
        <w:rPr>
          <w:rFonts w:ascii="Times New Roman" w:hAnsi="Times New Roman" w:cs="Times New Roman"/>
          <w:lang w:bidi="en-US"/>
        </w:rPr>
      </w:pPr>
      <w:r>
        <w:rPr>
          <w:rFonts w:ascii="Times New Roman" w:hAnsi="Times New Roman" w:cs="Times New Roman"/>
          <w:lang w:bidi="en-US"/>
        </w:rPr>
        <w:t>在集中供热未覆盖的区域，鼓励使用清洁能源替代，推广使用高效节能环保型锅炉。</w:t>
      </w:r>
    </w:p>
    <w:p>
      <w:pPr>
        <w:pStyle w:val="488"/>
        <w:ind w:firstLine="480"/>
        <w:rPr>
          <w:rFonts w:ascii="Times New Roman" w:hAnsi="Times New Roman" w:cs="Times New Roman"/>
          <w:lang w:bidi="en-US"/>
        </w:rPr>
      </w:pPr>
      <w:r>
        <w:rPr>
          <w:rFonts w:ascii="Times New Roman" w:hAnsi="Times New Roman" w:cs="Times New Roman"/>
          <w:lang w:bidi="en-US"/>
        </w:rPr>
        <w:t>城市人民政府应当限期淘汰不符合国家和自治区规定规模的燃煤锅炉。</w:t>
      </w:r>
    </w:p>
    <w:p>
      <w:pPr>
        <w:pStyle w:val="488"/>
        <w:ind w:firstLine="480"/>
        <w:rPr>
          <w:rFonts w:ascii="Times New Roman" w:hAnsi="Times New Roman" w:cs="Times New Roman"/>
          <w:lang w:bidi="en-US"/>
        </w:rPr>
      </w:pPr>
      <w:r>
        <w:rPr>
          <w:rFonts w:ascii="Times New Roman" w:hAnsi="Times New Roman" w:cs="Times New Roman"/>
          <w:lang w:bidi="en-US"/>
        </w:rPr>
        <w:t>第二十五条城市人民政府根据大气环境质量改善要求，划定并公布高污染燃料禁燃区，并逐步扩大高污染燃料禁燃区范围。</w:t>
      </w:r>
    </w:p>
    <w:p>
      <w:pPr>
        <w:pStyle w:val="488"/>
        <w:ind w:firstLine="480"/>
        <w:rPr>
          <w:rFonts w:ascii="Times New Roman" w:hAnsi="Times New Roman" w:cs="Times New Roman"/>
          <w:lang w:bidi="en-US"/>
        </w:rPr>
      </w:pPr>
      <w:r>
        <w:rPr>
          <w:rFonts w:ascii="Times New Roman" w:hAnsi="Times New Roman" w:cs="Times New Roman"/>
          <w:lang w:bidi="en-US"/>
        </w:rPr>
        <w:t>在禁燃区内，禁止销售、燃用高污染燃料；禁止新建、扩建燃用高污染燃料的设施。已建成的，应当在规定期限内改用清洁能源。</w:t>
      </w:r>
    </w:p>
    <w:p>
      <w:pPr>
        <w:pStyle w:val="488"/>
        <w:ind w:firstLine="480"/>
        <w:rPr>
          <w:rFonts w:ascii="Times New Roman" w:hAnsi="Times New Roman" w:cs="Times New Roman"/>
          <w:lang w:bidi="en-US"/>
        </w:rPr>
      </w:pPr>
      <w:r>
        <w:rPr>
          <w:rFonts w:ascii="Times New Roman" w:hAnsi="Times New Roman" w:cs="Times New Roman"/>
          <w:lang w:bidi="en-US"/>
        </w:rPr>
        <w:t>本项目供热使用电采暖，不使用高污染燃料。根据分析，本项目符合《新疆维吾尔自治区大气污染防治条例》相关要求。</w:t>
      </w:r>
    </w:p>
    <w:p>
      <w:pPr>
        <w:pStyle w:val="494"/>
        <w:ind w:firstLine="480"/>
      </w:pPr>
      <w:r>
        <w:t>6</w:t>
      </w:r>
      <w:r>
        <w:rPr>
          <w:rFonts w:hint="eastAsia"/>
        </w:rPr>
        <w:t>、</w:t>
      </w:r>
      <w:r>
        <w:rPr>
          <w:rFonts w:cs="Times New Roman"/>
        </w:rPr>
        <w:t>与《石油天然气开采业污染防治技术政策》符合性分析</w:t>
      </w:r>
    </w:p>
    <w:p>
      <w:pPr>
        <w:pStyle w:val="488"/>
        <w:ind w:firstLine="480"/>
        <w:rPr>
          <w:rFonts w:ascii="Times New Roman" w:hAnsi="Times New Roman" w:cs="Times New Roman"/>
        </w:rPr>
      </w:pPr>
      <w:r>
        <w:rPr>
          <w:rFonts w:ascii="Times New Roman" w:hAnsi="Times New Roman" w:cs="Times New Roman"/>
        </w:rPr>
        <w:t>本项目与《石油天然气开采业污染防治技术政策》(公告 2012年 第18号)相关要求符合性分析结果见表</w:t>
      </w:r>
      <w:r>
        <w:rPr>
          <w:rFonts w:ascii="Times New Roman" w:hAnsi="Times New Roman" w:cs="Times New Roman"/>
          <w:lang w:bidi="en-US"/>
        </w:rPr>
        <w:t>3.2-2</w:t>
      </w:r>
      <w:r>
        <w:rPr>
          <w:rFonts w:ascii="Times New Roman" w:hAnsi="Times New Roman" w:cs="Times New Roman"/>
        </w:rPr>
        <w:t>。</w:t>
      </w:r>
    </w:p>
    <w:p>
      <w:pPr>
        <w:pStyle w:val="672"/>
        <w:rPr>
          <w:color w:val="auto"/>
        </w:rPr>
      </w:pPr>
      <w:r>
        <w:rPr>
          <w:color w:val="auto"/>
        </w:rPr>
        <w:t>表3.2-2      与《石油天然气开采业污染防治技术政策》符合性分析一览表</w:t>
      </w:r>
    </w:p>
    <w:tbl>
      <w:tblPr>
        <w:tblStyle w:val="5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94"/>
        <w:gridCol w:w="4396"/>
        <w:gridCol w:w="2751"/>
        <w:gridCol w:w="5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59" w:type="pct"/>
            <w:tcBorders>
              <w:top w:val="single" w:color="auto" w:sz="8" w:space="0"/>
              <w:left w:val="single" w:color="auto" w:sz="8" w:space="0"/>
              <w:bottom w:val="single" w:color="auto" w:sz="4" w:space="0"/>
              <w:right w:val="single" w:color="auto" w:sz="4" w:space="0"/>
            </w:tcBorders>
            <w:vAlign w:val="center"/>
          </w:tcPr>
          <w:p>
            <w:pPr>
              <w:pStyle w:val="670"/>
              <w:rPr>
                <w:lang w:eastAsia="zh-CN"/>
              </w:rPr>
            </w:pPr>
            <w:r>
              <w:rPr>
                <w:lang w:eastAsia="zh-CN"/>
              </w:rPr>
              <w:t>序号</w:t>
            </w:r>
          </w:p>
        </w:tc>
        <w:tc>
          <w:tcPr>
            <w:tcW w:w="2656" w:type="pct"/>
            <w:tcBorders>
              <w:top w:val="single" w:color="auto" w:sz="8" w:space="0"/>
              <w:left w:val="single" w:color="auto" w:sz="4" w:space="0"/>
              <w:bottom w:val="single" w:color="auto" w:sz="4" w:space="0"/>
              <w:right w:val="single" w:color="auto" w:sz="4" w:space="0"/>
            </w:tcBorders>
            <w:vAlign w:val="center"/>
          </w:tcPr>
          <w:p>
            <w:pPr>
              <w:pStyle w:val="670"/>
            </w:pPr>
            <w:r>
              <w:t>文件要求</w:t>
            </w:r>
          </w:p>
        </w:tc>
        <w:tc>
          <w:tcPr>
            <w:tcW w:w="1662" w:type="pct"/>
            <w:tcBorders>
              <w:top w:val="single" w:color="auto" w:sz="8" w:space="0"/>
              <w:left w:val="single" w:color="auto" w:sz="4" w:space="0"/>
              <w:bottom w:val="single" w:color="auto" w:sz="4" w:space="0"/>
              <w:right w:val="single" w:color="auto" w:sz="4" w:space="0"/>
            </w:tcBorders>
            <w:vAlign w:val="center"/>
          </w:tcPr>
          <w:p>
            <w:pPr>
              <w:pStyle w:val="670"/>
            </w:pPr>
            <w:r>
              <w:t>本工程</w:t>
            </w:r>
          </w:p>
        </w:tc>
        <w:tc>
          <w:tcPr>
            <w:tcW w:w="323" w:type="pct"/>
            <w:tcBorders>
              <w:top w:val="single" w:color="auto" w:sz="8" w:space="0"/>
              <w:left w:val="single" w:color="auto" w:sz="4" w:space="0"/>
              <w:bottom w:val="single" w:color="auto" w:sz="4" w:space="0"/>
              <w:right w:val="single" w:color="auto" w:sz="8" w:space="0"/>
            </w:tcBorders>
            <w:vAlign w:val="center"/>
          </w:tcPr>
          <w:p>
            <w:pPr>
              <w:pStyle w:val="670"/>
            </w:pPr>
            <w:r>
              <w:t>分析</w:t>
            </w:r>
          </w:p>
          <w:p>
            <w:pPr>
              <w:pStyle w:val="670"/>
            </w:pPr>
            <w:r>
              <w:t>结果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9" w:type="pct"/>
            <w:tcBorders>
              <w:top w:val="single" w:color="auto" w:sz="4" w:space="0"/>
              <w:left w:val="single" w:color="auto" w:sz="8" w:space="0"/>
              <w:bottom w:val="single" w:color="auto" w:sz="4" w:space="0"/>
              <w:right w:val="single" w:color="auto" w:sz="4" w:space="0"/>
            </w:tcBorders>
            <w:vAlign w:val="center"/>
          </w:tcPr>
          <w:p>
            <w:pPr>
              <w:pStyle w:val="670"/>
              <w:rPr>
                <w:lang w:eastAsia="zh-CN"/>
              </w:rPr>
            </w:pPr>
            <w:r>
              <w:rPr>
                <w:lang w:eastAsia="zh-CN"/>
              </w:rPr>
              <w:t>1</w:t>
            </w:r>
          </w:p>
        </w:tc>
        <w:tc>
          <w:tcPr>
            <w:tcW w:w="2656"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在环境敏感区进行石油天然气勘探、开采的，要在开发前对生态、环境影响进行充分论证，并严格执行环境影响评价文件的要求，积极采取缓解生态、环境破坏的措施</w:t>
            </w:r>
          </w:p>
        </w:tc>
        <w:tc>
          <w:tcPr>
            <w:tcW w:w="1662"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委托编制了环评报告，提出了缓解生态、环境破坏的措施</w:t>
            </w:r>
          </w:p>
        </w:tc>
        <w:tc>
          <w:tcPr>
            <w:tcW w:w="323" w:type="pct"/>
            <w:tcBorders>
              <w:top w:val="single" w:color="auto" w:sz="4" w:space="0"/>
              <w:left w:val="single" w:color="auto" w:sz="4" w:space="0"/>
              <w:bottom w:val="single" w:color="auto" w:sz="4" w:space="0"/>
              <w:right w:val="single" w:color="auto" w:sz="8" w:space="0"/>
            </w:tcBorders>
            <w:vAlign w:val="center"/>
          </w:tcPr>
          <w:p>
            <w:pPr>
              <w:pStyle w:val="670"/>
            </w:pPr>
            <w: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9" w:type="pct"/>
            <w:tcBorders>
              <w:top w:val="single" w:color="auto" w:sz="4" w:space="0"/>
              <w:left w:val="single" w:color="auto" w:sz="8" w:space="0"/>
              <w:bottom w:val="single" w:color="auto" w:sz="4" w:space="0"/>
              <w:right w:val="single" w:color="auto" w:sz="4" w:space="0"/>
            </w:tcBorders>
            <w:vAlign w:val="center"/>
          </w:tcPr>
          <w:p>
            <w:pPr>
              <w:pStyle w:val="670"/>
              <w:rPr>
                <w:lang w:eastAsia="zh-CN"/>
              </w:rPr>
            </w:pPr>
            <w:r>
              <w:rPr>
                <w:lang w:eastAsia="zh-CN"/>
              </w:rPr>
              <w:t>2</w:t>
            </w:r>
          </w:p>
        </w:tc>
        <w:tc>
          <w:tcPr>
            <w:tcW w:w="2656"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行业新、改、扩建项目均采用清洁生产工艺和技术，工业废水回用率达到90%以上，工业固体废物资源化及无害化处理处置率达到100%。要遏制重大、杜绝特别重大环境污染和生态破坏事故的发生。要逐步实现对行业排放的石油类污染物进行总量控制。</w:t>
            </w:r>
          </w:p>
        </w:tc>
        <w:tc>
          <w:tcPr>
            <w:tcW w:w="1662"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本项目采用清洁生产工艺和技术，生产废水经排污管线排入54m</w:t>
            </w:r>
            <w:r>
              <w:rPr>
                <w:vertAlign w:val="superscript"/>
                <w:lang w:eastAsia="zh-CN"/>
              </w:rPr>
              <w:t>3</w:t>
            </w:r>
            <w:r>
              <w:rPr>
                <w:lang w:eastAsia="zh-CN"/>
              </w:rPr>
              <w:t>的排污罐中，当罐内液位达到一定高度时，由排污泵输至罐车拉运至春风一号联合站处理达标后进行回注；工业固体废物无害化处理处置率达到100%。</w:t>
            </w:r>
          </w:p>
        </w:tc>
        <w:tc>
          <w:tcPr>
            <w:tcW w:w="323" w:type="pct"/>
            <w:tcBorders>
              <w:top w:val="single" w:color="auto" w:sz="4" w:space="0"/>
              <w:left w:val="single" w:color="auto" w:sz="4" w:space="0"/>
              <w:bottom w:val="single" w:color="auto" w:sz="4" w:space="0"/>
              <w:right w:val="single" w:color="auto" w:sz="8" w:space="0"/>
            </w:tcBorders>
            <w:vAlign w:val="center"/>
          </w:tcPr>
          <w:p>
            <w:pPr>
              <w:pStyle w:val="670"/>
            </w:pPr>
            <w: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3" w:hRule="atLeast"/>
          <w:jc w:val="center"/>
        </w:trPr>
        <w:tc>
          <w:tcPr>
            <w:tcW w:w="359" w:type="pct"/>
            <w:tcBorders>
              <w:top w:val="single" w:color="auto" w:sz="4" w:space="0"/>
              <w:left w:val="single" w:color="auto" w:sz="8" w:space="0"/>
              <w:bottom w:val="single" w:color="auto" w:sz="4" w:space="0"/>
              <w:right w:val="single" w:color="auto" w:sz="4" w:space="0"/>
            </w:tcBorders>
            <w:vAlign w:val="center"/>
          </w:tcPr>
          <w:p>
            <w:pPr>
              <w:pStyle w:val="670"/>
              <w:rPr>
                <w:lang w:eastAsia="zh-CN"/>
              </w:rPr>
            </w:pPr>
            <w:r>
              <w:rPr>
                <w:lang w:eastAsia="zh-CN"/>
              </w:rPr>
              <w:t>3</w:t>
            </w:r>
          </w:p>
        </w:tc>
        <w:tc>
          <w:tcPr>
            <w:tcW w:w="2656"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油气田建设应总体规划，优化布局，整体开发，减少占地和油气损失，实现油气和废物的集中收集、处理处置。</w:t>
            </w:r>
          </w:p>
        </w:tc>
        <w:tc>
          <w:tcPr>
            <w:tcW w:w="1662"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本项目建设布局合理，项目实施后可满足董701区块董701-X1井场油田伴生气集中处置需求</w:t>
            </w:r>
          </w:p>
        </w:tc>
        <w:tc>
          <w:tcPr>
            <w:tcW w:w="323" w:type="pct"/>
            <w:tcBorders>
              <w:top w:val="single" w:color="auto" w:sz="4" w:space="0"/>
              <w:left w:val="single" w:color="auto" w:sz="4" w:space="0"/>
              <w:bottom w:val="single" w:color="auto" w:sz="4" w:space="0"/>
              <w:right w:val="single" w:color="auto" w:sz="8" w:space="0"/>
            </w:tcBorders>
            <w:vAlign w:val="center"/>
          </w:tcPr>
          <w:p>
            <w:pPr>
              <w:pStyle w:val="670"/>
            </w:pPr>
            <w: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3" w:hRule="atLeast"/>
          <w:jc w:val="center"/>
        </w:trPr>
        <w:tc>
          <w:tcPr>
            <w:tcW w:w="359" w:type="pct"/>
            <w:tcBorders>
              <w:top w:val="single" w:color="auto" w:sz="4" w:space="0"/>
              <w:left w:val="single" w:color="auto" w:sz="8" w:space="0"/>
              <w:bottom w:val="single" w:color="auto" w:sz="4" w:space="0"/>
              <w:right w:val="single" w:color="auto" w:sz="4" w:space="0"/>
            </w:tcBorders>
            <w:vAlign w:val="center"/>
          </w:tcPr>
          <w:p>
            <w:pPr>
              <w:pStyle w:val="670"/>
            </w:pPr>
            <w:r>
              <w:t>4</w:t>
            </w:r>
          </w:p>
        </w:tc>
        <w:tc>
          <w:tcPr>
            <w:tcW w:w="2656" w:type="pct"/>
            <w:tcBorders>
              <w:top w:val="single" w:color="auto" w:sz="4" w:space="0"/>
              <w:left w:val="single" w:color="auto" w:sz="4" w:space="0"/>
              <w:bottom w:val="single" w:color="auto" w:sz="4" w:space="0"/>
              <w:right w:val="single" w:color="auto" w:sz="4" w:space="0"/>
            </w:tcBorders>
            <w:vAlign w:val="center"/>
          </w:tcPr>
          <w:p>
            <w:pPr>
              <w:pStyle w:val="670"/>
              <w:rPr>
                <w:spacing w:val="-10"/>
              </w:rPr>
            </w:pPr>
            <w:r>
              <w:rPr>
                <w:spacing w:val="-10"/>
                <w:lang w:eastAsia="zh-CN"/>
              </w:rPr>
              <w:t>在开发过程中，伴生气应回收利用，减少温室气体排放，不具备回收利用条件的，应充分燃烧，伴生气回收利用率应达到80%以上；站场放空天然气应充分燃烧。</w:t>
            </w:r>
            <w:r>
              <w:rPr>
                <w:spacing w:val="-10"/>
              </w:rPr>
              <w:t>燃烧放空设施应避开鸟类迁徙通道</w:t>
            </w:r>
          </w:p>
        </w:tc>
        <w:tc>
          <w:tcPr>
            <w:tcW w:w="1662" w:type="pct"/>
            <w:tcBorders>
              <w:top w:val="single" w:color="auto" w:sz="4" w:space="0"/>
              <w:left w:val="single" w:color="auto" w:sz="4" w:space="0"/>
              <w:bottom w:val="single" w:color="auto" w:sz="4" w:space="0"/>
              <w:right w:val="single" w:color="auto" w:sz="4" w:space="0"/>
            </w:tcBorders>
            <w:vAlign w:val="center"/>
          </w:tcPr>
          <w:p>
            <w:pPr>
              <w:pStyle w:val="670"/>
              <w:rPr>
                <w:spacing w:val="-10"/>
                <w:lang w:eastAsia="zh-CN"/>
              </w:rPr>
            </w:pPr>
            <w:r>
              <w:rPr>
                <w:spacing w:val="-10"/>
                <w:lang w:eastAsia="zh-CN"/>
              </w:rPr>
              <w:t>本项目为伴生气回收利用项目，由董701区块董701-X1井场采出气管道输送至本项目处理厂净化处理，当本工程不使用天然气的时候，由董701-X1井场采用放空管进行放空并充分燃烧，不在本工程负责范围内。</w:t>
            </w:r>
          </w:p>
        </w:tc>
        <w:tc>
          <w:tcPr>
            <w:tcW w:w="323" w:type="pct"/>
            <w:tcBorders>
              <w:top w:val="single" w:color="auto" w:sz="4" w:space="0"/>
              <w:left w:val="single" w:color="auto" w:sz="4" w:space="0"/>
              <w:bottom w:val="single" w:color="auto" w:sz="4" w:space="0"/>
              <w:right w:val="single" w:color="auto" w:sz="8" w:space="0"/>
            </w:tcBorders>
            <w:vAlign w:val="center"/>
          </w:tcPr>
          <w:p>
            <w:pPr>
              <w:pStyle w:val="670"/>
              <w:rPr>
                <w:spacing w:val="-10"/>
              </w:rPr>
            </w:pPr>
            <w:r>
              <w:rPr>
                <w:spacing w:val="-10"/>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3" w:hRule="atLeast"/>
          <w:jc w:val="center"/>
        </w:trPr>
        <w:tc>
          <w:tcPr>
            <w:tcW w:w="359" w:type="pct"/>
            <w:tcBorders>
              <w:top w:val="single" w:color="auto" w:sz="4" w:space="0"/>
              <w:left w:val="single" w:color="auto" w:sz="8" w:space="0"/>
              <w:bottom w:val="single" w:color="auto" w:sz="4" w:space="0"/>
              <w:right w:val="single" w:color="auto" w:sz="4" w:space="0"/>
            </w:tcBorders>
            <w:vAlign w:val="center"/>
          </w:tcPr>
          <w:p>
            <w:pPr>
              <w:pStyle w:val="670"/>
              <w:rPr>
                <w:lang w:eastAsia="zh-CN"/>
              </w:rPr>
            </w:pPr>
            <w:r>
              <w:rPr>
                <w:lang w:eastAsia="zh-CN"/>
              </w:rPr>
              <w:t>5</w:t>
            </w:r>
          </w:p>
        </w:tc>
        <w:tc>
          <w:tcPr>
            <w:tcW w:w="2656"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固体废物收集、贮存、处理处置设施应按照标准要求采取防渗措施。试油(气)后应立即封闭废弃钻井液贮池。</w:t>
            </w:r>
          </w:p>
        </w:tc>
        <w:tc>
          <w:tcPr>
            <w:tcW w:w="1662"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本项目为伴生气回收利用项目，固体废物收集、贮存、处理处置设施按照标准要求采取防渗措施</w:t>
            </w:r>
          </w:p>
        </w:tc>
        <w:tc>
          <w:tcPr>
            <w:tcW w:w="323" w:type="pct"/>
            <w:tcBorders>
              <w:top w:val="single" w:color="auto" w:sz="4" w:space="0"/>
              <w:left w:val="single" w:color="auto" w:sz="4" w:space="0"/>
              <w:bottom w:val="single" w:color="auto" w:sz="4" w:space="0"/>
              <w:right w:val="single" w:color="auto" w:sz="8" w:space="0"/>
            </w:tcBorders>
            <w:vAlign w:val="center"/>
          </w:tcPr>
          <w:p>
            <w:pPr>
              <w:pStyle w:val="670"/>
            </w:pPr>
            <w: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3" w:hRule="atLeast"/>
          <w:jc w:val="center"/>
        </w:trPr>
        <w:tc>
          <w:tcPr>
            <w:tcW w:w="359" w:type="pct"/>
            <w:tcBorders>
              <w:top w:val="single" w:color="auto" w:sz="4" w:space="0"/>
              <w:left w:val="single" w:color="auto" w:sz="8" w:space="0"/>
              <w:bottom w:val="single" w:color="auto" w:sz="8" w:space="0"/>
              <w:right w:val="single" w:color="auto" w:sz="4" w:space="0"/>
            </w:tcBorders>
            <w:vAlign w:val="center"/>
          </w:tcPr>
          <w:p>
            <w:pPr>
              <w:pStyle w:val="670"/>
              <w:rPr>
                <w:lang w:eastAsia="zh-CN"/>
              </w:rPr>
            </w:pPr>
            <w:r>
              <w:rPr>
                <w:lang w:eastAsia="zh-CN"/>
              </w:rPr>
              <w:t>6</w:t>
            </w:r>
          </w:p>
        </w:tc>
        <w:tc>
          <w:tcPr>
            <w:tcW w:w="2656" w:type="pct"/>
            <w:tcBorders>
              <w:top w:val="single" w:color="auto" w:sz="4" w:space="0"/>
              <w:left w:val="single" w:color="auto" w:sz="4" w:space="0"/>
              <w:bottom w:val="single" w:color="auto" w:sz="8" w:space="0"/>
              <w:right w:val="single" w:color="auto" w:sz="4" w:space="0"/>
            </w:tcBorders>
            <w:vAlign w:val="center"/>
          </w:tcPr>
          <w:p>
            <w:pPr>
              <w:pStyle w:val="670"/>
              <w:rPr>
                <w:lang w:eastAsia="zh-CN"/>
              </w:rPr>
            </w:pPr>
            <w:r>
              <w:rPr>
                <w:lang w:eastAsia="zh-CN"/>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1662" w:type="pct"/>
            <w:tcBorders>
              <w:top w:val="single" w:color="auto" w:sz="4" w:space="0"/>
              <w:left w:val="single" w:color="auto" w:sz="4" w:space="0"/>
              <w:bottom w:val="single" w:color="auto" w:sz="8" w:space="0"/>
              <w:right w:val="single" w:color="auto" w:sz="4" w:space="0"/>
            </w:tcBorders>
            <w:vAlign w:val="center"/>
          </w:tcPr>
          <w:p>
            <w:pPr>
              <w:pStyle w:val="670"/>
              <w:rPr>
                <w:lang w:eastAsia="zh-CN"/>
              </w:rPr>
            </w:pPr>
            <w:r>
              <w:rPr>
                <w:rFonts w:hint="eastAsia"/>
                <w:lang w:eastAsia="zh-CN"/>
              </w:rPr>
              <w:t>本项目原料气为</w:t>
            </w:r>
            <w:r>
              <w:rPr>
                <w:rFonts w:hint="eastAsia"/>
                <w:bCs/>
                <w:iCs/>
                <w:lang w:eastAsia="zh-CN"/>
              </w:rPr>
              <w:t>“准中董701井区产能建设工程”中天然气处理站处理后</w:t>
            </w:r>
            <w:r>
              <w:rPr>
                <w:bCs/>
                <w:iCs/>
                <w:lang w:eastAsia="zh-CN"/>
              </w:rPr>
              <w:t>的</w:t>
            </w:r>
            <w:r>
              <w:rPr>
                <w:rFonts w:hint="eastAsia"/>
                <w:bCs/>
                <w:iCs/>
                <w:lang w:eastAsia="zh-CN"/>
              </w:rPr>
              <w:t>天然气</w:t>
            </w:r>
          </w:p>
        </w:tc>
        <w:tc>
          <w:tcPr>
            <w:tcW w:w="323" w:type="pct"/>
            <w:tcBorders>
              <w:top w:val="single" w:color="auto" w:sz="4" w:space="0"/>
              <w:left w:val="single" w:color="auto" w:sz="4" w:space="0"/>
              <w:bottom w:val="single" w:color="auto" w:sz="8" w:space="0"/>
              <w:right w:val="single" w:color="auto" w:sz="8" w:space="0"/>
            </w:tcBorders>
            <w:vAlign w:val="center"/>
          </w:tcPr>
          <w:p>
            <w:pPr>
              <w:pStyle w:val="670"/>
            </w:pPr>
            <w:r>
              <w:t>符合</w:t>
            </w:r>
          </w:p>
        </w:tc>
      </w:tr>
    </w:tbl>
    <w:p>
      <w:pPr>
        <w:pStyle w:val="488"/>
        <w:ind w:firstLine="480"/>
        <w:rPr>
          <w:rFonts w:ascii="Times New Roman" w:hAnsi="Times New Roman" w:cs="Times New Roman"/>
        </w:rPr>
      </w:pPr>
      <w:r>
        <w:rPr>
          <w:rFonts w:ascii="Times New Roman" w:hAnsi="Times New Roman" w:cs="Times New Roman"/>
        </w:rPr>
        <w:t>7、与《</w:t>
      </w:r>
      <w:r>
        <w:rPr>
          <w:rFonts w:hint="eastAsia" w:ascii="Times New Roman" w:hAnsi="Times New Roman" w:cs="Times New Roman"/>
        </w:rPr>
        <w:t>阜康市国民经济和社会发展第十四个五年规划和2035年远景目标纲要</w:t>
      </w:r>
      <w:r>
        <w:rPr>
          <w:rFonts w:ascii="Times New Roman" w:hAnsi="Times New Roman" w:cs="Times New Roman"/>
        </w:rPr>
        <w:t>》符合性分析</w:t>
      </w:r>
    </w:p>
    <w:p>
      <w:pPr>
        <w:pStyle w:val="494"/>
        <w:ind w:firstLine="480"/>
        <w:rPr>
          <w:rFonts w:cs="Times New Roman"/>
        </w:rPr>
      </w:pPr>
      <w:r>
        <w:rPr>
          <w:rFonts w:cs="Times New Roman"/>
        </w:rPr>
        <w:t>《</w:t>
      </w:r>
      <w:r>
        <w:rPr>
          <w:rFonts w:hint="eastAsia" w:cs="Times New Roman"/>
        </w:rPr>
        <w:t>阜康市国民经济和社会发展第十四个五年规划和2035年远景目标纲要</w:t>
      </w:r>
      <w:r>
        <w:rPr>
          <w:rFonts w:cs="Times New Roman"/>
        </w:rPr>
        <w:t>》</w:t>
      </w:r>
      <w:r>
        <w:rPr>
          <w:rFonts w:hint="eastAsia" w:cs="Times New Roman"/>
        </w:rPr>
        <w:t>第四篇第二章中提出“强化煤层气开发、优质战略资源开发及再生清洁能源开发。推进晋源能源有限公司天然气液化应急储调峰等项目建设，加快企业清洁能源替代。加快推动抽水蓄能电站、光伏热电项目建成投产，降低电网成本，提高电网的可靠性。推动中亚环地新能源极热环境实验室建设，推动新能源研发。”</w:t>
      </w:r>
    </w:p>
    <w:p>
      <w:pPr>
        <w:pStyle w:val="494"/>
        <w:ind w:firstLine="480"/>
      </w:pPr>
      <w:r>
        <w:rPr>
          <w:rFonts w:hint="eastAsia" w:cs="Times New Roman"/>
        </w:rPr>
        <w:t>本项目回收董7</w:t>
      </w:r>
      <w:r>
        <w:rPr>
          <w:rFonts w:cs="Times New Roman"/>
        </w:rPr>
        <w:t>01</w:t>
      </w:r>
      <w:r>
        <w:rPr>
          <w:rFonts w:hint="eastAsia" w:cs="Times New Roman"/>
        </w:rPr>
        <w:t>区块放空天然气，可有效回收和利用当地资源，</w:t>
      </w:r>
      <w:r>
        <w:rPr>
          <w:rFonts w:cs="Times New Roman"/>
        </w:rPr>
        <w:t>将产生的原料气经处置净化后的CNG以及混烃分别经专用罐车拉运至下游用户外售</w:t>
      </w:r>
      <w:r>
        <w:rPr>
          <w:rFonts w:hint="eastAsia" w:cs="Times New Roman"/>
        </w:rPr>
        <w:t>，符合相关要求。</w:t>
      </w:r>
    </w:p>
    <w:p>
      <w:pPr>
        <w:pStyle w:val="494"/>
        <w:ind w:firstLine="480"/>
        <w:rPr>
          <w:lang w:bidi="en-US"/>
        </w:rPr>
      </w:pPr>
      <w:r>
        <w:rPr>
          <w:rFonts w:hint="eastAsia"/>
        </w:rPr>
        <w:t>8、</w:t>
      </w:r>
      <w:r>
        <w:rPr>
          <w:rFonts w:hint="eastAsia"/>
          <w:lang w:bidi="en-US"/>
        </w:rPr>
        <w:t>与</w:t>
      </w:r>
      <w:r>
        <w:rPr>
          <w:rFonts w:hint="eastAsia"/>
          <w:bCs/>
          <w:lang w:bidi="en-US"/>
        </w:rPr>
        <w:t>《关于印发《新疆维吾尔自治区“三线一单”生态环境分区管控方案》的通知》（新政发〔</w:t>
      </w:r>
      <w:r>
        <w:rPr>
          <w:bCs/>
          <w:lang w:bidi="en-US"/>
        </w:rPr>
        <w:t>2021</w:t>
      </w:r>
      <w:r>
        <w:rPr>
          <w:rFonts w:hint="eastAsia"/>
          <w:bCs/>
          <w:lang w:bidi="en-US"/>
        </w:rPr>
        <w:t>〕</w:t>
      </w:r>
      <w:r>
        <w:rPr>
          <w:bCs/>
          <w:lang w:bidi="en-US"/>
        </w:rPr>
        <w:t>18</w:t>
      </w:r>
      <w:r>
        <w:rPr>
          <w:rFonts w:hint="eastAsia"/>
          <w:bCs/>
          <w:lang w:bidi="en-US"/>
        </w:rPr>
        <w:t>号）符合性分析</w:t>
      </w:r>
    </w:p>
    <w:p>
      <w:pPr>
        <w:pStyle w:val="494"/>
        <w:ind w:firstLine="480"/>
        <w:rPr>
          <w:bCs/>
          <w:lang w:bidi="en-US"/>
        </w:rPr>
      </w:pPr>
      <w:r>
        <w:rPr>
          <w:rFonts w:hint="eastAsia"/>
          <w:bCs/>
          <w:lang w:bidi="en-US"/>
        </w:rPr>
        <w:t>根据《关于印发《新疆维吾尔自治区“三线一单”生态环境分区管控方案》的通知》（新政发〔</w:t>
      </w:r>
      <w:r>
        <w:rPr>
          <w:bCs/>
          <w:lang w:bidi="en-US"/>
        </w:rPr>
        <w:t>2021</w:t>
      </w:r>
      <w:r>
        <w:rPr>
          <w:rFonts w:hint="eastAsia"/>
          <w:bCs/>
          <w:lang w:bidi="en-US"/>
        </w:rPr>
        <w:t>〕</w:t>
      </w:r>
      <w:r>
        <w:rPr>
          <w:bCs/>
          <w:lang w:bidi="en-US"/>
        </w:rPr>
        <w:t>18</w:t>
      </w:r>
      <w:r>
        <w:rPr>
          <w:rFonts w:hint="eastAsia"/>
          <w:bCs/>
          <w:lang w:bidi="en-US"/>
        </w:rPr>
        <w:t>号），自治区按照管控要求，划定优先保护单元、重点管控单元、一般管控单元三类，实施分类管控。</w:t>
      </w:r>
    </w:p>
    <w:p>
      <w:pPr>
        <w:pStyle w:val="494"/>
        <w:ind w:firstLine="480"/>
        <w:rPr>
          <w:bCs/>
          <w:lang w:bidi="en-US"/>
        </w:rPr>
      </w:pPr>
      <w:r>
        <w:rPr>
          <w:rFonts w:hint="eastAsia"/>
          <w:bCs/>
          <w:lang w:bidi="en-US"/>
        </w:rPr>
        <w:t>优先保护单元主要包括生态保护红线区和生态保护红线区以外的饮用水水源保护区、水源涵养区、防风固沙区、土地沙化防控区、水土流失防控区等一般生态空间管控区。生态保护红线区执行生态保护红线管理办法的有关要求；一般生态空间管控区应以生态保护优先原则，开发建设活动应严格执行相关法律、法规要求，严守生态环境质量底线，确保生态功能不降低。</w:t>
      </w:r>
    </w:p>
    <w:p>
      <w:pPr>
        <w:pStyle w:val="494"/>
        <w:ind w:firstLine="480"/>
        <w:rPr>
          <w:bCs/>
          <w:lang w:bidi="en-US"/>
        </w:rPr>
      </w:pPr>
      <w:r>
        <w:rPr>
          <w:rFonts w:hint="eastAsia"/>
          <w:bCs/>
          <w:lang w:bidi="en-US"/>
        </w:rPr>
        <w:t>重点管控单元主要包括城镇建成区、工业园区和开发强度大、污染物排放强度高的工业聚集区等。重点管控单元要着力优化空间布局，不断提升资源利用效率，有针对性地加强污染物排放管控和环境风险防控，解决生态环境质量不达标、生态环境风险高等问题。</w:t>
      </w:r>
    </w:p>
    <w:p>
      <w:pPr>
        <w:pStyle w:val="494"/>
        <w:ind w:firstLine="480"/>
        <w:rPr>
          <w:bCs/>
          <w:lang w:bidi="en-US"/>
        </w:rPr>
      </w:pPr>
      <w:r>
        <w:rPr>
          <w:rFonts w:hint="eastAsia"/>
          <w:bCs/>
          <w:lang w:bidi="en-US"/>
        </w:rPr>
        <w:t>一般管控单元主要包括优先保护单元和重点管控单元之外的其他区域。一般管控单元主要落实生态环境保护基本要求，推动区域环境质量持续改善。</w:t>
      </w:r>
    </w:p>
    <w:p>
      <w:pPr>
        <w:pStyle w:val="494"/>
        <w:ind w:firstLine="480"/>
        <w:rPr>
          <w:bCs/>
          <w:lang w:bidi="en-US"/>
        </w:rPr>
      </w:pPr>
      <w:r>
        <w:rPr>
          <w:rFonts w:hint="eastAsia"/>
          <w:bCs/>
          <w:lang w:bidi="en-US"/>
        </w:rPr>
        <w:t>落实生态环境分区管控要求。以环境管控单元为基础，从空间布局约束、污染物排放管控、环境风险防控和资源利用效率四个方面严格环境准入。</w:t>
      </w:r>
    </w:p>
    <w:p>
      <w:pPr>
        <w:pStyle w:val="494"/>
        <w:ind w:firstLine="480"/>
        <w:rPr>
          <w:bCs/>
          <w:lang w:bidi="en-US"/>
        </w:rPr>
      </w:pPr>
      <w:r>
        <w:rPr>
          <w:rFonts w:hint="eastAsia"/>
          <w:bCs/>
          <w:lang w:bidi="en-US"/>
        </w:rPr>
        <w:t>机遇新疆各地自然地理条件、资源环境禀赋、经济社会发展状况的差异性，将全区划分为七大片区，包括北疆北部（塔城地区、阿勒泰地区）、伊犁河谷、克奎乌—博州、乌昌石、吐哈、天山南坡（巴州、阿克苏地区）和南疆三地州片区。北疆北部片区重点突出阿尔泰山、准噶尔西部山地等水源涵养功能和生物多样性功能维护、额尔齐斯河和额敏河环境风险防控；伊犁河谷片区重点突出西天山水源涵养功能和生物多样性功能维护、伊犁河谷片区重点突出西天山水源涵养功能和生物多样性功能维护、伊犁河环境风险防控、城镇大气污染控制；克奎乌—博州片区重点突出大气污染治理、生物多样性维护和荒漠化防治；乌昌石片区重点突出大气污染治理、资源能源利用效率提升；吐哈片区重点突出荒漠化防治、水资源利用效率提升；天山南坡片区重点突出塔里木盆地北缘荒漠化防治、保障生态用水和博斯腾湖综合治理；南疆三地州片区重点突出塔里木盆地南缘荒漠化防治、土地利用效率和水资源利用效率提升。</w:t>
      </w:r>
    </w:p>
    <w:p>
      <w:pPr>
        <w:pStyle w:val="494"/>
        <w:ind w:firstLine="480"/>
        <w:rPr>
          <w:bCs/>
          <w:lang w:bidi="en-US"/>
        </w:rPr>
      </w:pPr>
      <w:r>
        <w:rPr>
          <w:bCs/>
          <w:lang w:bidi="en-US"/>
        </w:rPr>
        <w:t>本项目位于新疆维吾尔自治区昌吉回族自治州阜康市境内北部沙漠区，用地类型为林地，根据《关于印发新疆自治区级水土流失重点预防区和重点治理区复核划分成果的通知》（新水水保〔2019〕4号），阜康属于</w:t>
      </w:r>
      <w:r>
        <w:rPr>
          <w:bCs/>
          <w:lang w:bidi="en-US"/>
        </w:rPr>
        <w:fldChar w:fldCharType="begin"/>
      </w:r>
      <w:r>
        <w:rPr>
          <w:bCs/>
          <w:lang w:bidi="en-US"/>
        </w:rPr>
        <w:instrText xml:space="preserve"> = 2 \* ROMAN </w:instrText>
      </w:r>
      <w:r>
        <w:rPr>
          <w:bCs/>
          <w:lang w:bidi="en-US"/>
        </w:rPr>
        <w:fldChar w:fldCharType="separate"/>
      </w:r>
      <w:r>
        <w:rPr>
          <w:bCs/>
          <w:lang w:bidi="en-US"/>
        </w:rPr>
        <w:t>II</w:t>
      </w:r>
      <w:r>
        <w:fldChar w:fldCharType="end"/>
      </w:r>
      <w:r>
        <w:rPr>
          <w:bCs/>
          <w:vertAlign w:val="subscript"/>
          <w:lang w:bidi="en-US"/>
        </w:rPr>
        <w:t>2</w:t>
      </w:r>
      <w:r>
        <w:rPr>
          <w:bCs/>
          <w:lang w:bidi="en-US"/>
        </w:rPr>
        <w:t>天山北坡诸小河流域重点治理区</w:t>
      </w:r>
      <w:r>
        <w:rPr>
          <w:rFonts w:hint="eastAsia"/>
          <w:bCs/>
          <w:lang w:bidi="en-US"/>
        </w:rPr>
        <w:t>，因此</w:t>
      </w:r>
      <w:r>
        <w:rPr>
          <w:bCs/>
          <w:lang w:bidi="en-US"/>
        </w:rPr>
        <w:t>项目所在区域属于优先管控区，本项目在建设中严格落实生态环境保护措施，推动区域环境质量可持续发展。根据方案分区管控要求，本项目在建设中严格落实大气污染物各项治理措施。本项目产生的主要废气</w:t>
      </w:r>
      <w:r>
        <w:rPr>
          <w:rFonts w:hint="eastAsia"/>
          <w:bCs/>
          <w:lang w:bidi="en-US"/>
        </w:rPr>
        <w:t>为燃气发电机组产生的废气，主要污染物为NOx、SO</w:t>
      </w:r>
      <w:r>
        <w:rPr>
          <w:rFonts w:hint="eastAsia"/>
          <w:bCs/>
          <w:vertAlign w:val="subscript"/>
          <w:lang w:bidi="en-US"/>
        </w:rPr>
        <w:t>2</w:t>
      </w:r>
      <w:r>
        <w:rPr>
          <w:rFonts w:hint="eastAsia"/>
          <w:bCs/>
          <w:lang w:bidi="en-US"/>
        </w:rPr>
        <w:t>，根据计算，产生量较小，并且项目区区域开阔，周围无敏感点等分布，产生的废气会很快扩散，不会对项目区产生较大影响，</w:t>
      </w:r>
      <w:r>
        <w:rPr>
          <w:bCs/>
          <w:lang w:bidi="en-US"/>
        </w:rPr>
        <w:t>通过预测，项目建成后周边环境满足相应环境质量标准，符合环境质量底线的要求，不会对环境质量底线产生冲击。</w:t>
      </w:r>
      <w:r>
        <w:rPr>
          <w:rFonts w:hint="eastAsia"/>
          <w:bCs/>
          <w:lang w:bidi="en-US"/>
        </w:rPr>
        <w:t>综合分析，本项目符合《关于印发《新疆维吾尔自治区“三线一单”生态环境分区管控方案》的通知》（新政发〔</w:t>
      </w:r>
      <w:r>
        <w:rPr>
          <w:bCs/>
          <w:lang w:bidi="en-US"/>
        </w:rPr>
        <w:t>2021</w:t>
      </w:r>
      <w:r>
        <w:rPr>
          <w:rFonts w:hint="eastAsia"/>
          <w:bCs/>
          <w:lang w:bidi="en-US"/>
        </w:rPr>
        <w:t>〕</w:t>
      </w:r>
      <w:r>
        <w:rPr>
          <w:bCs/>
          <w:lang w:bidi="en-US"/>
        </w:rPr>
        <w:t>18</w:t>
      </w:r>
      <w:r>
        <w:rPr>
          <w:rFonts w:hint="eastAsia"/>
          <w:bCs/>
          <w:lang w:bidi="en-US"/>
        </w:rPr>
        <w:t>号）要求。</w:t>
      </w:r>
    </w:p>
    <w:p>
      <w:pPr>
        <w:pStyle w:val="494"/>
        <w:ind w:firstLine="480"/>
        <w:rPr>
          <w:rFonts w:cs="Times New Roman" w:eastAsiaTheme="minorEastAsia"/>
          <w:kern w:val="0"/>
        </w:rPr>
      </w:pPr>
      <w:bookmarkStart w:id="212" w:name="_Toc40289863"/>
      <w:r>
        <w:rPr>
          <w:rFonts w:cs="Times New Roman" w:eastAsiaTheme="minorEastAsia"/>
          <w:kern w:val="0"/>
        </w:rPr>
        <w:t>（2）与《自治区生态环境分区管控方案和七大片区管控要求》的符合性分析</w:t>
      </w:r>
    </w:p>
    <w:p>
      <w:pPr>
        <w:pStyle w:val="494"/>
        <w:ind w:firstLine="480"/>
        <w:rPr>
          <w:rFonts w:cs="Times New Roman" w:eastAsiaTheme="minorEastAsia"/>
          <w:kern w:val="0"/>
        </w:rPr>
      </w:pPr>
      <w:r>
        <w:rPr>
          <w:rFonts w:cs="Times New Roman" w:eastAsiaTheme="minorEastAsia"/>
          <w:kern w:val="0"/>
        </w:rPr>
        <w:t>自治区层面确定优先保护、重点管控、一般管控单元的总体生态环境管控要求。优先保护单元中，应以生态环境保护优先为原则，严格执行相关法律、法规要求，严守生态环境质量底线，确保生态环境功能不降低。重点管控单元中，针对环境质量是否达标以及经济社会发展水平等因素，制定差别化的生态环境准入要求，对环境质量不达标区域，提出污染物削减比例要求，对环境质量达标区域，提出允许排放量建议指标。一般管控单元中，执行区域生态环境保护的基本要求，重点加强农业、生活等领域污染治理。</w:t>
      </w:r>
    </w:p>
    <w:p>
      <w:pPr>
        <w:pStyle w:val="494"/>
        <w:ind w:firstLine="480"/>
        <w:rPr>
          <w:rFonts w:cs="Times New Roman" w:eastAsiaTheme="minorEastAsia"/>
          <w:kern w:val="0"/>
        </w:rPr>
      </w:pPr>
      <w:r>
        <w:rPr>
          <w:rFonts w:cs="Times New Roman" w:eastAsiaTheme="minorEastAsia"/>
          <w:kern w:val="0"/>
        </w:rPr>
        <w:t>本项目位于</w:t>
      </w:r>
      <w:r>
        <w:rPr>
          <w:rFonts w:hint="eastAsia" w:cs="Times New Roman" w:eastAsiaTheme="minorEastAsia"/>
          <w:kern w:val="0"/>
        </w:rPr>
        <w:t>优先</w:t>
      </w:r>
      <w:r>
        <w:rPr>
          <w:rFonts w:cs="Times New Roman" w:eastAsiaTheme="minorEastAsia"/>
          <w:kern w:val="0"/>
        </w:rPr>
        <w:t>管控单元，与《自治区生态环境分区管控方案和七大片区管控要求》的符合性分析详见表3.2-3。</w:t>
      </w:r>
    </w:p>
    <w:p>
      <w:pPr>
        <w:pStyle w:val="400"/>
        <w:ind w:firstLine="420"/>
      </w:pPr>
      <w:r>
        <w:rPr>
          <w:rFonts w:hint="eastAsia"/>
        </w:rPr>
        <w:t>表3.2-</w:t>
      </w:r>
      <w:r>
        <w:t>3</w:t>
      </w:r>
      <w:r>
        <w:rPr>
          <w:rFonts w:hint="eastAsia"/>
        </w:rPr>
        <w:t xml:space="preserve">  与《自治区生态环境分区管控方案和七大片区管控要求》符合性</w:t>
      </w:r>
      <w:r>
        <w:t>分析</w:t>
      </w:r>
    </w:p>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788"/>
        <w:gridCol w:w="4432"/>
        <w:gridCol w:w="1920"/>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923" w:type="pct"/>
            <w:gridSpan w:val="2"/>
            <w:shd w:val="clear" w:color="auto" w:fill="auto"/>
            <w:vAlign w:val="center"/>
          </w:tcPr>
          <w:p>
            <w:pPr>
              <w:pStyle w:val="687"/>
            </w:pPr>
            <w:r>
              <w:rPr>
                <w:lang w:eastAsia="zh-CN"/>
              </w:rPr>
              <w:t>管控名称</w:t>
            </w:r>
          </w:p>
        </w:tc>
        <w:tc>
          <w:tcPr>
            <w:tcW w:w="2670" w:type="pct"/>
            <w:shd w:val="clear" w:color="auto" w:fill="auto"/>
            <w:vAlign w:val="center"/>
          </w:tcPr>
          <w:p>
            <w:pPr>
              <w:pStyle w:val="687"/>
            </w:pPr>
            <w:r>
              <w:t>内容</w:t>
            </w:r>
          </w:p>
        </w:tc>
        <w:tc>
          <w:tcPr>
            <w:tcW w:w="1008" w:type="pct"/>
            <w:shd w:val="clear" w:color="auto" w:fill="auto"/>
            <w:vAlign w:val="center"/>
          </w:tcPr>
          <w:p>
            <w:pPr>
              <w:pStyle w:val="687"/>
              <w:rPr>
                <w:lang w:eastAsia="zh-CN"/>
              </w:rPr>
            </w:pPr>
            <w:r>
              <w:rPr>
                <w:lang w:eastAsia="zh-CN"/>
              </w:rPr>
              <w:t>项目概况</w:t>
            </w:r>
          </w:p>
        </w:tc>
        <w:tc>
          <w:tcPr>
            <w:tcW w:w="399" w:type="pct"/>
            <w:vAlign w:val="center"/>
          </w:tcPr>
          <w:p>
            <w:pPr>
              <w:pStyle w:val="687"/>
              <w:rPr>
                <w:lang w:eastAsia="zh-CN"/>
              </w:rPr>
            </w:pPr>
            <w:r>
              <w:rPr>
                <w:lang w:eastAsia="zh-CN"/>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923" w:type="pct"/>
            <w:gridSpan w:val="2"/>
            <w:shd w:val="clear" w:color="auto" w:fill="auto"/>
            <w:vAlign w:val="center"/>
          </w:tcPr>
          <w:p>
            <w:pPr>
              <w:pStyle w:val="687"/>
              <w:rPr>
                <w:lang w:eastAsia="zh-CN"/>
              </w:rPr>
            </w:pPr>
            <w:r>
              <w:rPr>
                <w:rFonts w:hint="eastAsia"/>
                <w:bCs/>
                <w:kern w:val="2"/>
              </w:rPr>
              <w:t>A5.1生态保护红线区</w:t>
            </w:r>
          </w:p>
        </w:tc>
        <w:tc>
          <w:tcPr>
            <w:tcW w:w="2670" w:type="pct"/>
            <w:shd w:val="clear" w:color="auto" w:fill="auto"/>
            <w:vAlign w:val="center"/>
          </w:tcPr>
          <w:p>
            <w:pPr>
              <w:pStyle w:val="687"/>
              <w:jc w:val="both"/>
              <w:rPr>
                <w:lang w:eastAsia="zh-CN"/>
              </w:rPr>
            </w:pPr>
            <w:r>
              <w:rPr>
                <w:rFonts w:hint="eastAsia"/>
                <w:lang w:eastAsia="zh-CN"/>
              </w:rPr>
              <w:t>【A5.1-1】生态保护红线按红线管控要求进行管理，禁止或限制不符合主体功能定位的各类开发活动，确保生态保护红线内“生态功能不降低，面积不减少，性质不改变”。</w:t>
            </w:r>
          </w:p>
          <w:p>
            <w:pPr>
              <w:pStyle w:val="687"/>
              <w:jc w:val="both"/>
              <w:rPr>
                <w:lang w:eastAsia="zh-CN"/>
              </w:rPr>
            </w:pPr>
            <w:r>
              <w:rPr>
                <w:rFonts w:hint="eastAsia"/>
                <w:lang w:eastAsia="zh-CN"/>
              </w:rPr>
              <w:t>【A5.1-2】禁止在自然保护区、风景名胜区、饮用水水源保护区、世界文化和自然遗产地、森林公园、基本农田保护区、基本草原、森林公园、地质公园、重要湿地、天然林、珍稀濒危野生动植物天然集中分布区等重点保护区域内及其它法律法规禁止的区域进行污染环境的任何开发建设活动，现行法律、法规明确豁免的开发建设活动除外</w:t>
            </w:r>
          </w:p>
        </w:tc>
        <w:tc>
          <w:tcPr>
            <w:tcW w:w="1008" w:type="pct"/>
            <w:shd w:val="clear" w:color="auto" w:fill="auto"/>
            <w:vAlign w:val="center"/>
          </w:tcPr>
          <w:p>
            <w:pPr>
              <w:pStyle w:val="687"/>
              <w:rPr>
                <w:lang w:eastAsia="zh-CN"/>
              </w:rPr>
            </w:pPr>
            <w:r>
              <w:rPr>
                <w:rFonts w:hint="eastAsia"/>
                <w:lang w:eastAsia="zh-CN"/>
              </w:rPr>
              <w:t>本项目</w:t>
            </w:r>
            <w:r>
              <w:rPr>
                <w:lang w:eastAsia="zh-CN"/>
              </w:rPr>
              <w:t>占地类型为林地，已与阜康市林业和草原局签订林地补偿协议（</w:t>
            </w:r>
            <w:r>
              <w:rPr>
                <w:rFonts w:hint="eastAsia"/>
                <w:lang w:eastAsia="zh-CN"/>
              </w:rPr>
              <w:t>详见附件</w:t>
            </w:r>
            <w:r>
              <w:rPr>
                <w:lang w:eastAsia="zh-CN"/>
              </w:rPr>
              <w:t>）</w:t>
            </w:r>
            <w:r>
              <w:rPr>
                <w:rFonts w:hint="eastAsia"/>
                <w:lang w:eastAsia="zh-CN"/>
              </w:rPr>
              <w:t>；本项目不在自然保护区、风景名胜区、饮用水水源保护区、世界文化和自然遗产地、森林公园、基本农田保护区、基本草原、森林公园、地质公园、重要湿地、天然林、珍稀濒危野生动植物天然集中分布区等重点保护区域内及其它法律法规禁止的区域</w:t>
            </w:r>
          </w:p>
        </w:tc>
        <w:tc>
          <w:tcPr>
            <w:tcW w:w="399" w:type="pct"/>
            <w:vAlign w:val="center"/>
          </w:tcPr>
          <w:p>
            <w:pPr>
              <w:pStyle w:val="687"/>
              <w:rPr>
                <w:lang w:eastAsia="zh-CN"/>
              </w:rPr>
            </w:pPr>
            <w:r>
              <w:rPr>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456" w:type="pct"/>
            <w:vMerge w:val="restart"/>
            <w:shd w:val="clear" w:color="auto" w:fill="auto"/>
            <w:vAlign w:val="center"/>
          </w:tcPr>
          <w:p>
            <w:pPr>
              <w:pStyle w:val="687"/>
              <w:rPr>
                <w:lang w:eastAsia="zh-CN"/>
              </w:rPr>
            </w:pPr>
            <w:r>
              <w:rPr>
                <w:rFonts w:hint="eastAsia"/>
                <w:lang w:eastAsia="zh-CN"/>
              </w:rPr>
              <w:t>A5.2一般生态空间</w:t>
            </w:r>
          </w:p>
        </w:tc>
        <w:tc>
          <w:tcPr>
            <w:tcW w:w="467" w:type="pct"/>
            <w:vAlign w:val="center"/>
          </w:tcPr>
          <w:p>
            <w:pPr>
              <w:pStyle w:val="687"/>
              <w:rPr>
                <w:lang w:eastAsia="zh-CN"/>
              </w:rPr>
            </w:pPr>
            <w:r>
              <w:rPr>
                <w:rFonts w:hint="eastAsia"/>
                <w:lang w:eastAsia="zh-CN"/>
              </w:rPr>
              <w:t>A5.2.1水源涵养区</w:t>
            </w:r>
          </w:p>
        </w:tc>
        <w:tc>
          <w:tcPr>
            <w:tcW w:w="2670" w:type="pct"/>
            <w:shd w:val="clear" w:color="auto" w:fill="auto"/>
            <w:vAlign w:val="center"/>
          </w:tcPr>
          <w:p>
            <w:pPr>
              <w:pStyle w:val="687"/>
              <w:rPr>
                <w:lang w:eastAsia="zh-CN"/>
              </w:rPr>
            </w:pPr>
            <w:r>
              <w:rPr>
                <w:rFonts w:hint="eastAsia"/>
                <w:lang w:eastAsia="zh-CN"/>
              </w:rPr>
              <w:t>【A5.2.1-1】推进天然林保护和围栏封育，以草定畜，严格控制载畜量，治理土壤侵蚀，维护与重建湿地、森林、草原等生态系统，严格保护具有水源涵养功能的植被。</w:t>
            </w:r>
          </w:p>
          <w:p>
            <w:pPr>
              <w:pStyle w:val="687"/>
              <w:jc w:val="both"/>
              <w:rPr>
                <w:lang w:eastAsia="zh-CN"/>
              </w:rPr>
            </w:pPr>
            <w:r>
              <w:rPr>
                <w:rFonts w:hint="eastAsia"/>
                <w:lang w:eastAsia="zh-CN"/>
              </w:rPr>
              <w:t>【A5.2.1-2】任何单位和个人不得在水源涵养区、饮用水水源保护区内和河流、湖泊、水库周围建设重化工、涉重金属等工业污染项目。</w:t>
            </w:r>
          </w:p>
        </w:tc>
        <w:tc>
          <w:tcPr>
            <w:tcW w:w="1008" w:type="pct"/>
            <w:shd w:val="clear" w:color="auto" w:fill="auto"/>
            <w:vAlign w:val="center"/>
          </w:tcPr>
          <w:p>
            <w:pPr>
              <w:pStyle w:val="687"/>
              <w:rPr>
                <w:lang w:eastAsia="zh-CN"/>
              </w:rPr>
            </w:pPr>
            <w:r>
              <w:rPr>
                <w:rFonts w:hint="eastAsia"/>
                <w:lang w:eastAsia="zh-CN"/>
              </w:rPr>
              <w:t>本项目位于水土流失重点治理区，不属于水源涵养区</w:t>
            </w:r>
          </w:p>
        </w:tc>
        <w:tc>
          <w:tcPr>
            <w:tcW w:w="399" w:type="pct"/>
            <w:vAlign w:val="center"/>
          </w:tcPr>
          <w:p>
            <w:pPr>
              <w:pStyle w:val="687"/>
              <w:rPr>
                <w:lang w:eastAsia="zh-CN"/>
              </w:rPr>
            </w:pPr>
            <w:r>
              <w:rPr>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456" w:type="pct"/>
            <w:vMerge w:val="continue"/>
            <w:shd w:val="clear" w:color="auto" w:fill="auto"/>
            <w:vAlign w:val="center"/>
          </w:tcPr>
          <w:p>
            <w:pPr>
              <w:pStyle w:val="687"/>
            </w:pPr>
          </w:p>
        </w:tc>
        <w:tc>
          <w:tcPr>
            <w:tcW w:w="467" w:type="pct"/>
            <w:vAlign w:val="center"/>
          </w:tcPr>
          <w:p>
            <w:pPr>
              <w:pStyle w:val="687"/>
              <w:rPr>
                <w:lang w:eastAsia="zh-CN"/>
              </w:rPr>
            </w:pPr>
            <w:r>
              <w:rPr>
                <w:rFonts w:hint="eastAsia"/>
                <w:lang w:eastAsia="zh-CN"/>
              </w:rPr>
              <w:t>A5.2.2水土保持区</w:t>
            </w:r>
          </w:p>
        </w:tc>
        <w:tc>
          <w:tcPr>
            <w:tcW w:w="2670" w:type="pct"/>
            <w:shd w:val="clear" w:color="auto" w:fill="auto"/>
            <w:vAlign w:val="center"/>
          </w:tcPr>
          <w:p>
            <w:pPr>
              <w:pStyle w:val="687"/>
              <w:jc w:val="both"/>
              <w:rPr>
                <w:lang w:eastAsia="zh-CN"/>
              </w:rPr>
            </w:pPr>
            <w:r>
              <w:rPr>
                <w:rFonts w:hint="eastAsia"/>
                <w:lang w:eastAsia="zh-CN"/>
              </w:rPr>
              <w:t>【A5.2.2-1】维护自然生态平衡，发挥荒漠草原生态功能。同时加强小流域综合治理，控制人为因素对土壤的侵蚀，恢复退化植被。保护草地植被，保护野生动物，保护河流水质。</w:t>
            </w:r>
          </w:p>
          <w:p>
            <w:pPr>
              <w:pStyle w:val="687"/>
              <w:jc w:val="both"/>
              <w:rPr>
                <w:lang w:eastAsia="zh-CN"/>
              </w:rPr>
            </w:pPr>
            <w:r>
              <w:rPr>
                <w:rFonts w:hint="eastAsia"/>
                <w:lang w:eastAsia="zh-CN"/>
              </w:rPr>
              <w:t>【A5.2.2-2】在侵蚀沟的沟坡和沟岸、河流的两岸以及湖泊和水库的周边，土地所有权人、使用权人或者有关管理单位应当营造植物保护带。禁止开垦、开发植物保护带。在二十五度以上陡坡地种植经济林的，应当科学选择树种，合理确定规模，采取水土保持措施，防止造成水土流失。生产建设项目选址、选线应当避让水土流失重点预防区和重点治理区；无法避让的，应当提高防治标准，优化施工工艺，减少地表扰动和植被损坏范围，有效控制可能造成的水土流失。</w:t>
            </w:r>
          </w:p>
          <w:p>
            <w:pPr>
              <w:pStyle w:val="687"/>
              <w:jc w:val="both"/>
              <w:rPr>
                <w:lang w:eastAsia="zh-CN"/>
              </w:rPr>
            </w:pPr>
            <w:r>
              <w:rPr>
                <w:rFonts w:hint="eastAsia"/>
                <w:lang w:eastAsia="zh-CN"/>
              </w:rPr>
              <w:t>【A5.2.2-3】严格保护植被、沙壳、结皮等具有水土保持功能的原生地貌，防止水土流失。</w:t>
            </w:r>
          </w:p>
          <w:p>
            <w:pPr>
              <w:pStyle w:val="687"/>
              <w:jc w:val="both"/>
              <w:rPr>
                <w:lang w:eastAsia="zh-CN"/>
              </w:rPr>
            </w:pPr>
            <w:r>
              <w:rPr>
                <w:rFonts w:hint="eastAsia"/>
                <w:lang w:eastAsia="zh-CN"/>
              </w:rPr>
              <w:t>水土流失重点预防区和重点治理区人民政府应当按照水土保持规划，加强水土保持重点工程建设，并采取下列水土保持措施加大生态修复力度：（一）坡面治理、沟道防护、山洪排导等工程措施；（二）造林、种草、封育保护等生物措施和生态修复措施。</w:t>
            </w:r>
          </w:p>
        </w:tc>
        <w:tc>
          <w:tcPr>
            <w:tcW w:w="1008" w:type="pct"/>
            <w:shd w:val="clear" w:color="auto" w:fill="auto"/>
            <w:vAlign w:val="center"/>
          </w:tcPr>
          <w:p>
            <w:pPr>
              <w:pStyle w:val="687"/>
              <w:rPr>
                <w:lang w:eastAsia="zh-CN"/>
              </w:rPr>
            </w:pPr>
            <w:r>
              <w:rPr>
                <w:rFonts w:hint="eastAsia"/>
                <w:lang w:eastAsia="zh-CN"/>
              </w:rPr>
              <w:t>本项目位于水土流失重点治理区，不属于水土保持区</w:t>
            </w:r>
          </w:p>
        </w:tc>
        <w:tc>
          <w:tcPr>
            <w:tcW w:w="399" w:type="pct"/>
            <w:vAlign w:val="center"/>
          </w:tcPr>
          <w:p>
            <w:pPr>
              <w:pStyle w:val="687"/>
              <w:rPr>
                <w:lang w:eastAsia="zh-CN"/>
              </w:rPr>
            </w:pPr>
            <w:r>
              <w:rPr>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Merge w:val="continue"/>
            <w:shd w:val="clear" w:color="auto" w:fill="auto"/>
            <w:vAlign w:val="center"/>
          </w:tcPr>
          <w:p>
            <w:pPr>
              <w:pStyle w:val="687"/>
            </w:pPr>
          </w:p>
        </w:tc>
        <w:tc>
          <w:tcPr>
            <w:tcW w:w="467" w:type="pct"/>
            <w:vAlign w:val="center"/>
          </w:tcPr>
          <w:p>
            <w:pPr>
              <w:pStyle w:val="687"/>
              <w:rPr>
                <w:lang w:eastAsia="zh-CN"/>
              </w:rPr>
            </w:pPr>
            <w:r>
              <w:rPr>
                <w:rFonts w:hint="eastAsia"/>
                <w:lang w:eastAsia="zh-CN"/>
              </w:rPr>
              <w:t>A5.2.3防风固沙区</w:t>
            </w:r>
          </w:p>
        </w:tc>
        <w:tc>
          <w:tcPr>
            <w:tcW w:w="2670" w:type="pct"/>
            <w:shd w:val="clear" w:color="auto" w:fill="auto"/>
            <w:vAlign w:val="center"/>
          </w:tcPr>
          <w:p>
            <w:pPr>
              <w:pStyle w:val="687"/>
              <w:jc w:val="both"/>
              <w:rPr>
                <w:lang w:eastAsia="zh-CN"/>
              </w:rPr>
            </w:pPr>
            <w:r>
              <w:rPr>
                <w:rFonts w:hint="eastAsia"/>
                <w:lang w:eastAsia="zh-CN"/>
              </w:rPr>
              <w:t>【A5.2.3-1】在风沙危害大的区域，转变传统畜牧业生产方式，实行禁牧休牧，推行舍饲圈养，以草定畜，严格控制载畜量。加大退牧还草、退耕还林和防沙治沙力度，恢复草地植被。</w:t>
            </w:r>
          </w:p>
          <w:p>
            <w:pPr>
              <w:pStyle w:val="687"/>
              <w:jc w:val="both"/>
              <w:rPr>
                <w:lang w:eastAsia="zh-CN"/>
              </w:rPr>
            </w:pPr>
            <w:r>
              <w:rPr>
                <w:rFonts w:hint="eastAsia"/>
                <w:lang w:eastAsia="zh-CN"/>
              </w:rPr>
              <w:t>【A5.2.3-2】县级以上人民政府林业行政主管部门应当严格控制防风固沙林网、林带的采伐。</w:t>
            </w:r>
          </w:p>
        </w:tc>
        <w:tc>
          <w:tcPr>
            <w:tcW w:w="1008" w:type="pct"/>
            <w:shd w:val="clear" w:color="auto" w:fill="auto"/>
            <w:vAlign w:val="center"/>
          </w:tcPr>
          <w:p>
            <w:pPr>
              <w:pStyle w:val="687"/>
              <w:rPr>
                <w:lang w:eastAsia="zh-CN"/>
              </w:rPr>
            </w:pPr>
            <w:r>
              <w:rPr>
                <w:rFonts w:hint="eastAsia"/>
                <w:lang w:eastAsia="zh-CN"/>
              </w:rPr>
              <w:t>本项目位于水土流失重点治理区，不属于防风固沙区，不涉及畜牧业</w:t>
            </w:r>
          </w:p>
        </w:tc>
        <w:tc>
          <w:tcPr>
            <w:tcW w:w="399" w:type="pct"/>
            <w:vAlign w:val="center"/>
          </w:tcPr>
          <w:p>
            <w:pPr>
              <w:pStyle w:val="687"/>
              <w:rPr>
                <w:lang w:eastAsia="zh-CN"/>
              </w:rPr>
            </w:pPr>
            <w:r>
              <w:rPr>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Merge w:val="continue"/>
            <w:shd w:val="clear" w:color="auto" w:fill="auto"/>
            <w:vAlign w:val="center"/>
          </w:tcPr>
          <w:p>
            <w:pPr>
              <w:pStyle w:val="687"/>
            </w:pPr>
          </w:p>
        </w:tc>
        <w:tc>
          <w:tcPr>
            <w:tcW w:w="467" w:type="pct"/>
            <w:vAlign w:val="center"/>
          </w:tcPr>
          <w:p>
            <w:pPr>
              <w:pStyle w:val="687"/>
              <w:rPr>
                <w:lang w:eastAsia="zh-CN"/>
              </w:rPr>
            </w:pPr>
            <w:r>
              <w:rPr>
                <w:rFonts w:hint="eastAsia"/>
                <w:lang w:eastAsia="zh-CN"/>
              </w:rPr>
              <w:t>A5.2.4生物多样性维护区</w:t>
            </w:r>
          </w:p>
        </w:tc>
        <w:tc>
          <w:tcPr>
            <w:tcW w:w="2670" w:type="pct"/>
            <w:shd w:val="clear" w:color="auto" w:fill="auto"/>
            <w:vAlign w:val="center"/>
          </w:tcPr>
          <w:p>
            <w:pPr>
              <w:pStyle w:val="687"/>
              <w:jc w:val="both"/>
              <w:rPr>
                <w:lang w:eastAsia="zh-CN"/>
              </w:rPr>
            </w:pPr>
            <w:r>
              <w:rPr>
                <w:rFonts w:hint="eastAsia"/>
                <w:lang w:eastAsia="zh-CN"/>
              </w:rPr>
              <w:t>【A5.2.4-1】禁止对野生动植物进行滥捕、乱采和乱猎。保护自然生态系统与重要物种栖息地，加强对外来物种入侵的控制，禁止在生物多样性保护功能区引进外来物种。</w:t>
            </w:r>
          </w:p>
          <w:p>
            <w:pPr>
              <w:pStyle w:val="687"/>
              <w:jc w:val="both"/>
              <w:rPr>
                <w:lang w:eastAsia="zh-CN"/>
              </w:rPr>
            </w:pPr>
            <w:r>
              <w:rPr>
                <w:rFonts w:hint="eastAsia"/>
                <w:lang w:eastAsia="zh-CN"/>
              </w:rPr>
              <w:t>【A5.2.4-2】加强防御外来物种入侵的能力，防止外来有害物种对生态系统的侵害。加强生态建设和管理，减少人为干扰，对其进行封禁，要维持好天然草地的生态平衡，保护好现有野生动植物生存环境。</w:t>
            </w:r>
          </w:p>
          <w:p>
            <w:pPr>
              <w:pStyle w:val="687"/>
              <w:jc w:val="both"/>
              <w:rPr>
                <w:lang w:eastAsia="zh-CN"/>
              </w:rPr>
            </w:pPr>
            <w:r>
              <w:rPr>
                <w:rFonts w:hint="eastAsia"/>
                <w:lang w:eastAsia="zh-CN"/>
              </w:rPr>
              <w:t>【A5.2.4-3】继续推进天然林保护、退耕还林还草、风沙源治理、防护林体系、野生动植物保护等重点生态工程；工程措施和生物措施相结合，修复遭到破坏或退化的河湖鱼类产卵场，恢复河湖鱼类生态联系；继续实施禁渔区、禁渔期、捕捞配额和捕捞许可证制度；加强对自然保护区外分布的极小种群野生植物就地保护小区、保护点的建设，开展多种形式的民间生物多样性就地保护；继续实施退牧还草工程，通过禁牧封育、轮封轮牧等措施，限制超载放牧等活动，加强草原生态系统保护</w:t>
            </w:r>
          </w:p>
        </w:tc>
        <w:tc>
          <w:tcPr>
            <w:tcW w:w="1008" w:type="pct"/>
            <w:shd w:val="clear" w:color="auto" w:fill="auto"/>
            <w:vAlign w:val="center"/>
          </w:tcPr>
          <w:p>
            <w:pPr>
              <w:pStyle w:val="687"/>
              <w:rPr>
                <w:lang w:eastAsia="zh-CN"/>
              </w:rPr>
            </w:pPr>
            <w:r>
              <w:rPr>
                <w:rFonts w:hint="eastAsia"/>
                <w:lang w:eastAsia="zh-CN"/>
              </w:rPr>
              <w:t>企业已禁止对野生动植物进行滥捕、乱采和乱猎</w:t>
            </w:r>
          </w:p>
        </w:tc>
        <w:tc>
          <w:tcPr>
            <w:tcW w:w="399" w:type="pct"/>
            <w:vAlign w:val="center"/>
          </w:tcPr>
          <w:p>
            <w:pPr>
              <w:pStyle w:val="687"/>
              <w:rPr>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Merge w:val="continue"/>
            <w:shd w:val="clear" w:color="auto" w:fill="auto"/>
            <w:vAlign w:val="center"/>
          </w:tcPr>
          <w:p>
            <w:pPr>
              <w:pStyle w:val="687"/>
              <w:rPr>
                <w:lang w:eastAsia="zh-CN"/>
              </w:rPr>
            </w:pPr>
          </w:p>
        </w:tc>
        <w:tc>
          <w:tcPr>
            <w:tcW w:w="467" w:type="pct"/>
            <w:vAlign w:val="center"/>
          </w:tcPr>
          <w:p>
            <w:pPr>
              <w:pStyle w:val="687"/>
              <w:rPr>
                <w:lang w:eastAsia="zh-CN"/>
              </w:rPr>
            </w:pPr>
            <w:r>
              <w:rPr>
                <w:rFonts w:hint="eastAsia"/>
                <w:lang w:eastAsia="zh-CN"/>
              </w:rPr>
              <w:t>A5.2.5水土流失区</w:t>
            </w:r>
          </w:p>
        </w:tc>
        <w:tc>
          <w:tcPr>
            <w:tcW w:w="2670" w:type="pct"/>
            <w:shd w:val="clear" w:color="auto" w:fill="auto"/>
            <w:vAlign w:val="center"/>
          </w:tcPr>
          <w:p>
            <w:pPr>
              <w:pStyle w:val="687"/>
              <w:jc w:val="both"/>
              <w:rPr>
                <w:lang w:eastAsia="zh-CN"/>
              </w:rPr>
            </w:pPr>
            <w:r>
              <w:rPr>
                <w:rFonts w:hint="eastAsia"/>
                <w:lang w:eastAsia="zh-CN"/>
              </w:rPr>
              <w:t>【A5.2.5-1】全面实施保护天然林、退耕还林、退牧还草工程。在水土流失严重并可能对当地或下游造成严重危害的区域实施水土保持工程，进行重点治理。严格资源开发和建设项目的生态监管，控制新的人为水土流失。</w:t>
            </w:r>
          </w:p>
          <w:p>
            <w:pPr>
              <w:pStyle w:val="687"/>
              <w:jc w:val="both"/>
              <w:rPr>
                <w:lang w:eastAsia="zh-CN"/>
              </w:rPr>
            </w:pPr>
            <w:r>
              <w:rPr>
                <w:rFonts w:hint="eastAsia"/>
                <w:lang w:eastAsia="zh-CN"/>
              </w:rPr>
              <w:t>【A5.2.5-2】加强对取土、挖砂、采石等活动的管理，预防和减轻水土流失。生产建设项目选址、选线应当避让水土流失重点预防区和重点治理区；无法避让的，应当提高防治标准，优化施工工艺，减少地表扰动和植被损坏范围，有效控制可能造成的水土流失。</w:t>
            </w:r>
          </w:p>
        </w:tc>
        <w:tc>
          <w:tcPr>
            <w:tcW w:w="1008" w:type="pct"/>
            <w:shd w:val="clear" w:color="auto" w:fill="auto"/>
            <w:vAlign w:val="center"/>
          </w:tcPr>
          <w:p>
            <w:pPr>
              <w:pStyle w:val="687"/>
              <w:rPr>
                <w:lang w:eastAsia="zh-CN"/>
              </w:rPr>
            </w:pPr>
          </w:p>
        </w:tc>
        <w:tc>
          <w:tcPr>
            <w:tcW w:w="399" w:type="pct"/>
            <w:vAlign w:val="center"/>
          </w:tcPr>
          <w:p>
            <w:pPr>
              <w:pStyle w:val="687"/>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Merge w:val="continue"/>
            <w:shd w:val="clear" w:color="auto" w:fill="auto"/>
            <w:vAlign w:val="center"/>
          </w:tcPr>
          <w:p>
            <w:pPr>
              <w:pStyle w:val="687"/>
              <w:rPr>
                <w:lang w:eastAsia="zh-CN"/>
              </w:rPr>
            </w:pPr>
          </w:p>
        </w:tc>
        <w:tc>
          <w:tcPr>
            <w:tcW w:w="467" w:type="pct"/>
            <w:vAlign w:val="center"/>
          </w:tcPr>
          <w:p>
            <w:pPr>
              <w:pStyle w:val="687"/>
              <w:rPr>
                <w:lang w:eastAsia="zh-CN"/>
              </w:rPr>
            </w:pPr>
            <w:r>
              <w:rPr>
                <w:rFonts w:hint="eastAsia"/>
                <w:lang w:eastAsia="zh-CN"/>
              </w:rPr>
              <w:t>A5.2.6土地沙化区</w:t>
            </w:r>
          </w:p>
        </w:tc>
        <w:tc>
          <w:tcPr>
            <w:tcW w:w="2670" w:type="pct"/>
            <w:shd w:val="clear" w:color="auto" w:fill="auto"/>
            <w:vAlign w:val="center"/>
          </w:tcPr>
          <w:p>
            <w:pPr>
              <w:pStyle w:val="687"/>
              <w:jc w:val="both"/>
              <w:rPr>
                <w:lang w:eastAsia="zh-CN"/>
              </w:rPr>
            </w:pPr>
            <w:r>
              <w:rPr>
                <w:rFonts w:hint="eastAsia"/>
                <w:lang w:eastAsia="zh-CN"/>
              </w:rPr>
              <w:t>【A5.2.6-1】调整传统的畜牧业生产方式，大力发展草业，加快规模化圈养牧业的发展，控制放养对草地生态系统的损害。积极推进草畜平衡科学管理办法，限制养殖规模。实施防风固沙工程，恢复草地植被，大力推进调整产业结构，退耕还草，退牧还草等措施</w:t>
            </w:r>
          </w:p>
        </w:tc>
        <w:tc>
          <w:tcPr>
            <w:tcW w:w="1008" w:type="pct"/>
            <w:shd w:val="clear" w:color="auto" w:fill="auto"/>
            <w:vAlign w:val="center"/>
          </w:tcPr>
          <w:p>
            <w:pPr>
              <w:pStyle w:val="687"/>
              <w:rPr>
                <w:lang w:eastAsia="zh-CN"/>
              </w:rPr>
            </w:pPr>
            <w:r>
              <w:rPr>
                <w:rFonts w:hint="eastAsia"/>
                <w:lang w:eastAsia="zh-CN"/>
              </w:rPr>
              <w:t>项目不涉及畜牧业</w:t>
            </w:r>
          </w:p>
        </w:tc>
        <w:tc>
          <w:tcPr>
            <w:tcW w:w="399" w:type="pct"/>
            <w:vAlign w:val="center"/>
          </w:tcPr>
          <w:p>
            <w:pPr>
              <w:pStyle w:val="687"/>
              <w:rPr>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Merge w:val="restart"/>
            <w:shd w:val="clear" w:color="auto" w:fill="auto"/>
            <w:vAlign w:val="center"/>
          </w:tcPr>
          <w:p>
            <w:pPr>
              <w:pStyle w:val="687"/>
              <w:rPr>
                <w:lang w:eastAsia="zh-CN"/>
              </w:rPr>
            </w:pPr>
            <w:r>
              <w:rPr>
                <w:rFonts w:hint="eastAsia"/>
                <w:lang w:eastAsia="zh-CN"/>
              </w:rPr>
              <w:t>A5.3其他优先保护区</w:t>
            </w:r>
          </w:p>
        </w:tc>
        <w:tc>
          <w:tcPr>
            <w:tcW w:w="467" w:type="pct"/>
            <w:vAlign w:val="center"/>
          </w:tcPr>
          <w:p>
            <w:pPr>
              <w:pStyle w:val="687"/>
              <w:rPr>
                <w:lang w:eastAsia="zh-CN"/>
              </w:rPr>
            </w:pPr>
            <w:r>
              <w:rPr>
                <w:bCs/>
                <w:kern w:val="2"/>
              </w:rPr>
              <w:t>A5.3.1空间布局约束</w:t>
            </w:r>
          </w:p>
        </w:tc>
        <w:tc>
          <w:tcPr>
            <w:tcW w:w="2670" w:type="pct"/>
            <w:shd w:val="clear" w:color="auto" w:fill="auto"/>
            <w:vAlign w:val="center"/>
          </w:tcPr>
          <w:p>
            <w:pPr>
              <w:pStyle w:val="687"/>
              <w:jc w:val="both"/>
              <w:rPr>
                <w:lang w:eastAsia="zh-CN"/>
              </w:rPr>
            </w:pPr>
            <w:r>
              <w:rPr>
                <w:bCs/>
                <w:kern w:val="2"/>
                <w:lang w:eastAsia="zh-CN"/>
              </w:rPr>
              <w:t>【A5.3.1-1】按照限制开发区域进行管理。禁止新建、扩建“高污染、高环境风险产品”的工业项目，现有“高污染、高环境风险产品”工业项目改建要削减污染物排放总量，涉及一类重金属、持久性有机污染物排放的现有“高污染、高环境风险产品”工业项目原则上结合地方政府整治要求搬迁关闭，鼓励其他现有“高污染、高环境风险产品”搬迁关闭。禁止未经法定许可在河流两岸、干线公路两侧规划控制范围内进行采石、取土、采砂等活动。矿产资源开发项目，应以点状开发为主，严格控制区域开发规模。</w:t>
            </w:r>
            <w:r>
              <w:rPr>
                <w:bCs/>
                <w:kern w:val="2"/>
              </w:rPr>
              <w:t>严格执行畜禽养殖禁养区规定。</w:t>
            </w:r>
          </w:p>
        </w:tc>
        <w:tc>
          <w:tcPr>
            <w:tcW w:w="1008" w:type="pct"/>
            <w:shd w:val="clear" w:color="auto" w:fill="auto"/>
            <w:vAlign w:val="center"/>
          </w:tcPr>
          <w:p>
            <w:pPr>
              <w:pStyle w:val="687"/>
              <w:rPr>
                <w:lang w:eastAsia="zh-CN"/>
              </w:rPr>
            </w:pPr>
            <w:r>
              <w:rPr>
                <w:rFonts w:hint="eastAsia"/>
                <w:lang w:eastAsia="zh-CN"/>
              </w:rPr>
              <w:t>本项目回收并处理放空天然气，不属于</w:t>
            </w:r>
            <w:r>
              <w:rPr>
                <w:rFonts w:hint="eastAsia"/>
                <w:bCs/>
                <w:lang w:eastAsia="zh-CN"/>
              </w:rPr>
              <w:t>“高污染、高环境风险产品”的工业项目</w:t>
            </w:r>
          </w:p>
        </w:tc>
        <w:tc>
          <w:tcPr>
            <w:tcW w:w="399" w:type="pct"/>
            <w:vAlign w:val="center"/>
          </w:tcPr>
          <w:p>
            <w:pPr>
              <w:pStyle w:val="687"/>
              <w:rPr>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Merge w:val="continue"/>
            <w:shd w:val="clear" w:color="auto" w:fill="auto"/>
            <w:vAlign w:val="center"/>
          </w:tcPr>
          <w:p>
            <w:pPr>
              <w:pStyle w:val="687"/>
              <w:rPr>
                <w:lang w:eastAsia="zh-CN"/>
              </w:rPr>
            </w:pPr>
          </w:p>
        </w:tc>
        <w:tc>
          <w:tcPr>
            <w:tcW w:w="467" w:type="pct"/>
            <w:vAlign w:val="center"/>
          </w:tcPr>
          <w:p>
            <w:pPr>
              <w:pStyle w:val="687"/>
              <w:rPr>
                <w:lang w:eastAsia="zh-CN"/>
              </w:rPr>
            </w:pPr>
            <w:r>
              <w:rPr>
                <w:bCs/>
                <w:kern w:val="2"/>
              </w:rPr>
              <w:t>A5.3.2污染物排放管控</w:t>
            </w:r>
          </w:p>
        </w:tc>
        <w:tc>
          <w:tcPr>
            <w:tcW w:w="2670" w:type="pct"/>
            <w:shd w:val="clear" w:color="auto" w:fill="auto"/>
            <w:vAlign w:val="center"/>
          </w:tcPr>
          <w:p>
            <w:pPr>
              <w:pStyle w:val="687"/>
              <w:jc w:val="both"/>
              <w:rPr>
                <w:lang w:eastAsia="zh-CN"/>
              </w:rPr>
            </w:pPr>
            <w:r>
              <w:rPr>
                <w:bCs/>
                <w:kern w:val="2"/>
                <w:lang w:eastAsia="zh-CN"/>
              </w:rPr>
              <w:t>【A5.3.2-1】严禁水功能在Ⅱ类以上河流设置排污口，管控单元内工业污染物排放总量不得增加。</w:t>
            </w:r>
          </w:p>
        </w:tc>
        <w:tc>
          <w:tcPr>
            <w:tcW w:w="1008" w:type="pct"/>
            <w:shd w:val="clear" w:color="auto" w:fill="auto"/>
            <w:vAlign w:val="center"/>
          </w:tcPr>
          <w:p>
            <w:pPr>
              <w:pStyle w:val="687"/>
              <w:rPr>
                <w:lang w:eastAsia="zh-CN"/>
              </w:rPr>
            </w:pPr>
            <w:r>
              <w:rPr>
                <w:rFonts w:hint="eastAsia"/>
                <w:lang w:eastAsia="zh-CN"/>
              </w:rPr>
              <w:t>项目周边无地表水，项目无废水排放口</w:t>
            </w:r>
          </w:p>
        </w:tc>
        <w:tc>
          <w:tcPr>
            <w:tcW w:w="399" w:type="pct"/>
            <w:vAlign w:val="center"/>
          </w:tcPr>
          <w:p>
            <w:pPr>
              <w:pStyle w:val="687"/>
              <w:rPr>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Merge w:val="continue"/>
            <w:shd w:val="clear" w:color="auto" w:fill="auto"/>
            <w:vAlign w:val="center"/>
          </w:tcPr>
          <w:p>
            <w:pPr>
              <w:pStyle w:val="687"/>
              <w:rPr>
                <w:lang w:eastAsia="zh-CN"/>
              </w:rPr>
            </w:pPr>
          </w:p>
        </w:tc>
        <w:tc>
          <w:tcPr>
            <w:tcW w:w="467" w:type="pct"/>
            <w:vAlign w:val="center"/>
          </w:tcPr>
          <w:p>
            <w:pPr>
              <w:pStyle w:val="687"/>
              <w:rPr>
                <w:lang w:eastAsia="zh-CN"/>
              </w:rPr>
            </w:pPr>
            <w:r>
              <w:rPr>
                <w:bCs/>
                <w:kern w:val="2"/>
              </w:rPr>
              <w:t>A5.3.3环境风险防控</w:t>
            </w:r>
          </w:p>
        </w:tc>
        <w:tc>
          <w:tcPr>
            <w:tcW w:w="2670" w:type="pct"/>
            <w:shd w:val="clear" w:color="auto" w:fill="auto"/>
            <w:vAlign w:val="center"/>
          </w:tcPr>
          <w:p>
            <w:pPr>
              <w:pStyle w:val="687"/>
              <w:jc w:val="both"/>
              <w:rPr>
                <w:lang w:eastAsia="zh-CN"/>
              </w:rPr>
            </w:pPr>
            <w:r>
              <w:rPr>
                <w:bCs/>
                <w:kern w:val="2"/>
                <w:lang w:eastAsia="zh-CN"/>
              </w:rPr>
              <w:t>【A5.3.3-1】加强区域内环境风险防控，不得损害生物多样性维持与生境保护、水源涵养与饮用水源保护等生态服务功能。在进行各类建设开发活动前，应加强对生物多样性影响的评估，任何开发建设活动不得破坏珍稀野生动植物的重要栖息地，不得阻隔野生动物的迁徙通道。推进饮用水水源保护区隔离和防护设施建设，提升饮用水水源保护区应急管理水平。完善环境突发事故应急预案，加强环境风险防控体系建设。</w:t>
            </w:r>
          </w:p>
        </w:tc>
        <w:tc>
          <w:tcPr>
            <w:tcW w:w="1008" w:type="pct"/>
            <w:shd w:val="clear" w:color="auto" w:fill="auto"/>
            <w:vAlign w:val="center"/>
          </w:tcPr>
          <w:p>
            <w:pPr>
              <w:pStyle w:val="687"/>
              <w:rPr>
                <w:lang w:eastAsia="zh-CN"/>
              </w:rPr>
            </w:pPr>
            <w:r>
              <w:rPr>
                <w:rFonts w:hint="eastAsia"/>
                <w:lang w:eastAsia="zh-CN"/>
              </w:rPr>
              <w:t>企业已制定突发环境事件应急预案，并在昌吉州生态环境局阜康市分局进行备案，备案编号为：6</w:t>
            </w:r>
            <w:r>
              <w:rPr>
                <w:lang w:eastAsia="zh-CN"/>
              </w:rPr>
              <w:t>52302-2023-030-L</w:t>
            </w:r>
          </w:p>
        </w:tc>
        <w:tc>
          <w:tcPr>
            <w:tcW w:w="399" w:type="pct"/>
            <w:vAlign w:val="center"/>
          </w:tcPr>
          <w:p>
            <w:pPr>
              <w:pStyle w:val="687"/>
              <w:rPr>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pct"/>
            <w:gridSpan w:val="2"/>
            <w:shd w:val="clear" w:color="auto" w:fill="auto"/>
            <w:vAlign w:val="center"/>
          </w:tcPr>
          <w:p>
            <w:pPr>
              <w:pStyle w:val="687"/>
              <w:rPr>
                <w:lang w:eastAsia="zh-CN"/>
              </w:rPr>
            </w:pPr>
            <w:r>
              <w:rPr>
                <w:lang w:eastAsia="zh-CN"/>
              </w:rPr>
              <w:t>乌昌石片区管控要求</w:t>
            </w:r>
          </w:p>
        </w:tc>
        <w:tc>
          <w:tcPr>
            <w:tcW w:w="2670" w:type="pct"/>
            <w:shd w:val="clear" w:color="auto" w:fill="auto"/>
            <w:vAlign w:val="center"/>
          </w:tcPr>
          <w:p>
            <w:pPr>
              <w:pStyle w:val="687"/>
              <w:jc w:val="left"/>
              <w:rPr>
                <w:lang w:eastAsia="zh-CN"/>
              </w:rPr>
            </w:pPr>
            <w:r>
              <w:rPr>
                <w:rFonts w:hint="eastAsia"/>
                <w:lang w:eastAsia="zh-CN"/>
              </w:rPr>
              <w:t>除国家规划项目外，乌鲁木齐市七区一县、昌吉市、阜康市、玛纳斯县、呼图壁县、沙湾市建成区及周边敏感区域内不再布局建设煤化工、电解铝、燃煤纯发电机组、金属硅、碳化硅、聚氯乙烯（电石法）、焦炭（含半焦）等新增产能项目，具备风光电清洁供暖建设条件的区域原则上不新批热电联产项目。坚持属地负责与区域大气污染联防联控相结合，以明显降低细颗粒物浓度为重点，协同推进“乌-昌-石”区域大气环境治理，强化与生产建设兵团第六师、第八师、第十一师、第十二师的同防同治，确保区域环境空气质量持续改善。所有新建、改建、扩建工业项目执行最严格的大气污染物排放标准。强化氮氧化物深度治理。强化挥发性有机物污染防治措施。推广使用低挥发性有机物原辅料，推动有条件的园区（工业集聚区）建设集中喷涂工程中心，配备高效治污设施，替代企业独立喷涂工序。</w:t>
            </w:r>
          </w:p>
          <w:p>
            <w:pPr>
              <w:pStyle w:val="687"/>
              <w:jc w:val="left"/>
              <w:rPr>
                <w:lang w:eastAsia="zh-CN"/>
              </w:rPr>
            </w:pPr>
            <w:r>
              <w:rPr>
                <w:rFonts w:hint="eastAsia"/>
                <w:lang w:eastAsia="zh-CN"/>
              </w:rPr>
              <w:t>强化企业清洁生产改造，推进节水型企业、节水型工业园区建设，提高资源集约节约利用水平。积极推进地下水超采治理，逐步压减地下水超采量，实现地下水采补平衡。</w:t>
            </w:r>
          </w:p>
          <w:p>
            <w:pPr>
              <w:pStyle w:val="687"/>
              <w:jc w:val="left"/>
              <w:rPr>
                <w:lang w:eastAsia="zh-CN"/>
              </w:rPr>
            </w:pPr>
            <w:r>
              <w:rPr>
                <w:rFonts w:hint="eastAsia"/>
                <w:lang w:eastAsia="zh-CN"/>
              </w:rPr>
              <w:t>强化油（气）资源开发区土壤环境污染综合整治。加强涉重金属行业污染防控与工业废物处理处置。</w:t>
            </w:r>
          </w:p>
          <w:p>
            <w:pPr>
              <w:pStyle w:val="687"/>
              <w:jc w:val="left"/>
              <w:rPr>
                <w:lang w:eastAsia="zh-CN"/>
              </w:rPr>
            </w:pPr>
            <w:r>
              <w:rPr>
                <w:rFonts w:hint="eastAsia"/>
                <w:lang w:eastAsia="zh-CN"/>
              </w:rPr>
              <w:t>煤炭、石油、天然气开发单位应当制定生态保护和恢复治理方案，并予以实施。生态保护和恢复治理方案内容应当向社会公布，接受社会监督。</w:t>
            </w:r>
          </w:p>
        </w:tc>
        <w:tc>
          <w:tcPr>
            <w:tcW w:w="1008" w:type="pct"/>
            <w:shd w:val="clear" w:color="auto" w:fill="auto"/>
            <w:vAlign w:val="center"/>
          </w:tcPr>
          <w:p>
            <w:pPr>
              <w:pStyle w:val="687"/>
              <w:jc w:val="left"/>
              <w:rPr>
                <w:lang w:eastAsia="zh-CN"/>
              </w:rPr>
            </w:pPr>
            <w:r>
              <w:rPr>
                <w:rFonts w:hint="eastAsia"/>
                <w:lang w:eastAsia="zh-CN"/>
              </w:rPr>
              <w:t>本项目采暖采用电采暖，项目主要回收并处理天然气，不属于煤化工、电解铝、燃煤纯发电机组、金属硅、碳化硅、聚氯乙烯（电石法）、焦炭（含半焦）等项目</w:t>
            </w:r>
          </w:p>
        </w:tc>
        <w:tc>
          <w:tcPr>
            <w:tcW w:w="399" w:type="pct"/>
            <w:vAlign w:val="center"/>
          </w:tcPr>
          <w:p>
            <w:pPr>
              <w:pStyle w:val="687"/>
              <w:rPr>
                <w:lang w:eastAsia="zh-CN"/>
              </w:rPr>
            </w:pPr>
            <w:r>
              <w:rPr>
                <w:lang w:eastAsia="zh-CN"/>
              </w:rPr>
              <w:t>符合</w:t>
            </w:r>
          </w:p>
        </w:tc>
      </w:tr>
    </w:tbl>
    <w:p>
      <w:pPr>
        <w:pStyle w:val="494"/>
        <w:ind w:firstLine="480"/>
        <w:rPr>
          <w:rFonts w:cs="Times New Roman" w:eastAsiaTheme="minorEastAsia"/>
          <w:kern w:val="0"/>
        </w:rPr>
      </w:pPr>
      <w:r>
        <w:rPr>
          <w:rFonts w:cs="Times New Roman" w:eastAsiaTheme="minorEastAsia"/>
          <w:kern w:val="0"/>
        </w:rPr>
        <w:t>（3）与《昌吉回族自治州“三线一单”生态环境分区管控方案及生态环境准入清单》符合性分析</w:t>
      </w:r>
    </w:p>
    <w:p>
      <w:pPr>
        <w:pStyle w:val="494"/>
        <w:ind w:firstLine="480"/>
        <w:rPr>
          <w:rFonts w:cs="Times New Roman" w:eastAsiaTheme="minorEastAsia"/>
          <w:kern w:val="0"/>
        </w:rPr>
      </w:pPr>
      <w:r>
        <w:rPr>
          <w:rFonts w:cs="Times New Roman" w:eastAsiaTheme="minorEastAsia"/>
          <w:kern w:val="0"/>
        </w:rPr>
        <w:t>昌吉自治州共划定119个环境管控单元，分为优先保护单元、重点管控单元和一般管控单元三类，实施分类管控。</w:t>
      </w:r>
    </w:p>
    <w:p>
      <w:pPr>
        <w:pStyle w:val="494"/>
        <w:ind w:firstLine="480"/>
        <w:rPr>
          <w:rFonts w:cs="Times New Roman" w:eastAsiaTheme="minorEastAsia"/>
          <w:kern w:val="0"/>
        </w:rPr>
      </w:pPr>
      <w:r>
        <w:rPr>
          <w:rFonts w:cs="Times New Roman" w:eastAsiaTheme="minorEastAsia"/>
          <w:kern w:val="0"/>
        </w:rPr>
        <w:t>优先保护单元主要包括生态保护红线区和生态保护红线区以外的饮用水水源保护区、水源涵养区、防风固沙区、水土保持区、生物多样性维护区、土地沙化防控区、水土流失防控区等一般生态空间管控区。重点管控单元主要包括城镇建成区、工业园区和工业聚集区等。一般管控单元主要包括优先保护单元和重点管控单元之外的其他区域。</w:t>
      </w:r>
    </w:p>
    <w:p>
      <w:pPr>
        <w:pStyle w:val="494"/>
        <w:ind w:firstLine="480"/>
        <w:rPr>
          <w:rFonts w:cs="Times New Roman"/>
        </w:rPr>
      </w:pPr>
      <w:r>
        <w:rPr>
          <w:rFonts w:cs="Times New Roman"/>
        </w:rPr>
        <w:t>根据《昌吉回族自治州“三线一单”生态环境分区管控方案及生态环境准入清单》，本项目为</w:t>
      </w:r>
      <w:r>
        <w:rPr>
          <w:rFonts w:hint="eastAsia" w:cs="Times New Roman"/>
        </w:rPr>
        <w:t>阜康市优先</w:t>
      </w:r>
      <w:r>
        <w:rPr>
          <w:rFonts w:cs="Times New Roman"/>
        </w:rPr>
        <w:t>管控单元，环境管控单元编码</w:t>
      </w:r>
      <w:r>
        <w:rPr>
          <w:rFonts w:hint="eastAsia" w:cs="Times New Roman"/>
        </w:rPr>
        <w:t>为</w:t>
      </w:r>
      <w:r>
        <w:rPr>
          <w:rFonts w:hint="eastAsia" w:cs="Times New Roman"/>
          <w:bCs/>
          <w:lang w:bidi="en-US"/>
        </w:rPr>
        <w:t>ZH65230210004</w:t>
      </w:r>
      <w:r>
        <w:rPr>
          <w:rFonts w:cs="Times New Roman"/>
        </w:rPr>
        <w:t>。项目在昌吉州环境管控单元中的位置见图3.2-1。项目与其符合情况见下表3.2-4。</w:t>
      </w:r>
    </w:p>
    <w:p>
      <w:pPr>
        <w:pStyle w:val="400"/>
        <w:ind w:firstLine="420"/>
      </w:pPr>
      <w:r>
        <w:rPr>
          <w:rFonts w:hint="eastAsia"/>
        </w:rPr>
        <w:t>表3.2-</w:t>
      </w:r>
      <w:r>
        <w:t>4</w:t>
      </w:r>
      <w:r>
        <w:rPr>
          <w:rFonts w:hint="eastAsia"/>
        </w:rPr>
        <w:t xml:space="preserve">  与《昌吉回族自治州“三线一单”生态环境分区管控方案及生态环境准入清单》符合性</w:t>
      </w:r>
      <w:r>
        <w:t>分析</w:t>
      </w:r>
    </w:p>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3828"/>
        <w:gridCol w:w="2389"/>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00" w:type="pct"/>
            <w:shd w:val="clear" w:color="auto" w:fill="auto"/>
            <w:vAlign w:val="center"/>
          </w:tcPr>
          <w:p>
            <w:pPr>
              <w:pStyle w:val="687"/>
              <w:rPr>
                <w:lang w:eastAsia="zh-CN"/>
              </w:rPr>
            </w:pPr>
            <w:r>
              <w:rPr>
                <w:rFonts w:hint="eastAsia"/>
                <w:lang w:eastAsia="zh-CN"/>
              </w:rPr>
              <w:t>管控</w:t>
            </w:r>
            <w:r>
              <w:rPr>
                <w:lang w:eastAsia="zh-CN"/>
              </w:rPr>
              <w:t>名称</w:t>
            </w:r>
          </w:p>
        </w:tc>
        <w:tc>
          <w:tcPr>
            <w:tcW w:w="2269" w:type="pct"/>
            <w:shd w:val="clear" w:color="auto" w:fill="auto"/>
            <w:vAlign w:val="center"/>
          </w:tcPr>
          <w:p>
            <w:pPr>
              <w:pStyle w:val="687"/>
            </w:pPr>
            <w:r>
              <w:rPr>
                <w:rFonts w:hint="eastAsia"/>
              </w:rPr>
              <w:t>内容</w:t>
            </w:r>
          </w:p>
        </w:tc>
        <w:tc>
          <w:tcPr>
            <w:tcW w:w="1416" w:type="pct"/>
            <w:shd w:val="clear" w:color="auto" w:fill="auto"/>
            <w:vAlign w:val="center"/>
          </w:tcPr>
          <w:p>
            <w:pPr>
              <w:pStyle w:val="687"/>
              <w:rPr>
                <w:lang w:eastAsia="zh-CN"/>
              </w:rPr>
            </w:pPr>
            <w:r>
              <w:rPr>
                <w:rFonts w:hint="eastAsia"/>
                <w:lang w:eastAsia="zh-CN"/>
              </w:rPr>
              <w:t>项目概况</w:t>
            </w:r>
          </w:p>
        </w:tc>
        <w:tc>
          <w:tcPr>
            <w:tcW w:w="915" w:type="pct"/>
            <w:vAlign w:val="center"/>
          </w:tcPr>
          <w:p>
            <w:pPr>
              <w:pStyle w:val="687"/>
              <w:rPr>
                <w:lang w:eastAsia="zh-CN"/>
              </w:rPr>
            </w:pPr>
            <w:r>
              <w:rPr>
                <w:rFonts w:hint="eastAsia"/>
                <w:lang w:eastAsia="zh-CN"/>
              </w:rPr>
              <w:t>符合</w:t>
            </w:r>
            <w:r>
              <w:rPr>
                <w:lang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400" w:type="pct"/>
            <w:shd w:val="clear" w:color="auto" w:fill="auto"/>
            <w:vAlign w:val="center"/>
          </w:tcPr>
          <w:p>
            <w:pPr>
              <w:pStyle w:val="687"/>
              <w:rPr>
                <w:lang w:eastAsia="zh-CN"/>
              </w:rPr>
            </w:pPr>
            <w:r>
              <w:rPr>
                <w:rFonts w:hint="eastAsia"/>
                <w:lang w:eastAsia="zh-CN"/>
              </w:rPr>
              <w:t>空间</w:t>
            </w:r>
            <w:r>
              <w:rPr>
                <w:lang w:eastAsia="zh-CN"/>
              </w:rPr>
              <w:t>布局约束</w:t>
            </w:r>
          </w:p>
        </w:tc>
        <w:tc>
          <w:tcPr>
            <w:tcW w:w="2269" w:type="pct"/>
            <w:shd w:val="clear" w:color="auto" w:fill="auto"/>
            <w:vAlign w:val="center"/>
          </w:tcPr>
          <w:p>
            <w:pPr>
              <w:pStyle w:val="687"/>
              <w:jc w:val="left"/>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1、执行自治区总体准入要求中关于优先保护单元一般生态空间的准入要求（表2-2 A5.2）。</w:t>
            </w:r>
          </w:p>
          <w:p>
            <w:pPr>
              <w:pStyle w:val="687"/>
              <w:jc w:val="left"/>
              <w:rPr>
                <w:lang w:eastAsia="zh-CN"/>
              </w:rPr>
            </w:pPr>
            <w:r>
              <w:rPr>
                <w:rFonts w:hint="eastAsia"/>
                <w:color w:val="000000" w:themeColor="text1"/>
                <w:lang w:eastAsia="zh-CN"/>
                <w14:textFill>
                  <w14:solidFill>
                    <w14:schemeClr w14:val="tx1"/>
                  </w14:solidFill>
                </w14:textFill>
              </w:rPr>
              <w:t>2、执行各保护地相关法律法规要求。</w:t>
            </w:r>
          </w:p>
        </w:tc>
        <w:tc>
          <w:tcPr>
            <w:tcW w:w="1416" w:type="pct"/>
            <w:shd w:val="clear" w:color="auto" w:fill="auto"/>
            <w:vAlign w:val="center"/>
          </w:tcPr>
          <w:p>
            <w:pPr>
              <w:pStyle w:val="687"/>
              <w:jc w:val="left"/>
              <w:rPr>
                <w:lang w:eastAsia="zh-CN"/>
              </w:rPr>
            </w:pPr>
            <w:r>
              <w:rPr>
                <w:rFonts w:hint="eastAsia"/>
                <w:lang w:eastAsia="zh-CN"/>
              </w:rPr>
              <w:t>见表3</w:t>
            </w:r>
            <w:r>
              <w:rPr>
                <w:lang w:eastAsia="zh-CN"/>
              </w:rPr>
              <w:t>.2-3</w:t>
            </w:r>
            <w:r>
              <w:rPr>
                <w:rFonts w:hint="eastAsia"/>
                <w:lang w:eastAsia="zh-CN"/>
              </w:rPr>
              <w:t>，项目符合</w:t>
            </w:r>
            <w:r>
              <w:rPr>
                <w:rFonts w:hint="eastAsia"/>
                <w:color w:val="000000" w:themeColor="text1"/>
                <w:lang w:eastAsia="zh-CN"/>
                <w14:textFill>
                  <w14:solidFill>
                    <w14:schemeClr w14:val="tx1"/>
                  </w14:solidFill>
                </w14:textFill>
              </w:rPr>
              <w:t>自治区总体准入要求中关于优先保护单元一般生态空间的准入要求（表2-2 A5.2）；项目符合相关法律法规要求</w:t>
            </w:r>
          </w:p>
        </w:tc>
        <w:tc>
          <w:tcPr>
            <w:tcW w:w="915" w:type="pct"/>
            <w:vAlign w:val="center"/>
          </w:tcPr>
          <w:p>
            <w:pPr>
              <w:pStyle w:val="687"/>
              <w:rPr>
                <w:lang w:eastAsia="zh-CN"/>
              </w:rPr>
            </w:pPr>
            <w:r>
              <w:rPr>
                <w:rFonts w:hint="eastAsia"/>
                <w:lang w:eastAsia="zh-CN"/>
              </w:rPr>
              <w:t>符合</w:t>
            </w:r>
          </w:p>
        </w:tc>
      </w:tr>
    </w:tbl>
    <w:p>
      <w:pPr>
        <w:pStyle w:val="5"/>
        <w:spacing w:before="120" w:after="120"/>
        <w:rPr>
          <w:spacing w:val="0"/>
        </w:rPr>
      </w:pPr>
      <w:bookmarkStart w:id="213" w:name="_Toc107500342"/>
      <w:bookmarkStart w:id="214" w:name="_Toc145580389"/>
      <w:r>
        <w:rPr>
          <w:rFonts w:hint="eastAsia"/>
          <w:spacing w:val="0"/>
        </w:rPr>
        <w:t>3.2.3项目选址合理性分析</w:t>
      </w:r>
      <w:bookmarkEnd w:id="212"/>
      <w:bookmarkEnd w:id="213"/>
      <w:bookmarkEnd w:id="214"/>
    </w:p>
    <w:p>
      <w:pPr>
        <w:pStyle w:val="494"/>
        <w:ind w:firstLine="480"/>
        <w:rPr>
          <w:lang w:bidi="en-US"/>
        </w:rPr>
      </w:pPr>
      <w:r>
        <w:rPr>
          <w:lang w:bidi="en-US"/>
        </w:rPr>
        <w:t>本项目位于</w:t>
      </w:r>
      <w:r>
        <w:rPr>
          <w:bCs/>
          <w:lang w:bidi="en-US"/>
        </w:rPr>
        <w:t>新疆维吾尔自治区昌吉回族自治州阜康市境内北部沙漠区，阜康市董701区块董701-X1井场东侧</w:t>
      </w:r>
      <w:r>
        <w:rPr>
          <w:rFonts w:hint="eastAsia"/>
          <w:bCs/>
          <w:lang w:bidi="en-US"/>
        </w:rPr>
        <w:t>新疆天安鑫业油气技术服务有限公司现有厂区内</w:t>
      </w:r>
      <w:r>
        <w:rPr>
          <w:lang w:bidi="en-US"/>
        </w:rPr>
        <w:t>。</w:t>
      </w:r>
      <w:r>
        <w:rPr>
          <w:rFonts w:hint="eastAsia"/>
          <w:lang w:bidi="en-US"/>
        </w:rPr>
        <w:t>根据现场勘查，项目区</w:t>
      </w:r>
      <w:r>
        <w:rPr>
          <w:lang w:bidi="en-US"/>
        </w:rPr>
        <w:t>选址远离人群居住区，周围无地表水系，无不良地质现象</w:t>
      </w:r>
      <w:r>
        <w:rPr>
          <w:rFonts w:hint="eastAsia"/>
          <w:lang w:bidi="en-US"/>
        </w:rPr>
        <w:t>，占地类型为林地，已与阜康市林业和草原局签订林地补偿协议（详见附件）</w:t>
      </w:r>
      <w:r>
        <w:rPr>
          <w:lang w:bidi="en-US"/>
        </w:rPr>
        <w:t>。</w:t>
      </w:r>
    </w:p>
    <w:p>
      <w:pPr>
        <w:pStyle w:val="488"/>
        <w:spacing w:line="460" w:lineRule="exact"/>
        <w:ind w:firstLine="480"/>
        <w:rPr>
          <w:rFonts w:ascii="Times New Roman" w:hAnsi="Times New Roman" w:eastAsia="宋体" w:cs="Times New Roman"/>
        </w:rPr>
      </w:pPr>
      <w:r>
        <w:rPr>
          <w:rFonts w:hint="eastAsia"/>
          <w:lang w:bidi="en-US"/>
        </w:rPr>
        <w:t>本项目建设完成后</w:t>
      </w:r>
      <w:r>
        <w:rPr>
          <w:rFonts w:ascii="Times New Roman" w:hAnsi="Times New Roman" w:eastAsia="宋体" w:cs="Times New Roman"/>
        </w:rPr>
        <w:t>天然气处理规模由3×10</w:t>
      </w:r>
      <w:r>
        <w:rPr>
          <w:rFonts w:ascii="Times New Roman" w:hAnsi="Times New Roman" w:eastAsia="宋体" w:cs="Times New Roman"/>
          <w:vertAlign w:val="superscript"/>
        </w:rPr>
        <w:t>4</w:t>
      </w:r>
      <w:r>
        <w:rPr>
          <w:rFonts w:ascii="Times New Roman" w:hAnsi="Times New Roman" w:eastAsia="宋体" w:cs="Times New Roman"/>
        </w:rPr>
        <w:t>Nm³/d增至6×10</w:t>
      </w:r>
      <w:r>
        <w:rPr>
          <w:rFonts w:ascii="Times New Roman" w:hAnsi="Times New Roman" w:eastAsia="宋体" w:cs="Times New Roman"/>
          <w:vertAlign w:val="superscript"/>
        </w:rPr>
        <w:t>4</w:t>
      </w:r>
      <w:r>
        <w:rPr>
          <w:rFonts w:ascii="Times New Roman" w:hAnsi="Times New Roman" w:eastAsia="宋体" w:cs="Times New Roman"/>
        </w:rPr>
        <w:t>Nm³/d</w:t>
      </w:r>
      <w:r>
        <w:rPr>
          <w:rFonts w:hint="eastAsia" w:ascii="Times New Roman" w:hAnsi="Times New Roman" w:eastAsia="宋体" w:cs="Times New Roman"/>
        </w:rPr>
        <w:t>，可</w:t>
      </w:r>
      <w:r>
        <w:rPr>
          <w:rFonts w:ascii="Times New Roman" w:hAnsi="Times New Roman" w:eastAsia="宋体" w:cs="Times New Roman"/>
        </w:rPr>
        <w:t>充分</w:t>
      </w:r>
      <w:r>
        <w:rPr>
          <w:rFonts w:hint="eastAsia" w:ascii="Times New Roman" w:hAnsi="Times New Roman" w:eastAsia="宋体" w:cs="Times New Roman"/>
        </w:rPr>
        <w:t>回收和</w:t>
      </w:r>
      <w:r>
        <w:rPr>
          <w:rFonts w:ascii="Times New Roman" w:hAnsi="Times New Roman" w:eastAsia="宋体" w:cs="Times New Roman"/>
        </w:rPr>
        <w:t>利用当地的天然气资源</w:t>
      </w:r>
      <w:r>
        <w:rPr>
          <w:rFonts w:hint="eastAsia" w:ascii="Times New Roman" w:hAnsi="Times New Roman" w:eastAsia="宋体" w:cs="Times New Roman"/>
        </w:rPr>
        <w:t>。根据工程分析，</w:t>
      </w:r>
      <w:r>
        <w:rPr>
          <w:lang w:bidi="en-US"/>
        </w:rPr>
        <w:t>项目</w:t>
      </w:r>
      <w:r>
        <w:rPr>
          <w:rFonts w:hint="eastAsia"/>
          <w:lang w:bidi="en-US"/>
        </w:rPr>
        <w:t>运营期间产生的非甲烷总烃最大落地浓度远小于《大气污染物综合排放标准详解》中的环境管理推荐值要求</w:t>
      </w:r>
      <w:r>
        <w:rPr>
          <w:lang w:bidi="en-US"/>
        </w:rPr>
        <w:t>；</w:t>
      </w:r>
      <w:r>
        <w:rPr>
          <w:rFonts w:hint="eastAsia"/>
          <w:lang w:bidi="en-US"/>
        </w:rPr>
        <w:t>项目生产废水全部排入排污罐中，定期由罐车拉运至春风一号联合站处理达标后进行回注处置；优先选用低噪声设备，采取</w:t>
      </w:r>
      <w:r>
        <w:t>基础减震、消声器</w:t>
      </w:r>
      <w:r>
        <w:rPr>
          <w:rFonts w:hint="eastAsia"/>
        </w:rPr>
        <w:t>等措施，</w:t>
      </w:r>
      <w:r>
        <w:rPr>
          <w:rFonts w:ascii="Times New Roman" w:hAnsi="Times New Roman" w:cs="Times New Roman"/>
        </w:rPr>
        <w:t>厂界噪声满足《工业企业厂界环境噪声排放标准》（GB12348-2008）中2类标准</w:t>
      </w:r>
      <w:r>
        <w:rPr>
          <w:rFonts w:hint="eastAsia" w:ascii="Times New Roman" w:hAnsi="Times New Roman" w:cs="Times New Roman"/>
          <w:lang w:bidi="en-US"/>
        </w:rPr>
        <w:t>；废分子筛及废润滑油产生后暂存与现有危废暂存间内，委托</w:t>
      </w:r>
      <w:r>
        <w:rPr>
          <w:rFonts w:hint="eastAsia" w:ascii="Times New Roman" w:hAnsi="Times New Roman" w:cs="Times New Roman"/>
          <w:bCs/>
          <w:lang w:bidi="en-US"/>
        </w:rPr>
        <w:t>新疆诺客蒙鑫环境技术有限公司处置，项目运营期产生的各类固体废物均能得到有效的处理处置，不会产生二次污染。</w:t>
      </w:r>
    </w:p>
    <w:p>
      <w:pPr>
        <w:pStyle w:val="494"/>
        <w:ind w:firstLine="480"/>
        <w:rPr>
          <w:lang w:bidi="en-US"/>
        </w:rPr>
      </w:pPr>
      <w:r>
        <w:rPr>
          <w:lang w:bidi="en-US"/>
        </w:rPr>
        <w:t>综上所述，项目周边外环境关系简单，无明显环境制约因素。从环境保护角度而言，本项目的选址是合理可行的。</w:t>
      </w:r>
    </w:p>
    <w:p>
      <w:pPr>
        <w:pStyle w:val="4"/>
        <w:spacing w:before="120" w:after="120"/>
      </w:pPr>
      <w:bookmarkStart w:id="215" w:name="_Toc107500343"/>
      <w:bookmarkStart w:id="216" w:name="_Toc145580390"/>
      <w:r>
        <w:rPr>
          <w:rFonts w:hint="eastAsia"/>
        </w:rPr>
        <w:t>3.3</w:t>
      </w:r>
      <w:r>
        <w:t xml:space="preserve"> </w:t>
      </w:r>
      <w:bookmarkEnd w:id="171"/>
      <w:r>
        <w:rPr>
          <w:rFonts w:hint="eastAsia"/>
        </w:rPr>
        <w:t>工艺流程</w:t>
      </w:r>
      <w:bookmarkEnd w:id="215"/>
      <w:bookmarkEnd w:id="216"/>
    </w:p>
    <w:p>
      <w:pPr>
        <w:pStyle w:val="494"/>
        <w:ind w:firstLine="480"/>
      </w:pPr>
      <w:r>
        <w:rPr>
          <w:rFonts w:hint="eastAsia"/>
        </w:rPr>
        <w:t>本次项目技改主要是拆除现有工程的前置压缩机及高压压缩机，新建2台压缩机、1座风冷式天然气冰机以及1座干燥制冷脱烃撬，天然气</w:t>
      </w:r>
      <w:r>
        <w:t>处理规模</w:t>
      </w:r>
      <w:r>
        <w:rPr>
          <w:rFonts w:hint="eastAsia"/>
        </w:rPr>
        <w:t>由</w:t>
      </w:r>
      <w:r>
        <w:t>3×10</w:t>
      </w:r>
      <w:r>
        <w:rPr>
          <w:vertAlign w:val="superscript"/>
        </w:rPr>
        <w:t>4</w:t>
      </w:r>
      <w:r>
        <w:t>Nm³/d</w:t>
      </w:r>
      <w:r>
        <w:rPr>
          <w:rFonts w:hint="eastAsia"/>
        </w:rPr>
        <w:t>增至</w:t>
      </w:r>
      <w:r>
        <w:t>6×10</w:t>
      </w:r>
      <w:r>
        <w:rPr>
          <w:vertAlign w:val="superscript"/>
        </w:rPr>
        <w:t>4</w:t>
      </w:r>
      <w:r>
        <w:t>Nm³/d</w:t>
      </w:r>
      <w:r>
        <w:rPr>
          <w:rFonts w:hint="eastAsia"/>
        </w:rPr>
        <w:t>。</w:t>
      </w:r>
    </w:p>
    <w:p>
      <w:pPr>
        <w:pStyle w:val="494"/>
        <w:ind w:firstLine="480"/>
        <w:rPr>
          <w:color w:val="FF0000"/>
        </w:rPr>
      </w:pPr>
      <w:bookmarkStart w:id="217" w:name="_Hlk147572294"/>
      <w:r>
        <w:rPr>
          <w:rFonts w:hint="eastAsia"/>
          <w:color w:val="FF0000"/>
        </w:rPr>
        <w:t>工艺流程简述：</w:t>
      </w:r>
      <w:r>
        <w:rPr>
          <w:rFonts w:hint="eastAsia"/>
          <w:bCs/>
          <w:iCs/>
          <w:color w:val="FF0000"/>
          <w:lang w:bidi="en-US"/>
        </w:rPr>
        <w:t>本项目原料气为“准中董701井区产能建设工程”中天然气处理站处理后</w:t>
      </w:r>
      <w:r>
        <w:rPr>
          <w:bCs/>
          <w:iCs/>
          <w:color w:val="FF0000"/>
          <w:lang w:bidi="en-US"/>
        </w:rPr>
        <w:t>的原料气</w:t>
      </w:r>
      <w:r>
        <w:rPr>
          <w:rFonts w:hint="eastAsia"/>
          <w:bCs/>
          <w:iCs/>
          <w:color w:val="FF0000"/>
          <w:lang w:bidi="en-US"/>
        </w:rPr>
        <w:t>，原料气</w:t>
      </w:r>
      <w:r>
        <w:rPr>
          <w:bCs/>
          <w:iCs/>
          <w:color w:val="FF0000"/>
          <w:lang w:bidi="en-US"/>
        </w:rPr>
        <w:t>经紧急切断阀进入三相分离器，由于三相分离器的特殊结构，天然气内携带的油、水被分离</w:t>
      </w:r>
      <w:r>
        <w:rPr>
          <w:rFonts w:hint="eastAsia"/>
          <w:bCs/>
          <w:iCs/>
          <w:color w:val="FF0000"/>
          <w:lang w:bidi="en-US"/>
        </w:rPr>
        <w:t>，经净化后的天然气进入压缩机经压缩后压力达到4MPa，增压后的天然气进入干燥装置进行深度脱水，脱水后的天然气去风冷式天然气冰机增压至25MPa，经充气柱加注到CNG拖车运输到下游用气单位；制冷脱烃撬分离的混烃收集到站内混烃罐，混烃罐内混烃经装车泵、万向装车臂输送到罐车</w:t>
      </w:r>
      <w:r>
        <w:rPr>
          <w:color w:val="FF0000"/>
        </w:rPr>
        <w:t>内，定期拉运至化工厂和炼油厂进行使用。</w:t>
      </w:r>
    </w:p>
    <w:p>
      <w:pPr>
        <w:pStyle w:val="680"/>
        <w:rPr>
          <w:color w:val="FF0000"/>
        </w:rPr>
      </w:pPr>
      <w:r>
        <w:object>
          <v:shape id="_x0000_i1026" o:spt="75" type="#_x0000_t75" style="height:204.25pt;width:419.4pt;" o:ole="t" filled="f" o:preferrelative="t" stroked="f" coordsize="21600,21600">
            <v:path/>
            <v:fill on="f" focussize="0,0"/>
            <v:stroke on="f" joinstyle="miter"/>
            <v:imagedata r:id="rId12" o:title=""/>
            <o:lock v:ext="edit" aspectratio="t"/>
            <w10:wrap type="none"/>
            <w10:anchorlock/>
          </v:shape>
          <o:OLEObject Type="Embed" ProgID="Visio.Drawing.15" ShapeID="_x0000_i1026" DrawAspect="Content" ObjectID="_1468075726" r:id="rId11">
            <o:LockedField>false</o:LockedField>
          </o:OLEObject>
        </w:object>
      </w:r>
      <w:r>
        <w:rPr>
          <w:rFonts w:hint="eastAsia"/>
          <w:color w:val="FF0000"/>
        </w:rPr>
        <w:t>图3.3-1    项目生产工艺流程及产污节点图</w:t>
      </w:r>
    </w:p>
    <w:bookmarkEnd w:id="217"/>
    <w:p>
      <w:pPr>
        <w:pStyle w:val="4"/>
        <w:spacing w:before="120" w:after="120"/>
      </w:pPr>
      <w:bookmarkStart w:id="218" w:name="_Toc145580391"/>
      <w:bookmarkStart w:id="219" w:name="_Toc107500346"/>
      <w:r>
        <w:rPr>
          <w:rFonts w:hint="eastAsia"/>
        </w:rPr>
        <w:t>3.4</w:t>
      </w:r>
      <w:r>
        <w:t xml:space="preserve"> </w:t>
      </w:r>
      <w:r>
        <w:rPr>
          <w:rFonts w:hint="eastAsia"/>
        </w:rPr>
        <w:t>产污节点分析</w:t>
      </w:r>
      <w:bookmarkEnd w:id="218"/>
      <w:bookmarkEnd w:id="219"/>
    </w:p>
    <w:p>
      <w:pPr>
        <w:pStyle w:val="5"/>
        <w:spacing w:before="120" w:after="120"/>
        <w:rPr>
          <w:color w:val="FF0000"/>
          <w:spacing w:val="0"/>
        </w:rPr>
      </w:pPr>
      <w:bookmarkStart w:id="220" w:name="_Toc38474961"/>
      <w:bookmarkStart w:id="221" w:name="_Toc107500347"/>
      <w:bookmarkStart w:id="222" w:name="_Toc145580392"/>
      <w:r>
        <w:rPr>
          <w:rFonts w:hint="eastAsia"/>
          <w:spacing w:val="0"/>
        </w:rPr>
        <w:t>3.4.1</w:t>
      </w:r>
      <w:r>
        <w:rPr>
          <w:color w:val="FF0000"/>
          <w:spacing w:val="0"/>
        </w:rPr>
        <w:t>施工期</w:t>
      </w:r>
      <w:bookmarkEnd w:id="220"/>
      <w:bookmarkEnd w:id="221"/>
      <w:bookmarkEnd w:id="222"/>
    </w:p>
    <w:p>
      <w:pPr>
        <w:pStyle w:val="494"/>
        <w:ind w:firstLine="480"/>
        <w:rPr>
          <w:color w:val="FF0000"/>
          <w:szCs w:val="22"/>
        </w:rPr>
      </w:pPr>
      <w:r>
        <w:rPr>
          <w:color w:val="FF0000"/>
        </w:rPr>
        <w:t>本项目</w:t>
      </w:r>
      <w:r>
        <w:rPr>
          <w:rFonts w:hint="eastAsia"/>
          <w:color w:val="FF0000"/>
        </w:rPr>
        <w:t>施工期工程内容主要为拆除现有工程部分设备以及安装新设备等，施工期将产生施工扬尘、噪声、固体废弃物、施工废水和生活污水，</w:t>
      </w:r>
      <w:r>
        <w:rPr>
          <w:color w:val="FF0000"/>
          <w:szCs w:val="22"/>
        </w:rPr>
        <w:t>将对区域环境</w:t>
      </w:r>
      <w:r>
        <w:rPr>
          <w:rFonts w:hint="eastAsia"/>
          <w:color w:val="FF0000"/>
          <w:szCs w:val="22"/>
        </w:rPr>
        <w:t>和居民</w:t>
      </w:r>
      <w:r>
        <w:rPr>
          <w:color w:val="FF0000"/>
          <w:szCs w:val="22"/>
        </w:rPr>
        <w:t>产生短暂影响。施工期对环境的的影响属于局部、短暂和可恢复性的。</w:t>
      </w:r>
    </w:p>
    <w:p>
      <w:pPr>
        <w:pStyle w:val="5"/>
        <w:spacing w:before="120" w:after="120"/>
        <w:rPr>
          <w:spacing w:val="0"/>
        </w:rPr>
      </w:pPr>
      <w:bookmarkStart w:id="223" w:name="_Toc145580393"/>
      <w:bookmarkStart w:id="224" w:name="_Toc107500348"/>
      <w:r>
        <w:rPr>
          <w:rFonts w:hint="eastAsia"/>
          <w:spacing w:val="0"/>
        </w:rPr>
        <w:t>3.4.2运营期</w:t>
      </w:r>
      <w:bookmarkEnd w:id="223"/>
      <w:bookmarkEnd w:id="224"/>
    </w:p>
    <w:p>
      <w:pPr>
        <w:widowControl/>
        <w:spacing w:line="500" w:lineRule="exact"/>
        <w:ind w:firstLine="480" w:firstLineChars="200"/>
        <w:rPr>
          <w:sz w:val="24"/>
          <w:szCs w:val="26"/>
        </w:rPr>
      </w:pPr>
      <w:bookmarkStart w:id="225" w:name="_Toc107500349"/>
      <w:r>
        <w:rPr>
          <w:sz w:val="24"/>
          <w:szCs w:val="26"/>
        </w:rPr>
        <w:t xml:space="preserve">（1）废气：无组织泄漏烃类气体； </w:t>
      </w:r>
    </w:p>
    <w:p>
      <w:pPr>
        <w:widowControl/>
        <w:spacing w:line="500" w:lineRule="exact"/>
        <w:ind w:firstLine="480" w:firstLineChars="200"/>
        <w:rPr>
          <w:sz w:val="24"/>
          <w:szCs w:val="26"/>
        </w:rPr>
      </w:pPr>
      <w:r>
        <w:rPr>
          <w:sz w:val="24"/>
          <w:szCs w:val="26"/>
        </w:rPr>
        <w:t>（2）废水：三相分离器中产生的含油污水、缓冲罐脱除的废水、干燥塔分子筛再生过程中脱离出的废水</w:t>
      </w:r>
      <w:r>
        <w:rPr>
          <w:rFonts w:hint="eastAsia"/>
          <w:sz w:val="24"/>
          <w:szCs w:val="26"/>
        </w:rPr>
        <w:t>；</w:t>
      </w:r>
    </w:p>
    <w:p>
      <w:pPr>
        <w:widowControl/>
        <w:spacing w:line="500" w:lineRule="exact"/>
        <w:ind w:firstLine="480" w:firstLineChars="200"/>
        <w:rPr>
          <w:sz w:val="24"/>
          <w:szCs w:val="26"/>
        </w:rPr>
      </w:pPr>
      <w:r>
        <w:rPr>
          <w:sz w:val="24"/>
          <w:szCs w:val="26"/>
        </w:rPr>
        <w:t>（3）噪声：设备噪声；</w:t>
      </w:r>
    </w:p>
    <w:p>
      <w:pPr>
        <w:widowControl/>
        <w:spacing w:line="500" w:lineRule="exact"/>
        <w:ind w:firstLine="480" w:firstLineChars="200"/>
        <w:rPr>
          <w:sz w:val="24"/>
          <w:szCs w:val="26"/>
        </w:rPr>
      </w:pPr>
      <w:r>
        <w:rPr>
          <w:sz w:val="24"/>
          <w:szCs w:val="26"/>
        </w:rPr>
        <w:t>（4）固体废物：废分子筛、废润滑油和生活垃圾。</w:t>
      </w:r>
    </w:p>
    <w:p>
      <w:pPr>
        <w:pStyle w:val="4"/>
        <w:spacing w:before="120" w:after="120"/>
        <w:rPr>
          <w:color w:val="FF0000"/>
        </w:rPr>
      </w:pPr>
      <w:bookmarkStart w:id="226" w:name="_Toc145580394"/>
      <w:r>
        <w:rPr>
          <w:rFonts w:hint="eastAsia"/>
        </w:rPr>
        <w:t xml:space="preserve">3.5 </w:t>
      </w:r>
      <w:bookmarkStart w:id="227" w:name="_Hlk147590125"/>
      <w:r>
        <w:rPr>
          <w:rFonts w:hint="eastAsia"/>
          <w:color w:val="FF0000"/>
        </w:rPr>
        <w:t>平衡分析</w:t>
      </w:r>
      <w:bookmarkEnd w:id="225"/>
      <w:bookmarkEnd w:id="226"/>
    </w:p>
    <w:p>
      <w:pPr>
        <w:pStyle w:val="488"/>
        <w:ind w:firstLine="480"/>
        <w:rPr>
          <w:rFonts w:ascii="Times New Roman" w:hAnsi="Times New Roman" w:cs="Times New Roman"/>
          <w:color w:val="FF0000"/>
        </w:rPr>
      </w:pPr>
      <w:r>
        <w:rPr>
          <w:rFonts w:hint="eastAsia" w:ascii="Times New Roman" w:hAnsi="Times New Roman" w:cs="Times New Roman"/>
          <w:color w:val="FF0000"/>
        </w:rPr>
        <w:t>（1）生产线物料平衡</w:t>
      </w:r>
    </w:p>
    <w:p>
      <w:pPr>
        <w:pStyle w:val="488"/>
        <w:ind w:firstLine="480"/>
        <w:rPr>
          <w:rFonts w:ascii="Times New Roman" w:hAnsi="Times New Roman" w:cs="Times New Roman"/>
          <w:color w:val="FF0000"/>
        </w:rPr>
      </w:pPr>
      <w:r>
        <w:rPr>
          <w:rFonts w:ascii="Times New Roman" w:hAnsi="Times New Roman" w:cs="Times New Roman"/>
          <w:color w:val="FF0000"/>
        </w:rPr>
        <w:t>生产线</w:t>
      </w:r>
      <w:r>
        <w:rPr>
          <w:rFonts w:hint="eastAsia" w:ascii="Times New Roman" w:hAnsi="Times New Roman" w:cs="Times New Roman"/>
          <w:color w:val="FF0000"/>
        </w:rPr>
        <w:t>物料</w:t>
      </w:r>
      <w:r>
        <w:rPr>
          <w:rFonts w:ascii="Times New Roman" w:hAnsi="Times New Roman" w:cs="Times New Roman"/>
          <w:color w:val="FF0000"/>
        </w:rPr>
        <w:t>平衡见表3.5-1。</w:t>
      </w:r>
    </w:p>
    <w:p>
      <w:pPr>
        <w:pStyle w:val="400"/>
        <w:ind w:firstLine="420"/>
        <w:rPr>
          <w:color w:val="FF0000"/>
        </w:rPr>
      </w:pPr>
      <w:r>
        <w:rPr>
          <w:rFonts w:hint="eastAsia"/>
          <w:color w:val="FF0000"/>
        </w:rPr>
        <w:t>表3.5</w:t>
      </w:r>
      <w:r>
        <w:rPr>
          <w:color w:val="FF0000"/>
        </w:rPr>
        <w:t>-1</w:t>
      </w:r>
      <w:r>
        <w:rPr>
          <w:rFonts w:hint="eastAsia"/>
          <w:color w:val="FF0000"/>
        </w:rPr>
        <w:t xml:space="preserve">  </w:t>
      </w:r>
      <w:r>
        <w:rPr>
          <w:color w:val="FF0000"/>
        </w:rPr>
        <w:t xml:space="preserve">          </w:t>
      </w:r>
      <w:r>
        <w:rPr>
          <w:rFonts w:hint="eastAsia"/>
          <w:color w:val="FF0000"/>
          <w:lang w:bidi="en-US"/>
        </w:rPr>
        <w:t xml:space="preserve"> </w:t>
      </w:r>
      <w:r>
        <w:rPr>
          <w:color w:val="FF0000"/>
          <w:lang w:bidi="en-US"/>
        </w:rPr>
        <w:t xml:space="preserve">    </w:t>
      </w:r>
      <w:r>
        <w:rPr>
          <w:rFonts w:hint="eastAsia"/>
          <w:color w:val="FF0000"/>
          <w:lang w:bidi="en-US"/>
        </w:rPr>
        <w:t>生产线</w:t>
      </w:r>
      <w:r>
        <w:rPr>
          <w:rFonts w:hint="eastAsia"/>
          <w:color w:val="FF0000"/>
        </w:rPr>
        <w:t>物料平衡表</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1844"/>
        <w:gridCol w:w="2409"/>
        <w:gridCol w:w="2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9" w:type="pct"/>
            <w:gridSpan w:val="2"/>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入</w:t>
            </w:r>
            <w:r>
              <w:rPr>
                <w:color w:val="FF0000"/>
                <w:lang w:eastAsia="zh-CN"/>
              </w:rPr>
              <w:t>方</w:t>
            </w:r>
          </w:p>
        </w:tc>
        <w:tc>
          <w:tcPr>
            <w:tcW w:w="2751" w:type="pct"/>
            <w:gridSpan w:val="2"/>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出</w:t>
            </w:r>
            <w:r>
              <w:rPr>
                <w:color w:val="FF0000"/>
                <w:lang w:eastAsia="zh-CN"/>
              </w:rPr>
              <w:t>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6"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名称</w:t>
            </w:r>
          </w:p>
        </w:tc>
        <w:tc>
          <w:tcPr>
            <w:tcW w:w="1093"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投</w:t>
            </w:r>
            <w:r>
              <w:rPr>
                <w:color w:val="FF0000"/>
                <w:lang w:eastAsia="zh-CN"/>
              </w:rPr>
              <w:t>入</w:t>
            </w:r>
            <w:r>
              <w:rPr>
                <w:color w:val="FF0000"/>
              </w:rPr>
              <w:t>量（</w:t>
            </w:r>
            <w:r>
              <w:rPr>
                <w:rFonts w:hint="eastAsia"/>
                <w:color w:val="FF0000"/>
                <w:lang w:eastAsia="zh-CN"/>
              </w:rPr>
              <w:t>t</w:t>
            </w:r>
            <w:r>
              <w:rPr>
                <w:color w:val="FF0000"/>
              </w:rPr>
              <w:t>/</w:t>
            </w:r>
            <w:r>
              <w:rPr>
                <w:rFonts w:hint="eastAsia"/>
                <w:color w:val="FF0000"/>
                <w:lang w:eastAsia="zh-CN"/>
              </w:rPr>
              <w:t>a</w:t>
            </w:r>
            <w:r>
              <w:rPr>
                <w:color w:val="FF0000"/>
              </w:rPr>
              <w:t>）</w:t>
            </w:r>
          </w:p>
        </w:tc>
        <w:tc>
          <w:tcPr>
            <w:tcW w:w="1428"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名称</w:t>
            </w:r>
          </w:p>
        </w:tc>
        <w:tc>
          <w:tcPr>
            <w:tcW w:w="1323"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lang w:eastAsia="zh-CN"/>
              </w:rPr>
              <w:t>产出</w:t>
            </w:r>
            <w:r>
              <w:rPr>
                <w:color w:val="FF0000"/>
              </w:rPr>
              <w:t>量（</w:t>
            </w:r>
            <w:r>
              <w:rPr>
                <w:rFonts w:hint="eastAsia"/>
                <w:color w:val="FF0000"/>
                <w:lang w:eastAsia="zh-CN"/>
              </w:rPr>
              <w:t>t</w:t>
            </w:r>
            <w:r>
              <w:rPr>
                <w:color w:val="FF0000"/>
              </w:rPr>
              <w:t>/</w:t>
            </w:r>
            <w:r>
              <w:rPr>
                <w:rFonts w:hint="eastAsia"/>
                <w:color w:val="FF0000"/>
                <w:lang w:eastAsia="zh-CN"/>
              </w:rPr>
              <w:t>a</w:t>
            </w:r>
            <w:r>
              <w:rPr>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6" w:type="pc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原料气（含水）6</w:t>
            </w:r>
            <w:r>
              <w:rPr>
                <w:color w:val="FF0000"/>
                <w:lang w:eastAsia="zh-CN"/>
              </w:rPr>
              <w:t>0000</w:t>
            </w:r>
            <w:r>
              <w:rPr>
                <w:rFonts w:hint="eastAsia"/>
                <w:color w:val="FF0000"/>
                <w:lang w:eastAsia="zh-CN"/>
              </w:rPr>
              <w:t>m</w:t>
            </w:r>
            <w:r>
              <w:rPr>
                <w:rFonts w:hint="eastAsia"/>
                <w:color w:val="FF0000"/>
                <w:vertAlign w:val="superscript"/>
                <w:lang w:eastAsia="zh-CN"/>
              </w:rPr>
              <w:t>3</w:t>
            </w:r>
            <w:r>
              <w:rPr>
                <w:rFonts w:hint="eastAsia"/>
                <w:color w:val="FF0000"/>
                <w:lang w:eastAsia="zh-CN"/>
              </w:rPr>
              <w:t>/d</w:t>
            </w:r>
          </w:p>
        </w:tc>
        <w:tc>
          <w:tcPr>
            <w:tcW w:w="1093"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35910.1</w:t>
            </w:r>
          </w:p>
        </w:tc>
        <w:tc>
          <w:tcPr>
            <w:tcW w:w="1428" w:type="pc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含油废水</w:t>
            </w:r>
          </w:p>
        </w:tc>
        <w:tc>
          <w:tcPr>
            <w:tcW w:w="1323"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9900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6"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p>
        </w:tc>
        <w:tc>
          <w:tcPr>
            <w:tcW w:w="1093"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p>
        </w:tc>
        <w:tc>
          <w:tcPr>
            <w:tcW w:w="1428" w:type="pc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缓冲罐废水</w:t>
            </w:r>
          </w:p>
        </w:tc>
        <w:tc>
          <w:tcPr>
            <w:tcW w:w="1323" w:type="pct"/>
            <w:tcBorders>
              <w:top w:val="single" w:color="auto" w:sz="4" w:space="0"/>
              <w:left w:val="single" w:color="auto" w:sz="4" w:space="0"/>
              <w:bottom w:val="single" w:color="auto" w:sz="4" w:space="0"/>
              <w:right w:val="single" w:color="auto" w:sz="4" w:space="0"/>
            </w:tcBorders>
            <w:vAlign w:val="center"/>
          </w:tcPr>
          <w:p>
            <w:pPr>
              <w:pStyle w:val="670"/>
              <w:rPr>
                <w:color w:val="FF0000"/>
                <w:spacing w:val="-10"/>
              </w:rPr>
            </w:pPr>
            <w:r>
              <w:rPr>
                <w:color w:val="FF0000"/>
                <w:spacing w:val="-10"/>
              </w:rPr>
              <w:t>1980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6"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p>
        </w:tc>
        <w:tc>
          <w:tcPr>
            <w:tcW w:w="1093"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p>
        </w:tc>
        <w:tc>
          <w:tcPr>
            <w:tcW w:w="1428" w:type="pc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干燥塔脱离废水</w:t>
            </w:r>
          </w:p>
        </w:tc>
        <w:tc>
          <w:tcPr>
            <w:tcW w:w="1323"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6"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p>
        </w:tc>
        <w:tc>
          <w:tcPr>
            <w:tcW w:w="1093"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p>
        </w:tc>
        <w:tc>
          <w:tcPr>
            <w:tcW w:w="1428" w:type="pc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CNG</w:t>
            </w:r>
          </w:p>
        </w:tc>
        <w:tc>
          <w:tcPr>
            <w:tcW w:w="1323" w:type="pc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14130.072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6"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p>
        </w:tc>
        <w:tc>
          <w:tcPr>
            <w:tcW w:w="1093"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p>
        </w:tc>
        <w:tc>
          <w:tcPr>
            <w:tcW w:w="1428" w:type="pc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混烃</w:t>
            </w:r>
          </w:p>
        </w:tc>
        <w:tc>
          <w:tcPr>
            <w:tcW w:w="1323" w:type="pct"/>
            <w:tcBorders>
              <w:top w:val="single" w:color="auto" w:sz="4" w:space="0"/>
              <w:left w:val="single" w:color="auto" w:sz="4" w:space="0"/>
              <w:bottom w:val="single" w:color="auto" w:sz="4" w:space="0"/>
              <w:right w:val="single" w:color="auto" w:sz="4" w:space="0"/>
            </w:tcBorders>
            <w:vAlign w:val="center"/>
          </w:tcPr>
          <w:p>
            <w:pPr>
              <w:pStyle w:val="670"/>
              <w:rPr>
                <w:color w:val="FF0000"/>
                <w:sz w:val="22"/>
                <w:szCs w:val="22"/>
                <w:lang w:eastAsia="zh-CN"/>
              </w:rPr>
            </w:pPr>
            <w:r>
              <w:rPr>
                <w:color w:val="FF0000"/>
                <w:sz w:val="22"/>
                <w:szCs w:val="22"/>
                <w:lang w:eastAsia="zh-CN"/>
              </w:rPr>
              <w:t>1980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6"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p>
        </w:tc>
        <w:tc>
          <w:tcPr>
            <w:tcW w:w="1093"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p>
        </w:tc>
        <w:tc>
          <w:tcPr>
            <w:tcW w:w="1428" w:type="pc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无组织废气</w:t>
            </w:r>
          </w:p>
        </w:tc>
        <w:tc>
          <w:tcPr>
            <w:tcW w:w="1323" w:type="pct"/>
            <w:tcBorders>
              <w:top w:val="single" w:color="auto" w:sz="4" w:space="0"/>
              <w:left w:val="single" w:color="auto" w:sz="4" w:space="0"/>
              <w:bottom w:val="single" w:color="auto" w:sz="4" w:space="0"/>
              <w:right w:val="single" w:color="auto" w:sz="4" w:space="0"/>
            </w:tcBorders>
            <w:vAlign w:val="center"/>
          </w:tcPr>
          <w:p>
            <w:pPr>
              <w:pStyle w:val="670"/>
              <w:rPr>
                <w:color w:val="FF0000"/>
                <w:sz w:val="22"/>
                <w:szCs w:val="22"/>
                <w:lang w:eastAsia="zh-CN"/>
              </w:rPr>
            </w:pPr>
            <w:r>
              <w:rPr>
                <w:rFonts w:hint="eastAsia"/>
                <w:color w:val="FF0000"/>
                <w:sz w:val="22"/>
                <w:szCs w:val="22"/>
                <w:lang w:eastAsia="zh-CN"/>
              </w:rPr>
              <w:t>0</w:t>
            </w:r>
            <w:r>
              <w:rPr>
                <w:color w:val="FF0000"/>
                <w:sz w:val="22"/>
                <w:szCs w:val="22"/>
                <w:lang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6"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合计</w:t>
            </w:r>
          </w:p>
        </w:tc>
        <w:tc>
          <w:tcPr>
            <w:tcW w:w="1093"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35910.1</w:t>
            </w:r>
          </w:p>
        </w:tc>
        <w:tc>
          <w:tcPr>
            <w:tcW w:w="1428"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合计</w:t>
            </w:r>
          </w:p>
        </w:tc>
        <w:tc>
          <w:tcPr>
            <w:tcW w:w="1323"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35910.1</w:t>
            </w:r>
          </w:p>
        </w:tc>
      </w:tr>
    </w:tbl>
    <w:p>
      <w:pPr>
        <w:pStyle w:val="488"/>
        <w:ind w:firstLine="480"/>
        <w:rPr>
          <w:rFonts w:ascii="Times New Roman" w:hAnsi="Times New Roman" w:cs="Times New Roman"/>
          <w:color w:val="FF0000"/>
        </w:rPr>
      </w:pPr>
      <w:bookmarkStart w:id="228" w:name="_Toc107500354"/>
      <w:bookmarkStart w:id="229" w:name="_Toc145580395"/>
      <w:r>
        <w:rPr>
          <w:rFonts w:hint="eastAsia" w:ascii="Times New Roman" w:hAnsi="Times New Roman" w:cs="Times New Roman"/>
          <w:color w:val="FF0000"/>
        </w:rPr>
        <w:t>（</w:t>
      </w:r>
      <w:r>
        <w:rPr>
          <w:rFonts w:ascii="Times New Roman" w:hAnsi="Times New Roman" w:cs="Times New Roman"/>
          <w:color w:val="FF0000"/>
        </w:rPr>
        <w:t>2</w:t>
      </w:r>
      <w:r>
        <w:rPr>
          <w:rFonts w:hint="eastAsia" w:ascii="Times New Roman" w:hAnsi="Times New Roman" w:cs="Times New Roman"/>
          <w:color w:val="FF0000"/>
        </w:rPr>
        <w:t>）水平衡</w:t>
      </w:r>
    </w:p>
    <w:p>
      <w:pPr>
        <w:pStyle w:val="488"/>
        <w:ind w:firstLine="480"/>
        <w:rPr>
          <w:rFonts w:ascii="Times New Roman" w:hAnsi="Times New Roman" w:cs="Times New Roman"/>
          <w:color w:val="FF0000"/>
        </w:rPr>
      </w:pPr>
      <w:r>
        <w:rPr>
          <w:rFonts w:hint="eastAsia" w:ascii="Times New Roman" w:hAnsi="Times New Roman" w:cs="Times New Roman"/>
          <w:color w:val="FF0000"/>
        </w:rPr>
        <w:t>项目水平衡见下图。</w:t>
      </w:r>
    </w:p>
    <w:p>
      <w:pPr>
        <w:pStyle w:val="488"/>
        <w:spacing w:line="240" w:lineRule="auto"/>
        <w:ind w:firstLine="0" w:firstLineChars="0"/>
        <w:rPr>
          <w:color w:val="FF0000"/>
        </w:rPr>
      </w:pPr>
      <w:r>
        <w:rPr>
          <w:color w:val="FF0000"/>
        </w:rPr>
        <w:object>
          <v:shape id="_x0000_i1027" o:spt="75" type="#_x0000_t75" style="height:131.85pt;width:410.65pt;" o:ole="t" filled="f" o:preferrelative="t" stroked="f" coordsize="21600,21600">
            <v:path/>
            <v:fill on="f" focussize="0,0"/>
            <v:stroke on="f" joinstyle="miter"/>
            <v:imagedata r:id="rId14" o:title=""/>
            <o:lock v:ext="edit" aspectratio="t"/>
            <w10:wrap type="none"/>
            <w10:anchorlock/>
          </v:shape>
          <o:OLEObject Type="Embed" ProgID="Visio.Drawing.15" ShapeID="_x0000_i1027" DrawAspect="Content" ObjectID="_1468075727" r:id="rId13">
            <o:LockedField>false</o:LockedField>
          </o:OLEObject>
        </w:object>
      </w:r>
    </w:p>
    <w:p>
      <w:pPr>
        <w:pStyle w:val="488"/>
        <w:spacing w:line="240" w:lineRule="auto"/>
        <w:ind w:firstLine="0" w:firstLineChars="0"/>
        <w:jc w:val="center"/>
        <w:rPr>
          <w:rFonts w:ascii="黑体" w:hAnsi="黑体" w:eastAsia="黑体" w:cs="Times New Roman"/>
          <w:color w:val="FF0000"/>
          <w:sz w:val="21"/>
          <w:szCs w:val="21"/>
        </w:rPr>
      </w:pPr>
      <w:r>
        <w:rPr>
          <w:rFonts w:hint="eastAsia" w:ascii="黑体" w:hAnsi="黑体" w:eastAsia="黑体"/>
          <w:color w:val="FF0000"/>
          <w:sz w:val="21"/>
          <w:szCs w:val="21"/>
        </w:rPr>
        <w:t>图3</w:t>
      </w:r>
      <w:r>
        <w:rPr>
          <w:rFonts w:ascii="黑体" w:hAnsi="黑体" w:eastAsia="黑体"/>
          <w:color w:val="FF0000"/>
          <w:sz w:val="21"/>
          <w:szCs w:val="21"/>
        </w:rPr>
        <w:t xml:space="preserve">.5-1  </w:t>
      </w:r>
      <w:r>
        <w:rPr>
          <w:rFonts w:hint="eastAsia" w:ascii="黑体" w:hAnsi="黑体" w:eastAsia="黑体"/>
          <w:color w:val="FF0000"/>
          <w:sz w:val="21"/>
          <w:szCs w:val="21"/>
        </w:rPr>
        <w:t>项目水平衡图</w:t>
      </w:r>
    </w:p>
    <w:bookmarkEnd w:id="227"/>
    <w:p>
      <w:pPr>
        <w:pStyle w:val="4"/>
        <w:spacing w:before="120" w:after="120"/>
      </w:pPr>
      <w:r>
        <w:rPr>
          <w:rFonts w:hint="eastAsia"/>
        </w:rPr>
        <w:t>3.6污染源及污染物分析</w:t>
      </w:r>
      <w:bookmarkEnd w:id="228"/>
      <w:bookmarkEnd w:id="229"/>
    </w:p>
    <w:p>
      <w:pPr>
        <w:pStyle w:val="5"/>
        <w:spacing w:before="120" w:after="120"/>
        <w:rPr>
          <w:spacing w:val="0"/>
        </w:rPr>
      </w:pPr>
      <w:bookmarkStart w:id="230" w:name="_Toc107500355"/>
      <w:bookmarkStart w:id="231" w:name="_Toc145580396"/>
      <w:r>
        <w:rPr>
          <w:rFonts w:hint="eastAsia"/>
          <w:spacing w:val="0"/>
        </w:rPr>
        <w:t>3.6.1施工期污染源及污染物分析</w:t>
      </w:r>
      <w:bookmarkEnd w:id="230"/>
      <w:bookmarkEnd w:id="231"/>
    </w:p>
    <w:p>
      <w:pPr>
        <w:pStyle w:val="494"/>
        <w:ind w:firstLine="480"/>
        <w:rPr>
          <w:color w:val="FF0000"/>
        </w:rPr>
      </w:pPr>
      <w:r>
        <w:rPr>
          <w:rFonts w:hint="eastAsia"/>
          <w:color w:val="FF0000"/>
        </w:rPr>
        <w:t>本项目主要</w:t>
      </w:r>
      <w:r>
        <w:rPr>
          <w:color w:val="FF0000"/>
        </w:rPr>
        <w:t>进行设备拆除及安装。施工</w:t>
      </w:r>
      <w:r>
        <w:rPr>
          <w:rFonts w:hint="eastAsia"/>
          <w:color w:val="FF0000"/>
        </w:rPr>
        <w:t>过程</w:t>
      </w:r>
      <w:r>
        <w:rPr>
          <w:color w:val="FF0000"/>
        </w:rPr>
        <w:t>主要污染源包括施工噪声、废水、固体废物。</w:t>
      </w:r>
    </w:p>
    <w:p>
      <w:pPr>
        <w:pStyle w:val="494"/>
        <w:ind w:firstLine="480"/>
        <w:rPr>
          <w:color w:val="FF0000"/>
        </w:rPr>
      </w:pPr>
      <w:r>
        <w:rPr>
          <w:color w:val="FF0000"/>
        </w:rPr>
        <w:t>1</w:t>
      </w:r>
      <w:r>
        <w:rPr>
          <w:rFonts w:hint="eastAsia"/>
          <w:color w:val="FF0000"/>
        </w:rPr>
        <w:t>、施工扬尘</w:t>
      </w:r>
    </w:p>
    <w:p>
      <w:pPr>
        <w:pStyle w:val="494"/>
        <w:ind w:firstLine="480"/>
        <w:rPr>
          <w:color w:val="FF0000"/>
        </w:rPr>
      </w:pPr>
      <w:r>
        <w:rPr>
          <w:rFonts w:hint="eastAsia"/>
          <w:color w:val="FF0000"/>
        </w:rPr>
        <w:t>项目施工扬尘主要为运输设备时产生的运输扬尘、施工车辆在施工道路上运输施工时需要的材料引起的扬尘以及施工机械废气。</w:t>
      </w:r>
    </w:p>
    <w:p>
      <w:pPr>
        <w:pStyle w:val="494"/>
        <w:ind w:firstLine="480"/>
        <w:rPr>
          <w:color w:val="FF0000"/>
        </w:rPr>
      </w:pPr>
      <w:r>
        <w:rPr>
          <w:rFonts w:hint="eastAsia"/>
          <w:color w:val="FF0000"/>
        </w:rPr>
        <w:t>引起运输扬尘的因素较多，主要与车辆行驶速度、风速、路面积尘量和路面湿度有关，其中风速、风力还直接影响到扬尘的传输距离。道路表面由于其表面土层松散、车辆碾压频繁，也易形成尘源，采取洒水措施来减少扬尘。施工过程中建设单位应要求施工单位经常洒水抑尘。目前国内常用于抑制路面扬尘的方法是洒水，实践验证该法抑制扬尘十分有效。</w:t>
      </w:r>
    </w:p>
    <w:p>
      <w:pPr>
        <w:pStyle w:val="494"/>
        <w:ind w:firstLine="480"/>
        <w:rPr>
          <w:color w:val="FF0000"/>
        </w:rPr>
      </w:pPr>
      <w:r>
        <w:rPr>
          <w:rFonts w:hint="eastAsia"/>
          <w:color w:val="FF0000"/>
        </w:rPr>
        <w:t>机械</w:t>
      </w:r>
      <w:r>
        <w:rPr>
          <w:color w:val="FF0000"/>
        </w:rPr>
        <w:t>废气</w:t>
      </w:r>
      <w:r>
        <w:rPr>
          <w:rFonts w:hint="eastAsia"/>
          <w:color w:val="FF0000"/>
        </w:rPr>
        <w:t>主要是来自施工机械、物料运输车辆等产生的汽车尾气。主要污染物为</w:t>
      </w:r>
      <w:r>
        <w:rPr>
          <w:color w:val="FF0000"/>
        </w:rPr>
        <w:t>CO、NO</w:t>
      </w:r>
      <w:r>
        <w:rPr>
          <w:color w:val="FF0000"/>
          <w:vertAlign w:val="subscript"/>
        </w:rPr>
        <w:t>X</w:t>
      </w:r>
      <w:r>
        <w:rPr>
          <w:color w:val="FF0000"/>
        </w:rPr>
        <w:t>及碳氢化合物。</w:t>
      </w:r>
      <w:r>
        <w:rPr>
          <w:rFonts w:hint="eastAsia"/>
          <w:color w:val="FF0000"/>
        </w:rPr>
        <w:t>这些污染物量很小，可忽略不计。影响范围仅局限在施工作业区内，而且施工场地相对较为空旷，施工过程中各机械设备排放的废气很快就会随风稀释扩散，对周围</w:t>
      </w:r>
      <w:r>
        <w:rPr>
          <w:color w:val="FF0000"/>
        </w:rPr>
        <w:t>环境</w:t>
      </w:r>
      <w:r>
        <w:rPr>
          <w:rFonts w:hint="eastAsia"/>
          <w:color w:val="FF0000"/>
        </w:rPr>
        <w:t>空气造成的影响不大。</w:t>
      </w:r>
    </w:p>
    <w:p>
      <w:pPr>
        <w:pStyle w:val="494"/>
        <w:ind w:firstLine="480"/>
        <w:rPr>
          <w:color w:val="FF0000"/>
        </w:rPr>
      </w:pPr>
      <w:r>
        <w:rPr>
          <w:color w:val="FF0000"/>
        </w:rPr>
        <w:t>2</w:t>
      </w:r>
      <w:r>
        <w:rPr>
          <w:rFonts w:hint="eastAsia"/>
          <w:color w:val="FF0000"/>
        </w:rPr>
        <w:t>、施工废水</w:t>
      </w:r>
    </w:p>
    <w:p>
      <w:pPr>
        <w:pStyle w:val="494"/>
        <w:ind w:firstLine="480"/>
        <w:rPr>
          <w:color w:val="FF0000"/>
        </w:rPr>
      </w:pPr>
      <w:r>
        <w:rPr>
          <w:rFonts w:hint="eastAsia"/>
          <w:color w:val="FF0000"/>
        </w:rPr>
        <w:t>施工期间产生的废水主要为生活污水。</w:t>
      </w:r>
      <w:r>
        <w:rPr>
          <w:color w:val="FF0000"/>
        </w:rPr>
        <w:t>生活污水主要是施工人员产生的生活污水，主要污染物主要包括CODcr、BOD</w:t>
      </w:r>
      <w:r>
        <w:rPr>
          <w:color w:val="FF0000"/>
          <w:vertAlign w:val="subscript"/>
        </w:rPr>
        <w:t>5</w:t>
      </w:r>
      <w:r>
        <w:rPr>
          <w:color w:val="FF0000"/>
        </w:rPr>
        <w:t>、NH</w:t>
      </w:r>
      <w:r>
        <w:rPr>
          <w:color w:val="FF0000"/>
          <w:vertAlign w:val="subscript"/>
        </w:rPr>
        <w:t>3</w:t>
      </w:r>
      <w:r>
        <w:rPr>
          <w:color w:val="FF0000"/>
        </w:rPr>
        <w:t>-N、SS等，水量不大。</w:t>
      </w:r>
      <w:r>
        <w:rPr>
          <w:rFonts w:hint="eastAsia"/>
          <w:color w:val="FF0000"/>
        </w:rPr>
        <w:t>施工人员生活污水依托厂区现有化粪池收集处理后</w:t>
      </w:r>
      <w:r>
        <w:rPr>
          <w:rFonts w:cs="Times New Roman"/>
          <w:color w:val="FF0000"/>
        </w:rPr>
        <w:t>，</w:t>
      </w:r>
      <w:r>
        <w:rPr>
          <w:rFonts w:hint="eastAsia" w:cs="Times New Roman"/>
          <w:color w:val="FF0000"/>
        </w:rPr>
        <w:t>委托新疆诺客蒙鑫环境技术有限公司拉运处置</w:t>
      </w:r>
      <w:r>
        <w:rPr>
          <w:rFonts w:hint="eastAsia"/>
          <w:color w:val="FF0000"/>
        </w:rPr>
        <w:t>。</w:t>
      </w:r>
    </w:p>
    <w:p>
      <w:pPr>
        <w:pStyle w:val="494"/>
        <w:ind w:firstLine="480"/>
        <w:rPr>
          <w:color w:val="FF0000"/>
        </w:rPr>
      </w:pPr>
      <w:r>
        <w:rPr>
          <w:color w:val="FF0000"/>
        </w:rPr>
        <w:t>3</w:t>
      </w:r>
      <w:r>
        <w:rPr>
          <w:rFonts w:hint="eastAsia"/>
          <w:color w:val="FF0000"/>
        </w:rPr>
        <w:t>、施工噪声</w:t>
      </w:r>
    </w:p>
    <w:p>
      <w:pPr>
        <w:pStyle w:val="494"/>
        <w:ind w:firstLine="480"/>
        <w:rPr>
          <w:color w:val="FF0000"/>
        </w:rPr>
      </w:pPr>
      <w:r>
        <w:rPr>
          <w:rFonts w:hint="eastAsia"/>
          <w:color w:val="FF0000"/>
        </w:rPr>
        <w:t>根据本项目施工特点，项目施工期主要噪声源为设备拆除</w:t>
      </w:r>
      <w:r>
        <w:rPr>
          <w:color w:val="FF0000"/>
        </w:rPr>
        <w:t>及新设备安装产生的噪声</w:t>
      </w:r>
      <w:r>
        <w:rPr>
          <w:rFonts w:hint="eastAsia"/>
          <w:color w:val="FF0000"/>
        </w:rPr>
        <w:t>。建设期主要施工机械设备的噪声源强见下表，当多台机械设备同时作业时，产生噪声叠加，根据类比调查，叠加后的噪声增3～8dB(A)，一般不会超过10dB(A)。</w:t>
      </w:r>
    </w:p>
    <w:p>
      <w:pPr>
        <w:pStyle w:val="400"/>
        <w:ind w:firstLine="420"/>
        <w:rPr>
          <w:color w:val="FF0000"/>
        </w:rPr>
      </w:pPr>
      <w:r>
        <w:rPr>
          <w:rFonts w:hint="eastAsia"/>
          <w:color w:val="FF0000"/>
        </w:rPr>
        <w:t>表3.6</w:t>
      </w:r>
      <w:r>
        <w:rPr>
          <w:color w:val="FF0000"/>
        </w:rPr>
        <w:t xml:space="preserve">-1     </w:t>
      </w:r>
      <w:r>
        <w:rPr>
          <w:rFonts w:hint="eastAsia"/>
          <w:color w:val="FF0000"/>
        </w:rPr>
        <w:t xml:space="preserve">    </w:t>
      </w:r>
      <w:r>
        <w:rPr>
          <w:color w:val="FF0000"/>
        </w:rPr>
        <w:t xml:space="preserve">      </w:t>
      </w:r>
      <w:r>
        <w:rPr>
          <w:rFonts w:hint="eastAsia"/>
          <w:color w:val="FF0000"/>
        </w:rPr>
        <w:t>施工期机械及车辆噪声源强</w:t>
      </w:r>
    </w:p>
    <w:tbl>
      <w:tblPr>
        <w:tblStyle w:val="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9"/>
        <w:gridCol w:w="1984"/>
        <w:gridCol w:w="1437"/>
        <w:gridCol w:w="1955"/>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6" w:type="pct"/>
            <w:vAlign w:val="center"/>
          </w:tcPr>
          <w:p>
            <w:pPr>
              <w:pStyle w:val="687"/>
              <w:rPr>
                <w:color w:val="FF0000"/>
                <w:sz w:val="20"/>
              </w:rPr>
            </w:pPr>
            <w:r>
              <w:rPr>
                <w:rFonts w:hint="eastAsia"/>
                <w:color w:val="FF0000"/>
                <w:sz w:val="20"/>
              </w:rPr>
              <w:t>设备名称</w:t>
            </w:r>
          </w:p>
        </w:tc>
        <w:tc>
          <w:tcPr>
            <w:tcW w:w="1176" w:type="pct"/>
            <w:vAlign w:val="center"/>
          </w:tcPr>
          <w:p>
            <w:pPr>
              <w:pStyle w:val="687"/>
              <w:rPr>
                <w:color w:val="FF0000"/>
                <w:sz w:val="20"/>
              </w:rPr>
            </w:pPr>
            <w:r>
              <w:rPr>
                <w:rFonts w:hint="eastAsia"/>
                <w:color w:val="FF0000"/>
                <w:sz w:val="20"/>
              </w:rPr>
              <w:t>噪声强度</w:t>
            </w:r>
            <w:r>
              <w:rPr>
                <w:color w:val="FF0000"/>
                <w:sz w:val="20"/>
              </w:rPr>
              <w:t>[dB(A)]</w:t>
            </w:r>
          </w:p>
        </w:tc>
        <w:tc>
          <w:tcPr>
            <w:tcW w:w="852" w:type="pct"/>
            <w:vAlign w:val="center"/>
          </w:tcPr>
          <w:p>
            <w:pPr>
              <w:pStyle w:val="687"/>
              <w:rPr>
                <w:color w:val="FF0000"/>
                <w:sz w:val="20"/>
              </w:rPr>
            </w:pPr>
            <w:r>
              <w:rPr>
                <w:rFonts w:hint="eastAsia"/>
                <w:color w:val="FF0000"/>
                <w:sz w:val="20"/>
              </w:rPr>
              <w:t>设备名称</w:t>
            </w:r>
          </w:p>
        </w:tc>
        <w:tc>
          <w:tcPr>
            <w:tcW w:w="1159" w:type="pct"/>
            <w:vAlign w:val="center"/>
          </w:tcPr>
          <w:p>
            <w:pPr>
              <w:pStyle w:val="687"/>
              <w:rPr>
                <w:color w:val="FF0000"/>
                <w:sz w:val="20"/>
              </w:rPr>
            </w:pPr>
            <w:r>
              <w:rPr>
                <w:rFonts w:hint="eastAsia"/>
                <w:color w:val="FF0000"/>
                <w:sz w:val="20"/>
              </w:rPr>
              <w:t>噪声强度</w:t>
            </w:r>
            <w:r>
              <w:rPr>
                <w:color w:val="FF0000"/>
                <w:sz w:val="20"/>
              </w:rPr>
              <w:t>[dB(A)]</w:t>
            </w:r>
          </w:p>
        </w:tc>
        <w:tc>
          <w:tcPr>
            <w:tcW w:w="748" w:type="pct"/>
            <w:vAlign w:val="center"/>
          </w:tcPr>
          <w:p>
            <w:pPr>
              <w:pStyle w:val="687"/>
              <w:rPr>
                <w:color w:val="FF0000"/>
                <w:sz w:val="20"/>
              </w:rPr>
            </w:pPr>
            <w:r>
              <w:rPr>
                <w:rFonts w:hint="eastAsia"/>
                <w:color w:val="FF0000"/>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6" w:type="pct"/>
            <w:vAlign w:val="center"/>
          </w:tcPr>
          <w:p>
            <w:pPr>
              <w:pStyle w:val="687"/>
              <w:rPr>
                <w:color w:val="FF0000"/>
                <w:sz w:val="20"/>
              </w:rPr>
            </w:pPr>
            <w:r>
              <w:rPr>
                <w:rFonts w:hint="eastAsia"/>
                <w:color w:val="FF0000"/>
                <w:sz w:val="20"/>
              </w:rPr>
              <w:t>切割机</w:t>
            </w:r>
          </w:p>
        </w:tc>
        <w:tc>
          <w:tcPr>
            <w:tcW w:w="1176" w:type="pct"/>
            <w:vAlign w:val="center"/>
          </w:tcPr>
          <w:p>
            <w:pPr>
              <w:pStyle w:val="687"/>
              <w:rPr>
                <w:color w:val="FF0000"/>
                <w:sz w:val="20"/>
              </w:rPr>
            </w:pPr>
            <w:r>
              <w:rPr>
                <w:rFonts w:hint="eastAsia"/>
                <w:color w:val="FF0000"/>
                <w:sz w:val="20"/>
              </w:rPr>
              <w:t>95</w:t>
            </w:r>
          </w:p>
        </w:tc>
        <w:tc>
          <w:tcPr>
            <w:tcW w:w="852" w:type="pct"/>
            <w:vAlign w:val="center"/>
          </w:tcPr>
          <w:p>
            <w:pPr>
              <w:pStyle w:val="687"/>
              <w:rPr>
                <w:color w:val="FF0000"/>
                <w:sz w:val="20"/>
              </w:rPr>
            </w:pPr>
            <w:r>
              <w:rPr>
                <w:rFonts w:hint="eastAsia"/>
                <w:color w:val="FF0000"/>
                <w:sz w:val="20"/>
              </w:rPr>
              <w:t>运输车辆</w:t>
            </w:r>
          </w:p>
        </w:tc>
        <w:tc>
          <w:tcPr>
            <w:tcW w:w="1159" w:type="pct"/>
            <w:vAlign w:val="center"/>
          </w:tcPr>
          <w:p>
            <w:pPr>
              <w:pStyle w:val="687"/>
              <w:rPr>
                <w:color w:val="FF0000"/>
                <w:sz w:val="20"/>
              </w:rPr>
            </w:pPr>
            <w:r>
              <w:rPr>
                <w:color w:val="FF0000"/>
                <w:sz w:val="20"/>
              </w:rPr>
              <w:t>85</w:t>
            </w:r>
          </w:p>
        </w:tc>
        <w:tc>
          <w:tcPr>
            <w:tcW w:w="748" w:type="pct"/>
            <w:vMerge w:val="restart"/>
            <w:vAlign w:val="center"/>
          </w:tcPr>
          <w:p>
            <w:pPr>
              <w:pStyle w:val="687"/>
              <w:rPr>
                <w:color w:val="FF0000"/>
                <w:sz w:val="20"/>
              </w:rPr>
            </w:pPr>
            <w:r>
              <w:rPr>
                <w:rFonts w:hint="eastAsia"/>
                <w:color w:val="FF0000"/>
                <w:sz w:val="20"/>
              </w:rPr>
              <w:t>距离设备</w:t>
            </w:r>
          </w:p>
          <w:p>
            <w:pPr>
              <w:pStyle w:val="687"/>
              <w:rPr>
                <w:color w:val="FF0000"/>
                <w:sz w:val="20"/>
              </w:rPr>
            </w:pPr>
            <w:r>
              <w:rPr>
                <w:color w:val="FF0000"/>
                <w:sz w:val="20"/>
              </w:rPr>
              <w:t>1m</w:t>
            </w:r>
            <w:r>
              <w:rPr>
                <w:rFonts w:hint="eastAsia"/>
                <w:color w:val="FF0000"/>
                <w:sz w:val="20"/>
              </w:rPr>
              <w:t>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6" w:type="pct"/>
            <w:vAlign w:val="center"/>
          </w:tcPr>
          <w:p>
            <w:pPr>
              <w:pStyle w:val="687"/>
              <w:rPr>
                <w:color w:val="FF0000"/>
                <w:sz w:val="20"/>
                <w:lang w:eastAsia="zh-CN"/>
              </w:rPr>
            </w:pPr>
            <w:r>
              <w:rPr>
                <w:rFonts w:hint="eastAsia"/>
                <w:color w:val="FF0000"/>
                <w:sz w:val="20"/>
                <w:lang w:eastAsia="zh-CN"/>
              </w:rPr>
              <w:t>升降机</w:t>
            </w:r>
          </w:p>
        </w:tc>
        <w:tc>
          <w:tcPr>
            <w:tcW w:w="1176" w:type="pct"/>
            <w:vAlign w:val="center"/>
          </w:tcPr>
          <w:p>
            <w:pPr>
              <w:pStyle w:val="687"/>
              <w:rPr>
                <w:color w:val="FF0000"/>
                <w:sz w:val="20"/>
                <w:lang w:eastAsia="zh-CN"/>
              </w:rPr>
            </w:pPr>
            <w:r>
              <w:rPr>
                <w:rFonts w:hint="eastAsia"/>
                <w:color w:val="FF0000"/>
                <w:sz w:val="20"/>
                <w:lang w:eastAsia="zh-CN"/>
              </w:rPr>
              <w:t>90</w:t>
            </w:r>
          </w:p>
        </w:tc>
        <w:tc>
          <w:tcPr>
            <w:tcW w:w="852" w:type="pct"/>
            <w:vAlign w:val="center"/>
          </w:tcPr>
          <w:p>
            <w:pPr>
              <w:pStyle w:val="687"/>
              <w:rPr>
                <w:color w:val="FF0000"/>
                <w:sz w:val="20"/>
                <w:lang w:eastAsia="zh-CN"/>
              </w:rPr>
            </w:pPr>
            <w:r>
              <w:rPr>
                <w:rFonts w:hint="eastAsia"/>
                <w:color w:val="FF0000"/>
                <w:sz w:val="20"/>
                <w:lang w:eastAsia="zh-CN"/>
              </w:rPr>
              <w:t>电钻</w:t>
            </w:r>
          </w:p>
        </w:tc>
        <w:tc>
          <w:tcPr>
            <w:tcW w:w="1159" w:type="pct"/>
            <w:vAlign w:val="center"/>
          </w:tcPr>
          <w:p>
            <w:pPr>
              <w:pStyle w:val="687"/>
              <w:rPr>
                <w:color w:val="FF0000"/>
                <w:sz w:val="20"/>
                <w:lang w:eastAsia="zh-CN"/>
              </w:rPr>
            </w:pPr>
            <w:r>
              <w:rPr>
                <w:rFonts w:hint="eastAsia"/>
                <w:color w:val="FF0000"/>
                <w:sz w:val="20"/>
                <w:lang w:eastAsia="zh-CN"/>
              </w:rPr>
              <w:t>90</w:t>
            </w:r>
          </w:p>
        </w:tc>
        <w:tc>
          <w:tcPr>
            <w:tcW w:w="748" w:type="pct"/>
            <w:vMerge w:val="continue"/>
            <w:vAlign w:val="center"/>
          </w:tcPr>
          <w:p>
            <w:pPr>
              <w:pStyle w:val="687"/>
              <w:rPr>
                <w:color w:val="FF0000"/>
                <w:sz w:val="20"/>
              </w:rPr>
            </w:pPr>
          </w:p>
        </w:tc>
      </w:tr>
    </w:tbl>
    <w:p>
      <w:pPr>
        <w:pStyle w:val="494"/>
        <w:ind w:firstLine="480"/>
        <w:rPr>
          <w:color w:val="FF0000"/>
        </w:rPr>
      </w:pPr>
      <w:r>
        <w:rPr>
          <w:color w:val="FF0000"/>
        </w:rPr>
        <w:t>4</w:t>
      </w:r>
      <w:r>
        <w:rPr>
          <w:rFonts w:hint="eastAsia"/>
          <w:color w:val="FF0000"/>
        </w:rPr>
        <w:t>、固体废物</w:t>
      </w:r>
    </w:p>
    <w:p>
      <w:pPr>
        <w:pStyle w:val="494"/>
        <w:ind w:firstLine="480"/>
        <w:rPr>
          <w:color w:val="FF0000"/>
        </w:rPr>
      </w:pPr>
      <w:r>
        <w:rPr>
          <w:rFonts w:hint="eastAsia"/>
          <w:color w:val="FF0000"/>
        </w:rPr>
        <w:t>施工期产生的固体废物主要为施工生活垃圾。施工人员生活垃圾产生量较小，预计施工时平均人员为</w:t>
      </w:r>
      <w:r>
        <w:rPr>
          <w:color w:val="FF0000"/>
        </w:rPr>
        <w:t>10</w:t>
      </w:r>
      <w:r>
        <w:rPr>
          <w:rFonts w:hint="eastAsia"/>
          <w:color w:val="FF0000"/>
        </w:rPr>
        <w:t>人。施工人员按每人每天产生垃圾量</w:t>
      </w:r>
      <w:r>
        <w:rPr>
          <w:color w:val="FF0000"/>
        </w:rPr>
        <w:t>0.5kg</w:t>
      </w:r>
      <w:r>
        <w:rPr>
          <w:rFonts w:hint="eastAsia"/>
          <w:color w:val="FF0000"/>
        </w:rPr>
        <w:t>计算，则施工期产生的生活垃圾约为</w:t>
      </w:r>
      <w:r>
        <w:rPr>
          <w:color w:val="FF0000"/>
        </w:rPr>
        <w:t>5kg/d</w:t>
      </w:r>
      <w:r>
        <w:rPr>
          <w:rFonts w:hint="eastAsia"/>
          <w:color w:val="FF0000"/>
        </w:rPr>
        <w:t>，施工期约1个月，垃圾总量为0.</w:t>
      </w:r>
      <w:r>
        <w:rPr>
          <w:color w:val="FF0000"/>
        </w:rPr>
        <w:t>15t</w:t>
      </w:r>
      <w:r>
        <w:rPr>
          <w:rFonts w:hint="eastAsia"/>
          <w:color w:val="FF0000"/>
        </w:rPr>
        <w:t>。</w:t>
      </w:r>
      <w:r>
        <w:rPr>
          <w:color w:val="FF0000"/>
        </w:rPr>
        <w:t>生活垃圾经收集后，定期</w:t>
      </w:r>
      <w:r>
        <w:rPr>
          <w:rFonts w:hint="eastAsia"/>
          <w:color w:val="FF0000"/>
        </w:rPr>
        <w:t>交由环卫部门</w:t>
      </w:r>
      <w:r>
        <w:rPr>
          <w:color w:val="FF0000"/>
        </w:rPr>
        <w:t>处理。</w:t>
      </w:r>
    </w:p>
    <w:p>
      <w:pPr>
        <w:pStyle w:val="5"/>
        <w:spacing w:before="120" w:after="120"/>
        <w:rPr>
          <w:spacing w:val="0"/>
        </w:rPr>
      </w:pPr>
      <w:bookmarkStart w:id="232" w:name="_Toc107500356"/>
      <w:bookmarkStart w:id="233" w:name="_Toc145580397"/>
      <w:r>
        <w:rPr>
          <w:rFonts w:hint="eastAsia"/>
          <w:spacing w:val="0"/>
        </w:rPr>
        <w:t>3.6.2运营期污染源及污染物分析</w:t>
      </w:r>
      <w:bookmarkEnd w:id="232"/>
      <w:bookmarkEnd w:id="233"/>
    </w:p>
    <w:p>
      <w:pPr>
        <w:pStyle w:val="7"/>
      </w:pPr>
      <w:r>
        <w:rPr>
          <w:rFonts w:hint="eastAsia"/>
        </w:rPr>
        <w:t>3.6.2.1 废气污染源分析</w:t>
      </w:r>
    </w:p>
    <w:p>
      <w:pPr>
        <w:pStyle w:val="494"/>
        <w:ind w:firstLine="480"/>
        <w:rPr>
          <w:color w:val="FF0000"/>
        </w:rPr>
      </w:pPr>
      <w:bookmarkStart w:id="234" w:name="_Hlk147590570"/>
      <w:r>
        <w:rPr>
          <w:color w:val="FF0000"/>
        </w:rPr>
        <w:t>本工程生产过程中大气污染物主要是无组织泄漏烃类气体</w:t>
      </w:r>
      <w:r>
        <w:rPr>
          <w:rFonts w:hint="eastAsia"/>
          <w:color w:val="FF0000"/>
        </w:rPr>
        <w:t>。</w:t>
      </w:r>
    </w:p>
    <w:p>
      <w:pPr>
        <w:pStyle w:val="494"/>
        <w:ind w:firstLine="480"/>
        <w:rPr>
          <w:color w:val="FF0000"/>
        </w:rPr>
      </w:pPr>
      <w:r>
        <w:rPr>
          <w:rFonts w:hint="eastAsia"/>
          <w:color w:val="FF0000"/>
        </w:rPr>
        <w:t>根据《污染源源强核算技术指南 准则》（HJ884-2018）中污染源源强核算可采用实测法、物料衡算法、产污系数法、排污系数法、类比法、实验法等，本次环评无组织废气采用排污系数法进行核算。</w:t>
      </w:r>
    </w:p>
    <w:p>
      <w:pPr>
        <w:pStyle w:val="494"/>
        <w:ind w:firstLine="480"/>
        <w:rPr>
          <w:color w:val="FF0000"/>
        </w:rPr>
      </w:pPr>
      <w:r>
        <w:rPr>
          <w:color w:val="FF0000"/>
        </w:rPr>
        <w:t>混烃储罐为密闭压力罐，正常情况下无烃类气体挥发。天然气处理及集输全程密闭进行，只有压缩机、法兰及连接件处会有少量伴生气逸散，参照《环境影响评价实用技术指南（第二版）》（机械工业出版社）中提供的无组织排放源强估算系数（VOCs逸散量为原料年用量或产品年产量的0.1‰~0.4‰。本工程处理过程全程密闭，可有效减少VOCs的逸散，故产污系数取0.1‰。按照伴生气量6×10</w:t>
      </w:r>
      <w:r>
        <w:rPr>
          <w:color w:val="FF0000"/>
          <w:vertAlign w:val="superscript"/>
        </w:rPr>
        <w:t>4</w:t>
      </w:r>
      <w:r>
        <w:rPr>
          <w:color w:val="FF0000"/>
        </w:rPr>
        <w:t>m</w:t>
      </w:r>
      <w:r>
        <w:rPr>
          <w:color w:val="FF0000"/>
          <w:vertAlign w:val="superscript"/>
        </w:rPr>
        <w:t>3</w:t>
      </w:r>
      <w:r>
        <w:rPr>
          <w:color w:val="FF0000"/>
        </w:rPr>
        <w:t>/d计算，则伴生气逸散量为1980m</w:t>
      </w:r>
      <w:r>
        <w:rPr>
          <w:color w:val="FF0000"/>
          <w:vertAlign w:val="superscript"/>
        </w:rPr>
        <w:t>3</w:t>
      </w:r>
      <w:r>
        <w:rPr>
          <w:color w:val="FF0000"/>
        </w:rPr>
        <w:t>/a。根据伴生气性质表，非甲烷总烃占比约1.4%（V），则本项目逸散的非甲烷总烃为0.028t/a。</w:t>
      </w:r>
      <w:r>
        <w:rPr>
          <w:rFonts w:hint="eastAsia"/>
          <w:color w:val="FF0000"/>
        </w:rPr>
        <w:t>年运行7</w:t>
      </w:r>
      <w:r>
        <w:rPr>
          <w:color w:val="FF0000"/>
        </w:rPr>
        <w:t>920</w:t>
      </w:r>
      <w:r>
        <w:rPr>
          <w:rFonts w:hint="eastAsia"/>
          <w:color w:val="FF0000"/>
        </w:rPr>
        <w:t>h，则排放速率为</w:t>
      </w:r>
      <w:r>
        <w:rPr>
          <w:color w:val="FF0000"/>
        </w:rPr>
        <w:t>0.0035</w:t>
      </w:r>
      <w:r>
        <w:rPr>
          <w:rFonts w:hint="eastAsia"/>
          <w:color w:val="FF0000"/>
        </w:rPr>
        <w:t>kg/h。</w:t>
      </w:r>
    </w:p>
    <w:bookmarkEnd w:id="234"/>
    <w:p>
      <w:pPr>
        <w:pStyle w:val="488"/>
        <w:ind w:firstLine="482"/>
        <w:rPr>
          <w:rFonts w:ascii="Times New Roman" w:hAnsi="Times New Roman" w:cs="Times New Roman"/>
          <w:b/>
          <w:bCs/>
        </w:rPr>
      </w:pPr>
      <w:r>
        <w:rPr>
          <w:rFonts w:ascii="Times New Roman" w:hAnsi="Times New Roman" w:cs="Times New Roman"/>
          <w:b/>
          <w:bCs/>
        </w:rPr>
        <w:t>事故状态火炬放空</w:t>
      </w:r>
    </w:p>
    <w:p>
      <w:pPr>
        <w:pStyle w:val="494"/>
        <w:ind w:firstLine="480"/>
      </w:pPr>
      <w:r>
        <w:rPr>
          <w:rFonts w:cs="Times New Roman"/>
        </w:rPr>
        <w:t>紧急事故或停车检修时伴生气通过放空管高空排放，管口安装自动点火装置。工程实施后，对事故天然气进行放空，管口安装自动点火装置，将事故状态下的伴生气燃烧后排放。放空的过程由董701-X1井场进行负责，当本工程设备检修的情况下，本项目依托董701-X1井场放空管，由董701-X1井场放空管进行放空，不在本工程负责范围内。</w:t>
      </w:r>
    </w:p>
    <w:p>
      <w:pPr>
        <w:pStyle w:val="7"/>
        <w:rPr>
          <w:color w:val="FF0000"/>
          <w:spacing w:val="0"/>
        </w:rPr>
      </w:pPr>
      <w:r>
        <w:rPr>
          <w:rFonts w:hint="eastAsia"/>
          <w:color w:val="FF0000"/>
          <w:spacing w:val="0"/>
        </w:rPr>
        <w:t>3.6.2.2</w:t>
      </w:r>
      <w:r>
        <w:rPr>
          <w:color w:val="FF0000"/>
          <w:spacing w:val="0"/>
        </w:rPr>
        <w:t xml:space="preserve"> </w:t>
      </w:r>
      <w:r>
        <w:rPr>
          <w:rFonts w:hint="eastAsia"/>
          <w:color w:val="FF0000"/>
          <w:spacing w:val="0"/>
        </w:rPr>
        <w:t>废水污染源分析</w:t>
      </w:r>
    </w:p>
    <w:p>
      <w:pPr>
        <w:widowControl/>
        <w:spacing w:line="500" w:lineRule="exact"/>
        <w:ind w:firstLine="480" w:firstLineChars="200"/>
        <w:rPr>
          <w:color w:val="FF0000"/>
          <w:sz w:val="24"/>
          <w:szCs w:val="26"/>
        </w:rPr>
      </w:pPr>
      <w:bookmarkStart w:id="235" w:name="_Hlk147590191"/>
      <w:r>
        <w:rPr>
          <w:color w:val="FF0000"/>
          <w:sz w:val="24"/>
          <w:szCs w:val="26"/>
        </w:rPr>
        <w:t>本项目废水主要有生产废水。</w:t>
      </w:r>
    </w:p>
    <w:p>
      <w:pPr>
        <w:widowControl/>
        <w:spacing w:line="500" w:lineRule="exact"/>
        <w:ind w:firstLine="480" w:firstLineChars="200"/>
        <w:rPr>
          <w:color w:val="FF0000"/>
          <w:sz w:val="24"/>
          <w:szCs w:val="26"/>
        </w:rPr>
      </w:pPr>
      <w:r>
        <w:rPr>
          <w:color w:val="FF0000"/>
          <w:sz w:val="24"/>
          <w:szCs w:val="26"/>
        </w:rPr>
        <w:t>本工程的生产废水主要为三相分离器中产生的含油污水、缓冲罐脱除的废水、干燥塔分子筛再生过程中脱离出的废水。</w:t>
      </w:r>
    </w:p>
    <w:p>
      <w:pPr>
        <w:widowControl/>
        <w:spacing w:line="500" w:lineRule="exact"/>
        <w:ind w:firstLine="480" w:firstLineChars="200"/>
        <w:rPr>
          <w:color w:val="FF0000"/>
          <w:sz w:val="24"/>
          <w:szCs w:val="26"/>
        </w:rPr>
      </w:pPr>
      <w:r>
        <w:rPr>
          <w:color w:val="FF0000"/>
          <w:sz w:val="24"/>
          <w:szCs w:val="26"/>
        </w:rPr>
        <w:fldChar w:fldCharType="begin"/>
      </w:r>
      <w:r>
        <w:rPr>
          <w:color w:val="FF0000"/>
          <w:sz w:val="24"/>
          <w:szCs w:val="26"/>
        </w:rPr>
        <w:instrText xml:space="preserve"> = 1 \* GB3 </w:instrText>
      </w:r>
      <w:r>
        <w:rPr>
          <w:color w:val="FF0000"/>
          <w:sz w:val="24"/>
          <w:szCs w:val="26"/>
        </w:rPr>
        <w:fldChar w:fldCharType="separate"/>
      </w:r>
      <w:r>
        <w:rPr>
          <w:rFonts w:hint="eastAsia"/>
          <w:color w:val="FF0000"/>
          <w:sz w:val="24"/>
          <w:szCs w:val="26"/>
        </w:rPr>
        <w:t>①</w:t>
      </w:r>
      <w:r>
        <w:rPr>
          <w:color w:val="FF0000"/>
          <w:sz w:val="24"/>
          <w:szCs w:val="26"/>
        </w:rPr>
        <w:fldChar w:fldCharType="end"/>
      </w:r>
      <w:r>
        <w:rPr>
          <w:color w:val="FF0000"/>
          <w:sz w:val="24"/>
          <w:szCs w:val="26"/>
        </w:rPr>
        <w:t>三相分离器中产生的含油污水</w:t>
      </w:r>
    </w:p>
    <w:p>
      <w:pPr>
        <w:widowControl/>
        <w:spacing w:line="500" w:lineRule="exact"/>
        <w:ind w:firstLine="480" w:firstLineChars="200"/>
        <w:rPr>
          <w:color w:val="FF0000"/>
          <w:sz w:val="24"/>
          <w:szCs w:val="26"/>
        </w:rPr>
      </w:pPr>
      <w:r>
        <w:rPr>
          <w:rFonts w:hint="eastAsia"/>
          <w:color w:val="FF0000"/>
          <w:sz w:val="24"/>
          <w:szCs w:val="26"/>
        </w:rPr>
        <w:t>本项目采用经“董7</w:t>
      </w:r>
      <w:r>
        <w:rPr>
          <w:color w:val="FF0000"/>
          <w:sz w:val="24"/>
          <w:szCs w:val="26"/>
        </w:rPr>
        <w:t>01</w:t>
      </w:r>
      <w:r>
        <w:rPr>
          <w:rFonts w:hint="eastAsia"/>
          <w:color w:val="FF0000"/>
          <w:sz w:val="24"/>
          <w:szCs w:val="26"/>
        </w:rPr>
        <w:t>区块工程”处理后的原料气，</w:t>
      </w:r>
      <w:r>
        <w:rPr>
          <w:color w:val="FF0000"/>
          <w:sz w:val="24"/>
          <w:szCs w:val="26"/>
        </w:rPr>
        <w:t>三相分离器会气和水分离，分离后的水会含有</w:t>
      </w:r>
      <w:r>
        <w:rPr>
          <w:rFonts w:hint="eastAsia"/>
          <w:color w:val="FF0000"/>
          <w:sz w:val="24"/>
          <w:szCs w:val="26"/>
        </w:rPr>
        <w:t>极少量</w:t>
      </w:r>
      <w:r>
        <w:rPr>
          <w:color w:val="FF0000"/>
          <w:sz w:val="24"/>
          <w:szCs w:val="26"/>
        </w:rPr>
        <w:t>的凝析油，根据资料和类比分析，6万m</w:t>
      </w:r>
      <w:r>
        <w:rPr>
          <w:color w:val="FF0000"/>
          <w:sz w:val="24"/>
          <w:szCs w:val="26"/>
          <w:vertAlign w:val="superscript"/>
        </w:rPr>
        <w:t>3</w:t>
      </w:r>
      <w:r>
        <w:rPr>
          <w:color w:val="FF0000"/>
          <w:sz w:val="24"/>
          <w:szCs w:val="26"/>
        </w:rPr>
        <w:t>天然气约产生0.5‰的含油污水，则含油污水的产生量为30m</w:t>
      </w:r>
      <w:r>
        <w:rPr>
          <w:color w:val="FF0000"/>
          <w:sz w:val="24"/>
          <w:szCs w:val="26"/>
          <w:vertAlign w:val="superscript"/>
        </w:rPr>
        <w:t>3</w:t>
      </w:r>
      <w:r>
        <w:rPr>
          <w:color w:val="FF0000"/>
          <w:sz w:val="24"/>
          <w:szCs w:val="26"/>
        </w:rPr>
        <w:t>/d。</w:t>
      </w:r>
    </w:p>
    <w:p>
      <w:pPr>
        <w:widowControl/>
        <w:spacing w:line="500" w:lineRule="exact"/>
        <w:ind w:firstLine="480" w:firstLineChars="200"/>
        <w:rPr>
          <w:color w:val="FF0000"/>
          <w:sz w:val="24"/>
          <w:szCs w:val="26"/>
        </w:rPr>
      </w:pPr>
      <w:r>
        <w:rPr>
          <w:color w:val="FF0000"/>
          <w:sz w:val="24"/>
          <w:szCs w:val="26"/>
        </w:rPr>
        <w:fldChar w:fldCharType="begin"/>
      </w:r>
      <w:r>
        <w:rPr>
          <w:color w:val="FF0000"/>
          <w:sz w:val="24"/>
          <w:szCs w:val="26"/>
        </w:rPr>
        <w:instrText xml:space="preserve"> = 2 \* GB3 </w:instrText>
      </w:r>
      <w:r>
        <w:rPr>
          <w:color w:val="FF0000"/>
          <w:sz w:val="24"/>
          <w:szCs w:val="26"/>
        </w:rPr>
        <w:fldChar w:fldCharType="separate"/>
      </w:r>
      <w:r>
        <w:rPr>
          <w:rFonts w:hint="eastAsia"/>
          <w:color w:val="FF0000"/>
          <w:sz w:val="24"/>
          <w:szCs w:val="26"/>
        </w:rPr>
        <w:t>②</w:t>
      </w:r>
      <w:r>
        <w:rPr>
          <w:color w:val="FF0000"/>
          <w:sz w:val="24"/>
          <w:szCs w:val="26"/>
        </w:rPr>
        <w:fldChar w:fldCharType="end"/>
      </w:r>
      <w:r>
        <w:rPr>
          <w:color w:val="FF0000"/>
          <w:sz w:val="24"/>
          <w:szCs w:val="26"/>
        </w:rPr>
        <w:t>缓冲罐废水</w:t>
      </w:r>
    </w:p>
    <w:p>
      <w:pPr>
        <w:widowControl/>
        <w:spacing w:line="500" w:lineRule="exact"/>
        <w:ind w:firstLine="480" w:firstLineChars="200"/>
        <w:rPr>
          <w:color w:val="FF0000"/>
          <w:sz w:val="24"/>
          <w:szCs w:val="26"/>
        </w:rPr>
      </w:pPr>
      <w:r>
        <w:rPr>
          <w:color w:val="FF0000"/>
          <w:sz w:val="24"/>
          <w:szCs w:val="26"/>
        </w:rPr>
        <w:t>天然气进入压缩机前会有缓冲罐，缓冲罐会脱除少量游离态的水，根据资料和类比分析，6万m</w:t>
      </w:r>
      <w:r>
        <w:rPr>
          <w:color w:val="FF0000"/>
          <w:sz w:val="24"/>
          <w:szCs w:val="26"/>
          <w:vertAlign w:val="superscript"/>
        </w:rPr>
        <w:t>3</w:t>
      </w:r>
      <w:r>
        <w:rPr>
          <w:color w:val="FF0000"/>
          <w:sz w:val="24"/>
          <w:szCs w:val="26"/>
        </w:rPr>
        <w:t>天然气约产生0.1‰的污水，则缓冲罐废水产生量约为6m</w:t>
      </w:r>
      <w:r>
        <w:rPr>
          <w:color w:val="FF0000"/>
          <w:sz w:val="24"/>
          <w:szCs w:val="26"/>
          <w:vertAlign w:val="superscript"/>
        </w:rPr>
        <w:t>3</w:t>
      </w:r>
      <w:r>
        <w:rPr>
          <w:color w:val="FF0000"/>
          <w:sz w:val="24"/>
          <w:szCs w:val="26"/>
        </w:rPr>
        <w:t>/d。</w:t>
      </w:r>
    </w:p>
    <w:p>
      <w:pPr>
        <w:widowControl/>
        <w:spacing w:line="500" w:lineRule="exact"/>
        <w:ind w:firstLine="480" w:firstLineChars="200"/>
        <w:rPr>
          <w:color w:val="FF0000"/>
          <w:sz w:val="24"/>
          <w:szCs w:val="26"/>
        </w:rPr>
      </w:pPr>
      <w:r>
        <w:rPr>
          <w:color w:val="FF0000"/>
          <w:sz w:val="24"/>
          <w:szCs w:val="26"/>
        </w:rPr>
        <w:fldChar w:fldCharType="begin"/>
      </w:r>
      <w:r>
        <w:rPr>
          <w:color w:val="FF0000"/>
          <w:sz w:val="24"/>
          <w:szCs w:val="26"/>
        </w:rPr>
        <w:instrText xml:space="preserve"> = 3 \* GB3 </w:instrText>
      </w:r>
      <w:r>
        <w:rPr>
          <w:color w:val="FF0000"/>
          <w:sz w:val="24"/>
          <w:szCs w:val="26"/>
        </w:rPr>
        <w:fldChar w:fldCharType="separate"/>
      </w:r>
      <w:r>
        <w:rPr>
          <w:rFonts w:hint="eastAsia"/>
          <w:color w:val="FF0000"/>
          <w:sz w:val="24"/>
          <w:szCs w:val="26"/>
        </w:rPr>
        <w:t>③</w:t>
      </w:r>
      <w:r>
        <w:rPr>
          <w:color w:val="FF0000"/>
          <w:sz w:val="24"/>
          <w:szCs w:val="26"/>
        </w:rPr>
        <w:fldChar w:fldCharType="end"/>
      </w:r>
      <w:r>
        <w:rPr>
          <w:color w:val="FF0000"/>
          <w:sz w:val="24"/>
          <w:szCs w:val="26"/>
        </w:rPr>
        <w:t>干燥塔分子筛再生过程中脱离出的废水</w:t>
      </w:r>
    </w:p>
    <w:p>
      <w:pPr>
        <w:widowControl/>
        <w:spacing w:line="500" w:lineRule="exact"/>
        <w:ind w:firstLine="480" w:firstLineChars="200"/>
        <w:rPr>
          <w:color w:val="FF0000"/>
          <w:sz w:val="24"/>
          <w:szCs w:val="26"/>
        </w:rPr>
      </w:pPr>
      <w:r>
        <w:rPr>
          <w:color w:val="FF0000"/>
          <w:sz w:val="24"/>
          <w:szCs w:val="26"/>
        </w:rPr>
        <w:t>伴生气经压缩后进入干燥塔内，干燥塔内使用4A分子筛脱水，吸收饱和的干燥器经再生，分离出游离水，6万m</w:t>
      </w:r>
      <w:r>
        <w:rPr>
          <w:color w:val="FF0000"/>
          <w:sz w:val="24"/>
          <w:szCs w:val="26"/>
          <w:vertAlign w:val="superscript"/>
        </w:rPr>
        <w:t>3</w:t>
      </w:r>
      <w:r>
        <w:rPr>
          <w:color w:val="FF0000"/>
          <w:sz w:val="24"/>
          <w:szCs w:val="26"/>
        </w:rPr>
        <w:t>天然气约产生0.4‰的废水，则废水产生量为</w:t>
      </w:r>
      <w:r>
        <w:rPr>
          <w:rFonts w:hint="eastAsia"/>
          <w:color w:val="FF0000"/>
          <w:sz w:val="24"/>
          <w:szCs w:val="26"/>
        </w:rPr>
        <w:t>2</w:t>
      </w:r>
      <w:r>
        <w:rPr>
          <w:color w:val="FF0000"/>
          <w:sz w:val="24"/>
          <w:szCs w:val="26"/>
        </w:rPr>
        <w:t>4m</w:t>
      </w:r>
      <w:r>
        <w:rPr>
          <w:color w:val="FF0000"/>
          <w:sz w:val="24"/>
          <w:szCs w:val="26"/>
          <w:vertAlign w:val="superscript"/>
        </w:rPr>
        <w:t>3</w:t>
      </w:r>
      <w:r>
        <w:rPr>
          <w:color w:val="FF0000"/>
          <w:sz w:val="24"/>
          <w:szCs w:val="26"/>
        </w:rPr>
        <w:t>/d。</w:t>
      </w:r>
    </w:p>
    <w:p>
      <w:pPr>
        <w:widowControl/>
        <w:spacing w:line="500" w:lineRule="exact"/>
        <w:ind w:firstLine="480" w:firstLineChars="200"/>
        <w:rPr>
          <w:color w:val="FF0000"/>
          <w:sz w:val="24"/>
          <w:szCs w:val="26"/>
        </w:rPr>
      </w:pPr>
      <w:r>
        <w:rPr>
          <w:color w:val="FF0000"/>
          <w:sz w:val="24"/>
          <w:szCs w:val="26"/>
        </w:rPr>
        <w:t>生产废水经排污管线排入54m</w:t>
      </w:r>
      <w:r>
        <w:rPr>
          <w:color w:val="FF0000"/>
          <w:sz w:val="24"/>
          <w:szCs w:val="26"/>
          <w:vertAlign w:val="superscript"/>
        </w:rPr>
        <w:t>3</w:t>
      </w:r>
      <w:r>
        <w:rPr>
          <w:color w:val="FF0000"/>
          <w:sz w:val="24"/>
          <w:szCs w:val="26"/>
        </w:rPr>
        <w:t>的排污罐中，当罐内液位达到一定高度时，由排污泵输至罐车拉运至春风一号联合站处理达标后进行回注</w:t>
      </w:r>
      <w:r>
        <w:rPr>
          <w:rFonts w:hint="eastAsia"/>
          <w:color w:val="FF0000"/>
          <w:sz w:val="24"/>
          <w:szCs w:val="26"/>
        </w:rPr>
        <w:t>。</w:t>
      </w:r>
    </w:p>
    <w:bookmarkEnd w:id="235"/>
    <w:p>
      <w:pPr>
        <w:pStyle w:val="7"/>
        <w:rPr>
          <w:spacing w:val="0"/>
        </w:rPr>
      </w:pPr>
      <w:r>
        <w:rPr>
          <w:rFonts w:hint="eastAsia"/>
          <w:spacing w:val="0"/>
        </w:rPr>
        <w:t>3.6.2.3 噪声污染源分析</w:t>
      </w:r>
    </w:p>
    <w:p>
      <w:pPr>
        <w:pStyle w:val="494"/>
        <w:ind w:firstLine="480"/>
        <w:rPr>
          <w:bCs/>
        </w:rPr>
      </w:pPr>
      <w:r>
        <w:rPr>
          <w:rFonts w:hint="eastAsia"/>
        </w:rPr>
        <w:t>本项目</w:t>
      </w:r>
      <w:r>
        <w:rPr>
          <w:rFonts w:hint="eastAsia"/>
          <w:bCs/>
        </w:rPr>
        <w:t>生产过程中噪声源较多，</w:t>
      </w:r>
      <w:bookmarkStart w:id="236" w:name="_Hlk121147158"/>
      <w:r>
        <w:rPr>
          <w:rFonts w:hint="eastAsia"/>
          <w:bCs/>
        </w:rPr>
        <w:t>主要来自风机等动力噪声和工艺设备产生的机械噪声，噪声源强在</w:t>
      </w:r>
      <w:r>
        <w:rPr>
          <w:bCs/>
        </w:rPr>
        <w:t>70</w:t>
      </w:r>
      <w:r>
        <w:rPr>
          <w:rFonts w:hint="eastAsia"/>
          <w:bCs/>
        </w:rPr>
        <w:t>dB(A)～9</w:t>
      </w:r>
      <w:r>
        <w:rPr>
          <w:bCs/>
        </w:rPr>
        <w:t>0</w:t>
      </w:r>
      <w:r>
        <w:rPr>
          <w:rFonts w:hint="eastAsia"/>
          <w:bCs/>
        </w:rPr>
        <w:t>dB(A)之间</w:t>
      </w:r>
      <w:bookmarkEnd w:id="236"/>
      <w:r>
        <w:rPr>
          <w:rFonts w:hint="eastAsia"/>
          <w:bCs/>
        </w:rPr>
        <w:t>，具体见表3</w:t>
      </w:r>
      <w:r>
        <w:rPr>
          <w:bCs/>
        </w:rPr>
        <w:t>.6-2</w:t>
      </w:r>
      <w:r>
        <w:rPr>
          <w:rFonts w:hint="eastAsia"/>
          <w:bCs/>
        </w:rPr>
        <w:t>。</w:t>
      </w:r>
    </w:p>
    <w:p>
      <w:pPr>
        <w:pStyle w:val="400"/>
        <w:ind w:firstLine="420"/>
        <w:rPr>
          <w:b/>
        </w:rPr>
      </w:pPr>
      <w:r>
        <w:rPr>
          <w:rFonts w:hint="eastAsia"/>
        </w:rPr>
        <w:t>表3.</w:t>
      </w:r>
      <w:r>
        <w:t>6-2</w:t>
      </w:r>
      <w:r>
        <w:rPr>
          <w:rFonts w:hint="eastAsia"/>
        </w:rPr>
        <w:t xml:space="preserve">      </w:t>
      </w:r>
      <w:r>
        <w:t xml:space="preserve"> </w:t>
      </w:r>
      <w:r>
        <w:rPr>
          <w:rFonts w:hint="eastAsia"/>
        </w:rPr>
        <w:t>项目主要噪声源强调查清单（室外声源）</w:t>
      </w:r>
    </w:p>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986"/>
        <w:gridCol w:w="660"/>
        <w:gridCol w:w="660"/>
        <w:gridCol w:w="662"/>
        <w:gridCol w:w="1134"/>
        <w:gridCol w:w="1907"/>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Merge w:val="restart"/>
            <w:vAlign w:val="center"/>
          </w:tcPr>
          <w:p>
            <w:pPr>
              <w:pStyle w:val="687"/>
            </w:pPr>
            <w:r>
              <w:t>序号</w:t>
            </w:r>
          </w:p>
        </w:tc>
        <w:tc>
          <w:tcPr>
            <w:tcW w:w="1177" w:type="pct"/>
            <w:vMerge w:val="restart"/>
            <w:vAlign w:val="center"/>
          </w:tcPr>
          <w:p>
            <w:pPr>
              <w:pStyle w:val="687"/>
            </w:pPr>
            <w:r>
              <w:t>声源名称</w:t>
            </w:r>
          </w:p>
        </w:tc>
        <w:tc>
          <w:tcPr>
            <w:tcW w:w="1174" w:type="pct"/>
            <w:gridSpan w:val="3"/>
            <w:vAlign w:val="center"/>
          </w:tcPr>
          <w:p>
            <w:pPr>
              <w:pStyle w:val="687"/>
            </w:pPr>
            <w:r>
              <w:t>空间相对位置/m</w:t>
            </w:r>
          </w:p>
        </w:tc>
        <w:tc>
          <w:tcPr>
            <w:tcW w:w="672" w:type="pct"/>
            <w:vAlign w:val="center"/>
          </w:tcPr>
          <w:p>
            <w:pPr>
              <w:pStyle w:val="687"/>
              <w:rPr>
                <w:lang w:eastAsia="zh-CN"/>
              </w:rPr>
            </w:pPr>
            <w:r>
              <w:rPr>
                <w:lang w:eastAsia="zh-CN"/>
              </w:rPr>
              <w:t>声源源强</w:t>
            </w:r>
          </w:p>
        </w:tc>
        <w:tc>
          <w:tcPr>
            <w:tcW w:w="1130" w:type="pct"/>
            <w:vMerge w:val="restart"/>
            <w:vAlign w:val="center"/>
          </w:tcPr>
          <w:p>
            <w:pPr>
              <w:pStyle w:val="687"/>
            </w:pPr>
            <w:r>
              <w:t>声源控制措施</w:t>
            </w:r>
          </w:p>
        </w:tc>
        <w:tc>
          <w:tcPr>
            <w:tcW w:w="445" w:type="pct"/>
            <w:vMerge w:val="restart"/>
            <w:vAlign w:val="center"/>
          </w:tcPr>
          <w:p>
            <w:pPr>
              <w:pStyle w:val="687"/>
            </w:pPr>
            <w: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Merge w:val="continue"/>
            <w:shd w:val="clear" w:color="auto" w:fill="FFFFFF"/>
            <w:vAlign w:val="center"/>
          </w:tcPr>
          <w:p>
            <w:pPr>
              <w:pStyle w:val="687"/>
            </w:pPr>
          </w:p>
        </w:tc>
        <w:tc>
          <w:tcPr>
            <w:tcW w:w="1177" w:type="pct"/>
            <w:vMerge w:val="continue"/>
            <w:shd w:val="clear" w:color="auto" w:fill="FFFFFF"/>
            <w:vAlign w:val="center"/>
          </w:tcPr>
          <w:p>
            <w:pPr>
              <w:pStyle w:val="687"/>
            </w:pPr>
          </w:p>
        </w:tc>
        <w:tc>
          <w:tcPr>
            <w:tcW w:w="391" w:type="pct"/>
            <w:shd w:val="clear" w:color="auto" w:fill="FFFFFF"/>
            <w:vAlign w:val="center"/>
          </w:tcPr>
          <w:p>
            <w:pPr>
              <w:pStyle w:val="687"/>
            </w:pPr>
            <w:r>
              <w:t>X</w:t>
            </w:r>
          </w:p>
        </w:tc>
        <w:tc>
          <w:tcPr>
            <w:tcW w:w="391" w:type="pct"/>
            <w:shd w:val="clear" w:color="auto" w:fill="FFFFFF"/>
            <w:vAlign w:val="center"/>
          </w:tcPr>
          <w:p>
            <w:pPr>
              <w:pStyle w:val="687"/>
            </w:pPr>
            <w:r>
              <w:t>Y</w:t>
            </w:r>
          </w:p>
        </w:tc>
        <w:tc>
          <w:tcPr>
            <w:tcW w:w="392" w:type="pct"/>
            <w:shd w:val="clear" w:color="auto" w:fill="FFFFFF"/>
            <w:vAlign w:val="center"/>
          </w:tcPr>
          <w:p>
            <w:pPr>
              <w:pStyle w:val="687"/>
            </w:pPr>
            <w:r>
              <w:t>Z</w:t>
            </w:r>
          </w:p>
        </w:tc>
        <w:tc>
          <w:tcPr>
            <w:tcW w:w="672" w:type="pct"/>
            <w:shd w:val="clear" w:color="auto" w:fill="FFFFFF"/>
            <w:vAlign w:val="center"/>
          </w:tcPr>
          <w:p>
            <w:pPr>
              <w:pStyle w:val="687"/>
            </w:pPr>
            <w:r>
              <w:t>声功率级/dB(A)</w:t>
            </w:r>
          </w:p>
        </w:tc>
        <w:tc>
          <w:tcPr>
            <w:tcW w:w="1130" w:type="pct"/>
            <w:vMerge w:val="continue"/>
            <w:shd w:val="clear" w:color="auto" w:fill="FFFFFF"/>
            <w:vAlign w:val="center"/>
          </w:tcPr>
          <w:p>
            <w:pPr>
              <w:pStyle w:val="687"/>
            </w:pPr>
          </w:p>
        </w:tc>
        <w:tc>
          <w:tcPr>
            <w:tcW w:w="445" w:type="pct"/>
            <w:vMerge w:val="continue"/>
            <w:shd w:val="clear" w:color="auto" w:fill="FFFFFF"/>
            <w:vAlign w:val="center"/>
          </w:tcPr>
          <w:p>
            <w:pPr>
              <w:pStyle w:val="68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401" w:type="pct"/>
            <w:shd w:val="clear" w:color="auto" w:fill="FFFFFF"/>
            <w:vAlign w:val="center"/>
          </w:tcPr>
          <w:p>
            <w:pPr>
              <w:pStyle w:val="687"/>
            </w:pPr>
            <w:r>
              <w:t>1</w:t>
            </w:r>
          </w:p>
        </w:tc>
        <w:tc>
          <w:tcPr>
            <w:tcW w:w="1177" w:type="pct"/>
            <w:shd w:val="clear" w:color="auto" w:fill="FFFFFF"/>
            <w:vAlign w:val="center"/>
          </w:tcPr>
          <w:p>
            <w:pPr>
              <w:pStyle w:val="687"/>
              <w:rPr>
                <w:lang w:eastAsia="zh-CN"/>
              </w:rPr>
            </w:pPr>
            <w:r>
              <w:t>1#压缩机</w:t>
            </w:r>
          </w:p>
        </w:tc>
        <w:tc>
          <w:tcPr>
            <w:tcW w:w="391" w:type="pct"/>
            <w:shd w:val="clear" w:color="auto" w:fill="FFFFFF"/>
            <w:vAlign w:val="center"/>
          </w:tcPr>
          <w:p>
            <w:pPr>
              <w:pStyle w:val="687"/>
            </w:pPr>
            <w:r>
              <w:t>-13.9</w:t>
            </w:r>
          </w:p>
        </w:tc>
        <w:tc>
          <w:tcPr>
            <w:tcW w:w="391" w:type="pct"/>
            <w:shd w:val="clear" w:color="auto" w:fill="FFFFFF"/>
            <w:vAlign w:val="center"/>
          </w:tcPr>
          <w:p>
            <w:pPr>
              <w:pStyle w:val="687"/>
            </w:pPr>
            <w:r>
              <w:t>11.9</w:t>
            </w:r>
          </w:p>
        </w:tc>
        <w:tc>
          <w:tcPr>
            <w:tcW w:w="392" w:type="pct"/>
            <w:shd w:val="clear" w:color="auto" w:fill="FFFFFF"/>
            <w:vAlign w:val="center"/>
          </w:tcPr>
          <w:p>
            <w:pPr>
              <w:pStyle w:val="687"/>
            </w:pPr>
            <w:r>
              <w:t>1.2</w:t>
            </w:r>
          </w:p>
        </w:tc>
        <w:tc>
          <w:tcPr>
            <w:tcW w:w="672" w:type="pct"/>
            <w:shd w:val="clear" w:color="auto" w:fill="FFFFFF"/>
            <w:vAlign w:val="center"/>
          </w:tcPr>
          <w:p>
            <w:pPr>
              <w:pStyle w:val="687"/>
            </w:pPr>
            <w:r>
              <w:t>90</w:t>
            </w:r>
          </w:p>
        </w:tc>
        <w:tc>
          <w:tcPr>
            <w:tcW w:w="1130" w:type="pct"/>
            <w:shd w:val="clear" w:color="auto" w:fill="FFFFFF"/>
            <w:vAlign w:val="center"/>
          </w:tcPr>
          <w:p>
            <w:pPr>
              <w:pStyle w:val="687"/>
            </w:pPr>
            <w:r>
              <w:t>基础减震、消声器</w:t>
            </w:r>
          </w:p>
        </w:tc>
        <w:tc>
          <w:tcPr>
            <w:tcW w:w="445" w:type="pct"/>
            <w:shd w:val="clear" w:color="auto" w:fill="FFFFFF"/>
            <w:vAlign w:val="center"/>
          </w:tcPr>
          <w:p>
            <w:pPr>
              <w:pStyle w:val="687"/>
            </w:pPr>
            <w:r>
              <w:t>全天运行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401" w:type="pct"/>
            <w:shd w:val="clear" w:color="auto" w:fill="FFFFFF"/>
            <w:vAlign w:val="center"/>
          </w:tcPr>
          <w:p>
            <w:pPr>
              <w:pStyle w:val="687"/>
            </w:pPr>
            <w:r>
              <w:t>2</w:t>
            </w:r>
          </w:p>
        </w:tc>
        <w:tc>
          <w:tcPr>
            <w:tcW w:w="1177" w:type="pct"/>
            <w:shd w:val="clear" w:color="auto" w:fill="FFFFFF"/>
            <w:vAlign w:val="center"/>
          </w:tcPr>
          <w:p>
            <w:pPr>
              <w:pStyle w:val="687"/>
            </w:pPr>
            <w:r>
              <w:t>2#压缩机</w:t>
            </w:r>
          </w:p>
        </w:tc>
        <w:tc>
          <w:tcPr>
            <w:tcW w:w="391" w:type="pct"/>
            <w:shd w:val="clear" w:color="auto" w:fill="FFFFFF"/>
            <w:vAlign w:val="center"/>
          </w:tcPr>
          <w:p>
            <w:pPr>
              <w:pStyle w:val="687"/>
            </w:pPr>
            <w:r>
              <w:t>-18.9</w:t>
            </w:r>
          </w:p>
        </w:tc>
        <w:tc>
          <w:tcPr>
            <w:tcW w:w="391" w:type="pct"/>
            <w:shd w:val="clear" w:color="auto" w:fill="FFFFFF"/>
            <w:vAlign w:val="center"/>
          </w:tcPr>
          <w:p>
            <w:pPr>
              <w:pStyle w:val="687"/>
            </w:pPr>
            <w:r>
              <w:t>12</w:t>
            </w:r>
          </w:p>
        </w:tc>
        <w:tc>
          <w:tcPr>
            <w:tcW w:w="392" w:type="pct"/>
            <w:shd w:val="clear" w:color="auto" w:fill="FFFFFF"/>
            <w:vAlign w:val="center"/>
          </w:tcPr>
          <w:p>
            <w:pPr>
              <w:pStyle w:val="687"/>
            </w:pPr>
            <w:r>
              <w:t>1.2</w:t>
            </w:r>
          </w:p>
        </w:tc>
        <w:tc>
          <w:tcPr>
            <w:tcW w:w="672" w:type="pct"/>
            <w:shd w:val="clear" w:color="auto" w:fill="FFFFFF"/>
            <w:vAlign w:val="center"/>
          </w:tcPr>
          <w:p>
            <w:pPr>
              <w:pStyle w:val="687"/>
            </w:pPr>
            <w:r>
              <w:t>90</w:t>
            </w:r>
          </w:p>
        </w:tc>
        <w:tc>
          <w:tcPr>
            <w:tcW w:w="1130" w:type="pct"/>
            <w:shd w:val="clear" w:color="auto" w:fill="FFFFFF"/>
            <w:vAlign w:val="center"/>
          </w:tcPr>
          <w:p>
            <w:pPr>
              <w:pStyle w:val="687"/>
            </w:pPr>
            <w:r>
              <w:t>基础减震、消声器</w:t>
            </w:r>
          </w:p>
        </w:tc>
        <w:tc>
          <w:tcPr>
            <w:tcW w:w="445" w:type="pct"/>
            <w:shd w:val="clear" w:color="auto" w:fill="FFFFFF"/>
            <w:vAlign w:val="center"/>
          </w:tcPr>
          <w:p>
            <w:pPr>
              <w:pStyle w:val="687"/>
            </w:pPr>
            <w:r>
              <w:t>全天运行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401" w:type="pct"/>
            <w:shd w:val="clear" w:color="auto" w:fill="FFFFFF"/>
            <w:vAlign w:val="center"/>
          </w:tcPr>
          <w:p>
            <w:pPr>
              <w:pStyle w:val="687"/>
            </w:pPr>
            <w:r>
              <w:t>3</w:t>
            </w:r>
          </w:p>
        </w:tc>
        <w:tc>
          <w:tcPr>
            <w:tcW w:w="1177" w:type="pct"/>
            <w:shd w:val="clear" w:color="auto" w:fill="FFFFFF"/>
            <w:vAlign w:val="center"/>
          </w:tcPr>
          <w:p>
            <w:pPr>
              <w:pStyle w:val="687"/>
              <w:rPr>
                <w:lang w:eastAsia="zh-CN"/>
              </w:rPr>
            </w:pPr>
            <w:r>
              <w:t>1#干燥制冷脱烃撬</w:t>
            </w:r>
          </w:p>
        </w:tc>
        <w:tc>
          <w:tcPr>
            <w:tcW w:w="391" w:type="pct"/>
            <w:shd w:val="clear" w:color="auto" w:fill="FFFFFF"/>
            <w:vAlign w:val="center"/>
          </w:tcPr>
          <w:p>
            <w:pPr>
              <w:pStyle w:val="687"/>
            </w:pPr>
            <w:r>
              <w:t>-18.8</w:t>
            </w:r>
          </w:p>
        </w:tc>
        <w:tc>
          <w:tcPr>
            <w:tcW w:w="391" w:type="pct"/>
            <w:shd w:val="clear" w:color="auto" w:fill="FFFFFF"/>
            <w:vAlign w:val="center"/>
          </w:tcPr>
          <w:p>
            <w:pPr>
              <w:pStyle w:val="687"/>
            </w:pPr>
            <w:r>
              <w:t>6.1</w:t>
            </w:r>
          </w:p>
        </w:tc>
        <w:tc>
          <w:tcPr>
            <w:tcW w:w="392" w:type="pct"/>
            <w:shd w:val="clear" w:color="auto" w:fill="FFFFFF"/>
            <w:vAlign w:val="center"/>
          </w:tcPr>
          <w:p>
            <w:pPr>
              <w:pStyle w:val="687"/>
            </w:pPr>
            <w:r>
              <w:t>1.2</w:t>
            </w:r>
          </w:p>
        </w:tc>
        <w:tc>
          <w:tcPr>
            <w:tcW w:w="672" w:type="pct"/>
            <w:shd w:val="clear" w:color="auto" w:fill="FFFFFF"/>
            <w:vAlign w:val="center"/>
          </w:tcPr>
          <w:p>
            <w:pPr>
              <w:pStyle w:val="687"/>
            </w:pPr>
            <w:r>
              <w:t>70</w:t>
            </w:r>
          </w:p>
        </w:tc>
        <w:tc>
          <w:tcPr>
            <w:tcW w:w="1130" w:type="pct"/>
            <w:shd w:val="clear" w:color="auto" w:fill="FFFFFF"/>
            <w:vAlign w:val="center"/>
          </w:tcPr>
          <w:p>
            <w:pPr>
              <w:pStyle w:val="687"/>
            </w:pPr>
            <w:r>
              <w:t>基础减震、消声器</w:t>
            </w:r>
          </w:p>
        </w:tc>
        <w:tc>
          <w:tcPr>
            <w:tcW w:w="445" w:type="pct"/>
            <w:shd w:val="clear" w:color="auto" w:fill="FFFFFF"/>
            <w:vAlign w:val="center"/>
          </w:tcPr>
          <w:p>
            <w:pPr>
              <w:pStyle w:val="687"/>
            </w:pPr>
            <w:r>
              <w:t>全天运行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401" w:type="pct"/>
            <w:shd w:val="clear" w:color="auto" w:fill="FFFFFF"/>
            <w:vAlign w:val="center"/>
          </w:tcPr>
          <w:p>
            <w:pPr>
              <w:pStyle w:val="687"/>
            </w:pPr>
            <w:r>
              <w:t>4</w:t>
            </w:r>
          </w:p>
        </w:tc>
        <w:tc>
          <w:tcPr>
            <w:tcW w:w="1177" w:type="pct"/>
            <w:shd w:val="clear" w:color="auto" w:fill="FFFFFF"/>
            <w:vAlign w:val="center"/>
          </w:tcPr>
          <w:p>
            <w:pPr>
              <w:pStyle w:val="687"/>
              <w:rPr>
                <w:lang w:eastAsia="zh-CN"/>
              </w:rPr>
            </w:pPr>
            <w:r>
              <w:t>2#干燥制冷脱烃撬</w:t>
            </w:r>
          </w:p>
        </w:tc>
        <w:tc>
          <w:tcPr>
            <w:tcW w:w="391" w:type="pct"/>
            <w:shd w:val="clear" w:color="auto" w:fill="FFFFFF"/>
            <w:vAlign w:val="center"/>
          </w:tcPr>
          <w:p>
            <w:pPr>
              <w:pStyle w:val="687"/>
            </w:pPr>
            <w:r>
              <w:t>-18.9</w:t>
            </w:r>
          </w:p>
        </w:tc>
        <w:tc>
          <w:tcPr>
            <w:tcW w:w="391" w:type="pct"/>
            <w:shd w:val="clear" w:color="auto" w:fill="FFFFFF"/>
            <w:vAlign w:val="center"/>
          </w:tcPr>
          <w:p>
            <w:pPr>
              <w:pStyle w:val="687"/>
            </w:pPr>
            <w:r>
              <w:t>2.3</w:t>
            </w:r>
          </w:p>
        </w:tc>
        <w:tc>
          <w:tcPr>
            <w:tcW w:w="392" w:type="pct"/>
            <w:shd w:val="clear" w:color="auto" w:fill="FFFFFF"/>
            <w:vAlign w:val="center"/>
          </w:tcPr>
          <w:p>
            <w:pPr>
              <w:pStyle w:val="687"/>
            </w:pPr>
            <w:r>
              <w:t>1.2</w:t>
            </w:r>
          </w:p>
        </w:tc>
        <w:tc>
          <w:tcPr>
            <w:tcW w:w="672" w:type="pct"/>
            <w:shd w:val="clear" w:color="auto" w:fill="FFFFFF"/>
            <w:vAlign w:val="center"/>
          </w:tcPr>
          <w:p>
            <w:pPr>
              <w:pStyle w:val="687"/>
            </w:pPr>
            <w:r>
              <w:t>70</w:t>
            </w:r>
          </w:p>
        </w:tc>
        <w:tc>
          <w:tcPr>
            <w:tcW w:w="1130" w:type="pct"/>
            <w:shd w:val="clear" w:color="auto" w:fill="FFFFFF"/>
            <w:vAlign w:val="center"/>
          </w:tcPr>
          <w:p>
            <w:pPr>
              <w:pStyle w:val="687"/>
            </w:pPr>
            <w:r>
              <w:t>基础减震、消声器</w:t>
            </w:r>
          </w:p>
        </w:tc>
        <w:tc>
          <w:tcPr>
            <w:tcW w:w="445" w:type="pct"/>
            <w:shd w:val="clear" w:color="auto" w:fill="FFFFFF"/>
            <w:vAlign w:val="center"/>
          </w:tcPr>
          <w:p>
            <w:pPr>
              <w:pStyle w:val="687"/>
            </w:pPr>
            <w:r>
              <w:t>全天运行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401" w:type="pct"/>
            <w:shd w:val="clear" w:color="auto" w:fill="FFFFFF"/>
            <w:vAlign w:val="center"/>
          </w:tcPr>
          <w:p>
            <w:pPr>
              <w:pStyle w:val="687"/>
            </w:pPr>
            <w:r>
              <w:t>5</w:t>
            </w:r>
          </w:p>
        </w:tc>
        <w:tc>
          <w:tcPr>
            <w:tcW w:w="1177" w:type="pct"/>
            <w:shd w:val="clear" w:color="auto" w:fill="FFFFFF"/>
            <w:vAlign w:val="center"/>
          </w:tcPr>
          <w:p>
            <w:pPr>
              <w:pStyle w:val="687"/>
              <w:rPr>
                <w:lang w:eastAsia="zh-CN"/>
              </w:rPr>
            </w:pPr>
            <w:r>
              <w:t>风冷式天然气冰机</w:t>
            </w:r>
          </w:p>
        </w:tc>
        <w:tc>
          <w:tcPr>
            <w:tcW w:w="391" w:type="pct"/>
            <w:shd w:val="clear" w:color="auto" w:fill="FFFFFF"/>
            <w:vAlign w:val="center"/>
          </w:tcPr>
          <w:p>
            <w:pPr>
              <w:pStyle w:val="687"/>
            </w:pPr>
            <w:r>
              <w:t>-13.4</w:t>
            </w:r>
          </w:p>
        </w:tc>
        <w:tc>
          <w:tcPr>
            <w:tcW w:w="391" w:type="pct"/>
            <w:shd w:val="clear" w:color="auto" w:fill="FFFFFF"/>
            <w:vAlign w:val="center"/>
          </w:tcPr>
          <w:p>
            <w:pPr>
              <w:pStyle w:val="687"/>
            </w:pPr>
            <w:r>
              <w:t>1.9</w:t>
            </w:r>
          </w:p>
        </w:tc>
        <w:tc>
          <w:tcPr>
            <w:tcW w:w="392" w:type="pct"/>
            <w:shd w:val="clear" w:color="auto" w:fill="FFFFFF"/>
            <w:vAlign w:val="center"/>
          </w:tcPr>
          <w:p>
            <w:pPr>
              <w:pStyle w:val="687"/>
            </w:pPr>
            <w:r>
              <w:t>1.2</w:t>
            </w:r>
          </w:p>
        </w:tc>
        <w:tc>
          <w:tcPr>
            <w:tcW w:w="672" w:type="pct"/>
            <w:shd w:val="clear" w:color="auto" w:fill="FFFFFF"/>
            <w:vAlign w:val="center"/>
          </w:tcPr>
          <w:p>
            <w:pPr>
              <w:pStyle w:val="687"/>
            </w:pPr>
            <w:r>
              <w:t>90</w:t>
            </w:r>
          </w:p>
        </w:tc>
        <w:tc>
          <w:tcPr>
            <w:tcW w:w="1130" w:type="pct"/>
            <w:shd w:val="clear" w:color="auto" w:fill="FFFFFF"/>
            <w:vAlign w:val="center"/>
          </w:tcPr>
          <w:p>
            <w:pPr>
              <w:pStyle w:val="687"/>
            </w:pPr>
            <w:r>
              <w:t>基础减震、消声器</w:t>
            </w:r>
          </w:p>
        </w:tc>
        <w:tc>
          <w:tcPr>
            <w:tcW w:w="445" w:type="pct"/>
            <w:shd w:val="clear" w:color="auto" w:fill="FFFFFF"/>
            <w:vAlign w:val="center"/>
          </w:tcPr>
          <w:p>
            <w:pPr>
              <w:pStyle w:val="687"/>
            </w:pPr>
            <w:r>
              <w:t>全天运行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401" w:type="pct"/>
            <w:shd w:val="clear" w:color="auto" w:fill="FFFFFF"/>
            <w:vAlign w:val="center"/>
          </w:tcPr>
          <w:p>
            <w:pPr>
              <w:pStyle w:val="687"/>
            </w:pPr>
            <w:r>
              <w:t>6</w:t>
            </w:r>
          </w:p>
        </w:tc>
        <w:tc>
          <w:tcPr>
            <w:tcW w:w="1177" w:type="pct"/>
            <w:shd w:val="clear" w:color="auto" w:fill="FFFFFF"/>
            <w:vAlign w:val="center"/>
          </w:tcPr>
          <w:p>
            <w:pPr>
              <w:pStyle w:val="687"/>
            </w:pPr>
            <w:r>
              <w:t>1#泵</w:t>
            </w:r>
          </w:p>
        </w:tc>
        <w:tc>
          <w:tcPr>
            <w:tcW w:w="391" w:type="pct"/>
            <w:shd w:val="clear" w:color="auto" w:fill="FFFFFF"/>
            <w:vAlign w:val="center"/>
          </w:tcPr>
          <w:p>
            <w:pPr>
              <w:pStyle w:val="687"/>
            </w:pPr>
            <w:r>
              <w:t>13</w:t>
            </w:r>
          </w:p>
        </w:tc>
        <w:tc>
          <w:tcPr>
            <w:tcW w:w="391" w:type="pct"/>
            <w:shd w:val="clear" w:color="auto" w:fill="FFFFFF"/>
            <w:vAlign w:val="center"/>
          </w:tcPr>
          <w:p>
            <w:pPr>
              <w:pStyle w:val="687"/>
            </w:pPr>
            <w:r>
              <w:t>36.7</w:t>
            </w:r>
          </w:p>
        </w:tc>
        <w:tc>
          <w:tcPr>
            <w:tcW w:w="392" w:type="pct"/>
            <w:shd w:val="clear" w:color="auto" w:fill="FFFFFF"/>
            <w:vAlign w:val="center"/>
          </w:tcPr>
          <w:p>
            <w:pPr>
              <w:pStyle w:val="687"/>
            </w:pPr>
            <w:r>
              <w:t>1.2</w:t>
            </w:r>
          </w:p>
        </w:tc>
        <w:tc>
          <w:tcPr>
            <w:tcW w:w="672" w:type="pct"/>
            <w:shd w:val="clear" w:color="auto" w:fill="FFFFFF"/>
            <w:vAlign w:val="center"/>
          </w:tcPr>
          <w:p>
            <w:pPr>
              <w:pStyle w:val="687"/>
            </w:pPr>
            <w:r>
              <w:t>90</w:t>
            </w:r>
          </w:p>
        </w:tc>
        <w:tc>
          <w:tcPr>
            <w:tcW w:w="1130" w:type="pct"/>
            <w:shd w:val="clear" w:color="auto" w:fill="FFFFFF"/>
            <w:vAlign w:val="center"/>
          </w:tcPr>
          <w:p>
            <w:pPr>
              <w:pStyle w:val="687"/>
            </w:pPr>
            <w:r>
              <w:t>基础减震、消声器</w:t>
            </w:r>
          </w:p>
        </w:tc>
        <w:tc>
          <w:tcPr>
            <w:tcW w:w="445" w:type="pct"/>
            <w:shd w:val="clear" w:color="auto" w:fill="FFFFFF"/>
            <w:vAlign w:val="center"/>
          </w:tcPr>
          <w:p>
            <w:pPr>
              <w:pStyle w:val="687"/>
            </w:pPr>
            <w:r>
              <w:t>全天运行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401" w:type="pct"/>
            <w:shd w:val="clear" w:color="auto" w:fill="FFFFFF"/>
            <w:vAlign w:val="center"/>
          </w:tcPr>
          <w:p>
            <w:pPr>
              <w:pStyle w:val="687"/>
            </w:pPr>
            <w:r>
              <w:t>7</w:t>
            </w:r>
          </w:p>
        </w:tc>
        <w:tc>
          <w:tcPr>
            <w:tcW w:w="1177" w:type="pct"/>
            <w:shd w:val="clear" w:color="auto" w:fill="FFFFFF"/>
            <w:vAlign w:val="center"/>
          </w:tcPr>
          <w:p>
            <w:pPr>
              <w:pStyle w:val="687"/>
            </w:pPr>
            <w:r>
              <w:t>2#泵</w:t>
            </w:r>
          </w:p>
        </w:tc>
        <w:tc>
          <w:tcPr>
            <w:tcW w:w="391" w:type="pct"/>
            <w:shd w:val="clear" w:color="auto" w:fill="FFFFFF"/>
            <w:vAlign w:val="center"/>
          </w:tcPr>
          <w:p>
            <w:pPr>
              <w:pStyle w:val="687"/>
            </w:pPr>
            <w:r>
              <w:t>18.4</w:t>
            </w:r>
          </w:p>
        </w:tc>
        <w:tc>
          <w:tcPr>
            <w:tcW w:w="391" w:type="pct"/>
            <w:shd w:val="clear" w:color="auto" w:fill="FFFFFF"/>
            <w:vAlign w:val="center"/>
          </w:tcPr>
          <w:p>
            <w:pPr>
              <w:pStyle w:val="687"/>
            </w:pPr>
            <w:r>
              <w:t>36.5</w:t>
            </w:r>
          </w:p>
        </w:tc>
        <w:tc>
          <w:tcPr>
            <w:tcW w:w="392" w:type="pct"/>
            <w:shd w:val="clear" w:color="auto" w:fill="FFFFFF"/>
            <w:vAlign w:val="center"/>
          </w:tcPr>
          <w:p>
            <w:pPr>
              <w:pStyle w:val="687"/>
            </w:pPr>
            <w:r>
              <w:t>1.2</w:t>
            </w:r>
          </w:p>
        </w:tc>
        <w:tc>
          <w:tcPr>
            <w:tcW w:w="672" w:type="pct"/>
            <w:shd w:val="clear" w:color="auto" w:fill="FFFFFF"/>
            <w:vAlign w:val="center"/>
          </w:tcPr>
          <w:p>
            <w:pPr>
              <w:pStyle w:val="687"/>
            </w:pPr>
            <w:r>
              <w:t>90</w:t>
            </w:r>
          </w:p>
        </w:tc>
        <w:tc>
          <w:tcPr>
            <w:tcW w:w="1130" w:type="pct"/>
            <w:shd w:val="clear" w:color="auto" w:fill="FFFFFF"/>
            <w:vAlign w:val="center"/>
          </w:tcPr>
          <w:p>
            <w:pPr>
              <w:pStyle w:val="687"/>
            </w:pPr>
            <w:r>
              <w:t>基础减震、消声器</w:t>
            </w:r>
          </w:p>
        </w:tc>
        <w:tc>
          <w:tcPr>
            <w:tcW w:w="445" w:type="pct"/>
            <w:shd w:val="clear" w:color="auto" w:fill="FFFFFF"/>
            <w:vAlign w:val="center"/>
          </w:tcPr>
          <w:p>
            <w:pPr>
              <w:pStyle w:val="687"/>
            </w:pPr>
            <w:r>
              <w:t>全天运行</w:t>
            </w:r>
          </w:p>
        </w:tc>
      </w:tr>
    </w:tbl>
    <w:p>
      <w:pPr>
        <w:pStyle w:val="7"/>
        <w:rPr>
          <w:color w:val="FF0000"/>
          <w:spacing w:val="0"/>
        </w:rPr>
      </w:pPr>
      <w:r>
        <w:rPr>
          <w:rFonts w:hint="eastAsia"/>
          <w:color w:val="FF0000"/>
          <w:spacing w:val="0"/>
        </w:rPr>
        <w:t>3.6.2.4 固体废弃物污染源分析</w:t>
      </w:r>
    </w:p>
    <w:p>
      <w:pPr>
        <w:pStyle w:val="488"/>
        <w:ind w:firstLine="480"/>
        <w:rPr>
          <w:rFonts w:ascii="Times New Roman" w:hAnsi="Times New Roman" w:cs="Times New Roman"/>
          <w:color w:val="FF0000"/>
        </w:rPr>
      </w:pPr>
      <w:r>
        <w:rPr>
          <w:rFonts w:ascii="Times New Roman" w:hAnsi="Times New Roman" w:cs="Times New Roman"/>
          <w:color w:val="FF0000"/>
        </w:rPr>
        <w:t>本项目固体废物主要包括废分子筛、废润滑油和生活垃圾。</w:t>
      </w:r>
    </w:p>
    <w:p>
      <w:pPr>
        <w:pStyle w:val="494"/>
        <w:ind w:firstLine="480"/>
        <w:rPr>
          <w:color w:val="FF0000"/>
        </w:rPr>
      </w:pPr>
      <w:bookmarkStart w:id="237" w:name="_Hlk147590238"/>
      <w:r>
        <w:rPr>
          <w:color w:val="FF0000"/>
        </w:rPr>
        <w:t>（1）废分子筛</w:t>
      </w:r>
    </w:p>
    <w:p>
      <w:pPr>
        <w:pStyle w:val="494"/>
        <w:ind w:firstLine="480"/>
        <w:rPr>
          <w:color w:val="FF0000"/>
        </w:rPr>
      </w:pPr>
      <w:r>
        <w:rPr>
          <w:rFonts w:hint="eastAsia"/>
          <w:color w:val="FF0000"/>
        </w:rPr>
        <w:t>本项目新增</w:t>
      </w:r>
      <w:r>
        <w:rPr>
          <w:rFonts w:hint="eastAsia"/>
          <w:color w:val="FF0000"/>
          <w:lang w:bidi="en-US"/>
        </w:rPr>
        <w:t>1座干燥制冷脱烃撬，</w:t>
      </w:r>
      <w:r>
        <w:rPr>
          <w:color w:val="FF0000"/>
        </w:rPr>
        <w:t>干燥器在脱水的过程中会产生损坏老化的吸附材料，主要成分是硅铝酸盐，干燥器内的分子筛1年更换一次，则</w:t>
      </w:r>
      <w:r>
        <w:rPr>
          <w:rFonts w:hint="eastAsia"/>
          <w:color w:val="FF0000"/>
        </w:rPr>
        <w:t>废分子筛</w:t>
      </w:r>
      <w:r>
        <w:rPr>
          <w:color w:val="FF0000"/>
        </w:rPr>
        <w:t>产生量约为2t/a。根据《国家危险废物名录》（2021年）中“HW49其他废物 900-041-49”，废分子筛属于危险废物，暂存于危险废物暂存间，定期交由</w:t>
      </w:r>
      <w:r>
        <w:rPr>
          <w:rFonts w:hint="eastAsia"/>
          <w:bCs/>
          <w:color w:val="FF0000"/>
        </w:rPr>
        <w:t>新疆诺客蒙鑫环境技术有限公司</w:t>
      </w:r>
      <w:r>
        <w:rPr>
          <w:color w:val="FF0000"/>
        </w:rPr>
        <w:t>处理。</w:t>
      </w:r>
    </w:p>
    <w:p>
      <w:pPr>
        <w:pStyle w:val="494"/>
        <w:ind w:firstLine="480"/>
        <w:rPr>
          <w:color w:val="FF0000"/>
        </w:rPr>
      </w:pPr>
      <w:r>
        <w:rPr>
          <w:color w:val="FF0000"/>
        </w:rPr>
        <w:t>（2）废润滑油</w:t>
      </w:r>
    </w:p>
    <w:p>
      <w:pPr>
        <w:pStyle w:val="494"/>
        <w:ind w:firstLine="480"/>
        <w:rPr>
          <w:color w:val="FF0000"/>
        </w:rPr>
      </w:pPr>
      <w:r>
        <w:rPr>
          <w:color w:val="FF0000"/>
        </w:rPr>
        <w:t>本项目生产过程中使用的机械设备需定期更换润滑油以保证设备正常运转，每年需更换润滑油0.25t。根据《国家危险废物名录》（2021年版）中“HW08废矿物油与含矿物油废物 900-217-08 ”，项目废润滑油属于危险废物，产生的废润滑油采用桶装收集储存，暂存于危废暂存间，定期交由</w:t>
      </w:r>
      <w:r>
        <w:rPr>
          <w:rFonts w:hint="eastAsia"/>
          <w:bCs/>
          <w:color w:val="FF0000"/>
        </w:rPr>
        <w:t>新疆诺客蒙鑫环境技术有限公司</w:t>
      </w:r>
      <w:r>
        <w:rPr>
          <w:color w:val="FF0000"/>
        </w:rPr>
        <w:t>处置。</w:t>
      </w:r>
    </w:p>
    <w:bookmarkEnd w:id="237"/>
    <w:p>
      <w:pPr>
        <w:pStyle w:val="494"/>
        <w:ind w:firstLine="480"/>
        <w:rPr>
          <w:color w:val="FF0000"/>
        </w:rPr>
      </w:pPr>
      <w:r>
        <w:rPr>
          <w:color w:val="FF0000"/>
        </w:rPr>
        <w:t>（3）生活垃圾</w:t>
      </w:r>
    </w:p>
    <w:p>
      <w:pPr>
        <w:pStyle w:val="494"/>
        <w:ind w:firstLine="480"/>
        <w:rPr>
          <w:color w:val="FF0000"/>
        </w:rPr>
      </w:pPr>
      <w:r>
        <w:rPr>
          <w:color w:val="FF0000"/>
        </w:rPr>
        <w:t>本项目</w:t>
      </w:r>
      <w:r>
        <w:rPr>
          <w:rFonts w:hint="eastAsia"/>
          <w:color w:val="FF0000"/>
        </w:rPr>
        <w:t>不新增劳动定员，不新增生活垃圾。</w:t>
      </w:r>
    </w:p>
    <w:p>
      <w:pPr>
        <w:pStyle w:val="494"/>
        <w:ind w:firstLine="480"/>
        <w:rPr>
          <w:color w:val="FF0000"/>
        </w:rPr>
      </w:pPr>
      <w:bookmarkStart w:id="238" w:name="_Hlk147654772"/>
      <w:r>
        <w:rPr>
          <w:rFonts w:hint="eastAsia"/>
          <w:color w:val="FF0000"/>
        </w:rPr>
        <w:t>项目运营期固体废物产生及处置情况详见表3.6</w:t>
      </w:r>
      <w:r>
        <w:rPr>
          <w:color w:val="FF0000"/>
        </w:rPr>
        <w:t>-3</w:t>
      </w:r>
      <w:r>
        <w:rPr>
          <w:rFonts w:hint="eastAsia"/>
          <w:color w:val="FF0000"/>
        </w:rPr>
        <w:t>。</w:t>
      </w:r>
    </w:p>
    <w:p>
      <w:pPr>
        <w:pStyle w:val="400"/>
        <w:ind w:firstLine="420"/>
        <w:rPr>
          <w:color w:val="FF0000"/>
        </w:rPr>
      </w:pPr>
      <w:r>
        <w:rPr>
          <w:color w:val="FF0000"/>
        </w:rPr>
        <w:t>表</w:t>
      </w:r>
      <w:r>
        <w:rPr>
          <w:rFonts w:hint="eastAsia"/>
          <w:color w:val="FF0000"/>
        </w:rPr>
        <w:t>3.6</w:t>
      </w:r>
      <w:r>
        <w:rPr>
          <w:color w:val="FF0000"/>
        </w:rPr>
        <w:t>-3             项目</w:t>
      </w:r>
      <w:r>
        <w:rPr>
          <w:rFonts w:hint="eastAsia"/>
          <w:color w:val="FF0000"/>
        </w:rPr>
        <w:t>固体废弃物产生及处置情况表</w:t>
      </w:r>
    </w:p>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719"/>
        <w:gridCol w:w="461"/>
        <w:gridCol w:w="692"/>
        <w:gridCol w:w="1294"/>
        <w:gridCol w:w="948"/>
        <w:gridCol w:w="952"/>
        <w:gridCol w:w="2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88"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bookmarkStart w:id="239" w:name="_Toc107500357"/>
            <w:r>
              <w:rPr>
                <w:color w:val="FF0000"/>
              </w:rPr>
              <w:t>产生环节</w:t>
            </w:r>
          </w:p>
        </w:tc>
        <w:tc>
          <w:tcPr>
            <w:tcW w:w="426"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名称</w:t>
            </w:r>
          </w:p>
        </w:tc>
        <w:tc>
          <w:tcPr>
            <w:tcW w:w="273"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属性</w:t>
            </w:r>
          </w:p>
        </w:tc>
        <w:tc>
          <w:tcPr>
            <w:tcW w:w="410"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物理性状</w:t>
            </w:r>
          </w:p>
        </w:tc>
        <w:tc>
          <w:tcPr>
            <w:tcW w:w="767" w:type="pc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代码</w:t>
            </w:r>
          </w:p>
        </w:tc>
        <w:tc>
          <w:tcPr>
            <w:tcW w:w="562"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环境危险特性</w:t>
            </w:r>
          </w:p>
        </w:tc>
        <w:tc>
          <w:tcPr>
            <w:tcW w:w="564"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产生量（t/a）</w:t>
            </w:r>
          </w:p>
        </w:tc>
        <w:tc>
          <w:tcPr>
            <w:tcW w:w="1610"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利用和处置去向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restar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生产过程</w:t>
            </w:r>
          </w:p>
        </w:tc>
        <w:tc>
          <w:tcPr>
            <w:tcW w:w="426"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废分子筛</w:t>
            </w:r>
          </w:p>
        </w:tc>
        <w:tc>
          <w:tcPr>
            <w:tcW w:w="273" w:type="pct"/>
            <w:vMerge w:val="restar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rFonts w:hint="eastAsia"/>
                <w:color w:val="FF0000"/>
                <w:lang w:eastAsia="zh-CN"/>
              </w:rPr>
              <w:t>危险废物</w:t>
            </w:r>
          </w:p>
        </w:tc>
        <w:tc>
          <w:tcPr>
            <w:tcW w:w="410"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固态</w:t>
            </w:r>
          </w:p>
        </w:tc>
        <w:tc>
          <w:tcPr>
            <w:tcW w:w="767"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900-041-49</w:t>
            </w:r>
          </w:p>
        </w:tc>
        <w:tc>
          <w:tcPr>
            <w:tcW w:w="562"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T</w:t>
            </w:r>
            <w:r>
              <w:rPr>
                <w:color w:val="FF0000"/>
                <w:lang w:eastAsia="zh-CN"/>
              </w:rPr>
              <w:t>/</w:t>
            </w:r>
            <w:r>
              <w:rPr>
                <w:color w:val="FF0000"/>
              </w:rPr>
              <w:t>I</w:t>
            </w:r>
          </w:p>
        </w:tc>
        <w:tc>
          <w:tcPr>
            <w:tcW w:w="564"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2</w:t>
            </w:r>
          </w:p>
        </w:tc>
        <w:tc>
          <w:tcPr>
            <w:tcW w:w="1610" w:type="pct"/>
            <w:vMerge w:val="restar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暂存于危险废物暂存间，定期交由</w:t>
            </w:r>
            <w:r>
              <w:rPr>
                <w:rFonts w:hint="eastAsia"/>
                <w:bCs/>
                <w:color w:val="FF0000"/>
                <w:lang w:eastAsia="zh-CN"/>
              </w:rPr>
              <w:t>新疆诺客蒙鑫环境技术有限公司</w:t>
            </w:r>
            <w:r>
              <w:rPr>
                <w:color w:val="FF0000"/>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bidi="en-US"/>
              </w:rPr>
            </w:pPr>
          </w:p>
        </w:tc>
        <w:tc>
          <w:tcPr>
            <w:tcW w:w="426"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废润滑油</w:t>
            </w:r>
          </w:p>
        </w:tc>
        <w:tc>
          <w:tcPr>
            <w:tcW w:w="27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eastAsia="en-US" w:bidi="en-US"/>
              </w:rPr>
            </w:pPr>
          </w:p>
        </w:tc>
        <w:tc>
          <w:tcPr>
            <w:tcW w:w="410"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lang w:eastAsia="zh-CN"/>
              </w:rPr>
              <w:t>液态</w:t>
            </w:r>
          </w:p>
        </w:tc>
        <w:tc>
          <w:tcPr>
            <w:tcW w:w="767"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lang w:eastAsia="zh-CN"/>
              </w:rPr>
              <w:t>900-217-08</w:t>
            </w:r>
          </w:p>
        </w:tc>
        <w:tc>
          <w:tcPr>
            <w:tcW w:w="562"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lang w:eastAsia="zh-CN"/>
              </w:rPr>
              <w:t>T,I</w:t>
            </w:r>
          </w:p>
        </w:tc>
        <w:tc>
          <w:tcPr>
            <w:tcW w:w="564"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0.25</w:t>
            </w:r>
          </w:p>
        </w:tc>
        <w:tc>
          <w:tcPr>
            <w:tcW w:w="161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bidi="en-US"/>
              </w:rPr>
            </w:pPr>
          </w:p>
        </w:tc>
      </w:tr>
      <w:bookmarkEnd w:id="238"/>
    </w:tbl>
    <w:p>
      <w:pPr>
        <w:pStyle w:val="4"/>
        <w:spacing w:before="120" w:after="120"/>
      </w:pPr>
      <w:bookmarkStart w:id="240" w:name="_Toc145580398"/>
      <w:r>
        <w:rPr>
          <w:rFonts w:hint="eastAsia"/>
        </w:rPr>
        <w:t>3.7运营期项目“三废”排放情况统计</w:t>
      </w:r>
      <w:bookmarkEnd w:id="239"/>
      <w:bookmarkEnd w:id="240"/>
    </w:p>
    <w:p>
      <w:pPr>
        <w:pStyle w:val="494"/>
        <w:ind w:firstLine="480"/>
      </w:pPr>
      <w:r>
        <w:t>（1）本项目运营期“三废”排放情况统计详见表3.7-1。</w:t>
      </w:r>
    </w:p>
    <w:p>
      <w:pPr>
        <w:pStyle w:val="400"/>
        <w:ind w:firstLine="420"/>
      </w:pPr>
      <w:r>
        <w:t>表</w:t>
      </w:r>
      <w:r>
        <w:rPr>
          <w:rFonts w:hint="eastAsia"/>
        </w:rPr>
        <w:t>3.7-1</w:t>
      </w:r>
      <w:r>
        <w:t xml:space="preserve">    </w:t>
      </w:r>
      <w:r>
        <w:rPr>
          <w:rFonts w:hint="eastAsia"/>
        </w:rPr>
        <w:t xml:space="preserve">          </w:t>
      </w:r>
      <w:r>
        <w:t xml:space="preserve"> </w:t>
      </w:r>
      <w:r>
        <w:rPr>
          <w:rFonts w:hint="eastAsia"/>
        </w:rPr>
        <w:t>本</w:t>
      </w:r>
      <w:r>
        <w:t>项目“三废”情况统计一览表</w:t>
      </w:r>
    </w:p>
    <w:tbl>
      <w:tblPr>
        <w:tblStyle w:val="55"/>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939"/>
        <w:gridCol w:w="1270"/>
        <w:gridCol w:w="1487"/>
        <w:gridCol w:w="3075"/>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4" w:type="dxa"/>
            <w:gridSpan w:val="2"/>
            <w:tcBorders>
              <w:top w:val="single" w:color="auto" w:sz="4" w:space="0"/>
              <w:left w:val="single" w:color="auto" w:sz="4" w:space="0"/>
              <w:bottom w:val="single" w:color="auto" w:sz="4" w:space="0"/>
              <w:right w:val="single" w:color="auto" w:sz="4" w:space="0"/>
            </w:tcBorders>
            <w:vAlign w:val="center"/>
          </w:tcPr>
          <w:p>
            <w:pPr>
              <w:pStyle w:val="670"/>
            </w:pPr>
            <w:r>
              <w:t>污染源</w:t>
            </w:r>
          </w:p>
        </w:tc>
        <w:tc>
          <w:tcPr>
            <w:tcW w:w="1270" w:type="dxa"/>
            <w:tcBorders>
              <w:top w:val="single" w:color="auto" w:sz="4" w:space="0"/>
              <w:left w:val="single" w:color="auto" w:sz="4" w:space="0"/>
              <w:bottom w:val="single" w:color="auto" w:sz="4" w:space="0"/>
              <w:right w:val="single" w:color="auto" w:sz="4" w:space="0"/>
            </w:tcBorders>
            <w:vAlign w:val="center"/>
          </w:tcPr>
          <w:p>
            <w:pPr>
              <w:pStyle w:val="670"/>
            </w:pPr>
            <w:r>
              <w:t>主要污染物</w:t>
            </w:r>
          </w:p>
        </w:tc>
        <w:tc>
          <w:tcPr>
            <w:tcW w:w="1487" w:type="dxa"/>
            <w:tcBorders>
              <w:top w:val="single" w:color="auto" w:sz="4" w:space="0"/>
              <w:left w:val="single" w:color="auto" w:sz="4" w:space="0"/>
              <w:bottom w:val="single" w:color="auto" w:sz="4" w:space="0"/>
              <w:right w:val="single" w:color="auto" w:sz="4" w:space="0"/>
            </w:tcBorders>
            <w:vAlign w:val="center"/>
          </w:tcPr>
          <w:p>
            <w:pPr>
              <w:pStyle w:val="670"/>
            </w:pPr>
            <w:r>
              <w:t>产生量</w:t>
            </w:r>
          </w:p>
        </w:tc>
        <w:tc>
          <w:tcPr>
            <w:tcW w:w="3075" w:type="dxa"/>
            <w:tcBorders>
              <w:top w:val="single" w:color="auto" w:sz="4" w:space="0"/>
              <w:left w:val="single" w:color="auto" w:sz="4" w:space="0"/>
              <w:bottom w:val="single" w:color="auto" w:sz="4" w:space="0"/>
              <w:right w:val="single" w:color="auto" w:sz="4" w:space="0"/>
            </w:tcBorders>
            <w:vAlign w:val="center"/>
          </w:tcPr>
          <w:p>
            <w:pPr>
              <w:pStyle w:val="670"/>
            </w:pPr>
            <w:r>
              <w:t>处置措施</w:t>
            </w:r>
          </w:p>
        </w:tc>
        <w:tc>
          <w:tcPr>
            <w:tcW w:w="1099" w:type="dxa"/>
            <w:tcBorders>
              <w:top w:val="single" w:color="auto" w:sz="4" w:space="0"/>
              <w:left w:val="single" w:color="auto" w:sz="4" w:space="0"/>
              <w:bottom w:val="single" w:color="auto" w:sz="4" w:space="0"/>
              <w:right w:val="single" w:color="auto" w:sz="4" w:space="0"/>
            </w:tcBorders>
            <w:vAlign w:val="center"/>
          </w:tcPr>
          <w:p>
            <w:pPr>
              <w:pStyle w:val="670"/>
            </w:pPr>
            <w: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dxa"/>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r>
              <w:rPr>
                <w:rFonts w:hint="eastAsia"/>
                <w:kern w:val="0"/>
                <w:szCs w:val="21"/>
                <w:lang w:bidi="en-US"/>
              </w:rPr>
              <w:t>废气</w:t>
            </w:r>
          </w:p>
        </w:tc>
        <w:tc>
          <w:tcPr>
            <w:tcW w:w="939" w:type="dxa"/>
            <w:tcBorders>
              <w:top w:val="single" w:color="auto" w:sz="4" w:space="0"/>
              <w:left w:val="single" w:color="auto" w:sz="4" w:space="0"/>
              <w:bottom w:val="single" w:color="auto" w:sz="4" w:space="0"/>
              <w:right w:val="single" w:color="auto" w:sz="4" w:space="0"/>
            </w:tcBorders>
            <w:vAlign w:val="center"/>
          </w:tcPr>
          <w:p>
            <w:pPr>
              <w:pStyle w:val="670"/>
            </w:pPr>
            <w:r>
              <w:rPr>
                <w:bCs/>
              </w:rPr>
              <w:t>生产区无组织废气</w:t>
            </w:r>
          </w:p>
        </w:tc>
        <w:tc>
          <w:tcPr>
            <w:tcW w:w="127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kern w:val="0"/>
                <w:szCs w:val="21"/>
                <w:lang w:eastAsia="en-US" w:bidi="en-US"/>
              </w:rPr>
            </w:pPr>
            <w:r>
              <w:rPr>
                <w:bCs/>
                <w:kern w:val="0"/>
                <w:szCs w:val="21"/>
                <w:lang w:eastAsia="en-US" w:bidi="en-US"/>
              </w:rPr>
              <w:t>非甲烷总烃</w:t>
            </w:r>
          </w:p>
        </w:tc>
        <w:tc>
          <w:tcPr>
            <w:tcW w:w="148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kern w:val="0"/>
                <w:szCs w:val="21"/>
                <w:lang w:eastAsia="en-US" w:bidi="en-US"/>
              </w:rPr>
            </w:pPr>
            <w:r>
              <w:rPr>
                <w:bCs/>
                <w:kern w:val="0"/>
                <w:szCs w:val="21"/>
                <w:lang w:eastAsia="en-US" w:bidi="en-US"/>
              </w:rPr>
              <w:t>0.028t/a</w:t>
            </w:r>
          </w:p>
        </w:tc>
        <w:tc>
          <w:tcPr>
            <w:tcW w:w="3075" w:type="dxa"/>
            <w:tcBorders>
              <w:top w:val="single" w:color="auto" w:sz="4" w:space="0"/>
              <w:left w:val="single" w:color="auto" w:sz="4" w:space="0"/>
              <w:bottom w:val="single" w:color="auto" w:sz="4" w:space="0"/>
              <w:right w:val="single" w:color="auto" w:sz="4" w:space="0"/>
            </w:tcBorders>
            <w:vAlign w:val="center"/>
          </w:tcPr>
          <w:p>
            <w:pPr>
              <w:pStyle w:val="670"/>
              <w:rPr>
                <w:bCs/>
                <w:lang w:eastAsia="zh-CN"/>
              </w:rPr>
            </w:pPr>
            <w:r>
              <w:rPr>
                <w:bCs/>
                <w:lang w:eastAsia="zh-CN"/>
              </w:rPr>
              <w:t>加强</w:t>
            </w:r>
            <w:r>
              <w:rPr>
                <w:rFonts w:hint="eastAsia"/>
                <w:bCs/>
                <w:lang w:eastAsia="zh-CN"/>
              </w:rPr>
              <w:t>设备管理</w:t>
            </w:r>
          </w:p>
        </w:tc>
        <w:tc>
          <w:tcPr>
            <w:tcW w:w="1099" w:type="dxa"/>
            <w:tcBorders>
              <w:top w:val="single" w:color="auto" w:sz="4" w:space="0"/>
              <w:left w:val="single" w:color="auto" w:sz="4" w:space="0"/>
              <w:bottom w:val="single" w:color="auto" w:sz="4" w:space="0"/>
              <w:right w:val="single" w:color="auto" w:sz="4" w:space="0"/>
            </w:tcBorders>
            <w:vAlign w:val="center"/>
          </w:tcPr>
          <w:p>
            <w:pPr>
              <w:pStyle w:val="670"/>
              <w:rPr>
                <w:bCs/>
              </w:rPr>
            </w:pPr>
            <w:r>
              <w:rPr>
                <w:bCs/>
              </w:rPr>
              <w:t>0.028t/a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dxa"/>
            <w:vMerge w:val="restart"/>
            <w:tcBorders>
              <w:top w:val="single" w:color="auto" w:sz="4" w:space="0"/>
              <w:left w:val="single" w:color="auto" w:sz="4" w:space="0"/>
              <w:bottom w:val="single" w:color="auto" w:sz="4" w:space="0"/>
              <w:right w:val="single" w:color="auto" w:sz="4" w:space="0"/>
            </w:tcBorders>
            <w:vAlign w:val="center"/>
          </w:tcPr>
          <w:p>
            <w:pPr>
              <w:pStyle w:val="670"/>
            </w:pPr>
            <w:r>
              <w:t>废水</w:t>
            </w:r>
          </w:p>
        </w:tc>
        <w:tc>
          <w:tcPr>
            <w:tcW w:w="939" w:type="dxa"/>
            <w:vMerge w:val="restar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生产区废水</w:t>
            </w:r>
          </w:p>
        </w:tc>
        <w:tc>
          <w:tcPr>
            <w:tcW w:w="1270"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三相分离器中产生的含油污水</w:t>
            </w:r>
          </w:p>
        </w:tc>
        <w:tc>
          <w:tcPr>
            <w:tcW w:w="1487" w:type="dxa"/>
            <w:tcBorders>
              <w:top w:val="single" w:color="auto" w:sz="4" w:space="0"/>
              <w:left w:val="single" w:color="auto" w:sz="4" w:space="0"/>
              <w:bottom w:val="single" w:color="auto" w:sz="4" w:space="0"/>
              <w:right w:val="single" w:color="auto" w:sz="4" w:space="0"/>
            </w:tcBorders>
            <w:vAlign w:val="center"/>
          </w:tcPr>
          <w:p>
            <w:pPr>
              <w:pStyle w:val="670"/>
            </w:pPr>
            <w:r>
              <w:t>30m</w:t>
            </w:r>
            <w:r>
              <w:rPr>
                <w:vertAlign w:val="superscript"/>
              </w:rPr>
              <w:t>3</w:t>
            </w:r>
            <w:r>
              <w:t>/d</w:t>
            </w:r>
          </w:p>
        </w:tc>
        <w:tc>
          <w:tcPr>
            <w:tcW w:w="3075" w:type="dxa"/>
            <w:vMerge w:val="restar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生产废水经排污管线排入54m</w:t>
            </w:r>
            <w:r>
              <w:rPr>
                <w:vertAlign w:val="superscript"/>
                <w:lang w:eastAsia="zh-CN"/>
              </w:rPr>
              <w:t>3</w:t>
            </w:r>
            <w:r>
              <w:rPr>
                <w:lang w:eastAsia="zh-CN"/>
              </w:rPr>
              <w:t>的排污罐中，当罐内液位达到一定高度时，由排污泵输至罐车拉运至春风一号联合站处理达标后进行回注。</w:t>
            </w:r>
          </w:p>
        </w:tc>
        <w:tc>
          <w:tcPr>
            <w:tcW w:w="1099" w:type="dxa"/>
            <w:tcBorders>
              <w:top w:val="single" w:color="auto" w:sz="4" w:space="0"/>
              <w:left w:val="single" w:color="auto" w:sz="4" w:space="0"/>
              <w:bottom w:val="single" w:color="auto" w:sz="4" w:space="0"/>
              <w:right w:val="single" w:color="auto" w:sz="4" w:space="0"/>
            </w:tcBorders>
            <w:vAlign w:val="center"/>
          </w:tcPr>
          <w:p>
            <w:pPr>
              <w:pStyle w:val="670"/>
            </w:pPr>
            <w:r>
              <w:t>30m</w:t>
            </w:r>
            <w:r>
              <w:rPr>
                <w:vertAlign w:val="superscript"/>
              </w:rPr>
              <w:t>3</w:t>
            </w:r>
            <w: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9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c>
          <w:tcPr>
            <w:tcW w:w="1270"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缓冲罐废水</w:t>
            </w:r>
          </w:p>
        </w:tc>
        <w:tc>
          <w:tcPr>
            <w:tcW w:w="1487"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6m</w:t>
            </w:r>
            <w:r>
              <w:rPr>
                <w:vertAlign w:val="superscript"/>
                <w:lang w:eastAsia="zh-CN"/>
              </w:rPr>
              <w:t>3</w:t>
            </w:r>
            <w:r>
              <w:rPr>
                <w:lang w:eastAsia="zh-CN"/>
              </w:rPr>
              <w:t>/d</w:t>
            </w:r>
          </w:p>
        </w:tc>
        <w:tc>
          <w:tcPr>
            <w:tcW w:w="30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c>
          <w:tcPr>
            <w:tcW w:w="1099"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6m</w:t>
            </w:r>
            <w:r>
              <w:rPr>
                <w:vertAlign w:val="superscript"/>
                <w:lang w:eastAsia="zh-CN"/>
              </w:rPr>
              <w:t>3</w:t>
            </w:r>
            <w:r>
              <w:rPr>
                <w:lang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9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c>
          <w:tcPr>
            <w:tcW w:w="1270"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干燥塔分子筛再生过程中脱离出的废水</w:t>
            </w:r>
          </w:p>
        </w:tc>
        <w:tc>
          <w:tcPr>
            <w:tcW w:w="1487"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24m</w:t>
            </w:r>
            <w:r>
              <w:rPr>
                <w:vertAlign w:val="superscript"/>
                <w:lang w:eastAsia="zh-CN"/>
              </w:rPr>
              <w:t>3</w:t>
            </w:r>
            <w:r>
              <w:rPr>
                <w:lang w:eastAsia="zh-CN"/>
              </w:rPr>
              <w:t>/d</w:t>
            </w:r>
          </w:p>
        </w:tc>
        <w:tc>
          <w:tcPr>
            <w:tcW w:w="30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c>
          <w:tcPr>
            <w:tcW w:w="1099"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24m</w:t>
            </w:r>
            <w:r>
              <w:rPr>
                <w:vertAlign w:val="superscript"/>
                <w:lang w:eastAsia="zh-CN"/>
              </w:rPr>
              <w:t>3</w:t>
            </w:r>
            <w:r>
              <w:rPr>
                <w:lang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dxa"/>
            <w:vMerge w:val="restart"/>
            <w:tcBorders>
              <w:top w:val="single" w:color="auto" w:sz="4" w:space="0"/>
              <w:left w:val="single" w:color="auto" w:sz="4" w:space="0"/>
              <w:bottom w:val="single" w:color="auto" w:sz="4" w:space="0"/>
              <w:right w:val="single" w:color="auto" w:sz="4" w:space="0"/>
            </w:tcBorders>
            <w:vAlign w:val="center"/>
          </w:tcPr>
          <w:p>
            <w:pPr>
              <w:pStyle w:val="670"/>
            </w:pPr>
            <w:r>
              <w:t>固体废物</w:t>
            </w:r>
          </w:p>
        </w:tc>
        <w:tc>
          <w:tcPr>
            <w:tcW w:w="939" w:type="dxa"/>
            <w:vMerge w:val="restar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生产区</w:t>
            </w:r>
          </w:p>
        </w:tc>
        <w:tc>
          <w:tcPr>
            <w:tcW w:w="1270" w:type="dxa"/>
            <w:tcBorders>
              <w:top w:val="single" w:color="auto" w:sz="4" w:space="0"/>
              <w:left w:val="single" w:color="auto" w:sz="4" w:space="0"/>
              <w:bottom w:val="single" w:color="auto" w:sz="4" w:space="0"/>
              <w:right w:val="single" w:color="auto" w:sz="4" w:space="0"/>
            </w:tcBorders>
            <w:vAlign w:val="center"/>
          </w:tcPr>
          <w:p>
            <w:pPr>
              <w:pStyle w:val="670"/>
              <w:rPr>
                <w:bCs/>
                <w:lang w:eastAsia="zh-CN"/>
              </w:rPr>
            </w:pPr>
            <w:r>
              <w:rPr>
                <w:bCs/>
              </w:rPr>
              <w:t>废分子筛</w:t>
            </w:r>
          </w:p>
        </w:tc>
        <w:tc>
          <w:tcPr>
            <w:tcW w:w="1487" w:type="dxa"/>
            <w:tcBorders>
              <w:top w:val="single" w:color="auto" w:sz="4" w:space="0"/>
              <w:left w:val="single" w:color="auto" w:sz="4" w:space="0"/>
              <w:bottom w:val="single" w:color="auto" w:sz="4" w:space="0"/>
              <w:right w:val="single" w:color="auto" w:sz="4" w:space="0"/>
            </w:tcBorders>
            <w:vAlign w:val="center"/>
          </w:tcPr>
          <w:p>
            <w:pPr>
              <w:pStyle w:val="670"/>
              <w:rPr>
                <w:bCs/>
                <w:lang w:eastAsia="zh-CN"/>
              </w:rPr>
            </w:pPr>
            <w:r>
              <w:t>2t/a</w:t>
            </w:r>
          </w:p>
        </w:tc>
        <w:tc>
          <w:tcPr>
            <w:tcW w:w="3075" w:type="dxa"/>
            <w:vMerge w:val="restart"/>
            <w:tcBorders>
              <w:top w:val="single" w:color="auto" w:sz="4" w:space="0"/>
              <w:left w:val="single" w:color="auto" w:sz="4" w:space="0"/>
              <w:bottom w:val="single" w:color="auto" w:sz="4" w:space="0"/>
              <w:right w:val="single" w:color="auto" w:sz="4" w:space="0"/>
            </w:tcBorders>
            <w:vAlign w:val="center"/>
          </w:tcPr>
          <w:p>
            <w:pPr>
              <w:pStyle w:val="670"/>
              <w:rPr>
                <w:bCs/>
                <w:lang w:eastAsia="zh-CN"/>
              </w:rPr>
            </w:pPr>
            <w:r>
              <w:rPr>
                <w:bCs/>
                <w:lang w:eastAsia="zh-CN"/>
              </w:rPr>
              <w:t>暂存于危险废物暂存间，定期交由</w:t>
            </w:r>
            <w:r>
              <w:rPr>
                <w:rFonts w:hint="eastAsia"/>
                <w:bCs/>
                <w:lang w:eastAsia="zh-CN"/>
              </w:rPr>
              <w:t>新疆诺客蒙鑫环境技术有限公司</w:t>
            </w:r>
            <w:r>
              <w:rPr>
                <w:bCs/>
                <w:lang w:eastAsia="zh-CN"/>
              </w:rPr>
              <w:t>处理</w:t>
            </w:r>
          </w:p>
        </w:tc>
        <w:tc>
          <w:tcPr>
            <w:tcW w:w="1099" w:type="dxa"/>
            <w:tcBorders>
              <w:top w:val="single" w:color="auto" w:sz="4" w:space="0"/>
              <w:left w:val="single" w:color="auto" w:sz="4" w:space="0"/>
              <w:bottom w:val="single" w:color="auto" w:sz="4" w:space="0"/>
              <w:right w:val="single" w:color="auto" w:sz="4" w:space="0"/>
            </w:tcBorders>
            <w:vAlign w:val="center"/>
          </w:tcPr>
          <w:p>
            <w:pPr>
              <w:pStyle w:val="670"/>
            </w:pPr>
            <w:r>
              <w:t>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9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c>
          <w:tcPr>
            <w:tcW w:w="1270" w:type="dxa"/>
            <w:tcBorders>
              <w:top w:val="single" w:color="auto" w:sz="4" w:space="0"/>
              <w:left w:val="single" w:color="auto" w:sz="4" w:space="0"/>
              <w:bottom w:val="single" w:color="auto" w:sz="4" w:space="0"/>
              <w:right w:val="single" w:color="auto" w:sz="4" w:space="0"/>
            </w:tcBorders>
            <w:vAlign w:val="center"/>
          </w:tcPr>
          <w:p>
            <w:pPr>
              <w:pStyle w:val="670"/>
              <w:rPr>
                <w:bCs/>
                <w:lang w:eastAsia="zh-CN"/>
              </w:rPr>
            </w:pPr>
            <w:r>
              <w:rPr>
                <w:bCs/>
              </w:rPr>
              <w:t>废润滑油</w:t>
            </w:r>
          </w:p>
        </w:tc>
        <w:tc>
          <w:tcPr>
            <w:tcW w:w="1487" w:type="dxa"/>
            <w:tcBorders>
              <w:top w:val="single" w:color="auto" w:sz="4" w:space="0"/>
              <w:left w:val="single" w:color="auto" w:sz="4" w:space="0"/>
              <w:bottom w:val="single" w:color="auto" w:sz="4" w:space="0"/>
              <w:right w:val="single" w:color="auto" w:sz="4" w:space="0"/>
            </w:tcBorders>
            <w:vAlign w:val="center"/>
          </w:tcPr>
          <w:p>
            <w:pPr>
              <w:pStyle w:val="670"/>
              <w:rPr>
                <w:bCs/>
              </w:rPr>
            </w:pPr>
            <w:r>
              <w:rPr>
                <w:bCs/>
              </w:rPr>
              <w:t>0.25t/a</w:t>
            </w:r>
          </w:p>
        </w:tc>
        <w:tc>
          <w:tcPr>
            <w:tcW w:w="30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kern w:val="0"/>
                <w:szCs w:val="21"/>
                <w:lang w:bidi="en-US"/>
              </w:rPr>
            </w:pPr>
          </w:p>
        </w:tc>
        <w:tc>
          <w:tcPr>
            <w:tcW w:w="1099" w:type="dxa"/>
            <w:tcBorders>
              <w:top w:val="single" w:color="auto" w:sz="4" w:space="0"/>
              <w:left w:val="single" w:color="auto" w:sz="4" w:space="0"/>
              <w:bottom w:val="single" w:color="auto" w:sz="4" w:space="0"/>
              <w:right w:val="single" w:color="auto" w:sz="4" w:space="0"/>
            </w:tcBorders>
            <w:vAlign w:val="center"/>
          </w:tcPr>
          <w:p>
            <w:pPr>
              <w:pStyle w:val="670"/>
              <w:rPr>
                <w:bCs/>
              </w:rPr>
            </w:pPr>
            <w:r>
              <w:rPr>
                <w:bCs/>
              </w:rPr>
              <w:t>0.25t/a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dxa"/>
            <w:tcBorders>
              <w:top w:val="single" w:color="auto" w:sz="4" w:space="0"/>
              <w:left w:val="single" w:color="auto" w:sz="4" w:space="0"/>
              <w:bottom w:val="single" w:color="auto" w:sz="4" w:space="0"/>
              <w:right w:val="single" w:color="auto" w:sz="4" w:space="0"/>
            </w:tcBorders>
            <w:vAlign w:val="center"/>
          </w:tcPr>
          <w:p>
            <w:pPr>
              <w:pStyle w:val="670"/>
            </w:pPr>
            <w:r>
              <w:t>噪声</w:t>
            </w:r>
          </w:p>
        </w:tc>
        <w:tc>
          <w:tcPr>
            <w:tcW w:w="2209" w:type="dxa"/>
            <w:gridSpan w:val="2"/>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工艺设备运行噪声，声级在70~80dB（A）之间</w:t>
            </w:r>
          </w:p>
        </w:tc>
        <w:tc>
          <w:tcPr>
            <w:tcW w:w="5661" w:type="dxa"/>
            <w:gridSpan w:val="3"/>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设备选用低噪声设备，在安装时采取降噪减震措施，使用时定期检修，做好设备保养，落实工作间防噪声劳动保护和管理</w:t>
            </w:r>
          </w:p>
        </w:tc>
      </w:tr>
    </w:tbl>
    <w:p>
      <w:pPr>
        <w:pStyle w:val="494"/>
        <w:ind w:firstLine="480"/>
        <w:rPr>
          <w:color w:val="FF0000"/>
        </w:rPr>
      </w:pPr>
      <w:r>
        <w:rPr>
          <w:color w:val="FF0000"/>
        </w:rPr>
        <w:t>（2）</w:t>
      </w:r>
      <w:r>
        <w:rPr>
          <w:rFonts w:hint="eastAsia"/>
          <w:color w:val="FF0000"/>
        </w:rPr>
        <w:t>项目“三本账”</w:t>
      </w:r>
    </w:p>
    <w:p>
      <w:pPr>
        <w:pStyle w:val="494"/>
        <w:ind w:firstLine="480"/>
        <w:rPr>
          <w:color w:val="FF0000"/>
        </w:rPr>
      </w:pPr>
      <w:bookmarkStart w:id="241" w:name="_Hlk147590657"/>
      <w:r>
        <w:rPr>
          <w:rFonts w:hint="eastAsia"/>
          <w:color w:val="FF0000"/>
        </w:rPr>
        <w:t>本</w:t>
      </w:r>
      <w:r>
        <w:rPr>
          <w:color w:val="FF0000"/>
        </w:rPr>
        <w:t>项目</w:t>
      </w:r>
      <w:r>
        <w:rPr>
          <w:rFonts w:hint="eastAsia"/>
          <w:color w:val="FF0000"/>
        </w:rPr>
        <w:t>建设后，“三本账”分析</w:t>
      </w:r>
      <w:r>
        <w:rPr>
          <w:color w:val="FF0000"/>
        </w:rPr>
        <w:t>详见表3.7-2。</w:t>
      </w:r>
    </w:p>
    <w:p>
      <w:pPr>
        <w:pStyle w:val="400"/>
        <w:ind w:firstLine="420"/>
        <w:rPr>
          <w:color w:val="FF0000"/>
        </w:rPr>
      </w:pPr>
      <w:r>
        <w:rPr>
          <w:rFonts w:hint="eastAsia"/>
          <w:color w:val="FF0000"/>
        </w:rPr>
        <w:t xml:space="preserve">表3.7-2    </w:t>
      </w:r>
      <w:r>
        <w:rPr>
          <w:color w:val="FF0000"/>
        </w:rPr>
        <w:t xml:space="preserve">         </w:t>
      </w:r>
      <w:r>
        <w:rPr>
          <w:rFonts w:hint="eastAsia"/>
          <w:color w:val="FF0000"/>
        </w:rPr>
        <w:t xml:space="preserve">项目“三本账”分析一览表 </w:t>
      </w:r>
      <w:r>
        <w:rPr>
          <w:color w:val="FF0000"/>
        </w:rPr>
        <w:t xml:space="preserve">                   </w:t>
      </w:r>
      <w:r>
        <w:rPr>
          <w:rFonts w:hint="eastAsia"/>
          <w:color w:val="FF0000"/>
        </w:rPr>
        <w:t>单位：t/a</w:t>
      </w: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1988"/>
        <w:gridCol w:w="1055"/>
        <w:gridCol w:w="1394"/>
        <w:gridCol w:w="1109"/>
        <w:gridCol w:w="1188"/>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 w:type="pct"/>
            <w:vMerge w:val="restart"/>
            <w:vAlign w:val="center"/>
          </w:tcPr>
          <w:p>
            <w:pPr>
              <w:pStyle w:val="687"/>
              <w:rPr>
                <w:color w:val="FF0000"/>
                <w:sz w:val="21"/>
              </w:rPr>
            </w:pPr>
            <w:bookmarkStart w:id="242" w:name="_Toc107500358"/>
            <w:r>
              <w:rPr>
                <w:rFonts w:hint="eastAsia"/>
                <w:color w:val="FF0000"/>
                <w:sz w:val="21"/>
              </w:rPr>
              <w:t>分类</w:t>
            </w:r>
          </w:p>
        </w:tc>
        <w:tc>
          <w:tcPr>
            <w:tcW w:w="1178" w:type="pct"/>
            <w:vMerge w:val="restart"/>
            <w:vAlign w:val="center"/>
          </w:tcPr>
          <w:p>
            <w:pPr>
              <w:pStyle w:val="687"/>
              <w:rPr>
                <w:color w:val="FF0000"/>
                <w:sz w:val="21"/>
              </w:rPr>
            </w:pPr>
            <w:r>
              <w:rPr>
                <w:rFonts w:hint="eastAsia"/>
                <w:color w:val="FF0000"/>
                <w:sz w:val="21"/>
              </w:rPr>
              <w:t>污染物</w:t>
            </w:r>
          </w:p>
        </w:tc>
        <w:tc>
          <w:tcPr>
            <w:tcW w:w="625" w:type="pct"/>
            <w:vMerge w:val="restart"/>
            <w:vAlign w:val="center"/>
          </w:tcPr>
          <w:p>
            <w:pPr>
              <w:pStyle w:val="687"/>
              <w:rPr>
                <w:color w:val="FF0000"/>
                <w:sz w:val="21"/>
              </w:rPr>
            </w:pPr>
            <w:r>
              <w:rPr>
                <w:rFonts w:hint="eastAsia"/>
                <w:color w:val="FF0000"/>
                <w:sz w:val="21"/>
              </w:rPr>
              <w:t>现有工程排放量</w:t>
            </w:r>
          </w:p>
        </w:tc>
        <w:tc>
          <w:tcPr>
            <w:tcW w:w="826" w:type="pct"/>
            <w:vMerge w:val="restart"/>
            <w:vAlign w:val="center"/>
          </w:tcPr>
          <w:p>
            <w:pPr>
              <w:pStyle w:val="687"/>
              <w:rPr>
                <w:color w:val="FF0000"/>
                <w:sz w:val="21"/>
              </w:rPr>
            </w:pPr>
            <w:r>
              <w:rPr>
                <w:rFonts w:hint="eastAsia"/>
                <w:color w:val="FF0000"/>
                <w:sz w:val="21"/>
              </w:rPr>
              <w:t>以新带老</w:t>
            </w:r>
          </w:p>
          <w:p>
            <w:pPr>
              <w:pStyle w:val="687"/>
              <w:rPr>
                <w:color w:val="FF0000"/>
                <w:sz w:val="21"/>
              </w:rPr>
            </w:pPr>
            <w:r>
              <w:rPr>
                <w:color w:val="FF0000"/>
                <w:sz w:val="21"/>
              </w:rPr>
              <w:t>消减量</w:t>
            </w:r>
          </w:p>
        </w:tc>
        <w:tc>
          <w:tcPr>
            <w:tcW w:w="657" w:type="pct"/>
            <w:vAlign w:val="center"/>
          </w:tcPr>
          <w:p>
            <w:pPr>
              <w:pStyle w:val="687"/>
              <w:rPr>
                <w:color w:val="FF0000"/>
                <w:sz w:val="21"/>
              </w:rPr>
            </w:pPr>
            <w:r>
              <w:rPr>
                <w:rFonts w:hint="eastAsia"/>
                <w:color w:val="FF0000"/>
                <w:sz w:val="21"/>
              </w:rPr>
              <w:t>本工程</w:t>
            </w:r>
          </w:p>
        </w:tc>
        <w:tc>
          <w:tcPr>
            <w:tcW w:w="704" w:type="pct"/>
            <w:vAlign w:val="center"/>
          </w:tcPr>
          <w:p>
            <w:pPr>
              <w:pStyle w:val="687"/>
              <w:rPr>
                <w:color w:val="FF0000"/>
                <w:sz w:val="21"/>
              </w:rPr>
            </w:pPr>
            <w:r>
              <w:rPr>
                <w:rFonts w:hint="eastAsia"/>
                <w:color w:val="FF0000"/>
                <w:sz w:val="21"/>
              </w:rPr>
              <w:t>总体工程</w:t>
            </w:r>
          </w:p>
        </w:tc>
        <w:tc>
          <w:tcPr>
            <w:tcW w:w="727" w:type="pct"/>
            <w:vMerge w:val="restart"/>
            <w:vAlign w:val="center"/>
          </w:tcPr>
          <w:p>
            <w:pPr>
              <w:pStyle w:val="687"/>
              <w:rPr>
                <w:color w:val="FF0000"/>
                <w:sz w:val="21"/>
              </w:rPr>
            </w:pPr>
            <w:r>
              <w:rPr>
                <w:rFonts w:hint="eastAsia"/>
                <w:color w:val="FF0000"/>
                <w:sz w:val="21"/>
              </w:rPr>
              <w:t>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 w:type="pct"/>
            <w:vMerge w:val="continue"/>
            <w:vAlign w:val="center"/>
          </w:tcPr>
          <w:p>
            <w:pPr>
              <w:pStyle w:val="687"/>
              <w:rPr>
                <w:color w:val="FF0000"/>
                <w:sz w:val="21"/>
              </w:rPr>
            </w:pPr>
          </w:p>
        </w:tc>
        <w:tc>
          <w:tcPr>
            <w:tcW w:w="1178" w:type="pct"/>
            <w:vMerge w:val="continue"/>
            <w:vAlign w:val="center"/>
          </w:tcPr>
          <w:p>
            <w:pPr>
              <w:pStyle w:val="687"/>
              <w:rPr>
                <w:color w:val="FF0000"/>
                <w:sz w:val="21"/>
              </w:rPr>
            </w:pPr>
          </w:p>
        </w:tc>
        <w:tc>
          <w:tcPr>
            <w:tcW w:w="625" w:type="pct"/>
            <w:vMerge w:val="continue"/>
            <w:vAlign w:val="center"/>
          </w:tcPr>
          <w:p>
            <w:pPr>
              <w:pStyle w:val="687"/>
              <w:rPr>
                <w:color w:val="FF0000"/>
                <w:sz w:val="21"/>
              </w:rPr>
            </w:pPr>
          </w:p>
        </w:tc>
        <w:tc>
          <w:tcPr>
            <w:tcW w:w="826" w:type="pct"/>
            <w:vMerge w:val="continue"/>
            <w:vAlign w:val="center"/>
          </w:tcPr>
          <w:p>
            <w:pPr>
              <w:pStyle w:val="687"/>
              <w:rPr>
                <w:color w:val="FF0000"/>
                <w:sz w:val="21"/>
              </w:rPr>
            </w:pPr>
          </w:p>
        </w:tc>
        <w:tc>
          <w:tcPr>
            <w:tcW w:w="657" w:type="pct"/>
            <w:vAlign w:val="center"/>
          </w:tcPr>
          <w:p>
            <w:pPr>
              <w:pStyle w:val="687"/>
              <w:rPr>
                <w:color w:val="FF0000"/>
                <w:sz w:val="21"/>
              </w:rPr>
            </w:pPr>
            <w:r>
              <w:rPr>
                <w:rFonts w:hint="eastAsia"/>
                <w:color w:val="FF0000"/>
                <w:sz w:val="21"/>
              </w:rPr>
              <w:t>排放量</w:t>
            </w:r>
          </w:p>
        </w:tc>
        <w:tc>
          <w:tcPr>
            <w:tcW w:w="704" w:type="pct"/>
            <w:vAlign w:val="center"/>
          </w:tcPr>
          <w:p>
            <w:pPr>
              <w:pStyle w:val="687"/>
              <w:rPr>
                <w:color w:val="FF0000"/>
                <w:sz w:val="21"/>
              </w:rPr>
            </w:pPr>
            <w:r>
              <w:rPr>
                <w:rFonts w:hint="eastAsia"/>
                <w:color w:val="FF0000"/>
                <w:sz w:val="21"/>
              </w:rPr>
              <w:t>现有+拟建</w:t>
            </w:r>
          </w:p>
        </w:tc>
        <w:tc>
          <w:tcPr>
            <w:tcW w:w="727" w:type="pct"/>
            <w:vMerge w:val="continue"/>
            <w:vAlign w:val="center"/>
          </w:tcPr>
          <w:p>
            <w:pPr>
              <w:pStyle w:val="687"/>
              <w:rPr>
                <w:color w:val="FF000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 w:type="pct"/>
            <w:vAlign w:val="center"/>
          </w:tcPr>
          <w:p>
            <w:pPr>
              <w:pStyle w:val="687"/>
              <w:rPr>
                <w:color w:val="FF0000"/>
                <w:sz w:val="21"/>
              </w:rPr>
            </w:pPr>
            <w:r>
              <w:rPr>
                <w:rFonts w:hint="eastAsia"/>
                <w:color w:val="FF0000"/>
                <w:sz w:val="21"/>
              </w:rPr>
              <w:t>废气</w:t>
            </w:r>
          </w:p>
        </w:tc>
        <w:tc>
          <w:tcPr>
            <w:tcW w:w="1178" w:type="pct"/>
            <w:vAlign w:val="center"/>
          </w:tcPr>
          <w:p>
            <w:pPr>
              <w:pStyle w:val="687"/>
              <w:rPr>
                <w:color w:val="FF0000"/>
                <w:sz w:val="21"/>
              </w:rPr>
            </w:pPr>
            <w:r>
              <w:rPr>
                <w:rFonts w:hint="eastAsia"/>
                <w:color w:val="FF0000"/>
                <w:sz w:val="21"/>
                <w:lang w:eastAsia="zh-CN"/>
              </w:rPr>
              <w:t>非甲烷总烃</w:t>
            </w:r>
          </w:p>
        </w:tc>
        <w:tc>
          <w:tcPr>
            <w:tcW w:w="625" w:type="pct"/>
            <w:vAlign w:val="center"/>
          </w:tcPr>
          <w:p>
            <w:pPr>
              <w:pStyle w:val="687"/>
              <w:rPr>
                <w:color w:val="FF0000"/>
                <w:sz w:val="21"/>
                <w:lang w:eastAsia="zh-CN"/>
              </w:rPr>
            </w:pPr>
            <w:r>
              <w:rPr>
                <w:bCs/>
                <w:color w:val="FF0000"/>
                <w:sz w:val="21"/>
                <w:lang w:eastAsia="zh-CN"/>
              </w:rPr>
              <w:t>0.019</w:t>
            </w:r>
          </w:p>
        </w:tc>
        <w:tc>
          <w:tcPr>
            <w:tcW w:w="826" w:type="pct"/>
            <w:vAlign w:val="center"/>
          </w:tcPr>
          <w:p>
            <w:pPr>
              <w:pStyle w:val="687"/>
              <w:rPr>
                <w:color w:val="FF0000"/>
                <w:sz w:val="21"/>
                <w:lang w:eastAsia="zh-CN"/>
              </w:rPr>
            </w:pPr>
            <w:r>
              <w:rPr>
                <w:rFonts w:hint="eastAsia"/>
                <w:color w:val="FF0000"/>
                <w:sz w:val="21"/>
                <w:lang w:eastAsia="zh-CN"/>
              </w:rPr>
              <w:t>0</w:t>
            </w:r>
            <w:r>
              <w:rPr>
                <w:color w:val="FF0000"/>
                <w:sz w:val="21"/>
                <w:lang w:eastAsia="zh-CN"/>
              </w:rPr>
              <w:t>.019</w:t>
            </w:r>
          </w:p>
        </w:tc>
        <w:tc>
          <w:tcPr>
            <w:tcW w:w="657" w:type="pct"/>
            <w:vAlign w:val="center"/>
          </w:tcPr>
          <w:p>
            <w:pPr>
              <w:pStyle w:val="687"/>
              <w:rPr>
                <w:color w:val="FF0000"/>
                <w:sz w:val="21"/>
                <w:lang w:eastAsia="zh-CN"/>
              </w:rPr>
            </w:pPr>
            <w:r>
              <w:rPr>
                <w:color w:val="FF0000"/>
                <w:sz w:val="21"/>
                <w:lang w:eastAsia="zh-CN"/>
              </w:rPr>
              <w:t>0.028</w:t>
            </w:r>
          </w:p>
        </w:tc>
        <w:tc>
          <w:tcPr>
            <w:tcW w:w="704" w:type="pct"/>
            <w:vAlign w:val="center"/>
          </w:tcPr>
          <w:p>
            <w:pPr>
              <w:pStyle w:val="687"/>
              <w:rPr>
                <w:color w:val="FF0000"/>
                <w:sz w:val="21"/>
                <w:lang w:eastAsia="zh-CN"/>
              </w:rPr>
            </w:pPr>
            <w:r>
              <w:rPr>
                <w:color w:val="FF0000"/>
                <w:sz w:val="21"/>
                <w:lang w:eastAsia="zh-CN"/>
              </w:rPr>
              <w:t>0.028</w:t>
            </w:r>
          </w:p>
        </w:tc>
        <w:tc>
          <w:tcPr>
            <w:tcW w:w="727" w:type="pct"/>
            <w:vAlign w:val="center"/>
          </w:tcPr>
          <w:p>
            <w:pPr>
              <w:pStyle w:val="687"/>
              <w:rPr>
                <w:color w:val="FF0000"/>
                <w:sz w:val="21"/>
                <w:lang w:eastAsia="zh-CN"/>
              </w:rPr>
            </w:pPr>
            <w:r>
              <w:rPr>
                <w:color w:val="FF0000"/>
                <w:sz w:val="21"/>
                <w:lang w:eastAsia="zh-CN"/>
              </w:rPr>
              <w:t>+</w:t>
            </w:r>
            <w:r>
              <w:rPr>
                <w:rFonts w:hint="eastAsia"/>
                <w:color w:val="FF0000"/>
                <w:sz w:val="21"/>
                <w:lang w:eastAsia="zh-CN"/>
              </w:rPr>
              <w:t>0</w:t>
            </w:r>
            <w:r>
              <w:rPr>
                <w:color w:val="FF0000"/>
                <w:sz w:val="21"/>
                <w:lang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 w:type="pct"/>
            <w:vMerge w:val="restart"/>
            <w:vAlign w:val="center"/>
          </w:tcPr>
          <w:p>
            <w:pPr>
              <w:pStyle w:val="687"/>
              <w:rPr>
                <w:color w:val="FF0000"/>
                <w:sz w:val="21"/>
              </w:rPr>
            </w:pPr>
            <w:r>
              <w:rPr>
                <w:rFonts w:hint="eastAsia"/>
                <w:color w:val="FF0000"/>
                <w:sz w:val="21"/>
              </w:rPr>
              <w:t>废水</w:t>
            </w:r>
          </w:p>
        </w:tc>
        <w:tc>
          <w:tcPr>
            <w:tcW w:w="1178" w:type="pct"/>
            <w:vAlign w:val="center"/>
          </w:tcPr>
          <w:p>
            <w:pPr>
              <w:pStyle w:val="687"/>
              <w:rPr>
                <w:color w:val="FF0000"/>
                <w:sz w:val="21"/>
              </w:rPr>
            </w:pPr>
            <w:r>
              <w:rPr>
                <w:rFonts w:hint="eastAsia"/>
                <w:color w:val="FF0000"/>
                <w:sz w:val="21"/>
                <w:lang w:eastAsia="zh-CN"/>
              </w:rPr>
              <w:t>生产废水</w:t>
            </w:r>
          </w:p>
        </w:tc>
        <w:tc>
          <w:tcPr>
            <w:tcW w:w="625" w:type="pct"/>
            <w:vAlign w:val="center"/>
          </w:tcPr>
          <w:p>
            <w:pPr>
              <w:pStyle w:val="687"/>
              <w:rPr>
                <w:color w:val="FF0000"/>
                <w:sz w:val="21"/>
                <w:lang w:eastAsia="zh-CN"/>
              </w:rPr>
            </w:pPr>
            <w:r>
              <w:rPr>
                <w:color w:val="FF0000"/>
                <w:sz w:val="21"/>
                <w:lang w:eastAsia="zh-CN"/>
              </w:rPr>
              <w:t>14850</w:t>
            </w:r>
          </w:p>
        </w:tc>
        <w:tc>
          <w:tcPr>
            <w:tcW w:w="826" w:type="pct"/>
            <w:vAlign w:val="center"/>
          </w:tcPr>
          <w:p>
            <w:pPr>
              <w:pStyle w:val="687"/>
              <w:rPr>
                <w:color w:val="FF0000"/>
                <w:sz w:val="21"/>
                <w:lang w:eastAsia="zh-CN"/>
              </w:rPr>
            </w:pPr>
            <w:r>
              <w:rPr>
                <w:color w:val="FF0000"/>
                <w:sz w:val="21"/>
                <w:lang w:eastAsia="zh-CN"/>
              </w:rPr>
              <w:t>14850</w:t>
            </w:r>
          </w:p>
        </w:tc>
        <w:tc>
          <w:tcPr>
            <w:tcW w:w="657" w:type="pct"/>
            <w:vAlign w:val="center"/>
          </w:tcPr>
          <w:p>
            <w:pPr>
              <w:pStyle w:val="687"/>
              <w:rPr>
                <w:color w:val="FF0000"/>
                <w:sz w:val="21"/>
                <w:lang w:eastAsia="zh-CN"/>
              </w:rPr>
            </w:pPr>
            <w:r>
              <w:rPr>
                <w:rFonts w:hint="eastAsia"/>
                <w:color w:val="FF0000"/>
                <w:sz w:val="21"/>
                <w:lang w:eastAsia="zh-CN"/>
              </w:rPr>
              <w:t>2</w:t>
            </w:r>
            <w:r>
              <w:rPr>
                <w:color w:val="FF0000"/>
                <w:sz w:val="21"/>
                <w:lang w:eastAsia="zh-CN"/>
              </w:rPr>
              <w:t>1780</w:t>
            </w:r>
          </w:p>
        </w:tc>
        <w:tc>
          <w:tcPr>
            <w:tcW w:w="704" w:type="pct"/>
            <w:vAlign w:val="center"/>
          </w:tcPr>
          <w:p>
            <w:pPr>
              <w:pStyle w:val="687"/>
              <w:rPr>
                <w:color w:val="FF0000"/>
                <w:sz w:val="21"/>
              </w:rPr>
            </w:pPr>
            <w:r>
              <w:rPr>
                <w:rFonts w:hint="eastAsia"/>
                <w:color w:val="FF0000"/>
                <w:sz w:val="21"/>
                <w:lang w:eastAsia="zh-CN"/>
              </w:rPr>
              <w:t>2</w:t>
            </w:r>
            <w:r>
              <w:rPr>
                <w:color w:val="FF0000"/>
                <w:sz w:val="21"/>
                <w:lang w:eastAsia="zh-CN"/>
              </w:rPr>
              <w:t>1780</w:t>
            </w:r>
          </w:p>
        </w:tc>
        <w:tc>
          <w:tcPr>
            <w:tcW w:w="727" w:type="pct"/>
            <w:vAlign w:val="center"/>
          </w:tcPr>
          <w:p>
            <w:pPr>
              <w:pStyle w:val="687"/>
              <w:rPr>
                <w:color w:val="FF0000"/>
                <w:sz w:val="21"/>
                <w:lang w:eastAsia="zh-CN"/>
              </w:rPr>
            </w:pPr>
            <w:r>
              <w:rPr>
                <w:color w:val="FF0000"/>
                <w:sz w:val="21"/>
                <w:lang w:eastAsia="zh-CN"/>
              </w:rPr>
              <w:t>+</w:t>
            </w:r>
            <w:r>
              <w:rPr>
                <w:color w:val="FF0000"/>
                <w:sz w:val="21"/>
              </w:rPr>
              <w:t>6930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 w:type="pct"/>
            <w:vMerge w:val="continue"/>
            <w:vAlign w:val="center"/>
          </w:tcPr>
          <w:p>
            <w:pPr>
              <w:pStyle w:val="687"/>
              <w:rPr>
                <w:color w:val="FF0000"/>
                <w:sz w:val="21"/>
              </w:rPr>
            </w:pPr>
          </w:p>
        </w:tc>
        <w:tc>
          <w:tcPr>
            <w:tcW w:w="1178" w:type="pct"/>
            <w:vAlign w:val="center"/>
          </w:tcPr>
          <w:p>
            <w:pPr>
              <w:pStyle w:val="687"/>
              <w:rPr>
                <w:color w:val="FF0000"/>
                <w:sz w:val="21"/>
              </w:rPr>
            </w:pPr>
            <w:r>
              <w:rPr>
                <w:rFonts w:hint="eastAsia"/>
                <w:color w:val="FF0000"/>
                <w:sz w:val="21"/>
                <w:lang w:eastAsia="zh-CN"/>
              </w:rPr>
              <w:t>生活污水</w:t>
            </w:r>
          </w:p>
        </w:tc>
        <w:tc>
          <w:tcPr>
            <w:tcW w:w="625" w:type="pct"/>
            <w:vAlign w:val="center"/>
          </w:tcPr>
          <w:p>
            <w:pPr>
              <w:pStyle w:val="687"/>
              <w:rPr>
                <w:color w:val="FF0000"/>
                <w:sz w:val="21"/>
                <w:lang w:eastAsia="zh-CN"/>
              </w:rPr>
            </w:pPr>
            <w:r>
              <w:rPr>
                <w:color w:val="FF0000"/>
                <w:sz w:val="21"/>
                <w:lang w:eastAsia="zh-CN"/>
              </w:rPr>
              <w:t>158.4</w:t>
            </w:r>
          </w:p>
        </w:tc>
        <w:tc>
          <w:tcPr>
            <w:tcW w:w="826" w:type="pct"/>
            <w:vAlign w:val="center"/>
          </w:tcPr>
          <w:p>
            <w:pPr>
              <w:pStyle w:val="687"/>
              <w:rPr>
                <w:color w:val="FF0000"/>
                <w:sz w:val="21"/>
                <w:lang w:eastAsia="zh-CN"/>
              </w:rPr>
            </w:pPr>
            <w:r>
              <w:rPr>
                <w:rFonts w:hint="eastAsia"/>
                <w:color w:val="FF0000"/>
                <w:sz w:val="21"/>
                <w:lang w:eastAsia="zh-CN"/>
              </w:rPr>
              <w:t>0</w:t>
            </w:r>
          </w:p>
        </w:tc>
        <w:tc>
          <w:tcPr>
            <w:tcW w:w="657" w:type="pct"/>
            <w:vAlign w:val="center"/>
          </w:tcPr>
          <w:p>
            <w:pPr>
              <w:pStyle w:val="687"/>
              <w:rPr>
                <w:color w:val="FF0000"/>
                <w:sz w:val="21"/>
                <w:lang w:eastAsia="zh-CN"/>
              </w:rPr>
            </w:pPr>
            <w:r>
              <w:rPr>
                <w:color w:val="FF0000"/>
                <w:sz w:val="21"/>
                <w:lang w:eastAsia="zh-CN"/>
              </w:rPr>
              <w:t>0</w:t>
            </w:r>
          </w:p>
        </w:tc>
        <w:tc>
          <w:tcPr>
            <w:tcW w:w="704" w:type="pct"/>
            <w:vAlign w:val="center"/>
          </w:tcPr>
          <w:p>
            <w:pPr>
              <w:pStyle w:val="687"/>
              <w:rPr>
                <w:color w:val="FF0000"/>
                <w:sz w:val="21"/>
                <w:lang w:eastAsia="zh-CN"/>
              </w:rPr>
            </w:pPr>
            <w:r>
              <w:rPr>
                <w:color w:val="FF0000"/>
                <w:sz w:val="21"/>
                <w:lang w:eastAsia="zh-CN"/>
              </w:rPr>
              <w:t>158.4</w:t>
            </w:r>
          </w:p>
        </w:tc>
        <w:tc>
          <w:tcPr>
            <w:tcW w:w="727" w:type="pct"/>
            <w:vAlign w:val="center"/>
          </w:tcPr>
          <w:p>
            <w:pPr>
              <w:pStyle w:val="687"/>
              <w:rPr>
                <w:color w:val="FF0000"/>
                <w:sz w:val="21"/>
                <w:lang w:eastAsia="zh-CN"/>
              </w:rPr>
            </w:pPr>
            <w:r>
              <w:rPr>
                <w:color w:val="FF0000"/>
                <w:sz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 w:type="pct"/>
            <w:vMerge w:val="restart"/>
            <w:vAlign w:val="center"/>
          </w:tcPr>
          <w:p>
            <w:pPr>
              <w:pStyle w:val="687"/>
              <w:rPr>
                <w:color w:val="FF0000"/>
                <w:sz w:val="21"/>
              </w:rPr>
            </w:pPr>
            <w:r>
              <w:rPr>
                <w:rFonts w:hint="eastAsia"/>
                <w:color w:val="FF0000"/>
                <w:sz w:val="21"/>
              </w:rPr>
              <w:t>固体废物</w:t>
            </w:r>
          </w:p>
        </w:tc>
        <w:tc>
          <w:tcPr>
            <w:tcW w:w="1178" w:type="pct"/>
            <w:vAlign w:val="center"/>
          </w:tcPr>
          <w:p>
            <w:pPr>
              <w:pStyle w:val="687"/>
              <w:rPr>
                <w:color w:val="FF0000"/>
                <w:sz w:val="21"/>
              </w:rPr>
            </w:pPr>
            <w:r>
              <w:rPr>
                <w:color w:val="FF0000"/>
                <w:sz w:val="20"/>
              </w:rPr>
              <w:t>废分子筛</w:t>
            </w:r>
          </w:p>
        </w:tc>
        <w:tc>
          <w:tcPr>
            <w:tcW w:w="625" w:type="pct"/>
            <w:vAlign w:val="center"/>
          </w:tcPr>
          <w:p>
            <w:pPr>
              <w:pStyle w:val="687"/>
              <w:rPr>
                <w:color w:val="FF0000"/>
                <w:sz w:val="21"/>
                <w:lang w:eastAsia="zh-CN"/>
              </w:rPr>
            </w:pPr>
            <w:r>
              <w:rPr>
                <w:rFonts w:hint="eastAsia"/>
                <w:color w:val="FF0000"/>
                <w:sz w:val="21"/>
                <w:lang w:eastAsia="zh-CN"/>
              </w:rPr>
              <w:t>2</w:t>
            </w:r>
          </w:p>
        </w:tc>
        <w:tc>
          <w:tcPr>
            <w:tcW w:w="826" w:type="pct"/>
            <w:vAlign w:val="center"/>
          </w:tcPr>
          <w:p>
            <w:pPr>
              <w:pStyle w:val="687"/>
              <w:rPr>
                <w:color w:val="FF0000"/>
                <w:sz w:val="21"/>
                <w:lang w:eastAsia="zh-CN"/>
              </w:rPr>
            </w:pPr>
            <w:r>
              <w:rPr>
                <w:rFonts w:hint="eastAsia"/>
                <w:color w:val="FF0000"/>
                <w:sz w:val="21"/>
                <w:lang w:eastAsia="zh-CN"/>
              </w:rPr>
              <w:t>0</w:t>
            </w:r>
          </w:p>
        </w:tc>
        <w:tc>
          <w:tcPr>
            <w:tcW w:w="657" w:type="pct"/>
            <w:vAlign w:val="center"/>
          </w:tcPr>
          <w:p>
            <w:pPr>
              <w:pStyle w:val="687"/>
              <w:rPr>
                <w:color w:val="FF0000"/>
                <w:sz w:val="21"/>
                <w:lang w:eastAsia="zh-CN"/>
              </w:rPr>
            </w:pPr>
            <w:r>
              <w:rPr>
                <w:rFonts w:hint="eastAsia"/>
                <w:color w:val="FF0000"/>
                <w:sz w:val="21"/>
                <w:lang w:eastAsia="zh-CN"/>
              </w:rPr>
              <w:t>2</w:t>
            </w:r>
          </w:p>
        </w:tc>
        <w:tc>
          <w:tcPr>
            <w:tcW w:w="704" w:type="pct"/>
            <w:vAlign w:val="center"/>
          </w:tcPr>
          <w:p>
            <w:pPr>
              <w:pStyle w:val="687"/>
              <w:rPr>
                <w:color w:val="FF0000"/>
                <w:sz w:val="21"/>
                <w:lang w:eastAsia="zh-CN"/>
              </w:rPr>
            </w:pPr>
            <w:r>
              <w:rPr>
                <w:rFonts w:hint="eastAsia"/>
                <w:color w:val="FF0000"/>
                <w:sz w:val="21"/>
                <w:lang w:eastAsia="zh-CN"/>
              </w:rPr>
              <w:t>4</w:t>
            </w:r>
          </w:p>
        </w:tc>
        <w:tc>
          <w:tcPr>
            <w:tcW w:w="727" w:type="pct"/>
            <w:vAlign w:val="center"/>
          </w:tcPr>
          <w:p>
            <w:pPr>
              <w:pStyle w:val="687"/>
              <w:rPr>
                <w:color w:val="FF0000"/>
                <w:sz w:val="21"/>
                <w:lang w:eastAsia="zh-CN"/>
              </w:rPr>
            </w:pPr>
            <w:r>
              <w:rPr>
                <w:color w:val="FF0000"/>
                <w:sz w:val="21"/>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 w:type="pct"/>
            <w:vMerge w:val="continue"/>
            <w:vAlign w:val="center"/>
          </w:tcPr>
          <w:p>
            <w:pPr>
              <w:pStyle w:val="687"/>
              <w:rPr>
                <w:color w:val="FF0000"/>
                <w:sz w:val="21"/>
              </w:rPr>
            </w:pPr>
          </w:p>
        </w:tc>
        <w:tc>
          <w:tcPr>
            <w:tcW w:w="1178" w:type="pct"/>
            <w:vAlign w:val="center"/>
          </w:tcPr>
          <w:p>
            <w:pPr>
              <w:pStyle w:val="687"/>
              <w:rPr>
                <w:color w:val="FF0000"/>
                <w:sz w:val="21"/>
              </w:rPr>
            </w:pPr>
            <w:r>
              <w:rPr>
                <w:color w:val="FF0000"/>
                <w:sz w:val="20"/>
              </w:rPr>
              <w:t>废润滑油</w:t>
            </w:r>
          </w:p>
        </w:tc>
        <w:tc>
          <w:tcPr>
            <w:tcW w:w="625" w:type="pct"/>
            <w:vAlign w:val="center"/>
          </w:tcPr>
          <w:p>
            <w:pPr>
              <w:pStyle w:val="687"/>
              <w:rPr>
                <w:color w:val="FF0000"/>
                <w:sz w:val="21"/>
                <w:lang w:eastAsia="zh-CN"/>
              </w:rPr>
            </w:pPr>
            <w:r>
              <w:rPr>
                <w:rFonts w:hint="eastAsia"/>
                <w:color w:val="FF0000"/>
                <w:sz w:val="21"/>
                <w:lang w:eastAsia="zh-CN"/>
              </w:rPr>
              <w:t>0</w:t>
            </w:r>
            <w:r>
              <w:rPr>
                <w:color w:val="FF0000"/>
                <w:sz w:val="21"/>
                <w:lang w:eastAsia="zh-CN"/>
              </w:rPr>
              <w:t>.25</w:t>
            </w:r>
          </w:p>
        </w:tc>
        <w:tc>
          <w:tcPr>
            <w:tcW w:w="826" w:type="pct"/>
            <w:vAlign w:val="center"/>
          </w:tcPr>
          <w:p>
            <w:pPr>
              <w:pStyle w:val="687"/>
              <w:rPr>
                <w:color w:val="FF0000"/>
                <w:sz w:val="21"/>
                <w:lang w:eastAsia="zh-CN"/>
              </w:rPr>
            </w:pPr>
            <w:r>
              <w:rPr>
                <w:rFonts w:hint="eastAsia"/>
                <w:color w:val="FF0000"/>
                <w:sz w:val="21"/>
                <w:lang w:eastAsia="zh-CN"/>
              </w:rPr>
              <w:t>0</w:t>
            </w:r>
          </w:p>
        </w:tc>
        <w:tc>
          <w:tcPr>
            <w:tcW w:w="657" w:type="pct"/>
            <w:vAlign w:val="center"/>
          </w:tcPr>
          <w:p>
            <w:pPr>
              <w:pStyle w:val="687"/>
              <w:rPr>
                <w:color w:val="FF0000"/>
                <w:sz w:val="21"/>
                <w:lang w:eastAsia="zh-CN"/>
              </w:rPr>
            </w:pPr>
            <w:r>
              <w:rPr>
                <w:rFonts w:hint="eastAsia"/>
                <w:color w:val="FF0000"/>
                <w:sz w:val="21"/>
                <w:lang w:eastAsia="zh-CN"/>
              </w:rPr>
              <w:t>0</w:t>
            </w:r>
            <w:r>
              <w:rPr>
                <w:color w:val="FF0000"/>
                <w:sz w:val="21"/>
                <w:lang w:eastAsia="zh-CN"/>
              </w:rPr>
              <w:t>.25</w:t>
            </w:r>
          </w:p>
        </w:tc>
        <w:tc>
          <w:tcPr>
            <w:tcW w:w="704" w:type="pct"/>
            <w:vAlign w:val="center"/>
          </w:tcPr>
          <w:p>
            <w:pPr>
              <w:pStyle w:val="687"/>
              <w:rPr>
                <w:color w:val="FF0000"/>
                <w:sz w:val="21"/>
                <w:lang w:eastAsia="zh-CN"/>
              </w:rPr>
            </w:pPr>
            <w:r>
              <w:rPr>
                <w:rFonts w:hint="eastAsia"/>
                <w:color w:val="FF0000"/>
                <w:sz w:val="21"/>
                <w:lang w:eastAsia="zh-CN"/>
              </w:rPr>
              <w:t>0</w:t>
            </w:r>
            <w:r>
              <w:rPr>
                <w:color w:val="FF0000"/>
                <w:sz w:val="21"/>
                <w:lang w:eastAsia="zh-CN"/>
              </w:rPr>
              <w:t>.5</w:t>
            </w:r>
          </w:p>
        </w:tc>
        <w:tc>
          <w:tcPr>
            <w:tcW w:w="727" w:type="pct"/>
            <w:vAlign w:val="center"/>
          </w:tcPr>
          <w:p>
            <w:pPr>
              <w:pStyle w:val="687"/>
              <w:rPr>
                <w:color w:val="FF0000"/>
                <w:sz w:val="21"/>
                <w:lang w:eastAsia="zh-CN"/>
              </w:rPr>
            </w:pPr>
            <w:r>
              <w:rPr>
                <w:rFonts w:hint="eastAsia"/>
                <w:color w:val="FF0000"/>
                <w:sz w:val="21"/>
                <w:lang w:eastAsia="zh-CN"/>
              </w:rPr>
              <w:t>+</w:t>
            </w:r>
            <w:r>
              <w:rPr>
                <w:color w:val="FF0000"/>
                <w:sz w:val="21"/>
                <w:lang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 w:type="pct"/>
            <w:vMerge w:val="continue"/>
            <w:vAlign w:val="center"/>
          </w:tcPr>
          <w:p>
            <w:pPr>
              <w:pStyle w:val="687"/>
              <w:rPr>
                <w:color w:val="FF0000"/>
                <w:sz w:val="21"/>
              </w:rPr>
            </w:pPr>
          </w:p>
        </w:tc>
        <w:tc>
          <w:tcPr>
            <w:tcW w:w="1178" w:type="pct"/>
            <w:vAlign w:val="center"/>
          </w:tcPr>
          <w:p>
            <w:pPr>
              <w:pStyle w:val="687"/>
              <w:rPr>
                <w:color w:val="FF0000"/>
                <w:sz w:val="21"/>
                <w:lang w:eastAsia="zh-CN"/>
              </w:rPr>
            </w:pPr>
            <w:r>
              <w:rPr>
                <w:rFonts w:hint="eastAsia"/>
                <w:color w:val="FF0000"/>
                <w:sz w:val="21"/>
              </w:rPr>
              <w:t>生活垃圾</w:t>
            </w:r>
          </w:p>
        </w:tc>
        <w:tc>
          <w:tcPr>
            <w:tcW w:w="625" w:type="pct"/>
            <w:vAlign w:val="center"/>
          </w:tcPr>
          <w:p>
            <w:pPr>
              <w:pStyle w:val="687"/>
              <w:rPr>
                <w:color w:val="FF0000"/>
                <w:sz w:val="21"/>
                <w:lang w:eastAsia="zh-CN"/>
              </w:rPr>
            </w:pPr>
            <w:r>
              <w:rPr>
                <w:color w:val="FF0000"/>
                <w:sz w:val="21"/>
                <w:lang w:eastAsia="zh-CN"/>
              </w:rPr>
              <w:t>1.5</w:t>
            </w:r>
          </w:p>
        </w:tc>
        <w:tc>
          <w:tcPr>
            <w:tcW w:w="826" w:type="pct"/>
            <w:vAlign w:val="center"/>
          </w:tcPr>
          <w:p>
            <w:pPr>
              <w:pStyle w:val="687"/>
              <w:rPr>
                <w:color w:val="FF0000"/>
                <w:sz w:val="21"/>
                <w:lang w:eastAsia="zh-CN"/>
              </w:rPr>
            </w:pPr>
            <w:r>
              <w:rPr>
                <w:rFonts w:hint="eastAsia"/>
                <w:color w:val="FF0000"/>
                <w:sz w:val="21"/>
                <w:lang w:eastAsia="zh-CN"/>
              </w:rPr>
              <w:t>0</w:t>
            </w:r>
          </w:p>
        </w:tc>
        <w:tc>
          <w:tcPr>
            <w:tcW w:w="657" w:type="pct"/>
            <w:vAlign w:val="center"/>
          </w:tcPr>
          <w:p>
            <w:pPr>
              <w:pStyle w:val="687"/>
              <w:rPr>
                <w:color w:val="FF0000"/>
                <w:sz w:val="21"/>
                <w:lang w:eastAsia="zh-CN"/>
              </w:rPr>
            </w:pPr>
            <w:r>
              <w:rPr>
                <w:rFonts w:hint="eastAsia"/>
                <w:color w:val="FF0000"/>
                <w:sz w:val="21"/>
                <w:lang w:eastAsia="zh-CN"/>
              </w:rPr>
              <w:t>0</w:t>
            </w:r>
          </w:p>
        </w:tc>
        <w:tc>
          <w:tcPr>
            <w:tcW w:w="704" w:type="pct"/>
            <w:vAlign w:val="center"/>
          </w:tcPr>
          <w:p>
            <w:pPr>
              <w:pStyle w:val="687"/>
              <w:rPr>
                <w:color w:val="FF0000"/>
                <w:sz w:val="21"/>
                <w:lang w:eastAsia="zh-CN"/>
              </w:rPr>
            </w:pPr>
            <w:r>
              <w:rPr>
                <w:color w:val="FF0000"/>
                <w:sz w:val="21"/>
                <w:lang w:eastAsia="zh-CN"/>
              </w:rPr>
              <w:t>1.5</w:t>
            </w:r>
          </w:p>
        </w:tc>
        <w:tc>
          <w:tcPr>
            <w:tcW w:w="727" w:type="pct"/>
            <w:vAlign w:val="center"/>
          </w:tcPr>
          <w:p>
            <w:pPr>
              <w:pStyle w:val="687"/>
              <w:rPr>
                <w:color w:val="FF0000"/>
                <w:sz w:val="21"/>
                <w:lang w:eastAsia="zh-CN"/>
              </w:rPr>
            </w:pPr>
            <w:r>
              <w:rPr>
                <w:rFonts w:hint="eastAsia"/>
                <w:color w:val="FF0000"/>
                <w:sz w:val="21"/>
                <w:lang w:eastAsia="zh-CN"/>
              </w:rPr>
              <w:t>0</w:t>
            </w:r>
          </w:p>
        </w:tc>
      </w:tr>
      <w:bookmarkEnd w:id="241"/>
    </w:tbl>
    <w:p>
      <w:pPr>
        <w:pStyle w:val="4"/>
        <w:spacing w:before="120" w:after="120"/>
      </w:pPr>
      <w:bookmarkStart w:id="243" w:name="_Toc145580399"/>
      <w:r>
        <w:rPr>
          <w:rFonts w:hint="eastAsia"/>
        </w:rPr>
        <w:t>3.8清洁生产</w:t>
      </w:r>
      <w:bookmarkEnd w:id="242"/>
      <w:bookmarkEnd w:id="243"/>
    </w:p>
    <w:p>
      <w:pPr>
        <w:pStyle w:val="494"/>
        <w:ind w:firstLine="480"/>
      </w:pPr>
      <w:bookmarkStart w:id="244" w:name="_Toc107500359"/>
      <w:r>
        <w:t>清洁生产是指不断采取改进设计、使用清洁的能源和原料、采用先进的工艺技术与设备、改善管理、综合利用等促使从源头削减污染，提高资源利用效率，减少或者避免生产服务和产品使用过程中污染物的产生和排放，以减轻或者消除对人类健康和环境的危害。</w:t>
      </w:r>
    </w:p>
    <w:p>
      <w:pPr>
        <w:pStyle w:val="494"/>
        <w:ind w:firstLine="480"/>
      </w:pPr>
      <w:r>
        <w:t>实现清洁生产的方法有资源的合理利用、改善生产工艺和设备、组织厂内物料循环利用、产品体系的改革等，同时包括必要的末端治理和加强管理。</w:t>
      </w:r>
    </w:p>
    <w:bookmarkEnd w:id="244"/>
    <w:p>
      <w:pPr>
        <w:pStyle w:val="5"/>
        <w:spacing w:before="120" w:after="120"/>
      </w:pPr>
      <w:bookmarkStart w:id="245" w:name="_Toc145580400"/>
      <w:r>
        <w:rPr>
          <w:rFonts w:hint="eastAsia"/>
        </w:rPr>
        <w:t>3</w:t>
      </w:r>
      <w:r>
        <w:t>.8.1</w:t>
      </w:r>
      <w:r>
        <w:rPr>
          <w:rFonts w:hint="eastAsia"/>
        </w:rPr>
        <w:t>清洁生产水平</w:t>
      </w:r>
      <w:r>
        <w:rPr>
          <w:rFonts w:hint="eastAsia"/>
          <w:spacing w:val="0"/>
        </w:rPr>
        <w:t>分析</w:t>
      </w:r>
      <w:bookmarkEnd w:id="245"/>
    </w:p>
    <w:p>
      <w:pPr>
        <w:pStyle w:val="488"/>
        <w:ind w:firstLine="480"/>
        <w:rPr>
          <w:rFonts w:ascii="Times New Roman" w:hAnsi="Times New Roman" w:cs="Times New Roman"/>
        </w:rPr>
      </w:pPr>
      <w:r>
        <w:rPr>
          <w:rFonts w:ascii="Times New Roman" w:hAnsi="Times New Roman" w:cs="Times New Roman"/>
        </w:rPr>
        <w:t>1、原料与产品指标</w:t>
      </w:r>
    </w:p>
    <w:p>
      <w:pPr>
        <w:pStyle w:val="488"/>
        <w:ind w:firstLine="480"/>
        <w:rPr>
          <w:rFonts w:ascii="Times New Roman" w:hAnsi="Times New Roman" w:cs="Times New Roman"/>
        </w:rPr>
      </w:pPr>
      <w:r>
        <w:rPr>
          <w:rFonts w:ascii="Times New Roman" w:hAnsi="Times New Roman" w:cs="Times New Roman"/>
        </w:rPr>
        <w:t>本项目原料气来源于董701区块，进厂气相组分主要为C</w:t>
      </w:r>
      <w:r>
        <w:rPr>
          <w:rFonts w:ascii="Times New Roman" w:hAnsi="Times New Roman" w:cs="Times New Roman"/>
          <w:vertAlign w:val="subscript"/>
        </w:rPr>
        <w:t>1</w:t>
      </w:r>
      <w:r>
        <w:rPr>
          <w:rFonts w:ascii="Times New Roman" w:hAnsi="Times New Roman" w:cs="Times New Roman"/>
        </w:rPr>
        <w:t>~</w:t>
      </w:r>
      <w:r>
        <w:rPr>
          <w:rFonts w:ascii="Times New Roman" w:hAnsi="Times New Roman" w:eastAsia="等线" w:cs="Times New Roman"/>
          <w:position w:val="2"/>
          <w:sz w:val="21"/>
          <w:szCs w:val="22"/>
        </w:rPr>
        <w:t xml:space="preserve"> </w:t>
      </w:r>
      <w:r>
        <w:rPr>
          <w:rFonts w:ascii="Times New Roman" w:hAnsi="Times New Roman" w:cs="Times New Roman"/>
        </w:rPr>
        <w:t>C</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spacing w:val="5"/>
          <w:sz w:val="25"/>
          <w:szCs w:val="25"/>
        </w:rPr>
        <w:t xml:space="preserve"> </w:t>
      </w:r>
      <w:r>
        <w:rPr>
          <w:rFonts w:ascii="Times New Roman" w:hAnsi="Times New Roman" w:cs="Times New Roman"/>
        </w:rPr>
        <w:t>占气相组分的95.08%(mol)。本项目的产品主要为天然气，天然气与煤相比，是一种洁净能源，热值高，燃烧产生的污染物少。天然气代替燃煤可明显减少二氧化硫、氮氧化物、二氧化碳等污染物质的排放，采用天然气作为煤炭等替代燃料可有效减少酸雨形成和温室效应。项目天然气原气中甲烷含量高，不含硫化氢等。天然气、原油与煤燃烧的污染物产生量对比见表3.8-1。</w:t>
      </w:r>
    </w:p>
    <w:p>
      <w:pPr>
        <w:pStyle w:val="672"/>
        <w:rPr>
          <w:color w:val="auto"/>
        </w:rPr>
      </w:pPr>
      <w:r>
        <w:rPr>
          <w:color w:val="auto"/>
        </w:rPr>
        <w:t>表3.8-1              天然气与原油、煤燃烧的排污量对比</w:t>
      </w:r>
    </w:p>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3665"/>
        <w:gridCol w:w="3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pct"/>
            <w:tcBorders>
              <w:top w:val="single" w:color="auto" w:sz="4" w:space="0"/>
              <w:left w:val="single" w:color="auto" w:sz="4" w:space="0"/>
              <w:bottom w:val="single" w:color="auto" w:sz="4" w:space="0"/>
              <w:right w:val="single" w:color="auto" w:sz="4" w:space="0"/>
            </w:tcBorders>
            <w:vAlign w:val="center"/>
          </w:tcPr>
          <w:p>
            <w:pPr>
              <w:pStyle w:val="670"/>
            </w:pPr>
            <w:r>
              <w:t>大气污染物</w:t>
            </w:r>
          </w:p>
        </w:tc>
        <w:tc>
          <w:tcPr>
            <w:tcW w:w="2172"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单位热值条件下，燃烧原油排放污染物与燃烧天然气排放污染物的比值</w:t>
            </w:r>
          </w:p>
        </w:tc>
        <w:tc>
          <w:tcPr>
            <w:tcW w:w="2008" w:type="pc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单位热值条件下，燃烧煤排放污染物与燃烧天然气排放污染物的比值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pct"/>
            <w:tcBorders>
              <w:top w:val="single" w:color="auto" w:sz="4" w:space="0"/>
              <w:left w:val="single" w:color="auto" w:sz="4" w:space="0"/>
              <w:bottom w:val="single" w:color="auto" w:sz="4" w:space="0"/>
              <w:right w:val="single" w:color="auto" w:sz="4" w:space="0"/>
            </w:tcBorders>
            <w:vAlign w:val="center"/>
          </w:tcPr>
          <w:p>
            <w:pPr>
              <w:pStyle w:val="670"/>
            </w:pPr>
            <w:r>
              <w:t>灰分</w:t>
            </w:r>
          </w:p>
        </w:tc>
        <w:tc>
          <w:tcPr>
            <w:tcW w:w="2172" w:type="pct"/>
            <w:tcBorders>
              <w:top w:val="single" w:color="auto" w:sz="4" w:space="0"/>
              <w:left w:val="single" w:color="auto" w:sz="4" w:space="0"/>
              <w:bottom w:val="single" w:color="auto" w:sz="4" w:space="0"/>
              <w:right w:val="single" w:color="auto" w:sz="4" w:space="0"/>
            </w:tcBorders>
            <w:vAlign w:val="center"/>
          </w:tcPr>
          <w:p>
            <w:pPr>
              <w:pStyle w:val="670"/>
            </w:pPr>
            <w:r>
              <w:t>14</w:t>
            </w:r>
          </w:p>
        </w:tc>
        <w:tc>
          <w:tcPr>
            <w:tcW w:w="2008" w:type="pct"/>
            <w:tcBorders>
              <w:top w:val="single" w:color="auto" w:sz="4" w:space="0"/>
              <w:left w:val="single" w:color="auto" w:sz="4" w:space="0"/>
              <w:bottom w:val="single" w:color="auto" w:sz="4" w:space="0"/>
              <w:right w:val="single" w:color="auto" w:sz="4" w:space="0"/>
            </w:tcBorders>
            <w:vAlign w:val="center"/>
          </w:tcPr>
          <w:p>
            <w:pPr>
              <w:pStyle w:val="670"/>
            </w:pPr>
            <w: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pct"/>
            <w:tcBorders>
              <w:top w:val="single" w:color="auto" w:sz="4" w:space="0"/>
              <w:left w:val="single" w:color="auto" w:sz="4" w:space="0"/>
              <w:bottom w:val="single" w:color="auto" w:sz="4" w:space="0"/>
              <w:right w:val="single" w:color="auto" w:sz="4" w:space="0"/>
            </w:tcBorders>
            <w:vAlign w:val="center"/>
          </w:tcPr>
          <w:p>
            <w:pPr>
              <w:pStyle w:val="670"/>
            </w:pPr>
            <w:r>
              <w:t>SO</w:t>
            </w:r>
            <w:r>
              <w:rPr>
                <w:vertAlign w:val="subscript"/>
              </w:rPr>
              <w:t>2</w:t>
            </w:r>
          </w:p>
        </w:tc>
        <w:tc>
          <w:tcPr>
            <w:tcW w:w="2172" w:type="pct"/>
            <w:tcBorders>
              <w:top w:val="single" w:color="auto" w:sz="4" w:space="0"/>
              <w:left w:val="single" w:color="auto" w:sz="4" w:space="0"/>
              <w:bottom w:val="single" w:color="auto" w:sz="4" w:space="0"/>
              <w:right w:val="single" w:color="auto" w:sz="4" w:space="0"/>
            </w:tcBorders>
            <w:vAlign w:val="center"/>
          </w:tcPr>
          <w:p>
            <w:pPr>
              <w:pStyle w:val="670"/>
            </w:pPr>
            <w:r>
              <w:t>400</w:t>
            </w:r>
          </w:p>
        </w:tc>
        <w:tc>
          <w:tcPr>
            <w:tcW w:w="2008" w:type="pct"/>
            <w:tcBorders>
              <w:top w:val="single" w:color="auto" w:sz="4" w:space="0"/>
              <w:left w:val="single" w:color="auto" w:sz="4" w:space="0"/>
              <w:bottom w:val="single" w:color="auto" w:sz="4" w:space="0"/>
              <w:right w:val="single" w:color="auto" w:sz="4" w:space="0"/>
            </w:tcBorders>
            <w:vAlign w:val="center"/>
          </w:tcPr>
          <w:p>
            <w:pPr>
              <w:pStyle w:val="670"/>
            </w:pPr>
            <w: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pct"/>
            <w:tcBorders>
              <w:top w:val="single" w:color="auto" w:sz="4" w:space="0"/>
              <w:left w:val="single" w:color="auto" w:sz="4" w:space="0"/>
              <w:bottom w:val="single" w:color="auto" w:sz="4" w:space="0"/>
              <w:right w:val="single" w:color="auto" w:sz="4" w:space="0"/>
            </w:tcBorders>
            <w:vAlign w:val="center"/>
          </w:tcPr>
          <w:p>
            <w:pPr>
              <w:pStyle w:val="670"/>
            </w:pPr>
            <w:r>
              <w:t>NO</w:t>
            </w:r>
            <w:r>
              <w:rPr>
                <w:vertAlign w:val="subscript"/>
              </w:rPr>
              <w:t>2</w:t>
            </w:r>
          </w:p>
        </w:tc>
        <w:tc>
          <w:tcPr>
            <w:tcW w:w="2172" w:type="pct"/>
            <w:tcBorders>
              <w:top w:val="single" w:color="auto" w:sz="4" w:space="0"/>
              <w:left w:val="single" w:color="auto" w:sz="4" w:space="0"/>
              <w:bottom w:val="single" w:color="auto" w:sz="4" w:space="0"/>
              <w:right w:val="single" w:color="auto" w:sz="4" w:space="0"/>
            </w:tcBorders>
            <w:vAlign w:val="center"/>
          </w:tcPr>
          <w:p>
            <w:pPr>
              <w:pStyle w:val="670"/>
            </w:pPr>
            <w:r>
              <w:t>5</w:t>
            </w:r>
          </w:p>
        </w:tc>
        <w:tc>
          <w:tcPr>
            <w:tcW w:w="2008" w:type="pct"/>
            <w:tcBorders>
              <w:top w:val="single" w:color="auto" w:sz="4" w:space="0"/>
              <w:left w:val="single" w:color="auto" w:sz="4" w:space="0"/>
              <w:bottom w:val="single" w:color="auto" w:sz="4" w:space="0"/>
              <w:right w:val="single" w:color="auto" w:sz="4" w:space="0"/>
            </w:tcBorders>
            <w:vAlign w:val="center"/>
          </w:tcPr>
          <w:p>
            <w:pPr>
              <w:pStyle w:val="670"/>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pct"/>
            <w:tcBorders>
              <w:top w:val="single" w:color="auto" w:sz="4" w:space="0"/>
              <w:left w:val="single" w:color="auto" w:sz="4" w:space="0"/>
              <w:bottom w:val="single" w:color="auto" w:sz="4" w:space="0"/>
              <w:right w:val="single" w:color="auto" w:sz="4" w:space="0"/>
            </w:tcBorders>
            <w:vAlign w:val="center"/>
          </w:tcPr>
          <w:p>
            <w:pPr>
              <w:pStyle w:val="670"/>
            </w:pPr>
            <w:r>
              <w:t>CO</w:t>
            </w:r>
            <w:r>
              <w:rPr>
                <w:vertAlign w:val="subscript"/>
              </w:rPr>
              <w:t>2</w:t>
            </w:r>
          </w:p>
        </w:tc>
        <w:tc>
          <w:tcPr>
            <w:tcW w:w="2172" w:type="pct"/>
            <w:tcBorders>
              <w:top w:val="single" w:color="auto" w:sz="4" w:space="0"/>
              <w:left w:val="single" w:color="auto" w:sz="4" w:space="0"/>
              <w:bottom w:val="single" w:color="auto" w:sz="4" w:space="0"/>
              <w:right w:val="single" w:color="auto" w:sz="4" w:space="0"/>
            </w:tcBorders>
            <w:vAlign w:val="center"/>
          </w:tcPr>
          <w:p>
            <w:pPr>
              <w:pStyle w:val="670"/>
            </w:pPr>
            <w:r>
              <w:t>1.33</w:t>
            </w:r>
          </w:p>
        </w:tc>
        <w:tc>
          <w:tcPr>
            <w:tcW w:w="2008" w:type="pct"/>
            <w:tcBorders>
              <w:top w:val="single" w:color="auto" w:sz="4" w:space="0"/>
              <w:left w:val="single" w:color="auto" w:sz="4" w:space="0"/>
              <w:bottom w:val="single" w:color="auto" w:sz="4" w:space="0"/>
              <w:right w:val="single" w:color="auto" w:sz="4" w:space="0"/>
            </w:tcBorders>
            <w:vAlign w:val="center"/>
          </w:tcPr>
          <w:p>
            <w:pPr>
              <w:pStyle w:val="670"/>
            </w:pPr>
            <w:r>
              <w:t>1.37</w:t>
            </w:r>
          </w:p>
        </w:tc>
      </w:tr>
    </w:tbl>
    <w:p>
      <w:pPr>
        <w:pStyle w:val="148"/>
        <w:spacing w:line="240" w:lineRule="auto"/>
        <w:ind w:firstLine="0" w:firstLineChars="0"/>
        <w:rPr>
          <w:rFonts w:ascii="Times New Roman" w:hAnsi="Times New Roman" w:eastAsia="黑体" w:cs="Times New Roman"/>
          <w:color w:val="auto"/>
          <w:kern w:val="0"/>
          <w:sz w:val="21"/>
        </w:rPr>
      </w:pPr>
      <w:r>
        <w:rPr>
          <w:rFonts w:ascii="Times New Roman" w:hAnsi="Times New Roman" w:eastAsia="黑体" w:cs="Times New Roman"/>
          <w:color w:val="auto"/>
          <w:sz w:val="21"/>
        </w:rPr>
        <w:t>注：(1) 资料引至《四川石油经济》2000年第一期中“天然气利用之环境效益初探”。</w:t>
      </w:r>
    </w:p>
    <w:p>
      <w:pPr>
        <w:pStyle w:val="148"/>
        <w:spacing w:line="240" w:lineRule="auto"/>
        <w:ind w:firstLine="0" w:firstLineChars="0"/>
        <w:rPr>
          <w:rFonts w:ascii="Times New Roman" w:hAnsi="Times New Roman" w:cs="Times New Roman"/>
          <w:color w:val="auto"/>
        </w:rPr>
      </w:pPr>
      <w:r>
        <w:rPr>
          <w:rFonts w:ascii="Times New Roman" w:hAnsi="Times New Roman" w:eastAsia="黑体" w:cs="Times New Roman"/>
          <w:color w:val="auto"/>
          <w:sz w:val="21"/>
        </w:rPr>
        <w:t>　　(2) 表中数字为燃烧原油或者煤产生的污染物与天然气燃烧产生的污染物的比值。</w:t>
      </w:r>
    </w:p>
    <w:p>
      <w:pPr>
        <w:pStyle w:val="488"/>
        <w:ind w:firstLine="480"/>
        <w:rPr>
          <w:rFonts w:ascii="Times New Roman" w:hAnsi="Times New Roman" w:cs="Times New Roman"/>
        </w:rPr>
      </w:pPr>
      <w:r>
        <w:rPr>
          <w:rFonts w:ascii="Times New Roman" w:hAnsi="Times New Roman" w:cs="Times New Roman"/>
        </w:rPr>
        <w:t>从各类燃料燃烧后排污量对比可见，天然气和原油产生的灰分、SO</w:t>
      </w:r>
      <w:r>
        <w:rPr>
          <w:rFonts w:ascii="Times New Roman" w:hAnsi="Times New Roman" w:cs="Times New Roman"/>
          <w:vertAlign w:val="subscript"/>
        </w:rPr>
        <w:t>2</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和CO</w:t>
      </w:r>
      <w:r>
        <w:rPr>
          <w:rFonts w:ascii="Times New Roman" w:hAnsi="Times New Roman" w:cs="Times New Roman"/>
          <w:vertAlign w:val="subscript"/>
        </w:rPr>
        <w:t>2</w:t>
      </w:r>
      <w:r>
        <w:rPr>
          <w:rFonts w:ascii="Times New Roman" w:hAnsi="Times New Roman" w:cs="Times New Roman"/>
        </w:rPr>
        <w:t>等污染物均远低于煤炭，因此，天然气、石油的清洁性远高于煤炭。在一次能源消费煤炭占70%的中国，发展石油、天然气洁净能源对改善一次能源消费结构和大气污染物减排具有重要意义。</w:t>
      </w:r>
    </w:p>
    <w:p>
      <w:pPr>
        <w:pStyle w:val="488"/>
        <w:ind w:firstLine="480"/>
        <w:rPr>
          <w:rFonts w:ascii="Times New Roman" w:hAnsi="Times New Roman" w:cs="Times New Roman"/>
        </w:rPr>
      </w:pPr>
      <w:r>
        <w:rPr>
          <w:rFonts w:ascii="Times New Roman" w:hAnsi="Times New Roman" w:cs="Times New Roman"/>
        </w:rPr>
        <w:t>2、生产工艺与装备要求</w:t>
      </w:r>
    </w:p>
    <w:p>
      <w:pPr>
        <w:pStyle w:val="488"/>
        <w:ind w:firstLine="480"/>
        <w:rPr>
          <w:rFonts w:ascii="Times New Roman" w:hAnsi="Times New Roman" w:cs="Times New Roman"/>
        </w:rPr>
      </w:pPr>
      <w:r>
        <w:rPr>
          <w:rFonts w:ascii="Times New Roman" w:hAnsi="Times New Roman" w:cs="Times New Roman"/>
        </w:rPr>
        <w:t>在生产工艺和设备水平上通过选择清洁生产工艺，控制场内用水量，节约资源，减少污染物的排放，主要有：</w:t>
      </w:r>
    </w:p>
    <w:p>
      <w:pPr>
        <w:pStyle w:val="488"/>
        <w:ind w:firstLine="480"/>
        <w:rPr>
          <w:rFonts w:ascii="Times New Roman" w:hAnsi="Times New Roman" w:cs="Times New Roman"/>
        </w:rPr>
      </w:pPr>
      <w:r>
        <w:rPr>
          <w:rFonts w:ascii="Times New Roman" w:hAnsi="Times New Roman" w:cs="Times New Roman"/>
        </w:rPr>
        <w:t>（1）采用高效节能设备。提高生产效率，保证产品质量。</w:t>
      </w:r>
    </w:p>
    <w:p>
      <w:pPr>
        <w:pStyle w:val="488"/>
        <w:ind w:firstLine="480"/>
        <w:rPr>
          <w:rFonts w:ascii="Times New Roman" w:hAnsi="Times New Roman" w:cs="Times New Roman"/>
        </w:rPr>
      </w:pPr>
      <w:r>
        <w:rPr>
          <w:rFonts w:ascii="Times New Roman" w:hAnsi="Times New Roman" w:cs="Times New Roman"/>
        </w:rPr>
        <w:t>（2）天然气脱水采用干燥塔进行脱水，采用先进的生产工艺，提高了工艺的合理性和经济性。</w:t>
      </w:r>
    </w:p>
    <w:p>
      <w:pPr>
        <w:pStyle w:val="488"/>
        <w:ind w:firstLine="480"/>
        <w:rPr>
          <w:rFonts w:ascii="Times New Roman" w:hAnsi="Times New Roman" w:cs="Times New Roman"/>
        </w:rPr>
      </w:pPr>
      <w:r>
        <w:rPr>
          <w:rFonts w:ascii="Times New Roman" w:hAnsi="Times New Roman" w:cs="Times New Roman"/>
        </w:rPr>
        <w:t>3、资源能源利用指标</w:t>
      </w:r>
    </w:p>
    <w:p>
      <w:pPr>
        <w:pStyle w:val="488"/>
        <w:ind w:firstLine="480"/>
        <w:rPr>
          <w:rFonts w:ascii="Times New Roman" w:hAnsi="Times New Roman" w:cs="Times New Roman"/>
        </w:rPr>
      </w:pPr>
      <w:r>
        <w:rPr>
          <w:rFonts w:ascii="Times New Roman" w:hAnsi="Times New Roman" w:cs="Times New Roman"/>
        </w:rPr>
        <w:t>本项目生产过程中主要使用能耗为电能和水，项目项目在建设及设备选型</w:t>
      </w:r>
    </w:p>
    <w:p>
      <w:pPr>
        <w:pStyle w:val="488"/>
        <w:ind w:firstLine="480"/>
        <w:rPr>
          <w:rFonts w:ascii="Times New Roman" w:hAnsi="Times New Roman" w:cs="Times New Roman"/>
        </w:rPr>
      </w:pPr>
      <w:r>
        <w:rPr>
          <w:rFonts w:ascii="Times New Roman" w:hAnsi="Times New Roman" w:cs="Times New Roman"/>
        </w:rPr>
        <w:t>过程均采用低能耗、符合国家标准要求的设备，以减少电能的使用，降低了产品能耗指标。</w:t>
      </w:r>
    </w:p>
    <w:p>
      <w:pPr>
        <w:pStyle w:val="488"/>
        <w:ind w:firstLine="480"/>
        <w:rPr>
          <w:rFonts w:ascii="Times New Roman" w:hAnsi="Times New Roman" w:cs="Times New Roman"/>
        </w:rPr>
      </w:pPr>
      <w:r>
        <w:rPr>
          <w:rFonts w:ascii="Times New Roman" w:hAnsi="Times New Roman" w:cs="Times New Roman"/>
        </w:rPr>
        <w:t>（1）节能降耗：在冬季取暖合理分配取暖能源的利用，本项目员工的日常办公、生活均需要能源。因此，冬季取暖期应合理分配取暖能源的利用，使项目达到资源的充分利用，降低成本。</w:t>
      </w:r>
    </w:p>
    <w:p>
      <w:pPr>
        <w:pStyle w:val="488"/>
        <w:ind w:firstLine="480"/>
        <w:rPr>
          <w:rFonts w:ascii="Times New Roman" w:hAnsi="Times New Roman" w:cs="Times New Roman"/>
        </w:rPr>
      </w:pPr>
      <w:r>
        <w:rPr>
          <w:rFonts w:ascii="Times New Roman" w:hAnsi="Times New Roman" w:cs="Times New Roman"/>
        </w:rPr>
        <w:t>（2）按生产流向，合理地布置设备，减少物料往返运送次数，从而节省能源。</w:t>
      </w:r>
    </w:p>
    <w:p>
      <w:pPr>
        <w:pStyle w:val="488"/>
        <w:ind w:firstLine="480"/>
        <w:rPr>
          <w:rFonts w:ascii="Times New Roman" w:hAnsi="Times New Roman" w:cs="Times New Roman"/>
        </w:rPr>
      </w:pPr>
      <w:r>
        <w:rPr>
          <w:rFonts w:ascii="Times New Roman" w:hAnsi="Times New Roman" w:cs="Times New Roman"/>
        </w:rPr>
        <w:t>4、废物回收利用</w:t>
      </w:r>
    </w:p>
    <w:p>
      <w:pPr>
        <w:pStyle w:val="488"/>
        <w:ind w:firstLine="480"/>
        <w:rPr>
          <w:rFonts w:ascii="Times New Roman" w:hAnsi="Times New Roman" w:cs="Times New Roman"/>
        </w:rPr>
      </w:pPr>
      <w:r>
        <w:rPr>
          <w:rFonts w:ascii="Times New Roman" w:hAnsi="Times New Roman" w:cs="Times New Roman"/>
        </w:rPr>
        <w:t>生产废水经排污管线排入54m</w:t>
      </w:r>
      <w:r>
        <w:rPr>
          <w:rFonts w:ascii="Times New Roman" w:hAnsi="Times New Roman" w:cs="Times New Roman"/>
          <w:vertAlign w:val="superscript"/>
        </w:rPr>
        <w:t>3</w:t>
      </w:r>
      <w:r>
        <w:rPr>
          <w:rFonts w:ascii="Times New Roman" w:hAnsi="Times New Roman" w:cs="Times New Roman"/>
        </w:rPr>
        <w:t>的排污罐中，当罐内液位达到一定高度时，由排污泵输至罐车拉运至春风一号联合站处理达标后进行回注。</w:t>
      </w:r>
    </w:p>
    <w:p>
      <w:pPr>
        <w:pStyle w:val="488"/>
        <w:ind w:firstLine="480"/>
        <w:rPr>
          <w:rFonts w:ascii="Times New Roman" w:hAnsi="Times New Roman" w:cs="Times New Roman"/>
        </w:rPr>
      </w:pPr>
      <w:r>
        <w:rPr>
          <w:rFonts w:ascii="Times New Roman" w:hAnsi="Times New Roman" w:cs="Times New Roman"/>
        </w:rPr>
        <w:t>5、污染物产生和排放</w:t>
      </w:r>
    </w:p>
    <w:p>
      <w:pPr>
        <w:pStyle w:val="488"/>
        <w:ind w:firstLine="480"/>
        <w:rPr>
          <w:rFonts w:ascii="Times New Roman" w:hAnsi="Times New Roman" w:cs="Times New Roman"/>
        </w:rPr>
      </w:pPr>
      <w:r>
        <w:rPr>
          <w:rFonts w:ascii="Times New Roman" w:hAnsi="Times New Roman" w:cs="Times New Roman"/>
        </w:rPr>
        <w:t>（1）废气排放指标</w:t>
      </w:r>
    </w:p>
    <w:p>
      <w:pPr>
        <w:pStyle w:val="488"/>
        <w:ind w:firstLine="480"/>
        <w:rPr>
          <w:rFonts w:ascii="Times New Roman" w:hAnsi="Times New Roman" w:cs="Times New Roman"/>
        </w:rPr>
      </w:pPr>
      <w:r>
        <w:rPr>
          <w:rFonts w:ascii="Times New Roman" w:hAnsi="Times New Roman" w:cs="Times New Roman"/>
        </w:rPr>
        <w:t>本工程生产过程中大气污染物主要是</w:t>
      </w:r>
      <w:r>
        <w:rPr>
          <w:rFonts w:hint="eastAsia" w:ascii="Times New Roman" w:hAnsi="Times New Roman" w:cs="Times New Roman"/>
        </w:rPr>
        <w:t>生产区无组织非甲烷总烃，经预测最大落地浓度满足《大气污染物综合排放标准详解》中推荐管理限值</w:t>
      </w:r>
      <w:r>
        <w:rPr>
          <w:rFonts w:ascii="Times New Roman" w:hAnsi="Times New Roman" w:cs="Times New Roman"/>
          <w:lang w:bidi="en-US"/>
        </w:rPr>
        <w:t>。</w:t>
      </w:r>
    </w:p>
    <w:p>
      <w:pPr>
        <w:pStyle w:val="488"/>
        <w:ind w:firstLine="480"/>
        <w:rPr>
          <w:rFonts w:ascii="Times New Roman" w:hAnsi="Times New Roman" w:cs="Times New Roman"/>
        </w:rPr>
      </w:pPr>
      <w:r>
        <w:rPr>
          <w:rFonts w:ascii="Times New Roman" w:hAnsi="Times New Roman" w:cs="Times New Roman"/>
        </w:rPr>
        <w:t>（2）噪声达标排放</w:t>
      </w:r>
    </w:p>
    <w:p>
      <w:pPr>
        <w:pStyle w:val="488"/>
        <w:ind w:firstLine="480"/>
        <w:rPr>
          <w:rFonts w:ascii="Times New Roman" w:hAnsi="Times New Roman" w:cs="Times New Roman"/>
        </w:rPr>
      </w:pPr>
      <w:r>
        <w:rPr>
          <w:rFonts w:ascii="Times New Roman" w:hAnsi="Times New Roman" w:cs="Times New Roman"/>
        </w:rPr>
        <w:t>项目运营期设备运转产生的噪声，通过采取设备基础减振等措施，再经厂界距离衰减后，可以在厂界噪声达标排放。</w:t>
      </w:r>
    </w:p>
    <w:p>
      <w:pPr>
        <w:pStyle w:val="488"/>
        <w:ind w:firstLine="480"/>
        <w:rPr>
          <w:rFonts w:ascii="Times New Roman" w:hAnsi="Times New Roman" w:cs="Times New Roman"/>
        </w:rPr>
      </w:pPr>
      <w:r>
        <w:rPr>
          <w:rFonts w:ascii="Times New Roman" w:hAnsi="Times New Roman" w:cs="Times New Roman"/>
        </w:rPr>
        <w:t>（3）废水</w:t>
      </w:r>
    </w:p>
    <w:p>
      <w:pPr>
        <w:pStyle w:val="488"/>
        <w:ind w:firstLine="480"/>
        <w:rPr>
          <w:rFonts w:ascii="Times New Roman" w:hAnsi="Times New Roman" w:cs="Times New Roman"/>
        </w:rPr>
      </w:pPr>
      <w:r>
        <w:rPr>
          <w:rFonts w:ascii="Times New Roman" w:hAnsi="Times New Roman" w:cs="Times New Roman"/>
        </w:rPr>
        <w:t>生产废水经排污管线排入54m</w:t>
      </w:r>
      <w:r>
        <w:rPr>
          <w:rFonts w:ascii="Times New Roman" w:hAnsi="Times New Roman" w:cs="Times New Roman"/>
          <w:vertAlign w:val="superscript"/>
        </w:rPr>
        <w:t>3</w:t>
      </w:r>
      <w:r>
        <w:rPr>
          <w:rFonts w:ascii="Times New Roman" w:hAnsi="Times New Roman" w:cs="Times New Roman"/>
        </w:rPr>
        <w:t>的排污罐中，当罐内液位达到一定高度时，由排污泵输至罐车拉运至春风一号联合站处理达标后进行回注。</w:t>
      </w:r>
    </w:p>
    <w:p>
      <w:pPr>
        <w:pStyle w:val="488"/>
        <w:ind w:firstLine="480"/>
        <w:rPr>
          <w:rFonts w:ascii="Times New Roman" w:hAnsi="Times New Roman" w:cs="Times New Roman"/>
        </w:rPr>
      </w:pPr>
      <w:r>
        <w:rPr>
          <w:rFonts w:ascii="Times New Roman" w:hAnsi="Times New Roman" w:cs="Times New Roman"/>
        </w:rPr>
        <w:t>（4）固体废物资源化利用</w:t>
      </w:r>
    </w:p>
    <w:p>
      <w:pPr>
        <w:pStyle w:val="488"/>
        <w:ind w:firstLine="480"/>
        <w:rPr>
          <w:rFonts w:ascii="Times New Roman" w:hAnsi="Times New Roman" w:cs="Times New Roman"/>
        </w:rPr>
      </w:pPr>
      <w:r>
        <w:rPr>
          <w:rFonts w:ascii="Times New Roman" w:hAnsi="Times New Roman" w:cs="Times New Roman"/>
        </w:rPr>
        <w:t>本项目固体废物主要包括废分子筛</w:t>
      </w:r>
      <w:r>
        <w:rPr>
          <w:rFonts w:hint="eastAsia" w:ascii="Times New Roman" w:hAnsi="Times New Roman" w:cs="Times New Roman"/>
        </w:rPr>
        <w:t>和</w:t>
      </w:r>
      <w:r>
        <w:rPr>
          <w:rFonts w:ascii="Times New Roman" w:hAnsi="Times New Roman" w:cs="Times New Roman"/>
        </w:rPr>
        <w:t>废润滑油。废分子筛</w:t>
      </w:r>
      <w:r>
        <w:rPr>
          <w:rFonts w:hint="eastAsia" w:ascii="Times New Roman" w:hAnsi="Times New Roman" w:cs="Times New Roman"/>
        </w:rPr>
        <w:t>和</w:t>
      </w:r>
      <w:r>
        <w:rPr>
          <w:rFonts w:ascii="Times New Roman" w:hAnsi="Times New Roman" w:cs="Times New Roman"/>
        </w:rPr>
        <w:t>废润滑油暂存于危险废物暂存间，定期交由</w:t>
      </w:r>
      <w:r>
        <w:rPr>
          <w:rFonts w:hint="eastAsia" w:ascii="Times New Roman" w:hAnsi="Times New Roman" w:cs="Times New Roman"/>
        </w:rPr>
        <w:t>新疆诺客蒙鑫环境技术有限公司</w:t>
      </w:r>
      <w:r>
        <w:rPr>
          <w:rFonts w:ascii="Times New Roman" w:hAnsi="Times New Roman" w:cs="Times New Roman"/>
        </w:rPr>
        <w:t>处理。</w:t>
      </w:r>
    </w:p>
    <w:p>
      <w:pPr>
        <w:pStyle w:val="488"/>
        <w:ind w:firstLine="480"/>
        <w:rPr>
          <w:rFonts w:ascii="Times New Roman" w:hAnsi="Times New Roman" w:cs="Times New Roman"/>
        </w:rPr>
      </w:pPr>
      <w:r>
        <w:rPr>
          <w:rFonts w:ascii="Times New Roman" w:hAnsi="Times New Roman" w:cs="Times New Roman"/>
        </w:rPr>
        <w:t>6、环境管理要求</w:t>
      </w:r>
    </w:p>
    <w:p>
      <w:pPr>
        <w:pStyle w:val="488"/>
        <w:ind w:firstLine="480"/>
        <w:rPr>
          <w:rFonts w:ascii="Times New Roman" w:hAnsi="Times New Roman" w:cs="Times New Roman"/>
        </w:rPr>
      </w:pPr>
      <w:r>
        <w:rPr>
          <w:rFonts w:ascii="Times New Roman" w:hAnsi="Times New Roman" w:cs="Times New Roman"/>
        </w:rPr>
        <w:t>本项目符合国家和地方相关法律、法规要求，产生的污染物均达标排放。</w:t>
      </w:r>
    </w:p>
    <w:p>
      <w:pPr>
        <w:pStyle w:val="488"/>
        <w:ind w:firstLine="480"/>
        <w:rPr>
          <w:rFonts w:ascii="Times New Roman" w:hAnsi="Times New Roman" w:cs="Times New Roman"/>
        </w:rPr>
      </w:pPr>
      <w:r>
        <w:rPr>
          <w:rFonts w:ascii="Times New Roman" w:hAnsi="Times New Roman" w:cs="Times New Roman"/>
        </w:rPr>
        <w:t>本工程严格执行“三同时”制度，环境影响评价制度，为提高企业清洁生产水平，要求建设方加强生产过程中环境管理，注重对员工进行培训，保护自身的安全和健康。为减少和杜绝环境污染事故的发生，建立、健全管理规章制度，制订了详细的污染控制计划和实施方案，责任到人，指标到岗，实施监督；实行公平的奖惩制度，大力弘扬保护环境的行为。</w:t>
      </w:r>
    </w:p>
    <w:p>
      <w:pPr>
        <w:pStyle w:val="488"/>
        <w:ind w:firstLine="480"/>
        <w:rPr>
          <w:rFonts w:ascii="Times New Roman" w:hAnsi="Times New Roman" w:cs="Times New Roman"/>
          <w:kern w:val="0"/>
        </w:rPr>
      </w:pPr>
      <w:r>
        <w:rPr>
          <w:rFonts w:ascii="Times New Roman" w:hAnsi="Times New Roman" w:cs="Times New Roman"/>
        </w:rPr>
        <w:t>本工程建设主要采取的环境管理措施如下：</w:t>
      </w:r>
    </w:p>
    <w:p>
      <w:pPr>
        <w:pStyle w:val="488"/>
        <w:ind w:firstLine="480"/>
        <w:rPr>
          <w:rFonts w:ascii="Times New Roman" w:hAnsi="Times New Roman" w:cs="Times New Roman"/>
        </w:rPr>
      </w:pPr>
      <w:r>
        <w:rPr>
          <w:rFonts w:ascii="Times New Roman" w:hAnsi="Times New Roman" w:cs="Times New Roman"/>
        </w:rPr>
        <w:t>（1）落实环保目标责任制，坚持环保指标考核，推行清洁生产。</w:t>
      </w:r>
    </w:p>
    <w:p>
      <w:pPr>
        <w:pStyle w:val="488"/>
        <w:ind w:firstLine="480"/>
        <w:rPr>
          <w:rFonts w:ascii="Times New Roman" w:hAnsi="Times New Roman" w:cs="Times New Roman"/>
        </w:rPr>
      </w:pPr>
      <w:r>
        <w:rPr>
          <w:rFonts w:ascii="Times New Roman" w:hAnsi="Times New Roman" w:cs="Times New Roman"/>
        </w:rPr>
        <w:t>（2）加强管理，对设施定期检查，维修，减少或杜绝生产过程中的“跑、冒、滴、漏”现象发生。</w:t>
      </w:r>
    </w:p>
    <w:p>
      <w:pPr>
        <w:pStyle w:val="488"/>
        <w:ind w:firstLine="480"/>
        <w:rPr>
          <w:rFonts w:ascii="Times New Roman" w:hAnsi="Times New Roman" w:cs="Times New Roman"/>
        </w:rPr>
      </w:pPr>
      <w:r>
        <w:rPr>
          <w:rFonts w:ascii="Times New Roman" w:hAnsi="Times New Roman" w:cs="Times New Roman"/>
        </w:rPr>
        <w:t>通过以上分析可以看出，本工程无论是在生产工艺、设备的先进性、合理性，还是在原材料及能量的利用以及生产管理和员工的素质提高等各方面均考虑了清洁生产的要求，将清洁生产的技术运用到了开发生产的全过程中。特别是该工程注重源头控制污染物的产生量和废物的重复利用，充分利用了能源和资源，减少或消除了污染物的产生，最大限度的降低了工程对环境造成的污染。</w:t>
      </w:r>
    </w:p>
    <w:p>
      <w:pPr>
        <w:pStyle w:val="5"/>
        <w:spacing w:before="120" w:after="120"/>
      </w:pPr>
      <w:bookmarkStart w:id="246" w:name="_Toc145580401"/>
      <w:r>
        <w:rPr>
          <w:rFonts w:hint="eastAsia"/>
        </w:rPr>
        <w:t>3</w:t>
      </w:r>
      <w:r>
        <w:t>.8.2清洁</w:t>
      </w:r>
      <w:r>
        <w:rPr>
          <w:spacing w:val="0"/>
        </w:rPr>
        <w:t>生产</w:t>
      </w:r>
      <w:r>
        <w:t>小结</w:t>
      </w:r>
      <w:bookmarkEnd w:id="246"/>
    </w:p>
    <w:p>
      <w:pPr>
        <w:pStyle w:val="488"/>
        <w:ind w:firstLine="480"/>
        <w:rPr>
          <w:rFonts w:ascii="Times New Roman" w:hAnsi="Times New Roman" w:cs="Times New Roman"/>
        </w:rPr>
      </w:pPr>
      <w:r>
        <w:rPr>
          <w:rFonts w:ascii="Times New Roman" w:hAnsi="Times New Roman" w:cs="Times New Roman"/>
        </w:rPr>
        <w:t>项目建成后企业将设立健全的环境管理机构和专职管理人员，制订较完善环境管理制度，严格控制各种污染物的产生及排放，严格控制风险事故的发生。</w:t>
      </w:r>
    </w:p>
    <w:p>
      <w:pPr>
        <w:pStyle w:val="488"/>
        <w:ind w:firstLine="480"/>
        <w:rPr>
          <w:rFonts w:ascii="Times New Roman" w:hAnsi="Times New Roman" w:cs="Times New Roman"/>
        </w:rPr>
      </w:pPr>
      <w:r>
        <w:rPr>
          <w:rFonts w:ascii="Times New Roman" w:hAnsi="Times New Roman" w:cs="Times New Roman"/>
        </w:rPr>
        <w:t>本项目从天然气处理过程、污染防治技术、节能降耗等环节采用切实可行的清洁生产技术，从源头控制污染，过程控制和污染控制技术比较完备；工艺技术路线及装备符合目前国家产业政策和环保政策要求；能耗、物耗、水耗水平等符合清洁生产要求。只要加强营运后日常生产管理与维护，保证各项环保设施正常运行，采取工程设计和评价建议的污染防治措施和清洁生产措施，确保各项环保设施正常运行，与国内同行业相比，本项目水耗、物耗、能耗低，污染物排放量小，生产工艺及管理符合清洁生产要求。综上所述，本项目符合清洁生产要求。</w:t>
      </w:r>
    </w:p>
    <w:p>
      <w:pPr>
        <w:pStyle w:val="5"/>
        <w:spacing w:before="120" w:after="120"/>
      </w:pPr>
      <w:bookmarkStart w:id="247" w:name="_Toc145580402"/>
      <w:r>
        <w:rPr>
          <w:rFonts w:hint="eastAsia"/>
        </w:rPr>
        <w:t>3</w:t>
      </w:r>
      <w:r>
        <w:t>.8.3清洁</w:t>
      </w:r>
      <w:r>
        <w:rPr>
          <w:spacing w:val="0"/>
        </w:rPr>
        <w:t>生产</w:t>
      </w:r>
      <w:r>
        <w:t>建议</w:t>
      </w:r>
      <w:bookmarkEnd w:id="247"/>
    </w:p>
    <w:p>
      <w:pPr>
        <w:pStyle w:val="488"/>
        <w:ind w:firstLine="480"/>
        <w:rPr>
          <w:rFonts w:ascii="Times New Roman" w:hAnsi="Times New Roman" w:cs="Times New Roman"/>
        </w:rPr>
      </w:pPr>
      <w:r>
        <w:rPr>
          <w:rFonts w:ascii="Times New Roman" w:hAnsi="Times New Roman" w:cs="Times New Roman"/>
        </w:rPr>
        <w:t>经分析，项目虽然符合清洁生产的要求，但还有进一步加强清洁生产的潜力， 为此提出如下建议：</w:t>
      </w:r>
    </w:p>
    <w:p>
      <w:pPr>
        <w:pStyle w:val="488"/>
        <w:ind w:firstLine="480"/>
        <w:rPr>
          <w:rFonts w:ascii="Times New Roman" w:hAnsi="Times New Roman" w:cs="Times New Roman"/>
        </w:rPr>
      </w:pPr>
      <w:r>
        <w:rPr>
          <w:rFonts w:ascii="Times New Roman" w:hAnsi="Times New Roman" w:cs="Times New Roman"/>
        </w:rPr>
        <w:t>（1）注重生产现场技术管理，保证生产过程的连续性、比例性和协调性。</w:t>
      </w:r>
    </w:p>
    <w:p>
      <w:pPr>
        <w:pStyle w:val="488"/>
        <w:ind w:firstLine="480"/>
        <w:rPr>
          <w:rFonts w:ascii="Times New Roman" w:hAnsi="Times New Roman" w:cs="Times New Roman"/>
        </w:rPr>
      </w:pPr>
      <w:r>
        <w:rPr>
          <w:rFonts w:ascii="Times New Roman" w:hAnsi="Times New Roman" w:cs="Times New Roman"/>
        </w:rPr>
        <w:t>（2）生产过程中必须加强循环利用和再资源化，对排放物的有效处理和回收利用，既可创造经济效益，又可减少污染。</w:t>
      </w:r>
    </w:p>
    <w:p>
      <w:pPr>
        <w:pStyle w:val="488"/>
        <w:ind w:firstLine="480"/>
        <w:rPr>
          <w:rFonts w:ascii="Times New Roman" w:hAnsi="Times New Roman" w:cs="Times New Roman"/>
        </w:rPr>
      </w:pPr>
      <w:r>
        <w:rPr>
          <w:rFonts w:ascii="Times New Roman" w:hAnsi="Times New Roman" w:cs="Times New Roman"/>
        </w:rPr>
        <w:t>（3）进一步降低电耗、水耗，降低单位产品消耗水平，从而降低产品成本，增强市场竞争力。</w:t>
      </w:r>
    </w:p>
    <w:p>
      <w:pPr>
        <w:pStyle w:val="488"/>
        <w:ind w:firstLine="480"/>
        <w:rPr>
          <w:rFonts w:ascii="Times New Roman" w:hAnsi="Times New Roman" w:cs="Times New Roman"/>
        </w:rPr>
      </w:pPr>
      <w:r>
        <w:rPr>
          <w:rFonts w:ascii="Times New Roman" w:hAnsi="Times New Roman" w:cs="Times New Roman"/>
        </w:rPr>
        <w:t>（4）进一步减少生产过程中的跑、冒、滴、漏，降低对环境造成的危害。</w:t>
      </w:r>
    </w:p>
    <w:p>
      <w:pPr>
        <w:pStyle w:val="488"/>
        <w:ind w:firstLine="480"/>
        <w:rPr>
          <w:rFonts w:ascii="Times New Roman" w:hAnsi="Times New Roman" w:cs="Times New Roman"/>
        </w:rPr>
      </w:pPr>
      <w:r>
        <w:rPr>
          <w:rFonts w:ascii="Times New Roman" w:hAnsi="Times New Roman" w:cs="Times New Roman"/>
        </w:rPr>
        <w:t>（5）落实环评报告书所提出的各项污染防治措施，加强污染防治设施的运行维护和管理，确保对周围环境影响的最小化。</w:t>
      </w:r>
    </w:p>
    <w:p>
      <w:pPr>
        <w:pStyle w:val="488"/>
        <w:ind w:firstLine="480"/>
        <w:rPr>
          <w:rFonts w:ascii="Times New Roman" w:hAnsi="Times New Roman" w:cs="Times New Roman"/>
        </w:rPr>
      </w:pPr>
      <w:r>
        <w:rPr>
          <w:rFonts w:ascii="Times New Roman" w:hAnsi="Times New Roman" w:cs="Times New Roman"/>
        </w:rPr>
        <w:t>（6）建立严格完善的生产管理制度，加强业务培训和宣传教育工作，使每个职工树立节能意识，环保意识，保障清洁生产的目的顺利实施。</w:t>
      </w:r>
    </w:p>
    <w:p>
      <w:pPr>
        <w:pStyle w:val="488"/>
        <w:ind w:firstLine="480"/>
        <w:rPr>
          <w:rFonts w:ascii="Times New Roman" w:hAnsi="Times New Roman" w:cs="Times New Roman"/>
        </w:rPr>
      </w:pPr>
      <w:r>
        <w:rPr>
          <w:rFonts w:ascii="Times New Roman" w:hAnsi="Times New Roman" w:cs="Times New Roman"/>
        </w:rPr>
        <w:t>（7）项目应参照ISO14000标准的要求建立并运行环境管理体系，不断健全环境管理手册、程序文件及作业文件，进一步理顺全厂环境管理的关系，抓好企业环境管理。同时开展清洁生产审核，持续改进和提高企业环境管理水平。</w:t>
      </w:r>
    </w:p>
    <w:p>
      <w:pPr>
        <w:pStyle w:val="4"/>
        <w:spacing w:before="120" w:after="120"/>
      </w:pPr>
      <w:bookmarkStart w:id="248" w:name="_Toc107500367"/>
      <w:bookmarkStart w:id="249" w:name="_Toc145580403"/>
      <w:r>
        <w:rPr>
          <w:rFonts w:hint="eastAsia"/>
        </w:rPr>
        <w:t>3.9 总量控制</w:t>
      </w:r>
      <w:bookmarkEnd w:id="248"/>
      <w:bookmarkEnd w:id="249"/>
    </w:p>
    <w:p>
      <w:pPr>
        <w:pStyle w:val="5"/>
        <w:spacing w:before="120" w:after="120"/>
        <w:rPr>
          <w:spacing w:val="0"/>
        </w:rPr>
      </w:pPr>
      <w:bookmarkStart w:id="250" w:name="_Toc107500368"/>
      <w:bookmarkStart w:id="251" w:name="_Toc145580404"/>
      <w:r>
        <w:rPr>
          <w:rFonts w:hint="eastAsia"/>
          <w:spacing w:val="0"/>
        </w:rPr>
        <w:t>3.9.1总量控制目的</w:t>
      </w:r>
      <w:bookmarkEnd w:id="250"/>
      <w:bookmarkEnd w:id="251"/>
    </w:p>
    <w:p>
      <w:pPr>
        <w:pStyle w:val="494"/>
        <w:ind w:firstLine="480"/>
      </w:pPr>
      <w:r>
        <w:t>环境污染总量控制是推行可持续发展战略的需要，是为了使某一时空环境领域达到一定环境质量的目标时，将污染物负荷总量控制在自然环境的承载能力范围之内的规划管理措施，其中环境质量目标、污染物负荷总量和自然环境的承载能力是最主要的影响因素。实施主要污染物排放总量控制，是我国加强环境与资源保护的重大举措，是实施可持续发展战略的重要内容，是考核各地环境保护成果的重要标志。</w:t>
      </w:r>
    </w:p>
    <w:p>
      <w:pPr>
        <w:pStyle w:val="5"/>
        <w:spacing w:before="120" w:after="120"/>
        <w:rPr>
          <w:spacing w:val="0"/>
        </w:rPr>
      </w:pPr>
      <w:bookmarkStart w:id="252" w:name="_Toc107500369"/>
      <w:bookmarkStart w:id="253" w:name="_Toc145580405"/>
      <w:r>
        <w:rPr>
          <w:rFonts w:hint="eastAsia"/>
          <w:spacing w:val="0"/>
        </w:rPr>
        <w:t>3.9.2总量控制因子</w:t>
      </w:r>
      <w:bookmarkEnd w:id="252"/>
      <w:bookmarkEnd w:id="253"/>
    </w:p>
    <w:p>
      <w:pPr>
        <w:pStyle w:val="494"/>
        <w:ind w:firstLine="480"/>
      </w:pPr>
      <w:r>
        <w:t>污染物排放总量控制的原则是：将约定区域内的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对污染物排放总量进行控制是管理部门进行宏观环境管理的重要手段之一。</w:t>
      </w:r>
    </w:p>
    <w:p>
      <w:pPr>
        <w:pStyle w:val="494"/>
        <w:ind w:firstLine="480"/>
      </w:pPr>
      <w:r>
        <w:t>本工程环评需在考虑污染物种类、污染源影响范围、区域环境质量、环境功能区以及管理要求等因素的基础上，结合项目实际排污状况和控制措施的技术经济可行性来确定污染物排放总量控制指标。首先要满足几个基本前提条件</w:t>
      </w:r>
      <w:r>
        <w:rPr>
          <w:rFonts w:hint="eastAsia" w:cs="宋体"/>
        </w:rPr>
        <w:t>①</w:t>
      </w:r>
      <w:r>
        <w:t>确保污染物达标排放；</w:t>
      </w:r>
      <w:r>
        <w:rPr>
          <w:rFonts w:hint="eastAsia" w:cs="宋体"/>
        </w:rPr>
        <w:t>②</w:t>
      </w:r>
      <w:r>
        <w:t>符合允许排放量限值；</w:t>
      </w:r>
      <w:r>
        <w:rPr>
          <w:rFonts w:hint="eastAsia" w:cs="宋体"/>
        </w:rPr>
        <w:t>③</w:t>
      </w:r>
      <w:r>
        <w:t>满足环境质量标准要求。</w:t>
      </w:r>
    </w:p>
    <w:p>
      <w:pPr>
        <w:pStyle w:val="494"/>
        <w:ind w:firstLine="480"/>
      </w:pPr>
      <w:r>
        <w:rPr>
          <w:rFonts w:hint="eastAsia"/>
        </w:rPr>
        <w:t>根据《关于印发“十四五”节能减排综合工作方案的通知》（国发[</w:t>
      </w:r>
      <w:r>
        <w:t>2021]33</w:t>
      </w:r>
      <w:r>
        <w:rPr>
          <w:rFonts w:hint="eastAsia"/>
        </w:rPr>
        <w:t>号）</w:t>
      </w:r>
      <w:r>
        <w:t>，</w:t>
      </w:r>
    </w:p>
    <w:p>
      <w:pPr>
        <w:pStyle w:val="494"/>
        <w:ind w:firstLine="480"/>
      </w:pPr>
      <w:r>
        <w:t xml:space="preserve"> </w:t>
      </w:r>
      <w:r>
        <w:rPr>
          <w:rFonts w:hint="eastAsia"/>
        </w:rPr>
        <w:t>到</w:t>
      </w:r>
      <w:r>
        <w:t>2025</w:t>
      </w:r>
      <w:r>
        <w:rPr>
          <w:rFonts w:hint="eastAsia"/>
        </w:rPr>
        <w:t>年，全国单位国内生产总值能源消耗比</w:t>
      </w:r>
      <w:r>
        <w:t>2020</w:t>
      </w:r>
      <w:r>
        <w:rPr>
          <w:rFonts w:hint="eastAsia"/>
        </w:rPr>
        <w:t>年下降</w:t>
      </w:r>
      <w:r>
        <w:t>13.5%</w:t>
      </w:r>
      <w:r>
        <w:rPr>
          <w:rFonts w:hint="eastAsia"/>
        </w:rPr>
        <w:t>，能源消费总量得到合理控制，化学需氧量、氨氮、氮氧化物、挥发性有机物排放总量比</w:t>
      </w:r>
      <w:r>
        <w:t>2020</w:t>
      </w:r>
      <w:r>
        <w:rPr>
          <w:rFonts w:hint="eastAsia"/>
        </w:rPr>
        <w:t>年分别下降</w:t>
      </w:r>
      <w:r>
        <w:t>8%</w:t>
      </w:r>
      <w:r>
        <w:rPr>
          <w:rFonts w:hint="eastAsia"/>
        </w:rPr>
        <w:t>、</w:t>
      </w:r>
      <w:r>
        <w:t>8%</w:t>
      </w:r>
      <w:r>
        <w:rPr>
          <w:rFonts w:hint="eastAsia"/>
        </w:rPr>
        <w:t>、</w:t>
      </w:r>
      <w:r>
        <w:t>10%</w:t>
      </w:r>
      <w:r>
        <w:rPr>
          <w:rFonts w:hint="eastAsia"/>
        </w:rPr>
        <w:t>以上、</w:t>
      </w:r>
      <w:r>
        <w:t>10%</w:t>
      </w:r>
      <w:r>
        <w:rPr>
          <w:rFonts w:hint="eastAsia"/>
        </w:rPr>
        <w:t>以上</w:t>
      </w:r>
      <w:r>
        <w:t>。</w:t>
      </w:r>
    </w:p>
    <w:p>
      <w:pPr>
        <w:pStyle w:val="494"/>
        <w:ind w:firstLine="480"/>
        <w:rPr>
          <w:color w:val="FF0000"/>
        </w:rPr>
      </w:pPr>
      <w:bookmarkStart w:id="254" w:name="_Hlk147652750"/>
      <w:r>
        <w:rPr>
          <w:color w:val="FF0000"/>
        </w:rPr>
        <w:t>结合本项目的排污特点，本项目</w:t>
      </w:r>
      <w:r>
        <w:rPr>
          <w:rFonts w:hint="eastAsia"/>
          <w:color w:val="FF0000"/>
        </w:rPr>
        <w:t>不设置总量控制指标</w:t>
      </w:r>
      <w:r>
        <w:rPr>
          <w:color w:val="FF0000"/>
        </w:rPr>
        <w:t>。</w:t>
      </w:r>
    </w:p>
    <w:bookmarkEnd w:id="254"/>
    <w:p>
      <w:pPr>
        <w:pStyle w:val="494"/>
        <w:ind w:firstLine="480"/>
        <w:sectPr>
          <w:footerReference r:id="rId5" w:type="default"/>
          <w:pgSz w:w="11906" w:h="16838"/>
          <w:pgMar w:top="1440" w:right="1701" w:bottom="1440" w:left="1985" w:header="851" w:footer="992" w:gutter="0"/>
          <w:pgNumType w:start="1"/>
          <w:cols w:space="720" w:num="1"/>
          <w:docGrid w:linePitch="312" w:charSpace="0"/>
        </w:sectPr>
      </w:pPr>
      <w:bookmarkStart w:id="255" w:name="_Toc309715331"/>
      <w:bookmarkStart w:id="256" w:name="_Toc454899359"/>
      <w:bookmarkStart w:id="257" w:name="_Toc107500371"/>
    </w:p>
    <w:p>
      <w:pPr>
        <w:pStyle w:val="3"/>
      </w:pPr>
      <w:bookmarkStart w:id="258" w:name="_Toc145580406"/>
      <w:r>
        <w:rPr>
          <w:rFonts w:hint="eastAsia"/>
        </w:rPr>
        <w:t>4</w:t>
      </w:r>
      <w:r>
        <w:t xml:space="preserve">  环境现状调查与评价</w:t>
      </w:r>
      <w:bookmarkEnd w:id="255"/>
      <w:bookmarkEnd w:id="256"/>
      <w:bookmarkEnd w:id="257"/>
      <w:bookmarkEnd w:id="258"/>
    </w:p>
    <w:p>
      <w:pPr>
        <w:pStyle w:val="4"/>
        <w:spacing w:before="120" w:after="120"/>
      </w:pPr>
      <w:bookmarkStart w:id="259" w:name="_Toc145580407"/>
      <w:bookmarkStart w:id="260" w:name="_Toc107500372"/>
      <w:bookmarkStart w:id="261" w:name="_Toc454899360"/>
      <w:bookmarkStart w:id="262" w:name="_Toc309715332"/>
      <w:r>
        <w:rPr>
          <w:rFonts w:hint="eastAsia"/>
        </w:rPr>
        <w:t>4</w:t>
      </w:r>
      <w:r>
        <w:t>.1 自然环境概况</w:t>
      </w:r>
      <w:bookmarkEnd w:id="259"/>
      <w:bookmarkEnd w:id="260"/>
      <w:bookmarkEnd w:id="261"/>
      <w:bookmarkEnd w:id="262"/>
    </w:p>
    <w:p>
      <w:pPr>
        <w:pStyle w:val="5"/>
        <w:spacing w:before="120" w:after="120"/>
        <w:rPr>
          <w:spacing w:val="0"/>
        </w:rPr>
      </w:pPr>
      <w:bookmarkStart w:id="263" w:name="_Toc145580408"/>
      <w:bookmarkStart w:id="264" w:name="_Toc107500373"/>
      <w:bookmarkStart w:id="265" w:name="_Toc309715333"/>
      <w:r>
        <w:rPr>
          <w:rFonts w:hint="eastAsia"/>
          <w:spacing w:val="0"/>
        </w:rPr>
        <w:t>4</w:t>
      </w:r>
      <w:r>
        <w:rPr>
          <w:spacing w:val="0"/>
        </w:rPr>
        <w:t>.1.1地理位置</w:t>
      </w:r>
      <w:bookmarkEnd w:id="263"/>
      <w:bookmarkEnd w:id="264"/>
      <w:bookmarkEnd w:id="265"/>
    </w:p>
    <w:p>
      <w:pPr>
        <w:pStyle w:val="488"/>
        <w:ind w:firstLine="480"/>
        <w:rPr>
          <w:rFonts w:ascii="Times New Roman" w:hAnsi="Times New Roman" w:cs="Times New Roman"/>
        </w:rPr>
      </w:pPr>
      <w:bookmarkStart w:id="266" w:name="_Toc107500374"/>
      <w:bookmarkStart w:id="267" w:name="_Toc309715334"/>
      <w:r>
        <w:rPr>
          <w:rFonts w:ascii="Times New Roman" w:hAnsi="Times New Roman" w:cs="Times New Roman"/>
        </w:rPr>
        <w:t>阜康市位于昌吉回族自治州境内，地处天山东段博格达峰北麓，准噶尔盆地东南缘。市域东临吉木萨尔县，西接乌鲁木齐市米东区，南以天山分水岭与乌鲁木齐县相邻，北以古尔班通古特沙漠与阿勒泰地区富蕴县接壤。市域的地理坐标为东经87°46´～88°44´，北纬43°45´～45°30´，东西相距76km，南北绵长198km，行政区总面积11726km</w:t>
      </w:r>
      <w:r>
        <w:rPr>
          <w:rFonts w:ascii="Times New Roman" w:hAnsi="Times New Roman" w:cs="Times New Roman"/>
          <w:vertAlign w:val="superscript"/>
        </w:rPr>
        <w:t>2</w:t>
      </w:r>
      <w:r>
        <w:rPr>
          <w:rFonts w:ascii="Times New Roman" w:hAnsi="Times New Roman" w:cs="Times New Roman"/>
        </w:rPr>
        <w:t>。</w:t>
      </w:r>
    </w:p>
    <w:p>
      <w:pPr>
        <w:pStyle w:val="488"/>
        <w:ind w:firstLine="480"/>
        <w:rPr>
          <w:rFonts w:ascii="Times New Roman" w:hAnsi="Times New Roman" w:cs="Times New Roman"/>
        </w:rPr>
      </w:pPr>
      <w:r>
        <w:rPr>
          <w:rFonts w:ascii="Times New Roman" w:hAnsi="Times New Roman" w:cs="Times New Roman"/>
        </w:rPr>
        <w:t>本项目位于新疆维吾尔自治区昌吉回族自治州阜康市境内北部沙漠区，阜康市董701区块董701-X1井场东侧</w:t>
      </w:r>
      <w:r>
        <w:rPr>
          <w:rFonts w:hint="eastAsia"/>
          <w:bCs/>
          <w:lang w:bidi="en-US"/>
        </w:rPr>
        <w:t>新疆天安鑫业油气技术服务有限公司现有厂区内</w:t>
      </w:r>
      <w:r>
        <w:rPr>
          <w:rFonts w:ascii="Times New Roman" w:hAnsi="Times New Roman" w:cs="Times New Roman"/>
        </w:rPr>
        <w:t>，距离阜康市中心约34km，区域构造位置位于准噶尔盆地中央坳陷阜康凹陷东部的北斜坡，构造区划上属于中央坳陷，开发层系为侏罗系头屯河组J</w:t>
      </w:r>
      <w:r>
        <w:rPr>
          <w:rFonts w:ascii="Times New Roman" w:hAnsi="Times New Roman" w:cs="Times New Roman"/>
          <w:vertAlign w:val="subscript"/>
        </w:rPr>
        <w:t>2</w:t>
      </w:r>
      <w:r>
        <w:rPr>
          <w:rFonts w:ascii="Times New Roman" w:hAnsi="Times New Roman" w:cs="Times New Roman"/>
        </w:rPr>
        <w:t>t</w:t>
      </w:r>
      <w:r>
        <w:rPr>
          <w:rFonts w:ascii="Times New Roman" w:hAnsi="Times New Roman" w:cs="Times New Roman"/>
          <w:vertAlign w:val="subscript"/>
        </w:rPr>
        <w:t>3</w:t>
      </w:r>
      <w:r>
        <w:rPr>
          <w:rFonts w:ascii="Times New Roman" w:hAnsi="Times New Roman" w:cs="Times New Roman"/>
        </w:rPr>
        <w:t>5砂体。项目中心地理坐标：88°2′15.49″E，44°27′47.76″N。</w:t>
      </w:r>
    </w:p>
    <w:p>
      <w:pPr>
        <w:pStyle w:val="5"/>
        <w:spacing w:before="120" w:after="120"/>
        <w:rPr>
          <w:spacing w:val="0"/>
        </w:rPr>
      </w:pPr>
      <w:bookmarkStart w:id="268" w:name="_Toc145580409"/>
      <w:r>
        <w:rPr>
          <w:rFonts w:hint="eastAsia"/>
          <w:spacing w:val="0"/>
        </w:rPr>
        <w:t>4</w:t>
      </w:r>
      <w:r>
        <w:rPr>
          <w:spacing w:val="0"/>
        </w:rPr>
        <w:t>.1.2地形地貌</w:t>
      </w:r>
      <w:bookmarkEnd w:id="266"/>
      <w:bookmarkEnd w:id="267"/>
      <w:bookmarkEnd w:id="268"/>
    </w:p>
    <w:p>
      <w:pPr>
        <w:pStyle w:val="657"/>
        <w:spacing w:line="460" w:lineRule="exact"/>
        <w:ind w:firstLine="480"/>
        <w:jc w:val="both"/>
      </w:pPr>
      <w:bookmarkStart w:id="269" w:name="_Toc433020916"/>
      <w:bookmarkStart w:id="270" w:name="_Toc430636085"/>
      <w:bookmarkStart w:id="271" w:name="_Toc430635910"/>
      <w:bookmarkStart w:id="272" w:name="_Toc433021092"/>
      <w:bookmarkStart w:id="273" w:name="_Toc309715335"/>
      <w:r>
        <w:t>阜康市域地势南高北低，由东南向西北方向倾斜，海拔高程为 5445～450m， 从山区过渡为平原再至沙漠，构成典型的干旱半干旱的自然景观。区内地貌形态 具有明显的分带性，其南部为东西向展布的博格达山，向北依次为山前倾斜平原、 冲积平原及沙漠，形成南部山区、中部平原区和北部沙漠区三个地貌单元。在阜康市域 11726km</w:t>
      </w:r>
      <w:r>
        <w:rPr>
          <w:vertAlign w:val="superscript"/>
        </w:rPr>
        <w:t>2</w:t>
      </w:r>
      <w:r>
        <w:t>的总面积中，山地面积为1811km</w:t>
      </w:r>
      <w:r>
        <w:rPr>
          <w:vertAlign w:val="superscript"/>
        </w:rPr>
        <w:t>2</w:t>
      </w:r>
      <w:r>
        <w:t>，平原面积为 2260km</w:t>
      </w:r>
      <w:r>
        <w:rPr>
          <w:vertAlign w:val="superscript"/>
        </w:rPr>
        <w:t>2</w:t>
      </w:r>
      <w:r>
        <w:t>，沙漠面积为 4555km</w:t>
      </w:r>
      <w:r>
        <w:rPr>
          <w:vertAlign w:val="superscript"/>
        </w:rPr>
        <w:t>2</w:t>
      </w:r>
      <w:r>
        <w:t>。</w:t>
      </w:r>
    </w:p>
    <w:p>
      <w:pPr>
        <w:pStyle w:val="657"/>
        <w:spacing w:line="460" w:lineRule="exact"/>
        <w:ind w:firstLine="480"/>
        <w:jc w:val="both"/>
      </w:pPr>
      <w:r>
        <w:t>1、南部山区</w:t>
      </w:r>
    </w:p>
    <w:p>
      <w:pPr>
        <w:pStyle w:val="657"/>
        <w:spacing w:line="460" w:lineRule="exact"/>
        <w:ind w:firstLine="480"/>
        <w:jc w:val="both"/>
      </w:pPr>
      <w:r>
        <w:t>海拔 5445～800m，位于天山山脉东段北坡，山峰连绵，沟壑纵横。天山山 脉呈东西走向。山地地貌在不同海拔高度呈现不同的地貌景观并形成 5 个大的地貌带，地貌带南北向排列，东西向延展。</w:t>
      </w:r>
    </w:p>
    <w:p>
      <w:pPr>
        <w:pStyle w:val="657"/>
        <w:spacing w:line="460" w:lineRule="exact"/>
        <w:ind w:firstLine="480"/>
        <w:jc w:val="both"/>
      </w:pPr>
      <w:r>
        <w:t>海拔3500m以上的极高山区，终年冰雪，是现代冰川发育的地区，为极高山永久冰雪带；海拔3500～2800m之间为高山苔原草被带；海拔 2800～1500m为中山峡谷森林带；海拔 1500～1200m之间为低山苔草被带。</w:t>
      </w:r>
    </w:p>
    <w:p>
      <w:pPr>
        <w:pStyle w:val="657"/>
        <w:spacing w:line="460" w:lineRule="exact"/>
        <w:ind w:firstLine="480"/>
        <w:jc w:val="both"/>
      </w:pPr>
      <w:r>
        <w:t>海拔 1200～800m 为丘陵荒漠带，山体低矮呈丘陵状，山顶浑圆平缓，山体基岩由侏罗纪含煤地层组成，上覆山地栗钙土，生长稀疏的荒漠植被。水土流失 严重，呈现出石漠景观。</w:t>
      </w:r>
    </w:p>
    <w:p>
      <w:pPr>
        <w:pStyle w:val="657"/>
        <w:spacing w:line="460" w:lineRule="exact"/>
        <w:ind w:firstLine="480"/>
        <w:jc w:val="both"/>
      </w:pPr>
      <w:r>
        <w:t>2、中部平原区</w:t>
      </w:r>
    </w:p>
    <w:p>
      <w:pPr>
        <w:pStyle w:val="657"/>
        <w:spacing w:line="460" w:lineRule="exact"/>
        <w:ind w:firstLine="480"/>
        <w:jc w:val="both"/>
      </w:pPr>
      <w:r>
        <w:t>海拔 800～450m的平原区，是北疆环绕沙漠盆地平原绿洲的一部分，有河流冲积、洪积而成。地势由东南向西北倾斜，平均坡度 2.5％，东西最长 76km， 南北最宽 34km。中部平原区主要分为：</w:t>
      </w:r>
    </w:p>
    <w:p>
      <w:pPr>
        <w:pStyle w:val="657"/>
        <w:spacing w:line="460" w:lineRule="exact"/>
        <w:ind w:firstLine="480"/>
        <w:jc w:val="both"/>
      </w:pPr>
      <w:r>
        <w:t>海拔 800～600m之间为山前戈壁砾石带，由各河流与冲、洪积扇相连而成。 地形开阔平坦，土壤以灰漠土、荒漠土为主，土层较薄，植被稀疏。</w:t>
      </w:r>
    </w:p>
    <w:p>
      <w:pPr>
        <w:pStyle w:val="657"/>
        <w:spacing w:line="460" w:lineRule="exact"/>
        <w:ind w:firstLine="480"/>
        <w:jc w:val="both"/>
      </w:pPr>
      <w:r>
        <w:t>海拔 600～450m为细土平原带，地势平坦开阔，地表完整，没有大的河谷。 该地带土层深厚，局部地区夹杂着盐碱地与沼泽。这里大部分地区为干旱草场和 灌溉农田，地貌类型单一。阜康市域的农业人口基本集中于此。</w:t>
      </w:r>
    </w:p>
    <w:p>
      <w:pPr>
        <w:pStyle w:val="657"/>
        <w:spacing w:line="460" w:lineRule="exact"/>
        <w:ind w:firstLine="480"/>
        <w:jc w:val="both"/>
      </w:pPr>
      <w:r>
        <w:t>3、北部沙漠区</w:t>
      </w:r>
    </w:p>
    <w:p>
      <w:pPr>
        <w:pStyle w:val="657"/>
        <w:spacing w:line="460" w:lineRule="exact"/>
        <w:ind w:firstLine="480"/>
        <w:jc w:val="both"/>
      </w:pPr>
      <w:r>
        <w:t>海拔高程 450~800m，为古尔班通古特沙漠的一部分，约占阜康境内总面积 的 53%。区内沙丘在西泉农场以北为宽约 1km，长 4~8km 的垄状复合，新月型沙丘链，沙丘高 15~30m。此带以西沙丘和新月型沙丘为主，以东以蜂窝状沙丘和新月型沙丘为主，沙丘高 5~15m，沙丘表面有沙波纹，沙粒粒径 0.1~0.25m。</w:t>
      </w:r>
    </w:p>
    <w:p>
      <w:pPr>
        <w:pStyle w:val="494"/>
        <w:ind w:firstLine="480"/>
      </w:pPr>
      <w:r>
        <w:t>本工程位于古尔班通古特沙漠中，地表为连绵起伏的沙丘覆盖，海拔高度450-485米左右，沙丘相对高差一般在10—70m，地表有梭梭、沙漠娟蒿、驼绒藜、旱蒿等植被</w:t>
      </w:r>
      <w:r>
        <w:rPr>
          <w:rFonts w:hint="eastAsia"/>
        </w:rPr>
        <w:t>。</w:t>
      </w:r>
    </w:p>
    <w:p>
      <w:pPr>
        <w:pStyle w:val="5"/>
        <w:spacing w:before="120" w:after="120"/>
        <w:rPr>
          <w:spacing w:val="0"/>
        </w:rPr>
      </w:pPr>
      <w:bookmarkStart w:id="274" w:name="_Toc145580410"/>
      <w:bookmarkStart w:id="275" w:name="_Toc107500375"/>
      <w:r>
        <w:rPr>
          <w:rFonts w:hint="eastAsia"/>
          <w:spacing w:val="0"/>
        </w:rPr>
        <w:t>4</w:t>
      </w:r>
      <w:r>
        <w:rPr>
          <w:spacing w:val="0"/>
        </w:rPr>
        <w:t>.1.3</w:t>
      </w:r>
      <w:bookmarkEnd w:id="269"/>
      <w:bookmarkEnd w:id="270"/>
      <w:bookmarkEnd w:id="271"/>
      <w:bookmarkEnd w:id="272"/>
      <w:r>
        <w:rPr>
          <w:spacing w:val="0"/>
        </w:rPr>
        <w:t>水文及水文地质</w:t>
      </w:r>
      <w:bookmarkEnd w:id="274"/>
      <w:bookmarkEnd w:id="275"/>
    </w:p>
    <w:p>
      <w:pPr>
        <w:pStyle w:val="657"/>
        <w:spacing w:line="460" w:lineRule="exact"/>
        <w:ind w:firstLine="480"/>
        <w:jc w:val="both"/>
      </w:pPr>
      <w:r>
        <w:t>1、地表水</w:t>
      </w:r>
    </w:p>
    <w:p>
      <w:pPr>
        <w:pStyle w:val="657"/>
        <w:spacing w:line="460" w:lineRule="exact"/>
        <w:ind w:firstLine="480"/>
        <w:jc w:val="both"/>
      </w:pPr>
      <w:r>
        <w:t>阜康市域内地表水、泉水、地下水均发源于南部山区，向北流逝。在海拔 3300m以上的高山区，是冰川、积雪终年存在的地区，其中雪线（海拔 3580m）以上是终年冰雪积累区，在海拔 3300～3580m的地区，冰雪在夏季昼融夜冻。高山区冰川东西向排列有 54条，面积 50.05km</w:t>
      </w:r>
      <w:r>
        <w:rPr>
          <w:vertAlign w:val="superscript"/>
        </w:rPr>
        <w:t>2</w:t>
      </w:r>
      <w:r>
        <w:t>，冰储量 18.4亿 m</w:t>
      </w:r>
      <w:r>
        <w:rPr>
          <w:vertAlign w:val="superscript"/>
        </w:rPr>
        <w:t>3</w:t>
      </w:r>
      <w:r>
        <w:t>，折合水量16.4亿 m</w:t>
      </w:r>
      <w:r>
        <w:rPr>
          <w:vertAlign w:val="superscript"/>
        </w:rPr>
        <w:t>3</w:t>
      </w:r>
      <w:r>
        <w:t>。</w:t>
      </w:r>
    </w:p>
    <w:p>
      <w:pPr>
        <w:pStyle w:val="657"/>
        <w:spacing w:line="460" w:lineRule="exact"/>
        <w:ind w:firstLine="480"/>
        <w:jc w:val="both"/>
      </w:pPr>
      <w:r>
        <w:t>阜康市水资源总量为 4.173 亿m</w:t>
      </w:r>
      <w:r>
        <w:rPr>
          <w:vertAlign w:val="superscript"/>
        </w:rPr>
        <w:t>3</w:t>
      </w:r>
      <w:r>
        <w:t>（含引水总量为 1.547×108m</w:t>
      </w:r>
      <w:r>
        <w:rPr>
          <w:vertAlign w:val="superscript"/>
        </w:rPr>
        <w:t>3</w:t>
      </w:r>
      <w:r>
        <w:t>）。市域内有河流 7条，自西向东分别为水磨河、三工河、四工河、甘河子河、白杨河、西 沟河和黄山河。各河流均源自山区，流逝于平原。由于山高坡降大，山区面积小，又处于干旱地区，所以河流流程短，径流量小，年径流量在各季节内差异很大。</w:t>
      </w:r>
    </w:p>
    <w:p>
      <w:pPr>
        <w:pStyle w:val="657"/>
        <w:spacing w:line="460" w:lineRule="exact"/>
        <w:ind w:firstLine="480"/>
        <w:jc w:val="both"/>
      </w:pPr>
      <w:r>
        <w:t>7 条河流年均径流量总计 1.94 亿 m</w:t>
      </w:r>
      <w:r>
        <w:rPr>
          <w:vertAlign w:val="superscript"/>
        </w:rPr>
        <w:t>3</w:t>
      </w:r>
      <w:r>
        <w:t>，平均流量 6.16m</w:t>
      </w:r>
      <w:r>
        <w:rPr>
          <w:vertAlign w:val="superscript"/>
        </w:rPr>
        <w:t>3</w:t>
      </w:r>
      <w:r>
        <w:t>/s。年径流量丰枯变幅 1.84～1.92 倍。年内 4~5月、9~10月为平水期，6~8月为丰水期，11~3月为枯水期。阜康市各河流水文特征参数详见表4.1-1。</w:t>
      </w:r>
    </w:p>
    <w:p>
      <w:pPr>
        <w:pStyle w:val="672"/>
        <w:spacing w:before="120"/>
        <w:rPr>
          <w:color w:val="auto"/>
        </w:rPr>
      </w:pPr>
      <w:r>
        <w:rPr>
          <w:color w:val="auto"/>
        </w:rPr>
        <w:t>表4.1-1</w:t>
      </w:r>
      <w:r>
        <w:rPr>
          <w:color w:val="auto"/>
        </w:rPr>
        <w:tab/>
      </w:r>
      <w:r>
        <w:rPr>
          <w:color w:val="auto"/>
        </w:rPr>
        <w:t xml:space="preserve">                阜康市各河流水文特征参数一览表</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04"/>
        <w:gridCol w:w="1707"/>
        <w:gridCol w:w="1704"/>
        <w:gridCol w:w="170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exact"/>
          <w:jc w:val="center"/>
        </w:trPr>
        <w:tc>
          <w:tcPr>
            <w:tcW w:w="1704" w:type="dxa"/>
            <w:tcBorders>
              <w:top w:val="single" w:color="auto" w:sz="4" w:space="0"/>
              <w:left w:val="single" w:color="auto" w:sz="4" w:space="0"/>
              <w:bottom w:val="single" w:color="auto" w:sz="4" w:space="0"/>
              <w:right w:val="single" w:color="auto" w:sz="4" w:space="0"/>
            </w:tcBorders>
            <w:vAlign w:val="center"/>
          </w:tcPr>
          <w:p>
            <w:pPr>
              <w:pStyle w:val="670"/>
            </w:pPr>
            <w:r>
              <w:t>河流</w:t>
            </w:r>
          </w:p>
        </w:tc>
        <w:tc>
          <w:tcPr>
            <w:tcW w:w="1707" w:type="dxa"/>
            <w:tcBorders>
              <w:top w:val="single" w:color="auto" w:sz="4" w:space="0"/>
              <w:left w:val="single" w:color="auto" w:sz="4" w:space="0"/>
              <w:bottom w:val="single" w:color="auto" w:sz="4" w:space="0"/>
              <w:right w:val="single" w:color="auto" w:sz="4" w:space="0"/>
            </w:tcBorders>
            <w:vAlign w:val="center"/>
          </w:tcPr>
          <w:p>
            <w:pPr>
              <w:pStyle w:val="670"/>
            </w:pPr>
            <w:r>
              <w:t>河道长度（</w:t>
            </w:r>
            <w:r>
              <w:rPr>
                <w:rFonts w:eastAsia="Times New Roman"/>
              </w:rPr>
              <w:t>km</w:t>
            </w:r>
            <w:r>
              <w:t>）</w:t>
            </w:r>
          </w:p>
        </w:tc>
        <w:tc>
          <w:tcPr>
            <w:tcW w:w="1704" w:type="dxa"/>
            <w:tcBorders>
              <w:top w:val="single" w:color="auto" w:sz="4" w:space="0"/>
              <w:left w:val="single" w:color="auto" w:sz="4" w:space="0"/>
              <w:bottom w:val="single" w:color="auto" w:sz="4" w:space="0"/>
              <w:right w:val="single" w:color="auto" w:sz="4" w:space="0"/>
            </w:tcBorders>
            <w:vAlign w:val="center"/>
          </w:tcPr>
          <w:p>
            <w:pPr>
              <w:pStyle w:val="670"/>
            </w:pPr>
            <w:r>
              <w:rPr>
                <w:spacing w:val="-2"/>
              </w:rPr>
              <w:t>流域面积（</w:t>
            </w:r>
            <w:r>
              <w:rPr>
                <w:rFonts w:eastAsia="Times New Roman"/>
                <w:spacing w:val="-2"/>
              </w:rPr>
              <w:t>km</w:t>
            </w:r>
            <w:r>
              <w:rPr>
                <w:rFonts w:eastAsia="等线"/>
                <w:spacing w:val="-2"/>
                <w:vertAlign w:val="superscript"/>
                <w:lang w:eastAsia="zh-CN"/>
              </w:rPr>
              <w:t>2</w:t>
            </w:r>
            <w:r>
              <w:rPr>
                <w:spacing w:val="-2"/>
              </w:rPr>
              <w:t>）</w:t>
            </w:r>
          </w:p>
        </w:tc>
        <w:tc>
          <w:tcPr>
            <w:tcW w:w="1708" w:type="dxa"/>
            <w:tcBorders>
              <w:top w:val="single" w:color="auto" w:sz="4" w:space="0"/>
              <w:left w:val="single" w:color="auto" w:sz="4" w:space="0"/>
              <w:bottom w:val="single" w:color="auto" w:sz="4" w:space="0"/>
              <w:right w:val="single" w:color="auto" w:sz="4" w:space="0"/>
            </w:tcBorders>
            <w:vAlign w:val="center"/>
          </w:tcPr>
          <w:p>
            <w:pPr>
              <w:pStyle w:val="670"/>
              <w:rPr>
                <w:rFonts w:eastAsia="等线"/>
                <w:lang w:eastAsia="zh-CN"/>
              </w:rPr>
            </w:pPr>
            <w:r>
              <w:t>年径流量（万</w:t>
            </w:r>
            <w:r>
              <w:rPr>
                <w:spacing w:val="-53"/>
              </w:rPr>
              <w:t xml:space="preserve"> </w:t>
            </w:r>
            <w:r>
              <w:rPr>
                <w:rFonts w:eastAsia="Times New Roman"/>
              </w:rPr>
              <w:t>m</w:t>
            </w:r>
            <w:r>
              <w:rPr>
                <w:rFonts w:eastAsia="等线"/>
                <w:vertAlign w:val="superscript"/>
                <w:lang w:eastAsia="zh-CN"/>
              </w:rPr>
              <w:t>3</w:t>
            </w:r>
            <w:r>
              <w:rPr>
                <w:rFonts w:eastAsia="等线"/>
                <w:lang w:eastAsia="zh-CN"/>
              </w:rPr>
              <w:t>）</w:t>
            </w:r>
          </w:p>
        </w:tc>
        <w:tc>
          <w:tcPr>
            <w:tcW w:w="1701" w:type="dxa"/>
            <w:tcBorders>
              <w:top w:val="single" w:color="auto" w:sz="4" w:space="0"/>
              <w:left w:val="single" w:color="auto" w:sz="4" w:space="0"/>
              <w:bottom w:val="single" w:color="auto" w:sz="4" w:space="0"/>
              <w:right w:val="single" w:color="auto" w:sz="4" w:space="0"/>
            </w:tcBorders>
            <w:vAlign w:val="center"/>
          </w:tcPr>
          <w:p>
            <w:pPr>
              <w:pStyle w:val="670"/>
            </w:pPr>
            <w:r>
              <w:t>年平均流量（</w:t>
            </w:r>
            <w:r>
              <w:rPr>
                <w:rFonts w:eastAsia="Times New Roman"/>
              </w:rPr>
              <w:t>m</w:t>
            </w:r>
            <w:r>
              <w:rPr>
                <w:rFonts w:eastAsia="等线"/>
                <w:vertAlign w:val="superscript"/>
                <w:lang w:eastAsia="zh-CN"/>
              </w:rPr>
              <w:t>3</w:t>
            </w:r>
            <w:r>
              <w:rPr>
                <w:rFonts w:eastAsia="等线"/>
                <w:lang w:eastAsia="zh-CN"/>
              </w:rPr>
              <w:t>/</w:t>
            </w:r>
            <w:r>
              <w:rPr>
                <w:rFonts w:eastAsia="Times New Roman"/>
              </w:rPr>
              <w:t>s</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704" w:type="dxa"/>
            <w:tcBorders>
              <w:top w:val="single" w:color="auto" w:sz="4" w:space="0"/>
              <w:left w:val="single" w:color="auto" w:sz="4" w:space="0"/>
              <w:bottom w:val="single" w:color="auto" w:sz="4" w:space="0"/>
              <w:right w:val="single" w:color="auto" w:sz="4" w:space="0"/>
            </w:tcBorders>
            <w:vAlign w:val="center"/>
          </w:tcPr>
          <w:p>
            <w:pPr>
              <w:pStyle w:val="670"/>
            </w:pPr>
            <w:r>
              <w:t>水磨河</w:t>
            </w:r>
          </w:p>
        </w:tc>
        <w:tc>
          <w:tcPr>
            <w:tcW w:w="1707"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40</w:t>
            </w:r>
          </w:p>
        </w:tc>
        <w:tc>
          <w:tcPr>
            <w:tcW w:w="1704"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228</w:t>
            </w:r>
          </w:p>
        </w:tc>
        <w:tc>
          <w:tcPr>
            <w:tcW w:w="1708"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2032</w:t>
            </w:r>
          </w:p>
        </w:tc>
        <w:tc>
          <w:tcPr>
            <w:tcW w:w="1701"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704" w:type="dxa"/>
            <w:tcBorders>
              <w:top w:val="single" w:color="auto" w:sz="4" w:space="0"/>
              <w:left w:val="single" w:color="auto" w:sz="4" w:space="0"/>
              <w:bottom w:val="single" w:color="auto" w:sz="4" w:space="0"/>
              <w:right w:val="single" w:color="auto" w:sz="4" w:space="0"/>
            </w:tcBorders>
            <w:vAlign w:val="center"/>
          </w:tcPr>
          <w:p>
            <w:pPr>
              <w:pStyle w:val="670"/>
            </w:pPr>
            <w:r>
              <w:t>三工河</w:t>
            </w:r>
          </w:p>
        </w:tc>
        <w:tc>
          <w:tcPr>
            <w:tcW w:w="1707"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48</w:t>
            </w:r>
          </w:p>
        </w:tc>
        <w:tc>
          <w:tcPr>
            <w:tcW w:w="1704"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304</w:t>
            </w:r>
          </w:p>
        </w:tc>
        <w:tc>
          <w:tcPr>
            <w:tcW w:w="1708"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5199</w:t>
            </w:r>
          </w:p>
        </w:tc>
        <w:tc>
          <w:tcPr>
            <w:tcW w:w="1701"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704" w:type="dxa"/>
            <w:tcBorders>
              <w:top w:val="single" w:color="auto" w:sz="4" w:space="0"/>
              <w:left w:val="single" w:color="auto" w:sz="4" w:space="0"/>
              <w:bottom w:val="single" w:color="auto" w:sz="4" w:space="0"/>
              <w:right w:val="single" w:color="auto" w:sz="4" w:space="0"/>
            </w:tcBorders>
            <w:vAlign w:val="center"/>
          </w:tcPr>
          <w:p>
            <w:pPr>
              <w:pStyle w:val="670"/>
            </w:pPr>
            <w:r>
              <w:t>四工河</w:t>
            </w:r>
          </w:p>
        </w:tc>
        <w:tc>
          <w:tcPr>
            <w:tcW w:w="1707"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40</w:t>
            </w:r>
          </w:p>
        </w:tc>
        <w:tc>
          <w:tcPr>
            <w:tcW w:w="1704"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159</w:t>
            </w:r>
          </w:p>
        </w:tc>
        <w:tc>
          <w:tcPr>
            <w:tcW w:w="1708"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2613</w:t>
            </w:r>
          </w:p>
        </w:tc>
        <w:tc>
          <w:tcPr>
            <w:tcW w:w="1701"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704" w:type="dxa"/>
            <w:tcBorders>
              <w:top w:val="single" w:color="auto" w:sz="4" w:space="0"/>
              <w:left w:val="single" w:color="auto" w:sz="4" w:space="0"/>
              <w:bottom w:val="single" w:color="auto" w:sz="4" w:space="0"/>
              <w:right w:val="single" w:color="auto" w:sz="4" w:space="0"/>
            </w:tcBorders>
            <w:vAlign w:val="center"/>
          </w:tcPr>
          <w:p>
            <w:pPr>
              <w:pStyle w:val="670"/>
            </w:pPr>
            <w:r>
              <w:t>甘河子河</w:t>
            </w:r>
          </w:p>
        </w:tc>
        <w:tc>
          <w:tcPr>
            <w:tcW w:w="1707"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70</w:t>
            </w:r>
          </w:p>
        </w:tc>
        <w:tc>
          <w:tcPr>
            <w:tcW w:w="1704"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234</w:t>
            </w:r>
          </w:p>
        </w:tc>
        <w:tc>
          <w:tcPr>
            <w:tcW w:w="1708"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2672</w:t>
            </w:r>
          </w:p>
        </w:tc>
        <w:tc>
          <w:tcPr>
            <w:tcW w:w="1701"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704" w:type="dxa"/>
            <w:tcBorders>
              <w:top w:val="single" w:color="auto" w:sz="4" w:space="0"/>
              <w:left w:val="single" w:color="auto" w:sz="4" w:space="0"/>
              <w:bottom w:val="single" w:color="auto" w:sz="4" w:space="0"/>
              <w:right w:val="single" w:color="auto" w:sz="4" w:space="0"/>
            </w:tcBorders>
            <w:vAlign w:val="center"/>
          </w:tcPr>
          <w:p>
            <w:pPr>
              <w:pStyle w:val="670"/>
            </w:pPr>
            <w:r>
              <w:t>白杨河</w:t>
            </w:r>
          </w:p>
        </w:tc>
        <w:tc>
          <w:tcPr>
            <w:tcW w:w="1707"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60</w:t>
            </w:r>
          </w:p>
        </w:tc>
        <w:tc>
          <w:tcPr>
            <w:tcW w:w="1704"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252</w:t>
            </w:r>
          </w:p>
        </w:tc>
        <w:tc>
          <w:tcPr>
            <w:tcW w:w="1708"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6016</w:t>
            </w:r>
          </w:p>
        </w:tc>
        <w:tc>
          <w:tcPr>
            <w:tcW w:w="1701"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704" w:type="dxa"/>
            <w:tcBorders>
              <w:top w:val="single" w:color="auto" w:sz="4" w:space="0"/>
              <w:left w:val="single" w:color="auto" w:sz="4" w:space="0"/>
              <w:bottom w:val="single" w:color="auto" w:sz="4" w:space="0"/>
              <w:right w:val="single" w:color="auto" w:sz="4" w:space="0"/>
            </w:tcBorders>
            <w:vAlign w:val="center"/>
          </w:tcPr>
          <w:p>
            <w:pPr>
              <w:pStyle w:val="670"/>
            </w:pPr>
            <w:r>
              <w:t>西沟河</w:t>
            </w:r>
          </w:p>
        </w:tc>
        <w:tc>
          <w:tcPr>
            <w:tcW w:w="1707"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30</w:t>
            </w:r>
          </w:p>
        </w:tc>
        <w:tc>
          <w:tcPr>
            <w:tcW w:w="1704"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105</w:t>
            </w:r>
          </w:p>
        </w:tc>
        <w:tc>
          <w:tcPr>
            <w:tcW w:w="1708"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197</w:t>
            </w:r>
          </w:p>
        </w:tc>
        <w:tc>
          <w:tcPr>
            <w:tcW w:w="1701"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704" w:type="dxa"/>
            <w:tcBorders>
              <w:top w:val="single" w:color="auto" w:sz="4" w:space="0"/>
              <w:left w:val="single" w:color="auto" w:sz="4" w:space="0"/>
              <w:bottom w:val="single" w:color="auto" w:sz="4" w:space="0"/>
              <w:right w:val="single" w:color="auto" w:sz="4" w:space="0"/>
            </w:tcBorders>
            <w:vAlign w:val="center"/>
          </w:tcPr>
          <w:p>
            <w:pPr>
              <w:pStyle w:val="670"/>
            </w:pPr>
            <w:r>
              <w:t>黄山河</w:t>
            </w:r>
          </w:p>
        </w:tc>
        <w:tc>
          <w:tcPr>
            <w:tcW w:w="1707"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30</w:t>
            </w:r>
          </w:p>
        </w:tc>
        <w:tc>
          <w:tcPr>
            <w:tcW w:w="1704"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122</w:t>
            </w:r>
          </w:p>
        </w:tc>
        <w:tc>
          <w:tcPr>
            <w:tcW w:w="1708"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688</w:t>
            </w:r>
          </w:p>
        </w:tc>
        <w:tc>
          <w:tcPr>
            <w:tcW w:w="1701" w:type="dxa"/>
            <w:tcBorders>
              <w:top w:val="single" w:color="auto" w:sz="4" w:space="0"/>
              <w:left w:val="single" w:color="auto" w:sz="4" w:space="0"/>
              <w:bottom w:val="single" w:color="auto" w:sz="4" w:space="0"/>
              <w:right w:val="single" w:color="auto" w:sz="4" w:space="0"/>
            </w:tcBorders>
            <w:vAlign w:val="center"/>
          </w:tcPr>
          <w:p>
            <w:pPr>
              <w:pStyle w:val="670"/>
              <w:rPr>
                <w:rFonts w:eastAsia="Times New Roman"/>
              </w:rPr>
            </w:pPr>
            <w:r>
              <w:t>0.22</w:t>
            </w:r>
          </w:p>
        </w:tc>
      </w:tr>
    </w:tbl>
    <w:p>
      <w:pPr>
        <w:pStyle w:val="657"/>
        <w:spacing w:line="460" w:lineRule="exact"/>
        <w:ind w:firstLine="480"/>
        <w:jc w:val="both"/>
      </w:pPr>
      <w:r>
        <w:t>阜康市产业园所在区域内有 6 条河流：三工河、四工河、甘河子河、白杨河、 西沟河及黄山河。</w:t>
      </w:r>
    </w:p>
    <w:p>
      <w:pPr>
        <w:pStyle w:val="494"/>
        <w:ind w:firstLine="480"/>
      </w:pPr>
      <w:r>
        <w:t xml:space="preserve">2、地下水 </w:t>
      </w:r>
    </w:p>
    <w:p>
      <w:pPr>
        <w:pStyle w:val="657"/>
        <w:spacing w:line="460" w:lineRule="exact"/>
        <w:ind w:firstLine="480"/>
        <w:jc w:val="both"/>
      </w:pPr>
      <w:r>
        <w:t>地下水按分布地区及埋藏情況可划分为裂水区，潜水区和承压水区。地表水经基岩裂隙进入地下形成裂隙水。裂隙水的埋藏形式复杂，在中山、低山岳陵， 裂水部分以泉水形式出露。</w:t>
      </w:r>
    </w:p>
    <w:p>
      <w:pPr>
        <w:pStyle w:val="657"/>
        <w:spacing w:line="460" w:lineRule="exact"/>
        <w:ind w:firstLine="480"/>
        <w:jc w:val="both"/>
      </w:pPr>
      <w:r>
        <w:t>潜水区位于冲积洪积平原内，地下水埋藏深度由南向北逐步变浅，矿化度逐渐增高，由碳酸盐性水渐变为硫酸盐性水或氯化物性水。其含水层颗粒由上部（山 前）卵砾石渐变成中部的粗砾石，到下部（北部平原）为细砾和粗、中、细、粉 砂。随着含水层颗粒物的变小，渗透系数也随之变小。地下水埋藏深度南部最深处达100m以上，北部最浅处不足1m或成沼泽。该区域是阜康市地下水源的重点开发区，70年代以来，大量提取地下水，地下水位降低，矿化度下降，水质变好。承压水区位于平原北部，沙漠以南，含水层厚40～60m，由中砂、细砂组成。往沙漠方向，含水层逐渐变薄以至尖灭。</w:t>
      </w:r>
    </w:p>
    <w:p>
      <w:pPr>
        <w:pStyle w:val="657"/>
        <w:spacing w:line="460" w:lineRule="exact"/>
        <w:ind w:firstLine="480"/>
        <w:jc w:val="both"/>
      </w:pPr>
      <w:r>
        <w:t>承压水区分布于潜水溢出带以北，北沙漠以南的广大冲洪积平原，主要靠上游潜水侧向补给。其富水性及水质较好，向沙漠方向上，含水层逐渐变薄以至尖灭，富水性减弱，水头降低，在近沙漠地段，有部分承压水不能自流，只能越层补给潜水，排泄以蒸发为主。</w:t>
      </w:r>
    </w:p>
    <w:p>
      <w:pPr>
        <w:pStyle w:val="657"/>
        <w:spacing w:line="460" w:lineRule="exact"/>
        <w:ind w:firstLine="480"/>
        <w:jc w:val="both"/>
      </w:pPr>
      <w:r>
        <w:t>地下水年总补给量1.79亿m</w:t>
      </w:r>
      <w:r>
        <w:rPr>
          <w:vertAlign w:val="superscript"/>
        </w:rPr>
        <w:t>3</w:t>
      </w:r>
      <w:r>
        <w:t>，动储量1.87亿m</w:t>
      </w:r>
      <w:r>
        <w:rPr>
          <w:vertAlign w:val="superscript"/>
        </w:rPr>
        <w:t>3</w:t>
      </w:r>
      <w:r>
        <w:t>，年可开采量1.26亿 m</w:t>
      </w:r>
      <w:r>
        <w:rPr>
          <w:vertAlign w:val="superscript"/>
        </w:rPr>
        <w:t>3</w:t>
      </w:r>
      <w:r>
        <w:t>，潜水蒸发量0.46亿m</w:t>
      </w:r>
      <w:r>
        <w:rPr>
          <w:vertAlign w:val="superscript"/>
        </w:rPr>
        <w:t>3</w:t>
      </w:r>
      <w:r>
        <w:t>/a。</w:t>
      </w:r>
    </w:p>
    <w:p>
      <w:pPr>
        <w:pStyle w:val="5"/>
        <w:spacing w:before="120" w:after="120"/>
        <w:rPr>
          <w:spacing w:val="0"/>
        </w:rPr>
      </w:pPr>
      <w:bookmarkStart w:id="276" w:name="_Toc107500376"/>
      <w:bookmarkStart w:id="277" w:name="_Toc145580411"/>
      <w:r>
        <w:rPr>
          <w:rFonts w:hint="eastAsia"/>
          <w:spacing w:val="0"/>
        </w:rPr>
        <w:t>4</w:t>
      </w:r>
      <w:r>
        <w:rPr>
          <w:spacing w:val="0"/>
        </w:rPr>
        <w:t>.1.4气候</w:t>
      </w:r>
      <w:bookmarkEnd w:id="273"/>
      <w:bookmarkEnd w:id="276"/>
      <w:r>
        <w:rPr>
          <w:rFonts w:hint="eastAsia"/>
          <w:spacing w:val="0"/>
        </w:rPr>
        <w:t>气象</w:t>
      </w:r>
      <w:bookmarkEnd w:id="277"/>
    </w:p>
    <w:p>
      <w:pPr>
        <w:pStyle w:val="657"/>
        <w:spacing w:line="460" w:lineRule="exact"/>
        <w:ind w:firstLine="480"/>
        <w:jc w:val="both"/>
      </w:pPr>
      <w:bookmarkStart w:id="278" w:name="_Toc107500377"/>
      <w:r>
        <w:t>阜康地处准格尔盆地南缘，远离海洋，属中温带大陆性干旱气候区，境内气温随地貌单元的变化呈垂直地带性分布特征较为显著，日照时间从南向北、从西向东逐渐增多。从季节看，夏季最多，冬季最少，春季多与秋季。四季分明，光照充足，热量丰富，昼夜温差大。</w:t>
      </w:r>
    </w:p>
    <w:p>
      <w:pPr>
        <w:pStyle w:val="657"/>
        <w:spacing w:line="460" w:lineRule="exact"/>
        <w:ind w:firstLine="480"/>
        <w:jc w:val="both"/>
      </w:pPr>
      <w:r>
        <w:t>春季：通常在3月中下旬开春持续到5月下旬末。升温迅速而不稳，天气多变，平均每月有一到两次强冷空气入侵，使气温变化幅度较大，春季多风。</w:t>
      </w:r>
    </w:p>
    <w:p>
      <w:pPr>
        <w:pStyle w:val="657"/>
        <w:spacing w:line="460" w:lineRule="exact"/>
        <w:ind w:firstLine="480"/>
        <w:jc w:val="both"/>
      </w:pPr>
      <w:r>
        <w:t>夏季：6月上旬到九月上旬。炎热干燥，空气湿度很小，无闷热感。降水较集中，多阵性风雨天气。</w:t>
      </w:r>
    </w:p>
    <w:p>
      <w:pPr>
        <w:pStyle w:val="657"/>
        <w:spacing w:line="460" w:lineRule="exact"/>
        <w:ind w:firstLine="480"/>
        <w:jc w:val="both"/>
      </w:pPr>
      <w:r>
        <w:t>秋季：9月上中旬到11月中下旬。秋高气爽，晴天日数最多。平均每月有一到两次强冷空气入侵，使得气温下降迅速。</w:t>
      </w:r>
    </w:p>
    <w:p>
      <w:pPr>
        <w:pStyle w:val="657"/>
        <w:spacing w:line="460" w:lineRule="exact"/>
        <w:ind w:firstLine="480"/>
        <w:jc w:val="both"/>
      </w:pPr>
      <w:r>
        <w:t>冬季：11月中下旬到翌年3月中下旬。寒冷漫长，有稳定积雪，空气湿度明显加大。冬季上空多有逆温形成，平均风速为四季最小，多阴雾天气出现。</w:t>
      </w:r>
    </w:p>
    <w:p>
      <w:pPr>
        <w:pStyle w:val="657"/>
        <w:spacing w:line="460" w:lineRule="exact"/>
        <w:ind w:firstLine="480"/>
        <w:jc w:val="both"/>
      </w:pPr>
      <w:r>
        <w:t>阜康市气象站近30年主要气象参数见表4.1-2。</w:t>
      </w:r>
    </w:p>
    <w:p>
      <w:pPr>
        <w:pStyle w:val="664"/>
        <w:spacing w:line="240" w:lineRule="auto"/>
        <w:ind w:firstLine="420" w:firstLineChars="200"/>
        <w:jc w:val="both"/>
        <w:rPr>
          <w:rFonts w:ascii="Times New Roman" w:hAnsi="Times New Roman" w:cs="Times New Roman"/>
          <w:snapToGrid w:val="0"/>
          <w:spacing w:val="-4"/>
        </w:rPr>
      </w:pPr>
      <w:r>
        <w:rPr>
          <w:rFonts w:ascii="Times New Roman" w:hAnsi="Times New Roman" w:cs="Times New Roman"/>
        </w:rPr>
        <w:t>表4.1-2                   阜康市区域主要气象参数</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981"/>
        <w:gridCol w:w="2104"/>
        <w:gridCol w:w="2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pPr>
              <w:pStyle w:val="670"/>
            </w:pPr>
            <w:r>
              <w:t>气象要素</w:t>
            </w:r>
          </w:p>
        </w:tc>
        <w:tc>
          <w:tcPr>
            <w:tcW w:w="1981" w:type="dxa"/>
            <w:tcBorders>
              <w:top w:val="single" w:color="auto" w:sz="4" w:space="0"/>
              <w:left w:val="single" w:color="auto" w:sz="4" w:space="0"/>
              <w:bottom w:val="single" w:color="auto" w:sz="4" w:space="0"/>
              <w:right w:val="single" w:color="auto" w:sz="4" w:space="0"/>
            </w:tcBorders>
            <w:vAlign w:val="center"/>
          </w:tcPr>
          <w:p>
            <w:pPr>
              <w:pStyle w:val="670"/>
            </w:pPr>
            <w:r>
              <w:t>数 据</w:t>
            </w:r>
          </w:p>
        </w:tc>
        <w:tc>
          <w:tcPr>
            <w:tcW w:w="2104" w:type="dxa"/>
            <w:tcBorders>
              <w:top w:val="single" w:color="auto" w:sz="4" w:space="0"/>
              <w:left w:val="single" w:color="auto" w:sz="4" w:space="0"/>
              <w:bottom w:val="single" w:color="auto" w:sz="4" w:space="0"/>
              <w:right w:val="single" w:color="auto" w:sz="4" w:space="0"/>
            </w:tcBorders>
            <w:vAlign w:val="center"/>
          </w:tcPr>
          <w:p>
            <w:pPr>
              <w:pStyle w:val="670"/>
            </w:pPr>
            <w:r>
              <w:t>气象要素</w:t>
            </w:r>
          </w:p>
        </w:tc>
        <w:tc>
          <w:tcPr>
            <w:tcW w:w="2116" w:type="dxa"/>
            <w:tcBorders>
              <w:top w:val="single" w:color="auto" w:sz="4" w:space="0"/>
              <w:left w:val="single" w:color="auto" w:sz="4" w:space="0"/>
              <w:bottom w:val="single" w:color="auto" w:sz="4" w:space="0"/>
              <w:right w:val="single" w:color="auto" w:sz="4" w:space="0"/>
            </w:tcBorders>
            <w:vAlign w:val="center"/>
          </w:tcPr>
          <w:p>
            <w:pPr>
              <w:pStyle w:val="670"/>
            </w:pPr>
            <w:r>
              <w:t>数 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pPr>
              <w:pStyle w:val="670"/>
            </w:pPr>
            <w:r>
              <w:t>平均气温</w:t>
            </w:r>
          </w:p>
        </w:tc>
        <w:tc>
          <w:tcPr>
            <w:tcW w:w="1981" w:type="dxa"/>
            <w:tcBorders>
              <w:top w:val="single" w:color="auto" w:sz="4" w:space="0"/>
              <w:left w:val="single" w:color="auto" w:sz="4" w:space="0"/>
              <w:bottom w:val="single" w:color="auto" w:sz="4" w:space="0"/>
              <w:right w:val="single" w:color="auto" w:sz="4" w:space="0"/>
            </w:tcBorders>
            <w:vAlign w:val="center"/>
          </w:tcPr>
          <w:p>
            <w:pPr>
              <w:pStyle w:val="670"/>
            </w:pPr>
            <w:r>
              <w:t>73</w:t>
            </w:r>
            <w:r>
              <w:rPr>
                <w:rFonts w:hint="eastAsia" w:ascii="宋体" w:hAnsi="宋体" w:cs="宋体"/>
              </w:rPr>
              <w:t>℃</w:t>
            </w:r>
          </w:p>
        </w:tc>
        <w:tc>
          <w:tcPr>
            <w:tcW w:w="2104" w:type="dxa"/>
            <w:tcBorders>
              <w:top w:val="single" w:color="auto" w:sz="4" w:space="0"/>
              <w:left w:val="single" w:color="auto" w:sz="4" w:space="0"/>
              <w:bottom w:val="single" w:color="auto" w:sz="4" w:space="0"/>
              <w:right w:val="single" w:color="auto" w:sz="4" w:space="0"/>
            </w:tcBorders>
            <w:vAlign w:val="center"/>
          </w:tcPr>
          <w:p>
            <w:pPr>
              <w:pStyle w:val="670"/>
            </w:pPr>
            <w:r>
              <w:t>年平均风速</w:t>
            </w:r>
          </w:p>
        </w:tc>
        <w:tc>
          <w:tcPr>
            <w:tcW w:w="2116" w:type="dxa"/>
            <w:tcBorders>
              <w:top w:val="single" w:color="auto" w:sz="4" w:space="0"/>
              <w:left w:val="single" w:color="auto" w:sz="4" w:space="0"/>
              <w:bottom w:val="single" w:color="auto" w:sz="4" w:space="0"/>
              <w:right w:val="single" w:color="auto" w:sz="4" w:space="0"/>
            </w:tcBorders>
            <w:vAlign w:val="center"/>
          </w:tcPr>
          <w:p>
            <w:pPr>
              <w:pStyle w:val="670"/>
            </w:pPr>
            <w:r>
              <w:t>1.9m/s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pPr>
              <w:pStyle w:val="670"/>
            </w:pPr>
            <w:r>
              <w:t>历年极端最高气温</w:t>
            </w:r>
          </w:p>
        </w:tc>
        <w:tc>
          <w:tcPr>
            <w:tcW w:w="1981" w:type="dxa"/>
            <w:tcBorders>
              <w:top w:val="single" w:color="auto" w:sz="4" w:space="0"/>
              <w:left w:val="single" w:color="auto" w:sz="4" w:space="0"/>
              <w:bottom w:val="single" w:color="auto" w:sz="4" w:space="0"/>
              <w:right w:val="single" w:color="auto" w:sz="4" w:space="0"/>
            </w:tcBorders>
            <w:vAlign w:val="center"/>
          </w:tcPr>
          <w:p>
            <w:pPr>
              <w:pStyle w:val="670"/>
            </w:pPr>
            <w:r>
              <w:t>41.1</w:t>
            </w:r>
            <w:r>
              <w:rPr>
                <w:rFonts w:hint="eastAsia" w:ascii="宋体" w:hAnsi="宋体" w:cs="宋体"/>
              </w:rPr>
              <w:t>℃</w:t>
            </w:r>
          </w:p>
        </w:tc>
        <w:tc>
          <w:tcPr>
            <w:tcW w:w="2104" w:type="dxa"/>
            <w:tcBorders>
              <w:top w:val="single" w:color="auto" w:sz="4" w:space="0"/>
              <w:left w:val="single" w:color="auto" w:sz="4" w:space="0"/>
              <w:bottom w:val="single" w:color="auto" w:sz="4" w:space="0"/>
              <w:right w:val="single" w:color="auto" w:sz="4" w:space="0"/>
            </w:tcBorders>
            <w:vAlign w:val="center"/>
          </w:tcPr>
          <w:p>
            <w:pPr>
              <w:pStyle w:val="670"/>
            </w:pPr>
            <w:r>
              <w:t>年平均降水量</w:t>
            </w:r>
          </w:p>
        </w:tc>
        <w:tc>
          <w:tcPr>
            <w:tcW w:w="2116" w:type="dxa"/>
            <w:tcBorders>
              <w:top w:val="single" w:color="auto" w:sz="4" w:space="0"/>
              <w:left w:val="single" w:color="auto" w:sz="4" w:space="0"/>
              <w:bottom w:val="single" w:color="auto" w:sz="4" w:space="0"/>
              <w:right w:val="single" w:color="auto" w:sz="4" w:space="0"/>
            </w:tcBorders>
            <w:vAlign w:val="center"/>
          </w:tcPr>
          <w:p>
            <w:pPr>
              <w:pStyle w:val="670"/>
            </w:pPr>
            <w:r>
              <w:t>237.0mm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pPr>
              <w:pStyle w:val="670"/>
            </w:pPr>
            <w:r>
              <w:t>历年极端最低气温</w:t>
            </w:r>
          </w:p>
        </w:tc>
        <w:tc>
          <w:tcPr>
            <w:tcW w:w="1981" w:type="dxa"/>
            <w:tcBorders>
              <w:top w:val="single" w:color="auto" w:sz="4" w:space="0"/>
              <w:left w:val="single" w:color="auto" w:sz="4" w:space="0"/>
              <w:bottom w:val="single" w:color="auto" w:sz="4" w:space="0"/>
              <w:right w:val="single" w:color="auto" w:sz="4" w:space="0"/>
            </w:tcBorders>
            <w:vAlign w:val="center"/>
          </w:tcPr>
          <w:p>
            <w:pPr>
              <w:pStyle w:val="670"/>
            </w:pPr>
            <w:r>
              <w:t>-34.4</w:t>
            </w:r>
            <w:r>
              <w:rPr>
                <w:rFonts w:hint="eastAsia" w:ascii="宋体" w:hAnsi="宋体" w:cs="宋体"/>
              </w:rPr>
              <w:t>℃</w:t>
            </w:r>
          </w:p>
        </w:tc>
        <w:tc>
          <w:tcPr>
            <w:tcW w:w="2104" w:type="dxa"/>
            <w:tcBorders>
              <w:top w:val="single" w:color="auto" w:sz="4" w:space="0"/>
              <w:left w:val="single" w:color="auto" w:sz="4" w:space="0"/>
              <w:bottom w:val="single" w:color="auto" w:sz="4" w:space="0"/>
              <w:right w:val="single" w:color="auto" w:sz="4" w:space="0"/>
            </w:tcBorders>
            <w:vAlign w:val="center"/>
          </w:tcPr>
          <w:p>
            <w:pPr>
              <w:pStyle w:val="670"/>
            </w:pPr>
            <w:r>
              <w:t>日最大降水量</w:t>
            </w:r>
          </w:p>
        </w:tc>
        <w:tc>
          <w:tcPr>
            <w:tcW w:w="2116" w:type="dxa"/>
            <w:tcBorders>
              <w:top w:val="single" w:color="auto" w:sz="4" w:space="0"/>
              <w:left w:val="single" w:color="auto" w:sz="4" w:space="0"/>
              <w:bottom w:val="single" w:color="auto" w:sz="4" w:space="0"/>
              <w:right w:val="single" w:color="auto" w:sz="4" w:space="0"/>
            </w:tcBorders>
            <w:vAlign w:val="center"/>
          </w:tcPr>
          <w:p>
            <w:pPr>
              <w:pStyle w:val="670"/>
            </w:pPr>
            <w:r>
              <w:t>64.0mm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pPr>
              <w:pStyle w:val="670"/>
            </w:pPr>
            <w:r>
              <w:t>年平均雷暴日数</w:t>
            </w:r>
          </w:p>
        </w:tc>
        <w:tc>
          <w:tcPr>
            <w:tcW w:w="1981" w:type="dxa"/>
            <w:tcBorders>
              <w:top w:val="single" w:color="auto" w:sz="4" w:space="0"/>
              <w:left w:val="single" w:color="auto" w:sz="4" w:space="0"/>
              <w:bottom w:val="single" w:color="auto" w:sz="4" w:space="0"/>
              <w:right w:val="single" w:color="auto" w:sz="4" w:space="0"/>
            </w:tcBorders>
            <w:vAlign w:val="center"/>
          </w:tcPr>
          <w:p>
            <w:pPr>
              <w:pStyle w:val="670"/>
            </w:pPr>
            <w:r>
              <w:t>7.5天</w:t>
            </w:r>
          </w:p>
        </w:tc>
        <w:tc>
          <w:tcPr>
            <w:tcW w:w="2104" w:type="dxa"/>
            <w:tcBorders>
              <w:top w:val="single" w:color="auto" w:sz="4" w:space="0"/>
              <w:left w:val="single" w:color="auto" w:sz="4" w:space="0"/>
              <w:bottom w:val="single" w:color="auto" w:sz="4" w:space="0"/>
              <w:right w:val="single" w:color="auto" w:sz="4" w:space="0"/>
            </w:tcBorders>
            <w:vAlign w:val="center"/>
          </w:tcPr>
          <w:p>
            <w:pPr>
              <w:pStyle w:val="670"/>
            </w:pPr>
            <w:r>
              <w:t>年均相对湿度</w:t>
            </w:r>
          </w:p>
        </w:tc>
        <w:tc>
          <w:tcPr>
            <w:tcW w:w="2116" w:type="dxa"/>
            <w:tcBorders>
              <w:top w:val="single" w:color="auto" w:sz="4" w:space="0"/>
              <w:left w:val="single" w:color="auto" w:sz="4" w:space="0"/>
              <w:bottom w:val="single" w:color="auto" w:sz="4" w:space="0"/>
              <w:right w:val="single" w:color="auto" w:sz="4" w:space="0"/>
            </w:tcBorders>
            <w:vAlign w:val="center"/>
          </w:tcPr>
          <w:p>
            <w:pPr>
              <w:pStyle w:val="670"/>
            </w:pPr>
            <w: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pPr>
              <w:pStyle w:val="670"/>
            </w:pPr>
            <w:r>
              <w:t>年平均雾日数</w:t>
            </w:r>
          </w:p>
        </w:tc>
        <w:tc>
          <w:tcPr>
            <w:tcW w:w="1981" w:type="dxa"/>
            <w:tcBorders>
              <w:top w:val="single" w:color="auto" w:sz="4" w:space="0"/>
              <w:left w:val="single" w:color="auto" w:sz="4" w:space="0"/>
              <w:bottom w:val="single" w:color="auto" w:sz="4" w:space="0"/>
              <w:right w:val="single" w:color="auto" w:sz="4" w:space="0"/>
            </w:tcBorders>
            <w:vAlign w:val="center"/>
          </w:tcPr>
          <w:p>
            <w:pPr>
              <w:pStyle w:val="670"/>
            </w:pPr>
            <w:r>
              <w:t>27.3天</w:t>
            </w:r>
          </w:p>
        </w:tc>
        <w:tc>
          <w:tcPr>
            <w:tcW w:w="2104" w:type="dxa"/>
            <w:tcBorders>
              <w:top w:val="single" w:color="auto" w:sz="4" w:space="0"/>
              <w:left w:val="single" w:color="auto" w:sz="4" w:space="0"/>
              <w:bottom w:val="single" w:color="auto" w:sz="4" w:space="0"/>
              <w:right w:val="single" w:color="auto" w:sz="4" w:space="0"/>
            </w:tcBorders>
            <w:vAlign w:val="center"/>
          </w:tcPr>
          <w:p>
            <w:pPr>
              <w:pStyle w:val="670"/>
            </w:pPr>
            <w:r>
              <w:t>年平均大气压</w:t>
            </w:r>
          </w:p>
        </w:tc>
        <w:tc>
          <w:tcPr>
            <w:tcW w:w="2116" w:type="dxa"/>
            <w:tcBorders>
              <w:top w:val="single" w:color="auto" w:sz="4" w:space="0"/>
              <w:left w:val="single" w:color="auto" w:sz="4" w:space="0"/>
              <w:bottom w:val="single" w:color="auto" w:sz="4" w:space="0"/>
              <w:right w:val="single" w:color="auto" w:sz="4" w:space="0"/>
            </w:tcBorders>
            <w:vAlign w:val="center"/>
          </w:tcPr>
          <w:p>
            <w:pPr>
              <w:pStyle w:val="670"/>
            </w:pPr>
            <w:r>
              <w:t>956.7hPa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pPr>
              <w:pStyle w:val="670"/>
            </w:pPr>
            <w:r>
              <w:t>年主导风向</w:t>
            </w:r>
          </w:p>
        </w:tc>
        <w:tc>
          <w:tcPr>
            <w:tcW w:w="1981" w:type="dxa"/>
            <w:tcBorders>
              <w:top w:val="single" w:color="auto" w:sz="4" w:space="0"/>
              <w:left w:val="single" w:color="auto" w:sz="4" w:space="0"/>
              <w:bottom w:val="single" w:color="auto" w:sz="4" w:space="0"/>
              <w:right w:val="single" w:color="auto" w:sz="4" w:space="0"/>
            </w:tcBorders>
            <w:vAlign w:val="center"/>
          </w:tcPr>
          <w:p>
            <w:pPr>
              <w:pStyle w:val="670"/>
            </w:pPr>
            <w:r>
              <w:t>东北</w:t>
            </w:r>
          </w:p>
        </w:tc>
        <w:tc>
          <w:tcPr>
            <w:tcW w:w="2104" w:type="dxa"/>
            <w:tcBorders>
              <w:top w:val="single" w:color="auto" w:sz="4" w:space="0"/>
              <w:left w:val="single" w:color="auto" w:sz="4" w:space="0"/>
              <w:bottom w:val="single" w:color="auto" w:sz="4" w:space="0"/>
              <w:right w:val="single" w:color="auto" w:sz="4" w:space="0"/>
            </w:tcBorders>
            <w:vAlign w:val="center"/>
          </w:tcPr>
          <w:p>
            <w:pPr>
              <w:pStyle w:val="670"/>
            </w:pPr>
            <w:r>
              <w:t>年均蒸发量</w:t>
            </w:r>
          </w:p>
        </w:tc>
        <w:tc>
          <w:tcPr>
            <w:tcW w:w="2116" w:type="dxa"/>
            <w:tcBorders>
              <w:top w:val="single" w:color="auto" w:sz="4" w:space="0"/>
              <w:left w:val="single" w:color="auto" w:sz="4" w:space="0"/>
              <w:bottom w:val="single" w:color="auto" w:sz="4" w:space="0"/>
              <w:right w:val="single" w:color="auto" w:sz="4" w:space="0"/>
            </w:tcBorders>
            <w:vAlign w:val="center"/>
          </w:tcPr>
          <w:p>
            <w:pPr>
              <w:pStyle w:val="670"/>
            </w:pPr>
            <w:r>
              <w:t>1652.2mm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pPr>
              <w:pStyle w:val="670"/>
            </w:pPr>
            <w:r>
              <w:t>十分钟平均最大风速</w:t>
            </w:r>
          </w:p>
        </w:tc>
        <w:tc>
          <w:tcPr>
            <w:tcW w:w="1981" w:type="dxa"/>
            <w:tcBorders>
              <w:top w:val="single" w:color="auto" w:sz="4" w:space="0"/>
              <w:left w:val="single" w:color="auto" w:sz="4" w:space="0"/>
              <w:bottom w:val="single" w:color="auto" w:sz="4" w:space="0"/>
              <w:right w:val="single" w:color="auto" w:sz="4" w:space="0"/>
            </w:tcBorders>
            <w:vAlign w:val="center"/>
          </w:tcPr>
          <w:p>
            <w:pPr>
              <w:pStyle w:val="670"/>
            </w:pPr>
            <w:r>
              <w:t>15.7m/s</w:t>
            </w:r>
          </w:p>
        </w:tc>
        <w:tc>
          <w:tcPr>
            <w:tcW w:w="2104" w:type="dxa"/>
            <w:tcBorders>
              <w:top w:val="single" w:color="auto" w:sz="4" w:space="0"/>
              <w:left w:val="single" w:color="auto" w:sz="4" w:space="0"/>
              <w:bottom w:val="single" w:color="auto" w:sz="4" w:space="0"/>
              <w:right w:val="single" w:color="auto" w:sz="4" w:space="0"/>
            </w:tcBorders>
            <w:vAlign w:val="center"/>
          </w:tcPr>
          <w:p>
            <w:pPr>
              <w:pStyle w:val="670"/>
            </w:pPr>
            <w:r>
              <w:t>最大冻土深度</w:t>
            </w:r>
          </w:p>
        </w:tc>
        <w:tc>
          <w:tcPr>
            <w:tcW w:w="2116" w:type="dxa"/>
            <w:tcBorders>
              <w:top w:val="single" w:color="auto" w:sz="4" w:space="0"/>
              <w:left w:val="single" w:color="auto" w:sz="4" w:space="0"/>
              <w:bottom w:val="single" w:color="auto" w:sz="4" w:space="0"/>
              <w:right w:val="single" w:color="auto" w:sz="4" w:space="0"/>
            </w:tcBorders>
            <w:vAlign w:val="center"/>
          </w:tcPr>
          <w:p>
            <w:pPr>
              <w:pStyle w:val="670"/>
            </w:pPr>
            <w:r>
              <w:t>1.44m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pPr>
              <w:pStyle w:val="670"/>
            </w:pPr>
            <w:r>
              <w:t>年最大风速</w:t>
            </w:r>
          </w:p>
        </w:tc>
        <w:tc>
          <w:tcPr>
            <w:tcW w:w="1981" w:type="dxa"/>
            <w:tcBorders>
              <w:top w:val="single" w:color="auto" w:sz="4" w:space="0"/>
              <w:left w:val="single" w:color="auto" w:sz="4" w:space="0"/>
              <w:bottom w:val="single" w:color="auto" w:sz="4" w:space="0"/>
              <w:right w:val="single" w:color="auto" w:sz="4" w:space="0"/>
            </w:tcBorders>
            <w:vAlign w:val="center"/>
          </w:tcPr>
          <w:p>
            <w:pPr>
              <w:pStyle w:val="670"/>
            </w:pPr>
            <w:r>
              <w:t>21m/s</w:t>
            </w:r>
          </w:p>
        </w:tc>
        <w:tc>
          <w:tcPr>
            <w:tcW w:w="2104" w:type="dxa"/>
            <w:tcBorders>
              <w:top w:val="single" w:color="auto" w:sz="4" w:space="0"/>
              <w:left w:val="single" w:color="auto" w:sz="4" w:space="0"/>
              <w:bottom w:val="single" w:color="auto" w:sz="4" w:space="0"/>
              <w:right w:val="single" w:color="auto" w:sz="4" w:space="0"/>
            </w:tcBorders>
            <w:vAlign w:val="center"/>
          </w:tcPr>
          <w:p>
            <w:pPr>
              <w:pStyle w:val="670"/>
            </w:pPr>
            <w:r>
              <w:t>最大积雪深</w:t>
            </w:r>
          </w:p>
        </w:tc>
        <w:tc>
          <w:tcPr>
            <w:tcW w:w="2116" w:type="dxa"/>
            <w:tcBorders>
              <w:top w:val="single" w:color="auto" w:sz="4" w:space="0"/>
              <w:left w:val="single" w:color="auto" w:sz="4" w:space="0"/>
              <w:bottom w:val="single" w:color="auto" w:sz="4" w:space="0"/>
              <w:right w:val="single" w:color="auto" w:sz="4" w:space="0"/>
            </w:tcBorders>
            <w:vAlign w:val="center"/>
          </w:tcPr>
          <w:p>
            <w:pPr>
              <w:pStyle w:val="670"/>
            </w:pPr>
            <w:r>
              <w:t>33cm</w:t>
            </w:r>
          </w:p>
        </w:tc>
      </w:tr>
    </w:tbl>
    <w:p>
      <w:pPr>
        <w:pStyle w:val="657"/>
        <w:spacing w:line="460" w:lineRule="exact"/>
        <w:ind w:firstLine="480"/>
        <w:jc w:val="both"/>
      </w:pPr>
      <w:r>
        <w:t>阜康市气候大致分为：南部山区、中部平原、北部沙漠三个区域，主要灾害性气候有：旱灾、洪灾、霜冻。阜康地处温带大陆性干旱气候区，但因存在着山地、平原、沙漠的巨大差异，气候也各不相同。在北部的平原、沙漠区呈现出明显的大陆性干旱气候，四季分明，热量丰富，降水稀少，春温高于秋温，年较差、日较差大。在南部山区，不完全具有温带大陆性干旱气候的特征，而表现为冬暖夏凉，无明显的春季和秋季，降水充足，热量不足，冬夏等长的特征。</w:t>
      </w:r>
    </w:p>
    <w:p>
      <w:pPr>
        <w:pStyle w:val="664"/>
        <w:spacing w:line="240" w:lineRule="auto"/>
        <w:ind w:firstLine="420" w:firstLineChars="200"/>
        <w:jc w:val="both"/>
        <w:rPr>
          <w:rFonts w:ascii="Times New Roman" w:hAnsi="Times New Roman" w:cs="Times New Roman"/>
        </w:rPr>
      </w:pPr>
      <w:r>
        <w:rPr>
          <w:rFonts w:ascii="Times New Roman" w:hAnsi="Times New Roman" w:cs="Times New Roman"/>
        </w:rPr>
        <w:t>表4.1-3                    区域常年气温特征表</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3"/>
        <w:gridCol w:w="1690"/>
        <w:gridCol w:w="1687"/>
        <w:gridCol w:w="1688"/>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0" w:type="dxa"/>
            <w:gridSpan w:val="2"/>
            <w:tcBorders>
              <w:top w:val="single" w:color="auto" w:sz="4" w:space="0"/>
              <w:left w:val="single" w:color="auto" w:sz="4" w:space="0"/>
              <w:bottom w:val="single" w:color="auto" w:sz="4" w:space="0"/>
              <w:right w:val="single" w:color="auto" w:sz="4" w:space="0"/>
            </w:tcBorders>
            <w:vAlign w:val="center"/>
          </w:tcPr>
          <w:p>
            <w:pPr>
              <w:pStyle w:val="670"/>
            </w:pPr>
            <w:r>
              <w:t>气 候 特 征</w:t>
            </w:r>
          </w:p>
        </w:tc>
        <w:tc>
          <w:tcPr>
            <w:tcW w:w="1706" w:type="dxa"/>
            <w:tcBorders>
              <w:top w:val="single" w:color="auto" w:sz="4" w:space="0"/>
              <w:left w:val="single" w:color="auto" w:sz="4" w:space="0"/>
              <w:bottom w:val="single" w:color="auto" w:sz="4" w:space="0"/>
              <w:right w:val="single" w:color="auto" w:sz="4" w:space="0"/>
            </w:tcBorders>
            <w:vAlign w:val="center"/>
          </w:tcPr>
          <w:p>
            <w:pPr>
              <w:pStyle w:val="670"/>
            </w:pPr>
            <w:r>
              <w:t>南部山区</w:t>
            </w:r>
          </w:p>
        </w:tc>
        <w:tc>
          <w:tcPr>
            <w:tcW w:w="1706" w:type="dxa"/>
            <w:tcBorders>
              <w:top w:val="single" w:color="auto" w:sz="4" w:space="0"/>
              <w:left w:val="single" w:color="auto" w:sz="4" w:space="0"/>
              <w:bottom w:val="single" w:color="auto" w:sz="4" w:space="0"/>
              <w:right w:val="single" w:color="auto" w:sz="4" w:space="0"/>
            </w:tcBorders>
            <w:vAlign w:val="center"/>
          </w:tcPr>
          <w:p>
            <w:pPr>
              <w:pStyle w:val="670"/>
            </w:pPr>
            <w:r>
              <w:t>中部平原</w:t>
            </w:r>
          </w:p>
        </w:tc>
        <w:tc>
          <w:tcPr>
            <w:tcW w:w="1706" w:type="dxa"/>
            <w:tcBorders>
              <w:top w:val="single" w:color="auto" w:sz="4" w:space="0"/>
              <w:left w:val="single" w:color="auto" w:sz="4" w:space="0"/>
              <w:bottom w:val="single" w:color="auto" w:sz="4" w:space="0"/>
              <w:right w:val="single" w:color="auto" w:sz="4" w:space="0"/>
            </w:tcBorders>
            <w:vAlign w:val="center"/>
          </w:tcPr>
          <w:p>
            <w:pPr>
              <w:pStyle w:val="670"/>
            </w:pPr>
            <w:r>
              <w:t>北部沙漠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0" w:type="dxa"/>
            <w:gridSpan w:val="2"/>
            <w:tcBorders>
              <w:top w:val="single" w:color="auto" w:sz="4" w:space="0"/>
              <w:left w:val="single" w:color="auto" w:sz="4" w:space="0"/>
              <w:bottom w:val="single" w:color="auto" w:sz="4" w:space="0"/>
              <w:right w:val="single" w:color="auto" w:sz="4" w:space="0"/>
            </w:tcBorders>
            <w:vAlign w:val="center"/>
          </w:tcPr>
          <w:p>
            <w:pPr>
              <w:pStyle w:val="670"/>
            </w:pPr>
            <w:r>
              <w:t>年平均气温（</w:t>
            </w:r>
            <w:r>
              <w:rPr>
                <w:rFonts w:hint="eastAsia" w:ascii="宋体" w:hAnsi="宋体" w:cs="宋体"/>
              </w:rPr>
              <w:t>℃</w:t>
            </w:r>
            <w:r>
              <w:t>）</w:t>
            </w:r>
          </w:p>
        </w:tc>
        <w:tc>
          <w:tcPr>
            <w:tcW w:w="1706" w:type="dxa"/>
            <w:tcBorders>
              <w:top w:val="single" w:color="auto" w:sz="4" w:space="0"/>
              <w:left w:val="single" w:color="auto" w:sz="4" w:space="0"/>
              <w:bottom w:val="single" w:color="auto" w:sz="4" w:space="0"/>
              <w:right w:val="single" w:color="auto" w:sz="4" w:space="0"/>
            </w:tcBorders>
            <w:vAlign w:val="center"/>
          </w:tcPr>
          <w:p>
            <w:pPr>
              <w:pStyle w:val="670"/>
            </w:pPr>
            <w:r>
              <w:t>2.54</w:t>
            </w:r>
          </w:p>
        </w:tc>
        <w:tc>
          <w:tcPr>
            <w:tcW w:w="1706" w:type="dxa"/>
            <w:tcBorders>
              <w:top w:val="single" w:color="auto" w:sz="4" w:space="0"/>
              <w:left w:val="single" w:color="auto" w:sz="4" w:space="0"/>
              <w:bottom w:val="single" w:color="auto" w:sz="4" w:space="0"/>
              <w:right w:val="single" w:color="auto" w:sz="4" w:space="0"/>
            </w:tcBorders>
            <w:vAlign w:val="center"/>
          </w:tcPr>
          <w:p>
            <w:pPr>
              <w:pStyle w:val="670"/>
            </w:pPr>
            <w:r>
              <w:t>6.6</w:t>
            </w:r>
          </w:p>
        </w:tc>
        <w:tc>
          <w:tcPr>
            <w:tcW w:w="1706" w:type="dxa"/>
            <w:tcBorders>
              <w:top w:val="single" w:color="auto" w:sz="4" w:space="0"/>
              <w:left w:val="single" w:color="auto" w:sz="4" w:space="0"/>
              <w:bottom w:val="single" w:color="auto" w:sz="4" w:space="0"/>
              <w:right w:val="single" w:color="auto" w:sz="4" w:space="0"/>
            </w:tcBorders>
            <w:vAlign w:val="center"/>
          </w:tcPr>
          <w:p>
            <w:pPr>
              <w:pStyle w:val="670"/>
            </w:pPr>
            <w: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5" w:type="dxa"/>
            <w:vMerge w:val="restart"/>
            <w:tcBorders>
              <w:top w:val="single" w:color="auto" w:sz="4" w:space="0"/>
              <w:left w:val="single" w:color="auto" w:sz="4" w:space="0"/>
              <w:bottom w:val="single" w:color="auto" w:sz="4" w:space="0"/>
              <w:right w:val="single" w:color="auto" w:sz="4" w:space="0"/>
            </w:tcBorders>
            <w:vAlign w:val="center"/>
          </w:tcPr>
          <w:p>
            <w:pPr>
              <w:pStyle w:val="670"/>
            </w:pPr>
            <w:r>
              <w:t>极限气温</w:t>
            </w:r>
          </w:p>
        </w:tc>
        <w:tc>
          <w:tcPr>
            <w:tcW w:w="1705" w:type="dxa"/>
            <w:tcBorders>
              <w:top w:val="single" w:color="auto" w:sz="4" w:space="0"/>
              <w:left w:val="single" w:color="auto" w:sz="4" w:space="0"/>
              <w:bottom w:val="single" w:color="auto" w:sz="4" w:space="0"/>
              <w:right w:val="single" w:color="auto" w:sz="4" w:space="0"/>
            </w:tcBorders>
            <w:vAlign w:val="center"/>
          </w:tcPr>
          <w:p>
            <w:pPr>
              <w:pStyle w:val="670"/>
            </w:pPr>
            <w:r>
              <w:t>最高气温（</w:t>
            </w:r>
            <w:r>
              <w:rPr>
                <w:rFonts w:hint="eastAsia" w:ascii="宋体" w:hAnsi="宋体" w:cs="宋体"/>
              </w:rPr>
              <w:t>℃</w:t>
            </w:r>
            <w:r>
              <w:t>）</w:t>
            </w:r>
          </w:p>
        </w:tc>
        <w:tc>
          <w:tcPr>
            <w:tcW w:w="1706" w:type="dxa"/>
            <w:tcBorders>
              <w:top w:val="single" w:color="auto" w:sz="4" w:space="0"/>
              <w:left w:val="single" w:color="auto" w:sz="4" w:space="0"/>
              <w:bottom w:val="single" w:color="auto" w:sz="4" w:space="0"/>
              <w:right w:val="single" w:color="auto" w:sz="4" w:space="0"/>
            </w:tcBorders>
            <w:vAlign w:val="center"/>
          </w:tcPr>
          <w:p>
            <w:pPr>
              <w:pStyle w:val="670"/>
            </w:pPr>
            <w:r>
              <w:t>-</w:t>
            </w:r>
          </w:p>
        </w:tc>
        <w:tc>
          <w:tcPr>
            <w:tcW w:w="1706" w:type="dxa"/>
            <w:tcBorders>
              <w:top w:val="single" w:color="auto" w:sz="4" w:space="0"/>
              <w:left w:val="single" w:color="auto" w:sz="4" w:space="0"/>
              <w:bottom w:val="single" w:color="auto" w:sz="4" w:space="0"/>
              <w:right w:val="single" w:color="auto" w:sz="4" w:space="0"/>
            </w:tcBorders>
            <w:vAlign w:val="center"/>
          </w:tcPr>
          <w:p>
            <w:pPr>
              <w:pStyle w:val="670"/>
            </w:pPr>
            <w:r>
              <w:t>35</w:t>
            </w:r>
          </w:p>
        </w:tc>
        <w:tc>
          <w:tcPr>
            <w:tcW w:w="1706" w:type="dxa"/>
            <w:tcBorders>
              <w:top w:val="single" w:color="auto" w:sz="4" w:space="0"/>
              <w:left w:val="single" w:color="auto" w:sz="4" w:space="0"/>
              <w:bottom w:val="single" w:color="auto" w:sz="4" w:space="0"/>
              <w:right w:val="single" w:color="auto" w:sz="4" w:space="0"/>
            </w:tcBorders>
            <w:vAlign w:val="center"/>
          </w:tcPr>
          <w:p>
            <w:pPr>
              <w:pStyle w:val="67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705" w:type="dxa"/>
            <w:tcBorders>
              <w:top w:val="single" w:color="auto" w:sz="4" w:space="0"/>
              <w:left w:val="single" w:color="auto" w:sz="4" w:space="0"/>
              <w:bottom w:val="single" w:color="auto" w:sz="4" w:space="0"/>
              <w:right w:val="single" w:color="auto" w:sz="4" w:space="0"/>
            </w:tcBorders>
            <w:vAlign w:val="center"/>
          </w:tcPr>
          <w:p>
            <w:pPr>
              <w:pStyle w:val="670"/>
            </w:pPr>
            <w:r>
              <w:t>最低气温（</w:t>
            </w:r>
            <w:r>
              <w:rPr>
                <w:rFonts w:hint="eastAsia" w:ascii="宋体" w:hAnsi="宋体" w:cs="宋体"/>
              </w:rPr>
              <w:t>℃</w:t>
            </w:r>
            <w:r>
              <w:t>）</w:t>
            </w:r>
          </w:p>
        </w:tc>
        <w:tc>
          <w:tcPr>
            <w:tcW w:w="1706" w:type="dxa"/>
            <w:tcBorders>
              <w:top w:val="single" w:color="auto" w:sz="4" w:space="0"/>
              <w:left w:val="single" w:color="auto" w:sz="4" w:space="0"/>
              <w:bottom w:val="single" w:color="auto" w:sz="4" w:space="0"/>
              <w:right w:val="single" w:color="auto" w:sz="4" w:space="0"/>
            </w:tcBorders>
            <w:vAlign w:val="center"/>
          </w:tcPr>
          <w:p>
            <w:pPr>
              <w:pStyle w:val="670"/>
            </w:pPr>
            <w:r>
              <w:t>-</w:t>
            </w:r>
          </w:p>
        </w:tc>
        <w:tc>
          <w:tcPr>
            <w:tcW w:w="1706" w:type="dxa"/>
            <w:tcBorders>
              <w:top w:val="single" w:color="auto" w:sz="4" w:space="0"/>
              <w:left w:val="single" w:color="auto" w:sz="4" w:space="0"/>
              <w:bottom w:val="single" w:color="auto" w:sz="4" w:space="0"/>
              <w:right w:val="single" w:color="auto" w:sz="4" w:space="0"/>
            </w:tcBorders>
            <w:vAlign w:val="center"/>
          </w:tcPr>
          <w:p>
            <w:pPr>
              <w:pStyle w:val="670"/>
            </w:pPr>
            <w:r>
              <w:t>-37</w:t>
            </w:r>
          </w:p>
        </w:tc>
        <w:tc>
          <w:tcPr>
            <w:tcW w:w="1706" w:type="dxa"/>
            <w:tcBorders>
              <w:top w:val="single" w:color="auto" w:sz="4" w:space="0"/>
              <w:left w:val="single" w:color="auto" w:sz="4" w:space="0"/>
              <w:bottom w:val="single" w:color="auto" w:sz="4" w:space="0"/>
              <w:right w:val="single" w:color="auto" w:sz="4" w:space="0"/>
            </w:tcBorders>
            <w:vAlign w:val="center"/>
          </w:tcPr>
          <w:p>
            <w:pPr>
              <w:pStyle w:val="67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5" w:type="dxa"/>
            <w:vMerge w:val="restart"/>
            <w:tcBorders>
              <w:top w:val="single" w:color="auto" w:sz="4" w:space="0"/>
              <w:left w:val="single" w:color="auto" w:sz="4" w:space="0"/>
              <w:bottom w:val="single" w:color="auto" w:sz="4" w:space="0"/>
              <w:right w:val="single" w:color="auto" w:sz="4" w:space="0"/>
            </w:tcBorders>
            <w:vAlign w:val="center"/>
          </w:tcPr>
          <w:p>
            <w:pPr>
              <w:pStyle w:val="670"/>
            </w:pPr>
            <w:r>
              <w:t>积温</w:t>
            </w:r>
          </w:p>
        </w:tc>
        <w:tc>
          <w:tcPr>
            <w:tcW w:w="1705" w:type="dxa"/>
            <w:tcBorders>
              <w:top w:val="single" w:color="auto" w:sz="4" w:space="0"/>
              <w:left w:val="single" w:color="auto" w:sz="4" w:space="0"/>
              <w:bottom w:val="single" w:color="auto" w:sz="4" w:space="0"/>
              <w:right w:val="single" w:color="auto" w:sz="4" w:space="0"/>
            </w:tcBorders>
            <w:vAlign w:val="center"/>
          </w:tcPr>
          <w:p>
            <w:pPr>
              <w:pStyle w:val="670"/>
            </w:pPr>
            <w:r>
              <w:t>&gt;5</w:t>
            </w:r>
            <w:r>
              <w:rPr>
                <w:rFonts w:hint="eastAsia" w:ascii="宋体" w:hAnsi="宋体" w:cs="宋体"/>
              </w:rPr>
              <w:t>℃</w:t>
            </w:r>
          </w:p>
        </w:tc>
        <w:tc>
          <w:tcPr>
            <w:tcW w:w="1706" w:type="dxa"/>
            <w:tcBorders>
              <w:top w:val="single" w:color="auto" w:sz="4" w:space="0"/>
              <w:left w:val="single" w:color="auto" w:sz="4" w:space="0"/>
              <w:bottom w:val="single" w:color="auto" w:sz="4" w:space="0"/>
              <w:right w:val="single" w:color="auto" w:sz="4" w:space="0"/>
            </w:tcBorders>
            <w:vAlign w:val="center"/>
          </w:tcPr>
          <w:p>
            <w:pPr>
              <w:pStyle w:val="670"/>
            </w:pPr>
            <w:r>
              <w:t>-</w:t>
            </w:r>
          </w:p>
        </w:tc>
        <w:tc>
          <w:tcPr>
            <w:tcW w:w="1706" w:type="dxa"/>
            <w:tcBorders>
              <w:top w:val="single" w:color="auto" w:sz="4" w:space="0"/>
              <w:left w:val="single" w:color="auto" w:sz="4" w:space="0"/>
              <w:bottom w:val="single" w:color="auto" w:sz="4" w:space="0"/>
              <w:right w:val="single" w:color="auto" w:sz="4" w:space="0"/>
            </w:tcBorders>
            <w:vAlign w:val="center"/>
          </w:tcPr>
          <w:p>
            <w:pPr>
              <w:pStyle w:val="670"/>
            </w:pPr>
            <w:r>
              <w:t>3631</w:t>
            </w:r>
          </w:p>
        </w:tc>
        <w:tc>
          <w:tcPr>
            <w:tcW w:w="1706" w:type="dxa"/>
            <w:tcBorders>
              <w:top w:val="single" w:color="auto" w:sz="4" w:space="0"/>
              <w:left w:val="single" w:color="auto" w:sz="4" w:space="0"/>
              <w:bottom w:val="single" w:color="auto" w:sz="4" w:space="0"/>
              <w:right w:val="single" w:color="auto" w:sz="4" w:space="0"/>
            </w:tcBorders>
            <w:vAlign w:val="center"/>
          </w:tcPr>
          <w:p>
            <w:pPr>
              <w:pStyle w:val="67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705" w:type="dxa"/>
            <w:tcBorders>
              <w:top w:val="single" w:color="auto" w:sz="4" w:space="0"/>
              <w:left w:val="single" w:color="auto" w:sz="4" w:space="0"/>
              <w:bottom w:val="single" w:color="auto" w:sz="4" w:space="0"/>
              <w:right w:val="single" w:color="auto" w:sz="4" w:space="0"/>
            </w:tcBorders>
            <w:vAlign w:val="center"/>
          </w:tcPr>
          <w:p>
            <w:pPr>
              <w:pStyle w:val="670"/>
            </w:pPr>
            <w:r>
              <w:t>&gt;10</w:t>
            </w:r>
            <w:r>
              <w:rPr>
                <w:rFonts w:hint="eastAsia" w:ascii="宋体" w:hAnsi="宋体" w:cs="宋体"/>
              </w:rPr>
              <w:t>℃</w:t>
            </w:r>
          </w:p>
        </w:tc>
        <w:tc>
          <w:tcPr>
            <w:tcW w:w="1706" w:type="dxa"/>
            <w:tcBorders>
              <w:top w:val="single" w:color="auto" w:sz="4" w:space="0"/>
              <w:left w:val="single" w:color="auto" w:sz="4" w:space="0"/>
              <w:bottom w:val="single" w:color="auto" w:sz="4" w:space="0"/>
              <w:right w:val="single" w:color="auto" w:sz="4" w:space="0"/>
            </w:tcBorders>
            <w:vAlign w:val="center"/>
          </w:tcPr>
          <w:p>
            <w:pPr>
              <w:pStyle w:val="670"/>
            </w:pPr>
            <w:r>
              <w:t>-</w:t>
            </w:r>
          </w:p>
        </w:tc>
        <w:tc>
          <w:tcPr>
            <w:tcW w:w="1706" w:type="dxa"/>
            <w:tcBorders>
              <w:top w:val="single" w:color="auto" w:sz="4" w:space="0"/>
              <w:left w:val="single" w:color="auto" w:sz="4" w:space="0"/>
              <w:bottom w:val="single" w:color="auto" w:sz="4" w:space="0"/>
              <w:right w:val="single" w:color="auto" w:sz="4" w:space="0"/>
            </w:tcBorders>
            <w:vAlign w:val="center"/>
          </w:tcPr>
          <w:p>
            <w:pPr>
              <w:pStyle w:val="670"/>
            </w:pPr>
            <w:r>
              <w:t>3788</w:t>
            </w:r>
          </w:p>
        </w:tc>
        <w:tc>
          <w:tcPr>
            <w:tcW w:w="1706" w:type="dxa"/>
            <w:tcBorders>
              <w:top w:val="single" w:color="auto" w:sz="4" w:space="0"/>
              <w:left w:val="single" w:color="auto" w:sz="4" w:space="0"/>
              <w:bottom w:val="single" w:color="auto" w:sz="4" w:space="0"/>
              <w:right w:val="single" w:color="auto" w:sz="4" w:space="0"/>
            </w:tcBorders>
            <w:vAlign w:val="center"/>
          </w:tcPr>
          <w:p>
            <w:pPr>
              <w:pStyle w:val="670"/>
            </w:pPr>
            <w:r>
              <w:t>3519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0" w:type="dxa"/>
            <w:gridSpan w:val="2"/>
            <w:tcBorders>
              <w:top w:val="single" w:color="auto" w:sz="4" w:space="0"/>
              <w:left w:val="single" w:color="auto" w:sz="4" w:space="0"/>
              <w:bottom w:val="single" w:color="auto" w:sz="4" w:space="0"/>
              <w:right w:val="single" w:color="auto" w:sz="4" w:space="0"/>
            </w:tcBorders>
            <w:vAlign w:val="center"/>
          </w:tcPr>
          <w:p>
            <w:pPr>
              <w:pStyle w:val="670"/>
            </w:pPr>
            <w:r>
              <w:t>年平均无霜期（天）</w:t>
            </w:r>
          </w:p>
        </w:tc>
        <w:tc>
          <w:tcPr>
            <w:tcW w:w="1706" w:type="dxa"/>
            <w:tcBorders>
              <w:top w:val="single" w:color="auto" w:sz="4" w:space="0"/>
              <w:left w:val="single" w:color="auto" w:sz="4" w:space="0"/>
              <w:bottom w:val="single" w:color="auto" w:sz="4" w:space="0"/>
              <w:right w:val="single" w:color="auto" w:sz="4" w:space="0"/>
            </w:tcBorders>
            <w:vAlign w:val="center"/>
          </w:tcPr>
          <w:p>
            <w:pPr>
              <w:pStyle w:val="670"/>
            </w:pPr>
            <w:r>
              <w:t>140</w:t>
            </w:r>
          </w:p>
        </w:tc>
        <w:tc>
          <w:tcPr>
            <w:tcW w:w="1706" w:type="dxa"/>
            <w:tcBorders>
              <w:top w:val="single" w:color="auto" w:sz="4" w:space="0"/>
              <w:left w:val="single" w:color="auto" w:sz="4" w:space="0"/>
              <w:bottom w:val="single" w:color="auto" w:sz="4" w:space="0"/>
              <w:right w:val="single" w:color="auto" w:sz="4" w:space="0"/>
            </w:tcBorders>
            <w:vAlign w:val="center"/>
          </w:tcPr>
          <w:p>
            <w:pPr>
              <w:pStyle w:val="670"/>
            </w:pPr>
            <w:r>
              <w:t>174</w:t>
            </w:r>
          </w:p>
        </w:tc>
        <w:tc>
          <w:tcPr>
            <w:tcW w:w="1706" w:type="dxa"/>
            <w:tcBorders>
              <w:top w:val="single" w:color="auto" w:sz="4" w:space="0"/>
              <w:left w:val="single" w:color="auto" w:sz="4" w:space="0"/>
              <w:bottom w:val="single" w:color="auto" w:sz="4" w:space="0"/>
              <w:right w:val="single" w:color="auto" w:sz="4" w:space="0"/>
            </w:tcBorders>
            <w:vAlign w:val="center"/>
          </w:tcPr>
          <w:p>
            <w:pPr>
              <w:pStyle w:val="670"/>
            </w:pPr>
            <w:r>
              <w:t>155</w:t>
            </w:r>
          </w:p>
        </w:tc>
      </w:tr>
    </w:tbl>
    <w:p>
      <w:pPr>
        <w:pStyle w:val="657"/>
        <w:spacing w:line="460" w:lineRule="exact"/>
        <w:ind w:firstLine="480"/>
        <w:jc w:val="both"/>
      </w:pPr>
      <w:r>
        <w:t>阜康属中温带大陆性干旱气候区域，全年降雨量较少，山区年平均降雨量545mm，平原区年平均降雨量187.8 mm，降雨量年级变化较大，年最多降雨量达250.5 mm，最少106.1 mm，局部地区容易形成季节性洪涝灾害。地表水蒸发量根据区域不同变化较大，南部山区年均蒸发量约为1427.3 mm，平原区年蒸发量约2064.1 mm，北部沙漠区蒸发量最大为2292.3 mm，因此，从区域来看，阜康属于干旱缺水地区。</w:t>
      </w:r>
    </w:p>
    <w:p>
      <w:pPr>
        <w:pStyle w:val="5"/>
        <w:spacing w:before="120" w:after="120"/>
        <w:rPr>
          <w:spacing w:val="0"/>
        </w:rPr>
      </w:pPr>
      <w:bookmarkStart w:id="279" w:name="_Toc145580412"/>
      <w:r>
        <w:rPr>
          <w:rFonts w:hint="eastAsia"/>
          <w:spacing w:val="0"/>
        </w:rPr>
        <w:t>4</w:t>
      </w:r>
      <w:r>
        <w:rPr>
          <w:spacing w:val="0"/>
        </w:rPr>
        <w:t>.1.5</w:t>
      </w:r>
      <w:bookmarkEnd w:id="278"/>
      <w:bookmarkStart w:id="280" w:name="_Toc419329921"/>
      <w:bookmarkStart w:id="281" w:name="_Toc85534990"/>
      <w:r>
        <w:rPr>
          <w:rFonts w:hint="eastAsia"/>
          <w:spacing w:val="0"/>
        </w:rPr>
        <w:t>地质构造</w:t>
      </w:r>
      <w:bookmarkEnd w:id="279"/>
    </w:p>
    <w:bookmarkEnd w:id="280"/>
    <w:bookmarkEnd w:id="281"/>
    <w:p>
      <w:pPr>
        <w:pStyle w:val="488"/>
        <w:ind w:firstLine="480"/>
        <w:rPr>
          <w:rFonts w:ascii="Times New Roman" w:hAnsi="Times New Roman" w:cs="Times New Roman"/>
          <w:lang w:bidi="en-US"/>
        </w:rPr>
      </w:pPr>
      <w:bookmarkStart w:id="282" w:name="_Toc454899361"/>
      <w:r>
        <w:rPr>
          <w:rFonts w:ascii="Times New Roman" w:hAnsi="Times New Roman" w:cs="Times New Roman"/>
          <w:lang w:bidi="en-US"/>
        </w:rPr>
        <w:t>董701井区区域构造位置位于准噶尔盆地中央坳陷阜康凹陷东部的北斜坡，构造区划上属于中央坳陷。</w:t>
      </w:r>
    </w:p>
    <w:p>
      <w:pPr>
        <w:pStyle w:val="494"/>
        <w:ind w:firstLine="480"/>
      </w:pPr>
      <w:r>
        <w:rPr>
          <w:rFonts w:cs="Times New Roman"/>
          <w:lang w:bidi="en-US"/>
        </w:rPr>
        <w:t>准中董701井区自上而下钻揭的地层有第四系西域组（Q</w:t>
      </w:r>
      <w:r>
        <w:rPr>
          <w:rFonts w:cs="Times New Roman"/>
          <w:vertAlign w:val="subscript"/>
          <w:lang w:bidi="en-US"/>
        </w:rPr>
        <w:t>1</w:t>
      </w:r>
      <w:r>
        <w:rPr>
          <w:rFonts w:cs="Times New Roman"/>
          <w:lang w:bidi="en-US"/>
        </w:rPr>
        <w:t>x）、新近系独山子组（N</w:t>
      </w:r>
      <w:r>
        <w:rPr>
          <w:rFonts w:cs="Times New Roman"/>
          <w:vertAlign w:val="subscript"/>
          <w:lang w:bidi="en-US"/>
        </w:rPr>
        <w:t>2</w:t>
      </w:r>
      <w:r>
        <w:rPr>
          <w:rFonts w:cs="Times New Roman"/>
          <w:lang w:bidi="en-US"/>
        </w:rPr>
        <w:t>d）、塔西河组（N</w:t>
      </w:r>
      <w:r>
        <w:rPr>
          <w:rFonts w:cs="Times New Roman"/>
          <w:vertAlign w:val="subscript"/>
          <w:lang w:bidi="en-US"/>
        </w:rPr>
        <w:t>1</w:t>
      </w:r>
      <w:r>
        <w:rPr>
          <w:rFonts w:cs="Times New Roman"/>
          <w:lang w:bidi="en-US"/>
        </w:rPr>
        <w:t>t）、沙湾组（N</w:t>
      </w:r>
      <w:r>
        <w:rPr>
          <w:rFonts w:cs="Times New Roman"/>
          <w:vertAlign w:val="subscript"/>
          <w:lang w:bidi="en-US"/>
        </w:rPr>
        <w:t>1</w:t>
      </w:r>
      <w:r>
        <w:rPr>
          <w:rFonts w:cs="Times New Roman"/>
          <w:lang w:bidi="en-US"/>
        </w:rPr>
        <w:t>s）、古近系安集海河组（E</w:t>
      </w:r>
      <w:r>
        <w:rPr>
          <w:rFonts w:cs="Times New Roman"/>
          <w:vertAlign w:val="subscript"/>
          <w:lang w:bidi="en-US"/>
        </w:rPr>
        <w:t>2+3</w:t>
      </w:r>
      <w:r>
        <w:rPr>
          <w:rFonts w:cs="Times New Roman"/>
          <w:lang w:bidi="en-US"/>
        </w:rPr>
        <w:t>a）、紫泥泉子组（E</w:t>
      </w:r>
      <w:r>
        <w:rPr>
          <w:rFonts w:cs="Times New Roman"/>
          <w:vertAlign w:val="subscript"/>
          <w:lang w:bidi="en-US"/>
        </w:rPr>
        <w:t>1+2</w:t>
      </w:r>
      <w:r>
        <w:rPr>
          <w:rFonts w:cs="Times New Roman"/>
          <w:lang w:bidi="en-US"/>
        </w:rPr>
        <w:t>z）、白垩系上统东沟组（K</w:t>
      </w:r>
      <w:r>
        <w:rPr>
          <w:rFonts w:cs="Times New Roman"/>
          <w:vertAlign w:val="subscript"/>
          <w:lang w:bidi="en-US"/>
        </w:rPr>
        <w:t>2</w:t>
      </w:r>
      <w:r>
        <w:rPr>
          <w:rFonts w:cs="Times New Roman"/>
          <w:lang w:bidi="en-US"/>
        </w:rPr>
        <w:t>d）、下统吐谷鲁群（K</w:t>
      </w:r>
      <w:r>
        <w:rPr>
          <w:rFonts w:cs="Times New Roman"/>
          <w:vertAlign w:val="subscript"/>
          <w:lang w:bidi="en-US"/>
        </w:rPr>
        <w:t>1</w:t>
      </w:r>
      <w:r>
        <w:rPr>
          <w:rFonts w:cs="Times New Roman"/>
          <w:lang w:bidi="en-US"/>
        </w:rPr>
        <w:t>tg）、侏罗系头屯河组（J</w:t>
      </w:r>
      <w:r>
        <w:rPr>
          <w:rFonts w:cs="Times New Roman"/>
          <w:vertAlign w:val="subscript"/>
          <w:lang w:bidi="en-US"/>
        </w:rPr>
        <w:t>2</w:t>
      </w:r>
      <w:r>
        <w:rPr>
          <w:rFonts w:cs="Times New Roman"/>
          <w:lang w:bidi="en-US"/>
        </w:rPr>
        <w:t>t）、西山窑组（J</w:t>
      </w:r>
      <w:r>
        <w:rPr>
          <w:rFonts w:cs="Times New Roman"/>
          <w:vertAlign w:val="subscript"/>
          <w:lang w:bidi="en-US"/>
        </w:rPr>
        <w:t>2</w:t>
      </w:r>
      <w:r>
        <w:rPr>
          <w:rFonts w:cs="Times New Roman"/>
          <w:lang w:bidi="en-US"/>
        </w:rPr>
        <w:t>x）、三工河组（J</w:t>
      </w:r>
      <w:r>
        <w:rPr>
          <w:rFonts w:cs="Times New Roman"/>
          <w:vertAlign w:val="subscript"/>
          <w:lang w:bidi="en-US"/>
        </w:rPr>
        <w:t>1</w:t>
      </w:r>
      <w:r>
        <w:rPr>
          <w:rFonts w:cs="Times New Roman"/>
          <w:lang w:bidi="en-US"/>
        </w:rPr>
        <w:t>s）和八道湾组（J</w:t>
      </w:r>
      <w:r>
        <w:rPr>
          <w:rFonts w:cs="Times New Roman"/>
          <w:vertAlign w:val="subscript"/>
          <w:lang w:bidi="en-US"/>
        </w:rPr>
        <w:t>1</w:t>
      </w:r>
      <w:r>
        <w:rPr>
          <w:rFonts w:cs="Times New Roman"/>
          <w:lang w:bidi="en-US"/>
        </w:rPr>
        <w:t>b）（表2.2-1）。本次研究的目的层是头屯河组J</w:t>
      </w:r>
      <w:r>
        <w:rPr>
          <w:rFonts w:cs="Times New Roman"/>
          <w:vertAlign w:val="subscript"/>
          <w:lang w:bidi="en-US"/>
        </w:rPr>
        <w:t>2</w:t>
      </w:r>
      <w:r>
        <w:rPr>
          <w:rFonts w:cs="Times New Roman"/>
          <w:lang w:bidi="en-US"/>
        </w:rPr>
        <w:t>t</w:t>
      </w:r>
      <w:r>
        <w:rPr>
          <w:rFonts w:cs="Times New Roman"/>
          <w:vertAlign w:val="subscript"/>
          <w:lang w:bidi="en-US"/>
        </w:rPr>
        <w:t>3</w:t>
      </w:r>
      <w:r>
        <w:rPr>
          <w:rFonts w:cs="Times New Roman"/>
          <w:lang w:bidi="en-US"/>
        </w:rPr>
        <w:t>5砂体，目的层埋深-3395～-3545m（海拔深度），目的层厚度8～12m，地层岩性以棕褐色、灰色含砾细砂岩、粉砂岩，棕褐色泥岩为主</w:t>
      </w:r>
      <w:r>
        <w:rPr>
          <w:rFonts w:hint="eastAsia"/>
        </w:rPr>
        <w:t>。</w:t>
      </w:r>
    </w:p>
    <w:p>
      <w:pPr>
        <w:pStyle w:val="5"/>
        <w:spacing w:before="120" w:after="120"/>
        <w:rPr>
          <w:spacing w:val="0"/>
        </w:rPr>
      </w:pPr>
      <w:bookmarkStart w:id="283" w:name="_Toc107500378"/>
      <w:bookmarkStart w:id="284" w:name="_Toc145580413"/>
      <w:r>
        <w:rPr>
          <w:rFonts w:hint="eastAsia"/>
          <w:spacing w:val="0"/>
        </w:rPr>
        <w:t>4</w:t>
      </w:r>
      <w:r>
        <w:rPr>
          <w:spacing w:val="0"/>
        </w:rPr>
        <w:t>.1.</w:t>
      </w:r>
      <w:r>
        <w:rPr>
          <w:rFonts w:hint="eastAsia"/>
          <w:spacing w:val="0"/>
        </w:rPr>
        <w:t>6矿产资源</w:t>
      </w:r>
      <w:bookmarkEnd w:id="283"/>
      <w:bookmarkEnd w:id="284"/>
    </w:p>
    <w:p>
      <w:pPr>
        <w:pStyle w:val="488"/>
        <w:ind w:firstLine="480"/>
        <w:rPr>
          <w:rFonts w:ascii="Times New Roman" w:hAnsi="Times New Roman" w:cs="Times New Roman"/>
          <w:lang w:bidi="en-US"/>
        </w:rPr>
      </w:pPr>
      <w:r>
        <w:rPr>
          <w:rFonts w:ascii="Times New Roman" w:hAnsi="Times New Roman" w:cs="Times New Roman"/>
          <w:lang w:bidi="en-US"/>
        </w:rPr>
        <w:t>阜康市物产丰饶、资源丰富，域内除了博格述峰，天池、沙漠等世界级、国家级旅游资源外，其矿产资源分布广泛、储量丰富。现已探明的矿产种类有煤、 石油、铁、溶剂活性石灰岩、白矾、石石、芒硝、石音、油页岩、硼秒等，其中 以煤和石油的储量最为丰富。</w:t>
      </w:r>
    </w:p>
    <w:p>
      <w:pPr>
        <w:pStyle w:val="488"/>
        <w:ind w:firstLine="480"/>
        <w:rPr>
          <w:rFonts w:ascii="Times New Roman" w:hAnsi="Times New Roman" w:cs="Times New Roman"/>
          <w:lang w:bidi="en-US"/>
        </w:rPr>
      </w:pPr>
      <w:r>
        <w:rPr>
          <w:rFonts w:ascii="Times New Roman" w:hAnsi="Times New Roman" w:cs="Times New Roman"/>
          <w:lang w:bidi="en-US"/>
        </w:rPr>
        <w:t>阜康市最为丰富的资源是煤炭，煤炭工业作为基础产业，对阜康市实施优势资源转换战略，建设新疆重化工业基地，实现全面建设小康社会的目标起着重要 的支撑和保障作用。在阜康市境内准葛尔盆地南缘的前山丘陵地带，埋藏着丰富 的煤炭资源，各煤矿距园区距离较近。全市域内煤炭的储量为 84亿t，煤田东西长 53km，南北宽 5km，面积 280km</w:t>
      </w:r>
      <w:r>
        <w:rPr>
          <w:rFonts w:ascii="Times New Roman" w:hAnsi="Times New Roman" w:cs="Times New Roman"/>
          <w:vertAlign w:val="superscript"/>
          <w:lang w:bidi="en-US"/>
        </w:rPr>
        <w:t>2</w:t>
      </w:r>
      <w:r>
        <w:rPr>
          <w:rFonts w:ascii="Times New Roman" w:hAnsi="Times New Roman" w:cs="Times New Roman"/>
          <w:lang w:bidi="en-US"/>
        </w:rPr>
        <w:t>，主要品种有焦煤、气煤、气肥煤、长焰煤、 不粘煤、火烤煤等，煤炭远景储量位居新各县市之首。煤质较好，以低灰、低硫、 低磷、高发热量、高焦油产量率为特征，主要用于工业、民用及炼焦配煤。</w:t>
      </w:r>
    </w:p>
    <w:p>
      <w:pPr>
        <w:pStyle w:val="488"/>
        <w:ind w:firstLine="480"/>
        <w:rPr>
          <w:rFonts w:ascii="Times New Roman" w:hAnsi="Times New Roman" w:cs="Times New Roman"/>
          <w:lang w:bidi="en-US"/>
        </w:rPr>
      </w:pPr>
      <w:r>
        <w:rPr>
          <w:rFonts w:ascii="Times New Roman" w:hAnsi="Times New Roman" w:cs="Times New Roman"/>
          <w:lang w:bidi="en-US"/>
        </w:rPr>
        <w:t>在博格达峰北侧的白杨河谷有丰富的优质活性石灰石矿，该矿东西长 7.5km，南北宽2km，总面积15km</w:t>
      </w:r>
      <w:r>
        <w:rPr>
          <w:rFonts w:ascii="Times New Roman" w:hAnsi="Times New Roman" w:cs="Times New Roman"/>
          <w:vertAlign w:val="superscript"/>
          <w:lang w:bidi="en-US"/>
        </w:rPr>
        <w:t>2</w:t>
      </w:r>
      <w:r>
        <w:rPr>
          <w:rFonts w:ascii="Times New Roman" w:hAnsi="Times New Roman" w:cs="Times New Roman"/>
          <w:lang w:bidi="en-US"/>
        </w:rPr>
        <w:t>，预测前期储量2800万t，与该矿同一纬度的东南部有一质量较好的特大活性石灰石矿体，总储量在1.5亿t以上。</w:t>
      </w:r>
    </w:p>
    <w:p>
      <w:pPr>
        <w:pStyle w:val="494"/>
        <w:ind w:firstLine="480"/>
        <w:rPr>
          <w:rFonts w:ascii="宋体" w:hAnsi="宋体"/>
        </w:rPr>
        <w:sectPr>
          <w:pgSz w:w="11906" w:h="16838"/>
          <w:pgMar w:top="1440" w:right="1701" w:bottom="1440" w:left="1985" w:header="851" w:footer="992" w:gutter="0"/>
          <w:cols w:space="720" w:num="1"/>
          <w:docGrid w:linePitch="312" w:charSpace="0"/>
        </w:sectPr>
      </w:pPr>
      <w:r>
        <w:rPr>
          <w:rFonts w:cs="Times New Roman"/>
          <w:lang w:bidi="en-US"/>
        </w:rPr>
        <w:t>根据地质勘探资料和生油理论推算。在准葛尔东部 3000km</w:t>
      </w:r>
      <w:r>
        <w:rPr>
          <w:rFonts w:cs="Times New Roman"/>
          <w:vertAlign w:val="superscript"/>
          <w:lang w:bidi="en-US"/>
        </w:rPr>
        <w:t>2</w:t>
      </w:r>
      <w:r>
        <w:rPr>
          <w:rFonts w:cs="Times New Roman"/>
          <w:lang w:bidi="en-US"/>
        </w:rPr>
        <w:t>的勘探领域内，蕴藏有15亿t远景石油资源量和1502亿m</w:t>
      </w:r>
      <w:r>
        <w:rPr>
          <w:rFonts w:cs="Times New Roman"/>
          <w:vertAlign w:val="superscript"/>
          <w:lang w:bidi="en-US"/>
        </w:rPr>
        <w:t>3</w:t>
      </w:r>
      <w:r>
        <w:rPr>
          <w:rFonts w:cs="Times New Roman"/>
          <w:lang w:bidi="en-US"/>
        </w:rPr>
        <w:t>远景天然气资源量，目前已探明石油地质储量1.2亿t。其中彩南油田是我国第一个现代化的整装沙漠油田，累计生产原油1052.15万t，年生产能力达220多万t</w:t>
      </w:r>
      <w:r>
        <w:rPr>
          <w:rFonts w:ascii="宋体" w:hAnsi="宋体"/>
        </w:rPr>
        <w:t>。</w:t>
      </w:r>
    </w:p>
    <w:p>
      <w:pPr>
        <w:pStyle w:val="4"/>
        <w:spacing w:before="120" w:after="120"/>
      </w:pPr>
      <w:bookmarkStart w:id="285" w:name="_Toc145580414"/>
      <w:bookmarkStart w:id="286" w:name="_Toc107500379"/>
      <w:r>
        <w:rPr>
          <w:rFonts w:hint="eastAsia"/>
        </w:rPr>
        <w:t>4</w:t>
      </w:r>
      <w:r>
        <w:t>.</w:t>
      </w:r>
      <w:r>
        <w:rPr>
          <w:rFonts w:hint="eastAsia"/>
        </w:rPr>
        <w:t>2</w:t>
      </w:r>
      <w:bookmarkEnd w:id="282"/>
      <w:r>
        <w:rPr>
          <w:rFonts w:hint="eastAsia"/>
        </w:rPr>
        <w:t>环境质量现状监测与评价</w:t>
      </w:r>
      <w:bookmarkEnd w:id="285"/>
      <w:bookmarkEnd w:id="286"/>
    </w:p>
    <w:p>
      <w:pPr>
        <w:pStyle w:val="5"/>
        <w:spacing w:before="120" w:after="120"/>
        <w:rPr>
          <w:spacing w:val="0"/>
        </w:rPr>
      </w:pPr>
      <w:bookmarkStart w:id="287" w:name="_Toc179653280"/>
      <w:bookmarkStart w:id="288" w:name="_Toc307906801"/>
      <w:bookmarkStart w:id="289" w:name="_Toc245882746"/>
      <w:bookmarkStart w:id="290" w:name="_Toc170869069"/>
      <w:bookmarkStart w:id="291" w:name="_Toc170970665"/>
      <w:bookmarkStart w:id="292" w:name="_Toc179522821"/>
      <w:bookmarkStart w:id="293" w:name="_Toc187800042"/>
      <w:bookmarkStart w:id="294" w:name="_Toc180891779"/>
      <w:bookmarkStart w:id="295" w:name="_Toc172698667"/>
      <w:bookmarkStart w:id="296" w:name="_Toc107500380"/>
      <w:bookmarkStart w:id="297" w:name="_Toc145580415"/>
      <w:r>
        <w:rPr>
          <w:rFonts w:hint="eastAsia"/>
          <w:spacing w:val="0"/>
        </w:rPr>
        <w:t>4</w:t>
      </w:r>
      <w:r>
        <w:rPr>
          <w:spacing w:val="0"/>
        </w:rPr>
        <w:t>.</w:t>
      </w:r>
      <w:r>
        <w:rPr>
          <w:rFonts w:hint="eastAsia"/>
          <w:spacing w:val="0"/>
        </w:rPr>
        <w:t>2</w:t>
      </w:r>
      <w:r>
        <w:rPr>
          <w:spacing w:val="0"/>
        </w:rPr>
        <w:t>.1</w:t>
      </w:r>
      <w:bookmarkEnd w:id="287"/>
      <w:bookmarkEnd w:id="288"/>
      <w:bookmarkEnd w:id="289"/>
      <w:bookmarkEnd w:id="290"/>
      <w:bookmarkEnd w:id="291"/>
      <w:bookmarkEnd w:id="292"/>
      <w:bookmarkEnd w:id="293"/>
      <w:bookmarkEnd w:id="294"/>
      <w:bookmarkEnd w:id="295"/>
      <w:r>
        <w:rPr>
          <w:rFonts w:hint="eastAsia"/>
          <w:spacing w:val="0"/>
        </w:rPr>
        <w:t>环境空气质量现状监测与评价</w:t>
      </w:r>
      <w:bookmarkEnd w:id="296"/>
      <w:bookmarkEnd w:id="297"/>
    </w:p>
    <w:p>
      <w:pPr>
        <w:pStyle w:val="494"/>
        <w:ind w:firstLine="480"/>
        <w:rPr>
          <w:color w:val="FF0000"/>
        </w:rPr>
      </w:pPr>
      <w:bookmarkStart w:id="298" w:name="_Hlk147576600"/>
      <w:r>
        <w:rPr>
          <w:rFonts w:hint="eastAsia"/>
          <w:color w:val="FF0000"/>
        </w:rPr>
        <w:t>1、达标区判定</w:t>
      </w:r>
    </w:p>
    <w:p>
      <w:pPr>
        <w:pStyle w:val="494"/>
        <w:ind w:firstLine="480"/>
        <w:rPr>
          <w:color w:val="FF0000"/>
        </w:rPr>
      </w:pPr>
      <w:r>
        <w:rPr>
          <w:rFonts w:hint="eastAsia"/>
          <w:color w:val="FF0000"/>
        </w:rPr>
        <w:t>（1）数据来源</w:t>
      </w:r>
    </w:p>
    <w:p>
      <w:pPr>
        <w:pStyle w:val="494"/>
        <w:ind w:firstLine="480"/>
        <w:rPr>
          <w:color w:val="FF0000"/>
        </w:rPr>
      </w:pPr>
      <w:r>
        <w:rPr>
          <w:rFonts w:hint="eastAsia"/>
          <w:color w:val="FF0000"/>
        </w:rPr>
        <w:t>根据《环境影响评价技术导则</w:t>
      </w:r>
      <w:r>
        <w:rPr>
          <w:color w:val="FF0000"/>
        </w:rPr>
        <w:t>-</w:t>
      </w:r>
      <w:r>
        <w:rPr>
          <w:rFonts w:hint="eastAsia"/>
          <w:color w:val="FF0000"/>
        </w:rPr>
        <w:t>大气环境》（</w:t>
      </w:r>
      <w:r>
        <w:rPr>
          <w:color w:val="FF0000"/>
        </w:rPr>
        <w:t>H.J2.2-2018</w:t>
      </w:r>
      <w:r>
        <w:rPr>
          <w:rFonts w:hint="eastAsia"/>
          <w:color w:val="FF0000"/>
        </w:rPr>
        <w:t>）对环境质量现状数据的要求，本次评价选择生态环境主管部门统计的阜康市202</w:t>
      </w:r>
      <w:r>
        <w:rPr>
          <w:color w:val="FF0000"/>
        </w:rPr>
        <w:t>2</w:t>
      </w:r>
      <w:r>
        <w:rPr>
          <w:rFonts w:hint="eastAsia"/>
          <w:color w:val="FF0000"/>
        </w:rPr>
        <w:t>年的监测数据，作为本项目环境空气现状评价基本污染物</w:t>
      </w:r>
      <w:r>
        <w:rPr>
          <w:color w:val="FF0000"/>
        </w:rPr>
        <w:t>SO</w:t>
      </w:r>
      <w:r>
        <w:rPr>
          <w:color w:val="FF0000"/>
          <w:vertAlign w:val="subscript"/>
        </w:rPr>
        <w:t>2</w:t>
      </w:r>
      <w:r>
        <w:rPr>
          <w:rFonts w:hint="eastAsia"/>
          <w:color w:val="FF0000"/>
        </w:rPr>
        <w:t>、</w:t>
      </w:r>
      <w:r>
        <w:rPr>
          <w:color w:val="FF0000"/>
        </w:rPr>
        <w:t>NO</w:t>
      </w:r>
      <w:r>
        <w:rPr>
          <w:color w:val="FF0000"/>
          <w:vertAlign w:val="subscript"/>
        </w:rPr>
        <w:t>2</w:t>
      </w:r>
      <w:r>
        <w:rPr>
          <w:rFonts w:hint="eastAsia"/>
          <w:color w:val="FF0000"/>
        </w:rPr>
        <w:t>、</w:t>
      </w:r>
      <w:r>
        <w:rPr>
          <w:color w:val="FF0000"/>
        </w:rPr>
        <w:t>PM</w:t>
      </w:r>
      <w:r>
        <w:rPr>
          <w:color w:val="FF0000"/>
          <w:vertAlign w:val="subscript"/>
        </w:rPr>
        <w:t>10</w:t>
      </w:r>
      <w:r>
        <w:rPr>
          <w:rFonts w:hint="eastAsia"/>
          <w:color w:val="FF0000"/>
        </w:rPr>
        <w:t>、</w:t>
      </w:r>
      <w:r>
        <w:rPr>
          <w:color w:val="FF0000"/>
        </w:rPr>
        <w:t>PM</w:t>
      </w:r>
      <w:r>
        <w:rPr>
          <w:color w:val="FF0000"/>
          <w:vertAlign w:val="subscript"/>
        </w:rPr>
        <w:t>2.5</w:t>
      </w:r>
      <w:r>
        <w:rPr>
          <w:rFonts w:hint="eastAsia"/>
          <w:color w:val="FF0000"/>
        </w:rPr>
        <w:t>、</w:t>
      </w:r>
      <w:r>
        <w:rPr>
          <w:color w:val="FF0000"/>
        </w:rPr>
        <w:t>CO</w:t>
      </w:r>
      <w:r>
        <w:rPr>
          <w:rFonts w:hint="eastAsia"/>
          <w:color w:val="FF0000"/>
        </w:rPr>
        <w:t>和</w:t>
      </w:r>
      <w:r>
        <w:rPr>
          <w:color w:val="FF0000"/>
        </w:rPr>
        <w:t>O</w:t>
      </w:r>
      <w:r>
        <w:rPr>
          <w:color w:val="FF0000"/>
          <w:vertAlign w:val="subscript"/>
        </w:rPr>
        <w:t>3</w:t>
      </w:r>
      <w:r>
        <w:rPr>
          <w:rFonts w:hint="eastAsia"/>
          <w:color w:val="FF0000"/>
        </w:rPr>
        <w:t>的数据来源。</w:t>
      </w:r>
    </w:p>
    <w:p>
      <w:pPr>
        <w:pStyle w:val="494"/>
        <w:ind w:firstLine="480"/>
        <w:rPr>
          <w:color w:val="FF0000"/>
        </w:rPr>
      </w:pPr>
      <w:r>
        <w:rPr>
          <w:rFonts w:hint="eastAsia"/>
          <w:color w:val="FF0000"/>
        </w:rPr>
        <w:t>（2）评价标准</w:t>
      </w:r>
    </w:p>
    <w:p>
      <w:pPr>
        <w:pStyle w:val="494"/>
        <w:ind w:firstLine="480"/>
        <w:rPr>
          <w:color w:val="FF0000"/>
        </w:rPr>
      </w:pPr>
      <w:r>
        <w:rPr>
          <w:rFonts w:hint="eastAsia"/>
          <w:color w:val="FF0000"/>
        </w:rPr>
        <w:t>本次评价基本污染物执行《环境空气质量标准》（</w:t>
      </w:r>
      <w:r>
        <w:rPr>
          <w:color w:val="FF0000"/>
        </w:rPr>
        <w:t>GB3095-2012</w:t>
      </w:r>
      <w:r>
        <w:rPr>
          <w:rFonts w:hint="eastAsia"/>
          <w:color w:val="FF0000"/>
        </w:rPr>
        <w:t>）中的二级标准。</w:t>
      </w:r>
    </w:p>
    <w:p>
      <w:pPr>
        <w:pStyle w:val="494"/>
        <w:ind w:firstLine="480"/>
        <w:rPr>
          <w:color w:val="FF0000"/>
        </w:rPr>
      </w:pPr>
      <w:r>
        <w:rPr>
          <w:rFonts w:hint="eastAsia"/>
          <w:color w:val="FF0000"/>
        </w:rPr>
        <w:t>（3）评价方法</w:t>
      </w:r>
    </w:p>
    <w:p>
      <w:pPr>
        <w:pStyle w:val="494"/>
        <w:ind w:firstLine="480"/>
        <w:rPr>
          <w:color w:val="FF0000"/>
        </w:rPr>
      </w:pPr>
      <w:r>
        <w:rPr>
          <w:rFonts w:hint="eastAsia"/>
          <w:color w:val="FF0000"/>
        </w:rPr>
        <w:t>评价方法：基本污染物按照《环境空气质量评价技术规范（试行）》（</w:t>
      </w:r>
      <w:r>
        <w:rPr>
          <w:color w:val="FF0000"/>
        </w:rPr>
        <w:t>HJ663-2013</w:t>
      </w:r>
      <w:r>
        <w:rPr>
          <w:rFonts w:hint="eastAsia"/>
          <w:color w:val="FF0000"/>
        </w:rPr>
        <w:t>）中各评价项目的年评价指标进行判定。年评价指标中的年均浓度和相应百分位数</w:t>
      </w:r>
      <w:r>
        <w:rPr>
          <w:color w:val="FF0000"/>
        </w:rPr>
        <w:t xml:space="preserve">24h </w:t>
      </w:r>
      <w:r>
        <w:rPr>
          <w:rFonts w:hint="eastAsia"/>
          <w:color w:val="FF0000"/>
        </w:rPr>
        <w:t>平均或</w:t>
      </w:r>
      <w:r>
        <w:rPr>
          <w:color w:val="FF0000"/>
        </w:rPr>
        <w:t>8h</w:t>
      </w:r>
      <w:r>
        <w:rPr>
          <w:rFonts w:hint="eastAsia"/>
          <w:color w:val="FF0000"/>
        </w:rPr>
        <w:t>平均质量浓度满足</w:t>
      </w:r>
      <w:r>
        <w:rPr>
          <w:color w:val="FF0000"/>
        </w:rPr>
        <w:t>GB3095</w:t>
      </w:r>
      <w:r>
        <w:rPr>
          <w:rFonts w:hint="eastAsia"/>
          <w:color w:val="FF0000"/>
        </w:rPr>
        <w:t>中浓度限值要求的即为达标。对于超标的污染物，计算其超标倍数和超标率。</w:t>
      </w:r>
    </w:p>
    <w:p>
      <w:pPr>
        <w:pStyle w:val="494"/>
        <w:ind w:firstLine="480"/>
        <w:rPr>
          <w:color w:val="FF0000"/>
        </w:rPr>
      </w:pPr>
      <w:r>
        <w:rPr>
          <w:rFonts w:hint="eastAsia"/>
          <w:color w:val="FF0000"/>
        </w:rPr>
        <w:t>（4）空气质量达标区判定</w:t>
      </w:r>
    </w:p>
    <w:p>
      <w:pPr>
        <w:pStyle w:val="494"/>
        <w:ind w:firstLine="480"/>
        <w:rPr>
          <w:color w:val="FF0000"/>
        </w:rPr>
      </w:pPr>
      <w:r>
        <w:rPr>
          <w:rFonts w:hint="eastAsia"/>
          <w:color w:val="FF0000"/>
        </w:rPr>
        <w:t>阜康市</w:t>
      </w:r>
      <w:r>
        <w:rPr>
          <w:color w:val="FF0000"/>
        </w:rPr>
        <w:t>2022</w:t>
      </w:r>
      <w:r>
        <w:rPr>
          <w:rFonts w:hint="eastAsia"/>
          <w:color w:val="FF0000"/>
        </w:rPr>
        <w:t>年空气质量达标区判定结果见表4.</w:t>
      </w:r>
      <w:r>
        <w:rPr>
          <w:color w:val="FF0000"/>
        </w:rPr>
        <w:t>2</w:t>
      </w:r>
      <w:r>
        <w:rPr>
          <w:rFonts w:hint="eastAsia"/>
          <w:color w:val="FF0000"/>
        </w:rPr>
        <w:t>-1。</w:t>
      </w:r>
    </w:p>
    <w:p>
      <w:pPr>
        <w:pStyle w:val="400"/>
        <w:ind w:firstLine="420"/>
        <w:rPr>
          <w:color w:val="FF0000"/>
        </w:rPr>
      </w:pPr>
      <w:r>
        <w:rPr>
          <w:rFonts w:hint="eastAsia"/>
          <w:color w:val="FF0000"/>
        </w:rPr>
        <w:t>表4.2-1</w:t>
      </w:r>
      <w:r>
        <w:rPr>
          <w:color w:val="FF0000"/>
        </w:rPr>
        <w:t xml:space="preserve">            </w:t>
      </w:r>
      <w:r>
        <w:rPr>
          <w:rFonts w:hint="eastAsia"/>
          <w:color w:val="FF0000"/>
        </w:rPr>
        <w:t>阜康市</w:t>
      </w:r>
      <w:r>
        <w:rPr>
          <w:color w:val="FF0000"/>
        </w:rPr>
        <w:t>2022</w:t>
      </w:r>
      <w:r>
        <w:rPr>
          <w:rFonts w:hint="eastAsia"/>
          <w:color w:val="FF0000"/>
        </w:rPr>
        <w:t>年空气质量达标区判定结果表</w:t>
      </w:r>
    </w:p>
    <w:tbl>
      <w:tblPr>
        <w:tblStyle w:val="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2366"/>
        <w:gridCol w:w="1144"/>
        <w:gridCol w:w="1279"/>
        <w:gridCol w:w="1279"/>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Align w:val="center"/>
          </w:tcPr>
          <w:p>
            <w:pPr>
              <w:pStyle w:val="687"/>
              <w:rPr>
                <w:color w:val="FF0000"/>
                <w:sz w:val="21"/>
              </w:rPr>
            </w:pPr>
            <w:r>
              <w:rPr>
                <w:color w:val="FF0000"/>
                <w:sz w:val="21"/>
              </w:rPr>
              <w:t>评价因子</w:t>
            </w:r>
          </w:p>
        </w:tc>
        <w:tc>
          <w:tcPr>
            <w:tcW w:w="1402" w:type="pct"/>
            <w:vAlign w:val="center"/>
          </w:tcPr>
          <w:p>
            <w:pPr>
              <w:pStyle w:val="687"/>
              <w:rPr>
                <w:color w:val="FF0000"/>
                <w:sz w:val="21"/>
              </w:rPr>
            </w:pPr>
            <w:r>
              <w:rPr>
                <w:color w:val="FF0000"/>
                <w:sz w:val="21"/>
              </w:rPr>
              <w:t>年评价指标</w:t>
            </w:r>
          </w:p>
        </w:tc>
        <w:tc>
          <w:tcPr>
            <w:tcW w:w="678" w:type="pct"/>
            <w:vAlign w:val="center"/>
          </w:tcPr>
          <w:p>
            <w:pPr>
              <w:pStyle w:val="687"/>
              <w:rPr>
                <w:color w:val="FF0000"/>
                <w:sz w:val="21"/>
              </w:rPr>
            </w:pPr>
            <w:r>
              <w:rPr>
                <w:color w:val="FF0000"/>
                <w:sz w:val="21"/>
              </w:rPr>
              <w:t xml:space="preserve">现状浓度  </w:t>
            </w:r>
            <w:r>
              <w:rPr>
                <w:color w:val="FF0000"/>
                <w:sz w:val="21"/>
                <w:lang w:eastAsia="zh-CN"/>
              </w:rPr>
              <w:t>μg</w:t>
            </w:r>
            <w:r>
              <w:rPr>
                <w:color w:val="FF0000"/>
                <w:sz w:val="21"/>
              </w:rPr>
              <w:t>/m</w:t>
            </w:r>
            <w:r>
              <w:rPr>
                <w:color w:val="FF0000"/>
                <w:sz w:val="21"/>
                <w:vertAlign w:val="superscript"/>
              </w:rPr>
              <w:t>3</w:t>
            </w:r>
          </w:p>
        </w:tc>
        <w:tc>
          <w:tcPr>
            <w:tcW w:w="758" w:type="pct"/>
            <w:vAlign w:val="center"/>
          </w:tcPr>
          <w:p>
            <w:pPr>
              <w:pStyle w:val="687"/>
              <w:rPr>
                <w:color w:val="FF0000"/>
                <w:sz w:val="21"/>
              </w:rPr>
            </w:pPr>
            <w:r>
              <w:rPr>
                <w:color w:val="FF0000"/>
                <w:sz w:val="21"/>
              </w:rPr>
              <w:t>评价标准  μg/m</w:t>
            </w:r>
            <w:r>
              <w:rPr>
                <w:color w:val="FF0000"/>
                <w:sz w:val="21"/>
                <w:vertAlign w:val="superscript"/>
              </w:rPr>
              <w:t>3</w:t>
            </w:r>
          </w:p>
        </w:tc>
        <w:tc>
          <w:tcPr>
            <w:tcW w:w="758" w:type="pct"/>
            <w:vAlign w:val="center"/>
          </w:tcPr>
          <w:p>
            <w:pPr>
              <w:pStyle w:val="687"/>
              <w:rPr>
                <w:color w:val="FF0000"/>
                <w:sz w:val="21"/>
              </w:rPr>
            </w:pPr>
            <w:r>
              <w:rPr>
                <w:color w:val="FF0000"/>
                <w:sz w:val="21"/>
              </w:rPr>
              <w:t>占标率/%</w:t>
            </w:r>
          </w:p>
        </w:tc>
        <w:tc>
          <w:tcPr>
            <w:tcW w:w="758" w:type="pct"/>
            <w:vAlign w:val="center"/>
          </w:tcPr>
          <w:p>
            <w:pPr>
              <w:pStyle w:val="687"/>
              <w:rPr>
                <w:color w:val="FF0000"/>
                <w:sz w:val="21"/>
              </w:rPr>
            </w:pPr>
            <w:r>
              <w:rPr>
                <w:color w:val="FF0000"/>
                <w:sz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Align w:val="center"/>
          </w:tcPr>
          <w:p>
            <w:pPr>
              <w:pStyle w:val="687"/>
              <w:rPr>
                <w:color w:val="FF0000"/>
                <w:sz w:val="21"/>
              </w:rPr>
            </w:pPr>
            <w:r>
              <w:rPr>
                <w:color w:val="FF0000"/>
                <w:sz w:val="21"/>
              </w:rPr>
              <w:t>SO</w:t>
            </w:r>
            <w:r>
              <w:rPr>
                <w:color w:val="FF0000"/>
                <w:sz w:val="21"/>
                <w:vertAlign w:val="subscript"/>
              </w:rPr>
              <w:t>2</w:t>
            </w:r>
          </w:p>
        </w:tc>
        <w:tc>
          <w:tcPr>
            <w:tcW w:w="1402" w:type="pct"/>
            <w:vAlign w:val="center"/>
          </w:tcPr>
          <w:p>
            <w:pPr>
              <w:pStyle w:val="687"/>
              <w:rPr>
                <w:color w:val="FF0000"/>
                <w:sz w:val="21"/>
              </w:rPr>
            </w:pPr>
            <w:r>
              <w:rPr>
                <w:color w:val="FF0000"/>
                <w:sz w:val="21"/>
              </w:rPr>
              <w:t>年平均</w:t>
            </w:r>
          </w:p>
        </w:tc>
        <w:tc>
          <w:tcPr>
            <w:tcW w:w="678" w:type="pct"/>
            <w:vAlign w:val="center"/>
          </w:tcPr>
          <w:p>
            <w:pPr>
              <w:pStyle w:val="687"/>
              <w:rPr>
                <w:color w:val="FF0000"/>
                <w:sz w:val="21"/>
                <w:lang w:eastAsia="zh-CN"/>
              </w:rPr>
            </w:pPr>
            <w:r>
              <w:rPr>
                <w:color w:val="FF0000"/>
                <w:sz w:val="21"/>
                <w:lang w:eastAsia="zh-CN"/>
              </w:rPr>
              <w:t>9</w:t>
            </w:r>
          </w:p>
        </w:tc>
        <w:tc>
          <w:tcPr>
            <w:tcW w:w="758" w:type="pct"/>
            <w:vAlign w:val="center"/>
          </w:tcPr>
          <w:p>
            <w:pPr>
              <w:pStyle w:val="687"/>
              <w:rPr>
                <w:color w:val="FF0000"/>
                <w:sz w:val="21"/>
              </w:rPr>
            </w:pPr>
            <w:r>
              <w:rPr>
                <w:color w:val="FF0000"/>
                <w:sz w:val="21"/>
              </w:rPr>
              <w:t>60</w:t>
            </w:r>
          </w:p>
        </w:tc>
        <w:tc>
          <w:tcPr>
            <w:tcW w:w="758" w:type="pct"/>
            <w:vAlign w:val="center"/>
          </w:tcPr>
          <w:p>
            <w:pPr>
              <w:pStyle w:val="687"/>
              <w:rPr>
                <w:color w:val="FF0000"/>
                <w:sz w:val="21"/>
                <w:lang w:eastAsia="zh-CN"/>
              </w:rPr>
            </w:pPr>
            <w:r>
              <w:rPr>
                <w:rFonts w:hint="eastAsia"/>
                <w:color w:val="FF0000"/>
                <w:sz w:val="21"/>
                <w:lang w:eastAsia="zh-CN"/>
              </w:rPr>
              <w:t>1</w:t>
            </w:r>
            <w:r>
              <w:rPr>
                <w:color w:val="FF0000"/>
                <w:sz w:val="21"/>
                <w:lang w:eastAsia="zh-CN"/>
              </w:rPr>
              <w:t>5</w:t>
            </w:r>
          </w:p>
        </w:tc>
        <w:tc>
          <w:tcPr>
            <w:tcW w:w="758" w:type="pct"/>
            <w:vAlign w:val="center"/>
          </w:tcPr>
          <w:p>
            <w:pPr>
              <w:pStyle w:val="687"/>
              <w:rPr>
                <w:color w:val="FF0000"/>
                <w:sz w:val="21"/>
              </w:rPr>
            </w:pPr>
            <w:r>
              <w:rPr>
                <w:color w:val="FF000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Align w:val="center"/>
          </w:tcPr>
          <w:p>
            <w:pPr>
              <w:pStyle w:val="687"/>
              <w:rPr>
                <w:color w:val="FF0000"/>
                <w:sz w:val="21"/>
              </w:rPr>
            </w:pPr>
            <w:r>
              <w:rPr>
                <w:color w:val="FF0000"/>
                <w:sz w:val="21"/>
              </w:rPr>
              <w:t>NO</w:t>
            </w:r>
            <w:r>
              <w:rPr>
                <w:color w:val="FF0000"/>
                <w:sz w:val="21"/>
                <w:vertAlign w:val="subscript"/>
              </w:rPr>
              <w:t>2</w:t>
            </w:r>
          </w:p>
        </w:tc>
        <w:tc>
          <w:tcPr>
            <w:tcW w:w="1402" w:type="pct"/>
            <w:vAlign w:val="center"/>
          </w:tcPr>
          <w:p>
            <w:pPr>
              <w:pStyle w:val="687"/>
              <w:rPr>
                <w:color w:val="FF0000"/>
                <w:sz w:val="21"/>
              </w:rPr>
            </w:pPr>
            <w:r>
              <w:rPr>
                <w:color w:val="FF0000"/>
                <w:sz w:val="21"/>
              </w:rPr>
              <w:t>年平均</w:t>
            </w:r>
          </w:p>
        </w:tc>
        <w:tc>
          <w:tcPr>
            <w:tcW w:w="678" w:type="pct"/>
            <w:vAlign w:val="center"/>
          </w:tcPr>
          <w:p>
            <w:pPr>
              <w:pStyle w:val="687"/>
              <w:rPr>
                <w:color w:val="FF0000"/>
                <w:sz w:val="21"/>
                <w:lang w:eastAsia="zh-CN"/>
              </w:rPr>
            </w:pPr>
            <w:r>
              <w:rPr>
                <w:color w:val="FF0000"/>
                <w:sz w:val="21"/>
                <w:lang w:eastAsia="zh-CN"/>
              </w:rPr>
              <w:t>26</w:t>
            </w:r>
          </w:p>
        </w:tc>
        <w:tc>
          <w:tcPr>
            <w:tcW w:w="758" w:type="pct"/>
            <w:vAlign w:val="center"/>
          </w:tcPr>
          <w:p>
            <w:pPr>
              <w:pStyle w:val="687"/>
              <w:rPr>
                <w:color w:val="FF0000"/>
                <w:sz w:val="21"/>
              </w:rPr>
            </w:pPr>
            <w:r>
              <w:rPr>
                <w:color w:val="FF0000"/>
                <w:sz w:val="21"/>
              </w:rPr>
              <w:t>40</w:t>
            </w:r>
          </w:p>
        </w:tc>
        <w:tc>
          <w:tcPr>
            <w:tcW w:w="758" w:type="pct"/>
            <w:vAlign w:val="center"/>
          </w:tcPr>
          <w:p>
            <w:pPr>
              <w:pStyle w:val="687"/>
              <w:rPr>
                <w:color w:val="FF0000"/>
                <w:sz w:val="21"/>
                <w:lang w:eastAsia="zh-CN"/>
              </w:rPr>
            </w:pPr>
            <w:r>
              <w:rPr>
                <w:rFonts w:hint="eastAsia"/>
                <w:color w:val="FF0000"/>
                <w:sz w:val="21"/>
                <w:lang w:eastAsia="zh-CN"/>
              </w:rPr>
              <w:t>6</w:t>
            </w:r>
            <w:r>
              <w:rPr>
                <w:color w:val="FF0000"/>
                <w:sz w:val="21"/>
                <w:lang w:eastAsia="zh-CN"/>
              </w:rPr>
              <w:t>5</w:t>
            </w:r>
          </w:p>
        </w:tc>
        <w:tc>
          <w:tcPr>
            <w:tcW w:w="758" w:type="pct"/>
            <w:vAlign w:val="center"/>
          </w:tcPr>
          <w:p>
            <w:pPr>
              <w:pStyle w:val="687"/>
              <w:rPr>
                <w:color w:val="FF0000"/>
                <w:sz w:val="21"/>
                <w:lang w:eastAsia="zh-CN"/>
              </w:rPr>
            </w:pPr>
            <w:r>
              <w:rPr>
                <w:rFonts w:hint="eastAsia"/>
                <w:color w:val="FF0000"/>
                <w:sz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Align w:val="center"/>
          </w:tcPr>
          <w:p>
            <w:pPr>
              <w:pStyle w:val="687"/>
              <w:rPr>
                <w:color w:val="FF0000"/>
                <w:sz w:val="21"/>
              </w:rPr>
            </w:pPr>
            <w:r>
              <w:rPr>
                <w:color w:val="FF0000"/>
                <w:sz w:val="21"/>
              </w:rPr>
              <w:t>CO</w:t>
            </w:r>
          </w:p>
        </w:tc>
        <w:tc>
          <w:tcPr>
            <w:tcW w:w="1402" w:type="pct"/>
            <w:vAlign w:val="center"/>
          </w:tcPr>
          <w:p>
            <w:pPr>
              <w:pStyle w:val="687"/>
              <w:rPr>
                <w:color w:val="FF0000"/>
                <w:sz w:val="21"/>
              </w:rPr>
            </w:pPr>
            <w:r>
              <w:rPr>
                <w:color w:val="FF0000"/>
                <w:sz w:val="21"/>
              </w:rPr>
              <w:t>日平均第95百分位数</w:t>
            </w:r>
          </w:p>
        </w:tc>
        <w:tc>
          <w:tcPr>
            <w:tcW w:w="678" w:type="pct"/>
            <w:vAlign w:val="center"/>
          </w:tcPr>
          <w:p>
            <w:pPr>
              <w:pStyle w:val="687"/>
              <w:rPr>
                <w:color w:val="FF0000"/>
                <w:sz w:val="21"/>
              </w:rPr>
            </w:pPr>
            <w:r>
              <w:rPr>
                <w:color w:val="FF0000"/>
                <w:sz w:val="21"/>
              </w:rPr>
              <w:t>1.9mg/m</w:t>
            </w:r>
            <w:r>
              <w:rPr>
                <w:color w:val="FF0000"/>
                <w:sz w:val="21"/>
                <w:vertAlign w:val="superscript"/>
              </w:rPr>
              <w:t>3</w:t>
            </w:r>
          </w:p>
        </w:tc>
        <w:tc>
          <w:tcPr>
            <w:tcW w:w="758" w:type="pct"/>
            <w:vAlign w:val="center"/>
          </w:tcPr>
          <w:p>
            <w:pPr>
              <w:pStyle w:val="687"/>
              <w:rPr>
                <w:color w:val="FF0000"/>
                <w:sz w:val="21"/>
              </w:rPr>
            </w:pPr>
            <w:r>
              <w:rPr>
                <w:color w:val="FF0000"/>
                <w:sz w:val="21"/>
              </w:rPr>
              <w:t>4mg/m</w:t>
            </w:r>
            <w:r>
              <w:rPr>
                <w:color w:val="FF0000"/>
                <w:sz w:val="21"/>
                <w:vertAlign w:val="superscript"/>
              </w:rPr>
              <w:t>3</w:t>
            </w:r>
          </w:p>
        </w:tc>
        <w:tc>
          <w:tcPr>
            <w:tcW w:w="758" w:type="pct"/>
            <w:vAlign w:val="center"/>
          </w:tcPr>
          <w:p>
            <w:pPr>
              <w:pStyle w:val="687"/>
              <w:rPr>
                <w:color w:val="FF0000"/>
                <w:sz w:val="21"/>
                <w:lang w:eastAsia="zh-CN"/>
              </w:rPr>
            </w:pPr>
            <w:r>
              <w:rPr>
                <w:rFonts w:hint="eastAsia"/>
                <w:color w:val="FF0000"/>
                <w:sz w:val="21"/>
                <w:lang w:eastAsia="zh-CN"/>
              </w:rPr>
              <w:t>4</w:t>
            </w:r>
            <w:r>
              <w:rPr>
                <w:color w:val="FF0000"/>
                <w:sz w:val="21"/>
                <w:lang w:eastAsia="zh-CN"/>
              </w:rPr>
              <w:t>7.5</w:t>
            </w:r>
          </w:p>
        </w:tc>
        <w:tc>
          <w:tcPr>
            <w:tcW w:w="758" w:type="pct"/>
            <w:vAlign w:val="center"/>
          </w:tcPr>
          <w:p>
            <w:pPr>
              <w:pStyle w:val="687"/>
              <w:rPr>
                <w:color w:val="FF0000"/>
                <w:sz w:val="21"/>
              </w:rPr>
            </w:pPr>
            <w:r>
              <w:rPr>
                <w:color w:val="FF000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Align w:val="center"/>
          </w:tcPr>
          <w:p>
            <w:pPr>
              <w:pStyle w:val="687"/>
              <w:rPr>
                <w:color w:val="FF0000"/>
                <w:sz w:val="21"/>
              </w:rPr>
            </w:pPr>
            <w:r>
              <w:rPr>
                <w:color w:val="FF0000"/>
                <w:sz w:val="21"/>
              </w:rPr>
              <w:t>O</w:t>
            </w:r>
            <w:r>
              <w:rPr>
                <w:color w:val="FF0000"/>
                <w:sz w:val="21"/>
                <w:vertAlign w:val="subscript"/>
              </w:rPr>
              <w:t>3</w:t>
            </w:r>
          </w:p>
        </w:tc>
        <w:tc>
          <w:tcPr>
            <w:tcW w:w="1402" w:type="pct"/>
            <w:vAlign w:val="center"/>
          </w:tcPr>
          <w:p>
            <w:pPr>
              <w:pStyle w:val="687"/>
              <w:rPr>
                <w:color w:val="FF0000"/>
                <w:sz w:val="21"/>
              </w:rPr>
            </w:pPr>
            <w:r>
              <w:rPr>
                <w:color w:val="FF0000"/>
                <w:sz w:val="21"/>
              </w:rPr>
              <w:t>日平均第90百分位数</w:t>
            </w:r>
          </w:p>
        </w:tc>
        <w:tc>
          <w:tcPr>
            <w:tcW w:w="678" w:type="pct"/>
            <w:vAlign w:val="center"/>
          </w:tcPr>
          <w:p>
            <w:pPr>
              <w:pStyle w:val="687"/>
              <w:rPr>
                <w:color w:val="FF0000"/>
                <w:sz w:val="21"/>
                <w:lang w:eastAsia="zh-CN"/>
              </w:rPr>
            </w:pPr>
            <w:r>
              <w:rPr>
                <w:color w:val="FF0000"/>
                <w:sz w:val="21"/>
                <w:lang w:eastAsia="zh-CN"/>
              </w:rPr>
              <w:t>122</w:t>
            </w:r>
          </w:p>
        </w:tc>
        <w:tc>
          <w:tcPr>
            <w:tcW w:w="758" w:type="pct"/>
            <w:vAlign w:val="center"/>
          </w:tcPr>
          <w:p>
            <w:pPr>
              <w:pStyle w:val="687"/>
              <w:rPr>
                <w:color w:val="FF0000"/>
                <w:sz w:val="21"/>
              </w:rPr>
            </w:pPr>
            <w:r>
              <w:rPr>
                <w:color w:val="FF0000"/>
                <w:sz w:val="21"/>
              </w:rPr>
              <w:t>160</w:t>
            </w:r>
          </w:p>
        </w:tc>
        <w:tc>
          <w:tcPr>
            <w:tcW w:w="758" w:type="pct"/>
            <w:vAlign w:val="center"/>
          </w:tcPr>
          <w:p>
            <w:pPr>
              <w:pStyle w:val="687"/>
              <w:rPr>
                <w:color w:val="FF0000"/>
                <w:sz w:val="21"/>
                <w:lang w:eastAsia="zh-CN"/>
              </w:rPr>
            </w:pPr>
            <w:r>
              <w:rPr>
                <w:rFonts w:hint="eastAsia"/>
                <w:color w:val="FF0000"/>
                <w:sz w:val="21"/>
                <w:lang w:eastAsia="zh-CN"/>
              </w:rPr>
              <w:t>7</w:t>
            </w:r>
            <w:r>
              <w:rPr>
                <w:color w:val="FF0000"/>
                <w:sz w:val="21"/>
                <w:lang w:eastAsia="zh-CN"/>
              </w:rPr>
              <w:t>6.25</w:t>
            </w:r>
          </w:p>
        </w:tc>
        <w:tc>
          <w:tcPr>
            <w:tcW w:w="758" w:type="pct"/>
            <w:vAlign w:val="center"/>
          </w:tcPr>
          <w:p>
            <w:pPr>
              <w:pStyle w:val="687"/>
              <w:rPr>
                <w:color w:val="FF0000"/>
                <w:sz w:val="21"/>
              </w:rPr>
            </w:pPr>
            <w:r>
              <w:rPr>
                <w:color w:val="FF000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Align w:val="center"/>
          </w:tcPr>
          <w:p>
            <w:pPr>
              <w:pStyle w:val="687"/>
              <w:rPr>
                <w:color w:val="FF0000"/>
                <w:sz w:val="21"/>
              </w:rPr>
            </w:pPr>
            <w:r>
              <w:rPr>
                <w:color w:val="FF0000"/>
                <w:sz w:val="21"/>
              </w:rPr>
              <w:t>PM</w:t>
            </w:r>
            <w:r>
              <w:rPr>
                <w:color w:val="FF0000"/>
                <w:sz w:val="21"/>
                <w:vertAlign w:val="subscript"/>
              </w:rPr>
              <w:t>10</w:t>
            </w:r>
          </w:p>
        </w:tc>
        <w:tc>
          <w:tcPr>
            <w:tcW w:w="1402" w:type="pct"/>
            <w:vAlign w:val="center"/>
          </w:tcPr>
          <w:p>
            <w:pPr>
              <w:pStyle w:val="687"/>
              <w:rPr>
                <w:color w:val="FF0000"/>
                <w:sz w:val="21"/>
              </w:rPr>
            </w:pPr>
            <w:r>
              <w:rPr>
                <w:color w:val="FF0000"/>
                <w:sz w:val="21"/>
              </w:rPr>
              <w:t>年平均</w:t>
            </w:r>
          </w:p>
        </w:tc>
        <w:tc>
          <w:tcPr>
            <w:tcW w:w="678" w:type="pct"/>
            <w:vAlign w:val="center"/>
          </w:tcPr>
          <w:p>
            <w:pPr>
              <w:pStyle w:val="687"/>
              <w:rPr>
                <w:color w:val="FF0000"/>
                <w:sz w:val="21"/>
                <w:lang w:eastAsia="zh-CN"/>
              </w:rPr>
            </w:pPr>
            <w:r>
              <w:rPr>
                <w:rFonts w:hint="eastAsia"/>
                <w:color w:val="FF0000"/>
                <w:sz w:val="21"/>
                <w:lang w:eastAsia="zh-CN"/>
              </w:rPr>
              <w:t>7</w:t>
            </w:r>
            <w:r>
              <w:rPr>
                <w:color w:val="FF0000"/>
                <w:sz w:val="21"/>
                <w:lang w:eastAsia="zh-CN"/>
              </w:rPr>
              <w:t>9</w:t>
            </w:r>
          </w:p>
        </w:tc>
        <w:tc>
          <w:tcPr>
            <w:tcW w:w="758" w:type="pct"/>
            <w:vAlign w:val="center"/>
          </w:tcPr>
          <w:p>
            <w:pPr>
              <w:pStyle w:val="687"/>
              <w:rPr>
                <w:color w:val="FF0000"/>
                <w:sz w:val="21"/>
              </w:rPr>
            </w:pPr>
            <w:r>
              <w:rPr>
                <w:color w:val="FF0000"/>
                <w:sz w:val="21"/>
              </w:rPr>
              <w:t>70</w:t>
            </w:r>
          </w:p>
        </w:tc>
        <w:tc>
          <w:tcPr>
            <w:tcW w:w="758" w:type="pct"/>
            <w:vAlign w:val="center"/>
          </w:tcPr>
          <w:p>
            <w:pPr>
              <w:pStyle w:val="687"/>
              <w:rPr>
                <w:color w:val="FF0000"/>
                <w:sz w:val="21"/>
                <w:lang w:eastAsia="zh-CN"/>
              </w:rPr>
            </w:pPr>
            <w:r>
              <w:rPr>
                <w:rFonts w:hint="eastAsia"/>
                <w:color w:val="FF0000"/>
                <w:sz w:val="21"/>
                <w:lang w:eastAsia="zh-CN"/>
              </w:rPr>
              <w:t>1</w:t>
            </w:r>
            <w:r>
              <w:rPr>
                <w:color w:val="FF0000"/>
                <w:sz w:val="21"/>
                <w:lang w:eastAsia="zh-CN"/>
              </w:rPr>
              <w:t>12.86</w:t>
            </w:r>
          </w:p>
        </w:tc>
        <w:tc>
          <w:tcPr>
            <w:tcW w:w="758" w:type="pct"/>
            <w:vAlign w:val="center"/>
          </w:tcPr>
          <w:p>
            <w:pPr>
              <w:pStyle w:val="687"/>
              <w:rPr>
                <w:color w:val="FF0000"/>
                <w:sz w:val="21"/>
              </w:rPr>
            </w:pPr>
            <w:r>
              <w:rPr>
                <w:color w:val="FF0000"/>
                <w:sz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Align w:val="center"/>
          </w:tcPr>
          <w:p>
            <w:pPr>
              <w:pStyle w:val="687"/>
              <w:rPr>
                <w:color w:val="FF0000"/>
                <w:sz w:val="21"/>
              </w:rPr>
            </w:pPr>
            <w:r>
              <w:rPr>
                <w:color w:val="FF0000"/>
                <w:sz w:val="21"/>
              </w:rPr>
              <w:t>PM</w:t>
            </w:r>
            <w:r>
              <w:rPr>
                <w:color w:val="FF0000"/>
                <w:sz w:val="21"/>
                <w:vertAlign w:val="subscript"/>
              </w:rPr>
              <w:t>2.5</w:t>
            </w:r>
          </w:p>
        </w:tc>
        <w:tc>
          <w:tcPr>
            <w:tcW w:w="1402" w:type="pct"/>
            <w:vAlign w:val="center"/>
          </w:tcPr>
          <w:p>
            <w:pPr>
              <w:pStyle w:val="687"/>
              <w:rPr>
                <w:color w:val="FF0000"/>
                <w:sz w:val="21"/>
              </w:rPr>
            </w:pPr>
            <w:r>
              <w:rPr>
                <w:color w:val="FF0000"/>
                <w:sz w:val="21"/>
              </w:rPr>
              <w:t>年平均</w:t>
            </w:r>
          </w:p>
        </w:tc>
        <w:tc>
          <w:tcPr>
            <w:tcW w:w="678" w:type="pct"/>
            <w:vAlign w:val="center"/>
          </w:tcPr>
          <w:p>
            <w:pPr>
              <w:pStyle w:val="687"/>
              <w:rPr>
                <w:color w:val="FF0000"/>
                <w:sz w:val="21"/>
                <w:lang w:eastAsia="zh-CN"/>
              </w:rPr>
            </w:pPr>
            <w:r>
              <w:rPr>
                <w:rFonts w:hint="eastAsia"/>
                <w:color w:val="FF0000"/>
                <w:sz w:val="21"/>
                <w:lang w:eastAsia="zh-CN"/>
              </w:rPr>
              <w:t>5</w:t>
            </w:r>
            <w:r>
              <w:rPr>
                <w:color w:val="FF0000"/>
                <w:sz w:val="21"/>
                <w:lang w:eastAsia="zh-CN"/>
              </w:rPr>
              <w:t>0</w:t>
            </w:r>
          </w:p>
        </w:tc>
        <w:tc>
          <w:tcPr>
            <w:tcW w:w="758" w:type="pct"/>
            <w:vAlign w:val="center"/>
          </w:tcPr>
          <w:p>
            <w:pPr>
              <w:pStyle w:val="687"/>
              <w:rPr>
                <w:color w:val="FF0000"/>
                <w:sz w:val="21"/>
              </w:rPr>
            </w:pPr>
            <w:r>
              <w:rPr>
                <w:color w:val="FF0000"/>
                <w:sz w:val="21"/>
              </w:rPr>
              <w:t>35</w:t>
            </w:r>
          </w:p>
        </w:tc>
        <w:tc>
          <w:tcPr>
            <w:tcW w:w="758" w:type="pct"/>
            <w:vAlign w:val="center"/>
          </w:tcPr>
          <w:p>
            <w:pPr>
              <w:pStyle w:val="687"/>
              <w:rPr>
                <w:color w:val="FF0000"/>
                <w:sz w:val="21"/>
                <w:lang w:eastAsia="zh-CN"/>
              </w:rPr>
            </w:pPr>
            <w:r>
              <w:rPr>
                <w:rFonts w:hint="eastAsia"/>
                <w:color w:val="FF0000"/>
                <w:sz w:val="21"/>
                <w:lang w:eastAsia="zh-CN"/>
              </w:rPr>
              <w:t>1</w:t>
            </w:r>
            <w:r>
              <w:rPr>
                <w:color w:val="FF0000"/>
                <w:sz w:val="21"/>
                <w:lang w:eastAsia="zh-CN"/>
              </w:rPr>
              <w:t>42.86</w:t>
            </w:r>
          </w:p>
        </w:tc>
        <w:tc>
          <w:tcPr>
            <w:tcW w:w="758" w:type="pct"/>
            <w:vAlign w:val="center"/>
          </w:tcPr>
          <w:p>
            <w:pPr>
              <w:pStyle w:val="687"/>
              <w:rPr>
                <w:color w:val="FF0000"/>
                <w:sz w:val="21"/>
              </w:rPr>
            </w:pPr>
            <w:r>
              <w:rPr>
                <w:color w:val="FF0000"/>
                <w:sz w:val="21"/>
              </w:rPr>
              <w:t>超标</w:t>
            </w:r>
          </w:p>
        </w:tc>
      </w:tr>
    </w:tbl>
    <w:p>
      <w:pPr>
        <w:pStyle w:val="494"/>
        <w:ind w:firstLine="480"/>
        <w:rPr>
          <w:color w:val="FF0000"/>
        </w:rPr>
      </w:pPr>
      <w:r>
        <w:rPr>
          <w:rFonts w:hint="eastAsia"/>
          <w:color w:val="FF0000"/>
        </w:rPr>
        <w:t>由上表可以看出：项目所在区域PM</w:t>
      </w:r>
      <w:r>
        <w:rPr>
          <w:rFonts w:hint="eastAsia"/>
          <w:color w:val="FF0000"/>
          <w:vertAlign w:val="subscript"/>
        </w:rPr>
        <w:t>10</w:t>
      </w:r>
      <w:r>
        <w:rPr>
          <w:rFonts w:hint="eastAsia"/>
          <w:color w:val="FF0000"/>
        </w:rPr>
        <w:t>和PM</w:t>
      </w:r>
      <w:r>
        <w:rPr>
          <w:rFonts w:hint="eastAsia"/>
          <w:color w:val="FF0000"/>
          <w:vertAlign w:val="subscript"/>
        </w:rPr>
        <w:t>2.5</w:t>
      </w:r>
      <w:r>
        <w:rPr>
          <w:rFonts w:hint="eastAsia"/>
          <w:color w:val="FF0000"/>
        </w:rPr>
        <w:t>的年平均浓度均超过《环境空气质量标准》（GB3095-2012）的二级标准要求；CO 第95百分位数日平均浓度、O</w:t>
      </w:r>
      <w:r>
        <w:rPr>
          <w:rFonts w:hint="eastAsia"/>
          <w:color w:val="FF0000"/>
          <w:vertAlign w:val="subscript"/>
        </w:rPr>
        <w:t>3</w:t>
      </w:r>
      <w:r>
        <w:rPr>
          <w:rFonts w:hint="eastAsia"/>
          <w:color w:val="FF0000"/>
        </w:rPr>
        <w:t>最大8小时第90百分位数日平均浓度、SO</w:t>
      </w:r>
      <w:r>
        <w:rPr>
          <w:rFonts w:hint="eastAsia"/>
          <w:color w:val="FF0000"/>
          <w:vertAlign w:val="subscript"/>
        </w:rPr>
        <w:t>2</w:t>
      </w:r>
      <w:r>
        <w:rPr>
          <w:rFonts w:hint="eastAsia"/>
          <w:color w:val="FF0000"/>
        </w:rPr>
        <w:t>的年均浓度和NO</w:t>
      </w:r>
      <w:r>
        <w:rPr>
          <w:color w:val="FF0000"/>
          <w:vertAlign w:val="subscript"/>
        </w:rPr>
        <w:t>2</w:t>
      </w:r>
      <w:r>
        <w:rPr>
          <w:rFonts w:hint="eastAsia"/>
          <w:color w:val="FF0000"/>
        </w:rPr>
        <w:t>的年均浓度均满足《环境空气质量标准》（GB3095-2012）的二级标准要求，故本项目所在区域为不达标区域。</w:t>
      </w:r>
    </w:p>
    <w:bookmarkEnd w:id="298"/>
    <w:p>
      <w:pPr>
        <w:pStyle w:val="494"/>
        <w:ind w:firstLine="480"/>
        <w:rPr>
          <w:bCs/>
        </w:rPr>
      </w:pPr>
      <w:r>
        <w:rPr>
          <w:rFonts w:hint="eastAsia"/>
          <w:bCs/>
        </w:rPr>
        <w:t>2、补充监测</w:t>
      </w:r>
    </w:p>
    <w:p>
      <w:pPr>
        <w:pStyle w:val="494"/>
        <w:ind w:firstLine="480"/>
      </w:pPr>
      <w:r>
        <w:rPr>
          <w:rFonts w:hint="eastAsia"/>
        </w:rPr>
        <w:t>（1）监测</w:t>
      </w:r>
      <w:r>
        <w:t>点位布置</w:t>
      </w:r>
    </w:p>
    <w:p>
      <w:pPr>
        <w:pStyle w:val="494"/>
        <w:ind w:firstLine="480"/>
      </w:pPr>
      <w:r>
        <w:rPr>
          <w:rFonts w:hint="eastAsia"/>
        </w:rPr>
        <w:t>根据</w:t>
      </w:r>
      <w:r>
        <w:rPr>
          <w:rFonts w:hint="eastAsia"/>
          <w:lang w:bidi="en-US"/>
        </w:rPr>
        <w:t xml:space="preserve">《环境影响评价技术导则 </w:t>
      </w:r>
      <w:r>
        <w:rPr>
          <w:lang w:bidi="en-US"/>
        </w:rPr>
        <w:t xml:space="preserve"> 大气环境》</w:t>
      </w:r>
      <w:r>
        <w:rPr>
          <w:rFonts w:hint="eastAsia"/>
          <w:lang w:bidi="en-US"/>
        </w:rPr>
        <w:t>（</w:t>
      </w:r>
      <w:r>
        <w:rPr>
          <w:lang w:bidi="en-US"/>
        </w:rPr>
        <w:t>HJ2.2－2018</w:t>
      </w:r>
      <w:r>
        <w:rPr>
          <w:rFonts w:hint="eastAsia"/>
          <w:lang w:bidi="en-US"/>
        </w:rPr>
        <w:t>）中相关要求，结合本项目所在区域地形特点及当地气象特征，</w:t>
      </w:r>
      <w:r>
        <w:rPr>
          <w:rFonts w:hint="eastAsia"/>
        </w:rPr>
        <w:t>本项目</w:t>
      </w:r>
      <w:r>
        <w:t>环境空气</w:t>
      </w:r>
      <w:r>
        <w:rPr>
          <w:rFonts w:hint="eastAsia"/>
        </w:rPr>
        <w:t>质量</w:t>
      </w:r>
      <w:r>
        <w:t>现状调查采用实测的方法</w:t>
      </w:r>
      <w:r>
        <w:rPr>
          <w:rFonts w:hint="eastAsia"/>
        </w:rPr>
        <w:t>进行。在项目区下风向设置一个环境空气质量现状监测点</w:t>
      </w:r>
      <w:r>
        <w:rPr>
          <w:lang w:bidi="en-US"/>
        </w:rPr>
        <w:t>。</w:t>
      </w:r>
      <w:r>
        <w:rPr>
          <w:rFonts w:hint="eastAsia"/>
          <w:lang w:bidi="en-US"/>
        </w:rPr>
        <w:t>监测点位置详</w:t>
      </w:r>
      <w:r>
        <w:t>见表</w:t>
      </w:r>
      <w:r>
        <w:rPr>
          <w:rFonts w:hint="eastAsia"/>
        </w:rPr>
        <w:t>4.2-2及</w:t>
      </w:r>
      <w:r>
        <w:t>图</w:t>
      </w:r>
      <w:r>
        <w:rPr>
          <w:rFonts w:hint="eastAsia"/>
        </w:rPr>
        <w:t>4.2-1</w:t>
      </w:r>
      <w:r>
        <w:t>。</w:t>
      </w:r>
    </w:p>
    <w:p>
      <w:pPr>
        <w:pStyle w:val="400"/>
        <w:ind w:firstLine="420"/>
      </w:pPr>
      <w:r>
        <w:rPr>
          <w:rFonts w:hint="eastAsia"/>
        </w:rPr>
        <w:t>表4.2-2</w:t>
      </w:r>
      <w:r>
        <w:t xml:space="preserve">         环境</w:t>
      </w:r>
      <w:r>
        <w:rPr>
          <w:rFonts w:hint="eastAsia"/>
        </w:rPr>
        <w:t>空气</w:t>
      </w:r>
      <w:r>
        <w:t>质量现状监测点位置</w:t>
      </w:r>
    </w:p>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723"/>
        <w:gridCol w:w="4054"/>
        <w:gridCol w:w="1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5" w:type="pct"/>
            <w:vAlign w:val="center"/>
          </w:tcPr>
          <w:p>
            <w:pPr>
              <w:pStyle w:val="687"/>
            </w:pPr>
            <w:r>
              <w:t>点位编号</w:t>
            </w:r>
          </w:p>
        </w:tc>
        <w:tc>
          <w:tcPr>
            <w:tcW w:w="1021" w:type="pct"/>
            <w:vAlign w:val="center"/>
          </w:tcPr>
          <w:p>
            <w:pPr>
              <w:pStyle w:val="687"/>
            </w:pPr>
            <w:r>
              <w:t>监测点位置</w:t>
            </w:r>
          </w:p>
        </w:tc>
        <w:tc>
          <w:tcPr>
            <w:tcW w:w="2402" w:type="pct"/>
            <w:vAlign w:val="center"/>
          </w:tcPr>
          <w:p>
            <w:pPr>
              <w:pStyle w:val="687"/>
            </w:pPr>
            <w:r>
              <w:t>监测点坐标</w:t>
            </w:r>
          </w:p>
        </w:tc>
        <w:tc>
          <w:tcPr>
            <w:tcW w:w="1081" w:type="pct"/>
            <w:vAlign w:val="center"/>
          </w:tcPr>
          <w:p>
            <w:pPr>
              <w:pStyle w:val="687"/>
              <w:rPr>
                <w:lang w:eastAsia="zh-CN"/>
              </w:rPr>
            </w:pPr>
            <w:r>
              <w:rPr>
                <w:rFonts w:hint="eastAsia"/>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5" w:type="pct"/>
            <w:vAlign w:val="center"/>
          </w:tcPr>
          <w:p>
            <w:pPr>
              <w:pStyle w:val="687"/>
              <w:rPr>
                <w:lang w:eastAsia="zh-CN"/>
              </w:rPr>
            </w:pPr>
            <w:r>
              <w:t>G1</w:t>
            </w:r>
          </w:p>
        </w:tc>
        <w:tc>
          <w:tcPr>
            <w:tcW w:w="1021" w:type="pct"/>
            <w:vAlign w:val="center"/>
          </w:tcPr>
          <w:p>
            <w:pPr>
              <w:pStyle w:val="687"/>
              <w:rPr>
                <w:lang w:eastAsia="zh-CN"/>
              </w:rPr>
            </w:pPr>
            <w:r>
              <w:rPr>
                <w:rFonts w:hint="eastAsia"/>
                <w:lang w:eastAsia="zh-CN"/>
              </w:rPr>
              <w:t>项目区下风向1</w:t>
            </w:r>
            <w:r>
              <w:rPr>
                <w:lang w:eastAsia="zh-CN"/>
              </w:rPr>
              <w:t>0m</w:t>
            </w:r>
            <w:r>
              <w:rPr>
                <w:rFonts w:hint="eastAsia"/>
                <w:lang w:eastAsia="zh-CN"/>
              </w:rPr>
              <w:t>处</w:t>
            </w:r>
          </w:p>
        </w:tc>
        <w:tc>
          <w:tcPr>
            <w:tcW w:w="2402" w:type="pct"/>
            <w:vAlign w:val="center"/>
          </w:tcPr>
          <w:p>
            <w:pPr>
              <w:pStyle w:val="687"/>
              <w:rPr>
                <w:lang w:eastAsia="zh-CN"/>
              </w:rPr>
            </w:pPr>
            <w:r>
              <w:rPr>
                <w:rFonts w:hint="eastAsia"/>
                <w:lang w:eastAsia="zh-CN"/>
              </w:rPr>
              <w:t>E</w:t>
            </w:r>
            <w:r>
              <w:rPr>
                <w:lang w:eastAsia="zh-CN"/>
              </w:rPr>
              <w:t>88°02′22.25″，N44°28′00.45″</w:t>
            </w:r>
          </w:p>
        </w:tc>
        <w:tc>
          <w:tcPr>
            <w:tcW w:w="1081" w:type="pct"/>
            <w:vAlign w:val="center"/>
          </w:tcPr>
          <w:p>
            <w:pPr>
              <w:pStyle w:val="687"/>
              <w:rPr>
                <w:bCs/>
                <w:lang w:eastAsia="zh-CN"/>
              </w:rPr>
            </w:pPr>
            <w:r>
              <w:rPr>
                <w:rFonts w:hint="eastAsia"/>
                <w:bCs/>
                <w:lang w:eastAsia="zh-CN"/>
              </w:rPr>
              <w:t>实测</w:t>
            </w:r>
          </w:p>
        </w:tc>
      </w:tr>
    </w:tbl>
    <w:p>
      <w:pPr>
        <w:pStyle w:val="494"/>
        <w:ind w:firstLine="480"/>
      </w:pPr>
      <w:r>
        <w:rPr>
          <w:rFonts w:hint="eastAsia"/>
        </w:rPr>
        <w:t>（2）监测项目及分析方法</w:t>
      </w:r>
    </w:p>
    <w:p>
      <w:pPr>
        <w:pStyle w:val="494"/>
        <w:ind w:firstLine="480"/>
      </w:pPr>
      <w:r>
        <w:rPr>
          <w:rFonts w:hint="eastAsia"/>
        </w:rPr>
        <w:t>本次评价环境空气补充监测因子选取非甲烷</w:t>
      </w:r>
      <w:r>
        <w:t>总烃。</w:t>
      </w:r>
      <w:r>
        <w:rPr>
          <w:rFonts w:hint="eastAsia"/>
        </w:rPr>
        <w:t>环境</w:t>
      </w:r>
      <w:r>
        <w:t>空气采样及分析方法均</w:t>
      </w:r>
      <w:r>
        <w:rPr>
          <w:rFonts w:hint="eastAsia"/>
        </w:rPr>
        <w:t>根据</w:t>
      </w:r>
      <w:r>
        <w:t>原国家环保总局颁布的《空气和废气监测分析方法》、《环境监测技术规范》中的有关规定执行</w:t>
      </w:r>
      <w:r>
        <w:rPr>
          <w:rFonts w:hint="eastAsia"/>
        </w:rPr>
        <w:t>。</w:t>
      </w:r>
      <w:r>
        <w:t>环境空气监测项目分析方法见表</w:t>
      </w:r>
      <w:r>
        <w:rPr>
          <w:rFonts w:hint="eastAsia"/>
        </w:rPr>
        <w:t>4.2-3</w:t>
      </w:r>
      <w:r>
        <w:t>。</w:t>
      </w:r>
    </w:p>
    <w:p>
      <w:pPr>
        <w:pStyle w:val="400"/>
        <w:ind w:firstLine="420"/>
      </w:pPr>
      <w:r>
        <w:t>表</w:t>
      </w:r>
      <w:r>
        <w:rPr>
          <w:rFonts w:hint="eastAsia"/>
        </w:rPr>
        <w:t>4.2-3</w:t>
      </w:r>
      <w:r>
        <w:t xml:space="preserve">              </w:t>
      </w:r>
      <w:r>
        <w:rPr>
          <w:rFonts w:hint="eastAsia"/>
        </w:rPr>
        <w:t>环境空气监测项目分析方法</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4"/>
        <w:gridCol w:w="3535"/>
        <w:gridCol w:w="1842"/>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6" w:type="pct"/>
            <w:vAlign w:val="center"/>
          </w:tcPr>
          <w:p>
            <w:pPr>
              <w:pStyle w:val="687"/>
              <w:rPr>
                <w:snapToGrid w:val="0"/>
              </w:rPr>
            </w:pPr>
            <w:r>
              <w:rPr>
                <w:rFonts w:hint="eastAsia"/>
                <w:snapToGrid w:val="0"/>
              </w:rPr>
              <w:t>名称</w:t>
            </w:r>
          </w:p>
        </w:tc>
        <w:tc>
          <w:tcPr>
            <w:tcW w:w="2095" w:type="pct"/>
            <w:vAlign w:val="center"/>
          </w:tcPr>
          <w:p>
            <w:pPr>
              <w:pStyle w:val="687"/>
              <w:rPr>
                <w:snapToGrid w:val="0"/>
              </w:rPr>
            </w:pPr>
            <w:r>
              <w:rPr>
                <w:snapToGrid w:val="0"/>
              </w:rPr>
              <w:t>分析方法</w:t>
            </w:r>
          </w:p>
        </w:tc>
        <w:tc>
          <w:tcPr>
            <w:tcW w:w="1092" w:type="pct"/>
            <w:vAlign w:val="center"/>
          </w:tcPr>
          <w:p>
            <w:pPr>
              <w:pStyle w:val="687"/>
              <w:rPr>
                <w:snapToGrid w:val="0"/>
              </w:rPr>
            </w:pPr>
            <w:r>
              <w:rPr>
                <w:snapToGrid w:val="0"/>
              </w:rPr>
              <w:t>标准号</w:t>
            </w:r>
          </w:p>
        </w:tc>
        <w:tc>
          <w:tcPr>
            <w:tcW w:w="987" w:type="pct"/>
            <w:vAlign w:val="center"/>
          </w:tcPr>
          <w:p>
            <w:pPr>
              <w:pStyle w:val="687"/>
              <w:rPr>
                <w:snapToGrid w:val="0"/>
              </w:rPr>
            </w:pPr>
            <w:r>
              <w:rPr>
                <w:snapToGrid w:val="0"/>
              </w:rPr>
              <w:t>检出限(mg/m</w:t>
            </w:r>
            <w:r>
              <w:rPr>
                <w:snapToGrid w:val="0"/>
                <w:vertAlign w:val="superscript"/>
              </w:rPr>
              <w:t>3</w:t>
            </w:r>
            <w:r>
              <w:rPr>
                <w:snapToGrid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6" w:type="pct"/>
            <w:vAlign w:val="center"/>
          </w:tcPr>
          <w:p>
            <w:pPr>
              <w:pStyle w:val="687"/>
              <w:rPr>
                <w:snapToGrid w:val="0"/>
              </w:rPr>
            </w:pPr>
            <w:r>
              <w:rPr>
                <w:rFonts w:hint="eastAsia"/>
                <w:snapToGrid w:val="0"/>
              </w:rPr>
              <w:t>非甲烷</w:t>
            </w:r>
            <w:r>
              <w:rPr>
                <w:snapToGrid w:val="0"/>
              </w:rPr>
              <w:t>总烃</w:t>
            </w:r>
          </w:p>
        </w:tc>
        <w:tc>
          <w:tcPr>
            <w:tcW w:w="2095" w:type="pct"/>
            <w:vAlign w:val="center"/>
          </w:tcPr>
          <w:p>
            <w:pPr>
              <w:pStyle w:val="687"/>
              <w:rPr>
                <w:snapToGrid w:val="0"/>
                <w:lang w:eastAsia="zh-CN"/>
              </w:rPr>
            </w:pPr>
            <w:r>
              <w:rPr>
                <w:rFonts w:hint="eastAsia"/>
                <w:snapToGrid w:val="0"/>
                <w:lang w:eastAsia="zh-CN"/>
              </w:rPr>
              <w:t>环境</w:t>
            </w:r>
            <w:r>
              <w:rPr>
                <w:snapToGrid w:val="0"/>
                <w:lang w:eastAsia="zh-CN"/>
              </w:rPr>
              <w:t>空气</w:t>
            </w:r>
            <w:r>
              <w:rPr>
                <w:rFonts w:hint="eastAsia"/>
                <w:snapToGrid w:val="0"/>
                <w:lang w:eastAsia="zh-CN"/>
              </w:rPr>
              <w:t xml:space="preserve"> 总烃</w:t>
            </w:r>
            <w:r>
              <w:rPr>
                <w:snapToGrid w:val="0"/>
                <w:lang w:eastAsia="zh-CN"/>
              </w:rPr>
              <w:t>、甲烷和非甲烷总烃的测定</w:t>
            </w:r>
            <w:r>
              <w:rPr>
                <w:rFonts w:hint="eastAsia"/>
                <w:snapToGrid w:val="0"/>
                <w:lang w:eastAsia="zh-CN"/>
              </w:rPr>
              <w:t xml:space="preserve"> 直接</w:t>
            </w:r>
            <w:r>
              <w:rPr>
                <w:snapToGrid w:val="0"/>
                <w:lang w:eastAsia="zh-CN"/>
              </w:rPr>
              <w:t>进样-气相色谱法</w:t>
            </w:r>
          </w:p>
        </w:tc>
        <w:tc>
          <w:tcPr>
            <w:tcW w:w="1092" w:type="pct"/>
            <w:vAlign w:val="center"/>
          </w:tcPr>
          <w:p>
            <w:pPr>
              <w:pStyle w:val="687"/>
              <w:rPr>
                <w:snapToGrid w:val="0"/>
              </w:rPr>
            </w:pPr>
            <w:r>
              <w:rPr>
                <w:rFonts w:hint="eastAsia"/>
                <w:snapToGrid w:val="0"/>
              </w:rPr>
              <w:t>HJ604-2017</w:t>
            </w:r>
          </w:p>
        </w:tc>
        <w:tc>
          <w:tcPr>
            <w:tcW w:w="987" w:type="pct"/>
            <w:vAlign w:val="center"/>
          </w:tcPr>
          <w:p>
            <w:pPr>
              <w:pStyle w:val="687"/>
              <w:rPr>
                <w:snapToGrid w:val="0"/>
              </w:rPr>
            </w:pPr>
            <w:r>
              <w:rPr>
                <w:rFonts w:hint="eastAsia"/>
                <w:snapToGrid w:val="0"/>
              </w:rPr>
              <w:t>0.07</w:t>
            </w:r>
          </w:p>
        </w:tc>
      </w:tr>
    </w:tbl>
    <w:p>
      <w:pPr>
        <w:pStyle w:val="494"/>
        <w:ind w:firstLine="480"/>
      </w:pPr>
      <w:r>
        <w:rPr>
          <w:rFonts w:hint="eastAsia"/>
        </w:rPr>
        <w:t>（3）监测时间及频率</w:t>
      </w:r>
    </w:p>
    <w:p>
      <w:pPr>
        <w:pStyle w:val="494"/>
        <w:ind w:firstLine="480"/>
      </w:pPr>
      <w:r>
        <w:rPr>
          <w:rFonts w:hint="eastAsia"/>
        </w:rPr>
        <w:t>非甲烷</w:t>
      </w:r>
      <w:r>
        <w:t>总烃</w:t>
      </w:r>
      <w:r>
        <w:rPr>
          <w:rFonts w:hint="eastAsia"/>
        </w:rPr>
        <w:t>监测小时值，</w:t>
      </w:r>
      <w:r>
        <w:t>每天采样</w:t>
      </w:r>
      <w:r>
        <w:rPr>
          <w:rFonts w:hint="eastAsia"/>
        </w:rPr>
        <w:t>4次。监测时间为20</w:t>
      </w:r>
      <w:r>
        <w:t>23</w:t>
      </w:r>
      <w:r>
        <w:rPr>
          <w:rFonts w:hint="eastAsia"/>
        </w:rPr>
        <w:t>年</w:t>
      </w:r>
      <w:r>
        <w:t>3</w:t>
      </w:r>
      <w:r>
        <w:rPr>
          <w:rFonts w:hint="eastAsia"/>
        </w:rPr>
        <w:t>月</w:t>
      </w:r>
      <w:r>
        <w:t>12</w:t>
      </w:r>
      <w:r>
        <w:rPr>
          <w:rFonts w:hint="eastAsia"/>
        </w:rPr>
        <w:t>日～</w:t>
      </w:r>
      <w:r>
        <w:t>18</w:t>
      </w:r>
      <w:r>
        <w:rPr>
          <w:rFonts w:hint="eastAsia"/>
        </w:rPr>
        <w:t>日，连续监测</w:t>
      </w:r>
      <w:r>
        <w:t>7</w:t>
      </w:r>
      <w:r>
        <w:rPr>
          <w:rFonts w:hint="eastAsia"/>
        </w:rPr>
        <w:t>天，监测由新疆泰施特环保科技有限公司进行。</w:t>
      </w:r>
      <w:r>
        <w:t>监测同时记录风速、风向、气温、气压和天气状况等常规气象要素。</w:t>
      </w:r>
    </w:p>
    <w:p>
      <w:pPr>
        <w:pStyle w:val="494"/>
        <w:ind w:firstLine="480"/>
      </w:pPr>
      <w:r>
        <w:rPr>
          <w:rFonts w:hint="eastAsia"/>
        </w:rPr>
        <w:t>（4）评价方法</w:t>
      </w:r>
    </w:p>
    <w:p>
      <w:pPr>
        <w:pStyle w:val="494"/>
        <w:ind w:firstLine="480"/>
      </w:pPr>
      <w:r>
        <w:rPr>
          <w:rFonts w:hint="eastAsia"/>
        </w:rPr>
        <w:t>评价方法采用最大质量浓度占相应标准质量浓度的百分比及超标率对监测结果进行评价分析。</w:t>
      </w:r>
      <w:r>
        <w:t>计算公式为：</w:t>
      </w:r>
    </w:p>
    <w:p>
      <w:pPr>
        <w:pStyle w:val="494"/>
        <w:ind w:firstLine="0" w:firstLineChars="0"/>
        <w:jc w:val="center"/>
        <w:rPr>
          <w:sz w:val="26"/>
          <w:szCs w:val="26"/>
        </w:rPr>
      </w:pPr>
      <w:r>
        <w:rPr>
          <w:sz w:val="26"/>
          <w:szCs w:val="26"/>
        </w:rPr>
        <w:t>P</w:t>
      </w:r>
      <w:r>
        <w:rPr>
          <w:sz w:val="26"/>
          <w:szCs w:val="26"/>
          <w:vertAlign w:val="subscript"/>
        </w:rPr>
        <w:t>i</w:t>
      </w:r>
      <w:r>
        <w:rPr>
          <w:sz w:val="26"/>
          <w:szCs w:val="26"/>
        </w:rPr>
        <w:t>=C</w:t>
      </w:r>
      <w:r>
        <w:rPr>
          <w:sz w:val="26"/>
          <w:szCs w:val="26"/>
          <w:vertAlign w:val="subscript"/>
        </w:rPr>
        <w:t>i</w:t>
      </w:r>
      <w:r>
        <w:rPr>
          <w:sz w:val="26"/>
          <w:szCs w:val="26"/>
        </w:rPr>
        <w:t>/C</w:t>
      </w:r>
      <w:r>
        <w:rPr>
          <w:sz w:val="26"/>
          <w:szCs w:val="26"/>
          <w:vertAlign w:val="subscript"/>
        </w:rPr>
        <w:t>oi</w:t>
      </w:r>
      <w:r>
        <w:rPr>
          <w:rFonts w:hint="eastAsia"/>
          <w:sz w:val="26"/>
          <w:szCs w:val="26"/>
        </w:rPr>
        <w:t>×100%</w:t>
      </w:r>
    </w:p>
    <w:p>
      <w:pPr>
        <w:pStyle w:val="494"/>
        <w:ind w:firstLine="480"/>
      </w:pPr>
      <w:r>
        <w:t>式中：P</w:t>
      </w:r>
      <w:r>
        <w:rPr>
          <w:vertAlign w:val="subscript"/>
        </w:rPr>
        <w:t>i</w:t>
      </w:r>
      <w:r>
        <w:t>—第i个污染物的最大浓度占标率（无量纲）；</w:t>
      </w:r>
    </w:p>
    <w:p>
      <w:pPr>
        <w:pStyle w:val="494"/>
        <w:ind w:firstLine="480"/>
      </w:pPr>
      <w:r>
        <w:t xml:space="preserve">      C</w:t>
      </w:r>
      <w:r>
        <w:rPr>
          <w:vertAlign w:val="subscript"/>
        </w:rPr>
        <w:t>i</w:t>
      </w:r>
      <w:r>
        <w:t>—第i个污染物的最大浓度（μg/m</w:t>
      </w:r>
      <w:r>
        <w:rPr>
          <w:vertAlign w:val="superscript"/>
        </w:rPr>
        <w:t>3</w:t>
      </w:r>
      <w:r>
        <w:t>）；</w:t>
      </w:r>
    </w:p>
    <w:p>
      <w:pPr>
        <w:pStyle w:val="494"/>
        <w:ind w:firstLine="480"/>
      </w:pPr>
      <w:r>
        <w:t xml:space="preserve">      C</w:t>
      </w:r>
      <w:r>
        <w:rPr>
          <w:vertAlign w:val="subscript"/>
        </w:rPr>
        <w:t>oi</w:t>
      </w:r>
      <w:r>
        <w:t>—第i个污染物的环境空气质量浓度标准（μg/m</w:t>
      </w:r>
      <w:r>
        <w:rPr>
          <w:vertAlign w:val="superscript"/>
        </w:rPr>
        <w:t>3</w:t>
      </w:r>
      <w:r>
        <w:t>）。</w:t>
      </w:r>
    </w:p>
    <w:p>
      <w:pPr>
        <w:pStyle w:val="494"/>
        <w:ind w:firstLine="480"/>
      </w:pPr>
      <w:r>
        <w:rPr>
          <w:rFonts w:hint="eastAsia"/>
        </w:rPr>
        <w:t>（5）评价标准</w:t>
      </w:r>
    </w:p>
    <w:p>
      <w:pPr>
        <w:pStyle w:val="494"/>
        <w:ind w:firstLine="480"/>
      </w:pPr>
      <w:r>
        <w:rPr>
          <w:rFonts w:hint="eastAsia"/>
        </w:rPr>
        <w:t>本项目现状</w:t>
      </w:r>
      <w:r>
        <w:t>监测</w:t>
      </w:r>
      <w:r>
        <w:rPr>
          <w:rFonts w:hint="eastAsia"/>
        </w:rPr>
        <w:t>大气</w:t>
      </w:r>
      <w:r>
        <w:t>污染物</w:t>
      </w:r>
      <w:r>
        <w:rPr>
          <w:rFonts w:hint="eastAsia"/>
        </w:rPr>
        <w:t>评价标准</w:t>
      </w:r>
      <w:r>
        <w:t>见表</w:t>
      </w:r>
      <w:r>
        <w:rPr>
          <w:rFonts w:hint="eastAsia"/>
        </w:rPr>
        <w:t>4.2-4。</w:t>
      </w:r>
    </w:p>
    <w:p>
      <w:pPr>
        <w:pStyle w:val="400"/>
        <w:ind w:firstLine="420"/>
      </w:pPr>
    </w:p>
    <w:p>
      <w:pPr>
        <w:pStyle w:val="400"/>
        <w:ind w:firstLine="420"/>
      </w:pPr>
    </w:p>
    <w:p>
      <w:pPr>
        <w:pStyle w:val="400"/>
        <w:ind w:firstLine="420"/>
      </w:pPr>
    </w:p>
    <w:p>
      <w:pPr>
        <w:pStyle w:val="400"/>
        <w:ind w:firstLine="420"/>
      </w:pPr>
      <w:r>
        <w:t>表</w:t>
      </w:r>
      <w:r>
        <w:rPr>
          <w:rFonts w:hint="eastAsia"/>
        </w:rPr>
        <w:t>4.2-4</w:t>
      </w:r>
      <w:r>
        <w:t xml:space="preserve">              </w:t>
      </w:r>
      <w:r>
        <w:rPr>
          <w:rFonts w:hint="eastAsia"/>
        </w:rPr>
        <w:t>项目</w:t>
      </w:r>
      <w:r>
        <w:t>大气污染物评价标准</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9"/>
        <w:gridCol w:w="5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7" w:type="pct"/>
            <w:vAlign w:val="center"/>
          </w:tcPr>
          <w:p>
            <w:pPr>
              <w:pStyle w:val="687"/>
            </w:pPr>
            <w:r>
              <w:rPr>
                <w:rFonts w:hint="eastAsia"/>
              </w:rPr>
              <w:t>污染物</w:t>
            </w:r>
          </w:p>
        </w:tc>
        <w:tc>
          <w:tcPr>
            <w:tcW w:w="3353" w:type="pct"/>
            <w:vAlign w:val="center"/>
          </w:tcPr>
          <w:p>
            <w:pPr>
              <w:pStyle w:val="687"/>
            </w:pPr>
            <w:r>
              <w:rPr>
                <w:rFonts w:hint="eastAsia"/>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4" w:hRule="atLeast"/>
          <w:jc w:val="center"/>
        </w:trPr>
        <w:tc>
          <w:tcPr>
            <w:tcW w:w="1647" w:type="pct"/>
            <w:vAlign w:val="center"/>
          </w:tcPr>
          <w:p>
            <w:pPr>
              <w:pStyle w:val="687"/>
            </w:pPr>
            <w:r>
              <w:rPr>
                <w:rFonts w:hint="eastAsia"/>
              </w:rPr>
              <w:t>非甲烷总烃</w:t>
            </w:r>
          </w:p>
        </w:tc>
        <w:tc>
          <w:tcPr>
            <w:tcW w:w="3353" w:type="pct"/>
            <w:vAlign w:val="center"/>
          </w:tcPr>
          <w:p>
            <w:pPr>
              <w:pStyle w:val="687"/>
              <w:rPr>
                <w:lang w:eastAsia="zh-CN"/>
              </w:rPr>
            </w:pPr>
            <w:r>
              <w:rPr>
                <w:rFonts w:hint="eastAsia"/>
                <w:lang w:eastAsia="zh-CN"/>
              </w:rPr>
              <w:t>《大气污染物</w:t>
            </w:r>
            <w:r>
              <w:rPr>
                <w:lang w:eastAsia="zh-CN"/>
              </w:rPr>
              <w:t>综合排放标准详解</w:t>
            </w:r>
            <w:r>
              <w:rPr>
                <w:rFonts w:hint="eastAsia"/>
                <w:lang w:eastAsia="zh-CN"/>
              </w:rPr>
              <w:t>》环境</w:t>
            </w:r>
            <w:r>
              <w:rPr>
                <w:lang w:eastAsia="zh-CN"/>
              </w:rPr>
              <w:t>管理推荐限值</w:t>
            </w:r>
          </w:p>
        </w:tc>
      </w:tr>
    </w:tbl>
    <w:p>
      <w:pPr>
        <w:pStyle w:val="494"/>
        <w:ind w:firstLine="480"/>
      </w:pPr>
      <w:r>
        <w:rPr>
          <w:rFonts w:hint="eastAsia"/>
        </w:rPr>
        <w:t>（6）</w:t>
      </w:r>
      <w:r>
        <w:t>监测结果统计</w:t>
      </w:r>
    </w:p>
    <w:p>
      <w:pPr>
        <w:pStyle w:val="494"/>
        <w:ind w:firstLine="480"/>
      </w:pPr>
      <w:r>
        <w:rPr>
          <w:rFonts w:hint="eastAsia"/>
        </w:rPr>
        <w:t>非甲烷总烃</w:t>
      </w:r>
      <w:r>
        <w:t>现状监测结果</w:t>
      </w:r>
      <w:r>
        <w:rPr>
          <w:rFonts w:hint="eastAsia"/>
        </w:rPr>
        <w:t>小时值</w:t>
      </w:r>
      <w:r>
        <w:t>浓度范围结果汇总见表</w:t>
      </w:r>
      <w:r>
        <w:rPr>
          <w:rFonts w:hint="eastAsia"/>
        </w:rPr>
        <w:t>4.2-</w:t>
      </w:r>
      <w:r>
        <w:t>5。</w:t>
      </w:r>
    </w:p>
    <w:p>
      <w:pPr>
        <w:pStyle w:val="400"/>
        <w:ind w:firstLine="420"/>
      </w:pPr>
      <w:r>
        <w:t>表</w:t>
      </w:r>
      <w:r>
        <w:rPr>
          <w:rFonts w:hint="eastAsia"/>
        </w:rPr>
        <w:t>4.2-</w:t>
      </w:r>
      <w:r>
        <w:t>5            环境空气质量现状监测及评价结果</w:t>
      </w:r>
    </w:p>
    <w:tbl>
      <w:tblPr>
        <w:tblStyle w:val="6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1002"/>
        <w:gridCol w:w="1161"/>
        <w:gridCol w:w="1000"/>
        <w:gridCol w:w="1544"/>
        <w:gridCol w:w="1356"/>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Align w:val="center"/>
          </w:tcPr>
          <w:p>
            <w:pPr>
              <w:pStyle w:val="687"/>
              <w:rPr>
                <w:sz w:val="21"/>
              </w:rPr>
            </w:pPr>
            <w:r>
              <w:rPr>
                <w:rFonts w:hint="eastAsia"/>
                <w:sz w:val="21"/>
              </w:rPr>
              <w:t>监测点位</w:t>
            </w:r>
          </w:p>
        </w:tc>
        <w:tc>
          <w:tcPr>
            <w:tcW w:w="1002" w:type="dxa"/>
            <w:vAlign w:val="center"/>
          </w:tcPr>
          <w:p>
            <w:pPr>
              <w:pStyle w:val="687"/>
              <w:rPr>
                <w:sz w:val="21"/>
              </w:rPr>
            </w:pPr>
            <w:r>
              <w:rPr>
                <w:rFonts w:hint="eastAsia"/>
                <w:sz w:val="21"/>
              </w:rPr>
              <w:t>项目</w:t>
            </w:r>
          </w:p>
        </w:tc>
        <w:tc>
          <w:tcPr>
            <w:tcW w:w="2161" w:type="dxa"/>
            <w:gridSpan w:val="2"/>
            <w:vAlign w:val="center"/>
          </w:tcPr>
          <w:p>
            <w:pPr>
              <w:pStyle w:val="687"/>
              <w:rPr>
                <w:sz w:val="21"/>
                <w:lang w:eastAsia="zh-CN"/>
              </w:rPr>
            </w:pPr>
            <w:r>
              <w:rPr>
                <w:rFonts w:hint="eastAsia"/>
                <w:sz w:val="21"/>
                <w:lang w:eastAsia="zh-CN"/>
              </w:rPr>
              <w:t>监测时间</w:t>
            </w:r>
          </w:p>
        </w:tc>
        <w:tc>
          <w:tcPr>
            <w:tcW w:w="1544" w:type="dxa"/>
            <w:vAlign w:val="center"/>
          </w:tcPr>
          <w:p>
            <w:pPr>
              <w:pStyle w:val="687"/>
              <w:rPr>
                <w:sz w:val="21"/>
              </w:rPr>
            </w:pPr>
            <w:r>
              <w:rPr>
                <w:rFonts w:hint="eastAsia"/>
                <w:sz w:val="21"/>
                <w:lang w:eastAsia="zh-CN"/>
              </w:rPr>
              <w:t>监测结果</w:t>
            </w:r>
            <w:r>
              <w:rPr>
                <w:rFonts w:hint="eastAsia"/>
                <w:sz w:val="21"/>
              </w:rPr>
              <w:t>（mg/m</w:t>
            </w:r>
            <w:r>
              <w:rPr>
                <w:rFonts w:hint="eastAsia"/>
                <w:sz w:val="21"/>
                <w:vertAlign w:val="superscript"/>
              </w:rPr>
              <w:t>3</w:t>
            </w:r>
            <w:r>
              <w:rPr>
                <w:rFonts w:hint="eastAsia"/>
                <w:sz w:val="21"/>
              </w:rPr>
              <w:t>）</w:t>
            </w:r>
          </w:p>
        </w:tc>
        <w:tc>
          <w:tcPr>
            <w:tcW w:w="1356" w:type="dxa"/>
            <w:vAlign w:val="center"/>
          </w:tcPr>
          <w:p>
            <w:pPr>
              <w:pStyle w:val="687"/>
              <w:rPr>
                <w:sz w:val="21"/>
              </w:rPr>
            </w:pPr>
            <w:r>
              <w:rPr>
                <w:rFonts w:hint="eastAsia"/>
                <w:sz w:val="21"/>
              </w:rPr>
              <w:t>标准值（mg/m</w:t>
            </w:r>
            <w:r>
              <w:rPr>
                <w:rFonts w:hint="eastAsia"/>
                <w:sz w:val="21"/>
                <w:vertAlign w:val="superscript"/>
              </w:rPr>
              <w:t>3</w:t>
            </w:r>
            <w:r>
              <w:rPr>
                <w:rFonts w:hint="eastAsia"/>
                <w:sz w:val="21"/>
              </w:rPr>
              <w:t>）</w:t>
            </w:r>
          </w:p>
        </w:tc>
        <w:tc>
          <w:tcPr>
            <w:tcW w:w="1264" w:type="dxa"/>
            <w:vAlign w:val="center"/>
          </w:tcPr>
          <w:p>
            <w:pPr>
              <w:pStyle w:val="687"/>
              <w:rPr>
                <w:sz w:val="21"/>
              </w:rPr>
            </w:pPr>
            <w:r>
              <w:rPr>
                <w:rFonts w:hint="eastAsia"/>
                <w:sz w:val="21"/>
              </w:rPr>
              <w:t>最大占标率（%）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restart"/>
            <w:vAlign w:val="center"/>
          </w:tcPr>
          <w:p>
            <w:pPr>
              <w:pStyle w:val="687"/>
              <w:rPr>
                <w:sz w:val="21"/>
              </w:rPr>
            </w:pPr>
            <w:r>
              <w:rPr>
                <w:rFonts w:hint="eastAsia"/>
                <w:sz w:val="21"/>
                <w:lang w:eastAsia="zh-CN"/>
              </w:rPr>
              <w:t>项目区下风向1</w:t>
            </w:r>
            <w:r>
              <w:rPr>
                <w:sz w:val="21"/>
                <w:lang w:eastAsia="zh-CN"/>
              </w:rPr>
              <w:t>0m</w:t>
            </w:r>
            <w:r>
              <w:rPr>
                <w:rFonts w:hint="eastAsia"/>
                <w:sz w:val="21"/>
                <w:lang w:eastAsia="zh-CN"/>
              </w:rPr>
              <w:t>处</w:t>
            </w:r>
          </w:p>
        </w:tc>
        <w:tc>
          <w:tcPr>
            <w:tcW w:w="1002" w:type="dxa"/>
            <w:vMerge w:val="restart"/>
            <w:vAlign w:val="center"/>
          </w:tcPr>
          <w:p>
            <w:pPr>
              <w:pStyle w:val="687"/>
              <w:rPr>
                <w:sz w:val="21"/>
              </w:rPr>
            </w:pPr>
            <w:r>
              <w:rPr>
                <w:rFonts w:hint="eastAsia"/>
                <w:sz w:val="21"/>
                <w:lang w:eastAsia="zh-CN"/>
              </w:rPr>
              <w:t>非甲烷总烃</w:t>
            </w:r>
          </w:p>
        </w:tc>
        <w:tc>
          <w:tcPr>
            <w:tcW w:w="1161" w:type="dxa"/>
            <w:vMerge w:val="restart"/>
            <w:vAlign w:val="center"/>
          </w:tcPr>
          <w:p>
            <w:pPr>
              <w:pStyle w:val="687"/>
              <w:rPr>
                <w:sz w:val="21"/>
                <w:lang w:eastAsia="zh-CN"/>
              </w:rPr>
            </w:pPr>
            <w:r>
              <w:rPr>
                <w:rFonts w:hint="eastAsia"/>
                <w:sz w:val="21"/>
                <w:lang w:eastAsia="zh-CN"/>
              </w:rPr>
              <w:t>2</w:t>
            </w:r>
            <w:r>
              <w:rPr>
                <w:sz w:val="21"/>
                <w:lang w:eastAsia="zh-CN"/>
              </w:rPr>
              <w:t>023.3.12</w:t>
            </w:r>
          </w:p>
        </w:tc>
        <w:tc>
          <w:tcPr>
            <w:tcW w:w="1000" w:type="dxa"/>
            <w:vAlign w:val="center"/>
          </w:tcPr>
          <w:p>
            <w:pPr>
              <w:pStyle w:val="687"/>
              <w:rPr>
                <w:sz w:val="21"/>
                <w:lang w:eastAsia="zh-CN"/>
              </w:rPr>
            </w:pPr>
            <w:r>
              <w:rPr>
                <w:rFonts w:hint="eastAsia"/>
                <w:sz w:val="21"/>
                <w:lang w:eastAsia="zh-CN"/>
              </w:rPr>
              <w:t>第一次</w:t>
            </w:r>
          </w:p>
        </w:tc>
        <w:tc>
          <w:tcPr>
            <w:tcW w:w="1544" w:type="dxa"/>
            <w:vAlign w:val="center"/>
          </w:tcPr>
          <w:p>
            <w:pPr>
              <w:pStyle w:val="687"/>
              <w:rPr>
                <w:sz w:val="21"/>
                <w:lang w:eastAsia="zh-CN"/>
              </w:rPr>
            </w:pPr>
            <w:r>
              <w:rPr>
                <w:rFonts w:hint="eastAsia"/>
                <w:sz w:val="21"/>
                <w:lang w:eastAsia="zh-CN"/>
              </w:rPr>
              <w:t>0</w:t>
            </w:r>
            <w:r>
              <w:rPr>
                <w:sz w:val="21"/>
                <w:lang w:eastAsia="zh-CN"/>
              </w:rPr>
              <w:t>.52</w:t>
            </w:r>
          </w:p>
        </w:tc>
        <w:tc>
          <w:tcPr>
            <w:tcW w:w="1356" w:type="dxa"/>
            <w:vMerge w:val="restart"/>
            <w:vAlign w:val="center"/>
          </w:tcPr>
          <w:p>
            <w:pPr>
              <w:pStyle w:val="687"/>
              <w:rPr>
                <w:sz w:val="21"/>
                <w:lang w:eastAsia="zh-CN"/>
              </w:rPr>
            </w:pPr>
            <w:r>
              <w:rPr>
                <w:rFonts w:hint="eastAsia"/>
                <w:sz w:val="21"/>
                <w:lang w:eastAsia="zh-CN"/>
              </w:rPr>
              <w:t>2</w:t>
            </w:r>
            <w:r>
              <w:rPr>
                <w:sz w:val="21"/>
                <w:lang w:eastAsia="zh-CN"/>
              </w:rPr>
              <w:t>.0</w:t>
            </w:r>
          </w:p>
        </w:tc>
        <w:tc>
          <w:tcPr>
            <w:tcW w:w="1264" w:type="dxa"/>
            <w:vAlign w:val="center"/>
          </w:tcPr>
          <w:p>
            <w:pPr>
              <w:pStyle w:val="687"/>
              <w:rPr>
                <w:sz w:val="21"/>
                <w:lang w:eastAsia="zh-CN"/>
              </w:rPr>
            </w:pPr>
            <w:r>
              <w:rPr>
                <w:rFonts w:hint="eastAsia"/>
                <w:sz w:val="21"/>
                <w:lang w:eastAsia="zh-CN"/>
              </w:rPr>
              <w:t>2</w:t>
            </w:r>
            <w:r>
              <w:rPr>
                <w:sz w:val="21"/>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continue"/>
            <w:vAlign w:val="center"/>
          </w:tcPr>
          <w:p>
            <w:pPr>
              <w:pStyle w:val="687"/>
              <w:rPr>
                <w:sz w:val="21"/>
                <w:lang w:eastAsia="zh-CN"/>
              </w:rPr>
            </w:pPr>
          </w:p>
        </w:tc>
        <w:tc>
          <w:tcPr>
            <w:tcW w:w="1000" w:type="dxa"/>
            <w:vAlign w:val="center"/>
          </w:tcPr>
          <w:p>
            <w:pPr>
              <w:pStyle w:val="687"/>
              <w:rPr>
                <w:sz w:val="21"/>
                <w:lang w:eastAsia="zh-CN"/>
              </w:rPr>
            </w:pPr>
            <w:r>
              <w:rPr>
                <w:rFonts w:hint="eastAsia"/>
                <w:sz w:val="21"/>
                <w:lang w:eastAsia="zh-CN"/>
              </w:rPr>
              <w:t>第二次</w:t>
            </w:r>
          </w:p>
        </w:tc>
        <w:tc>
          <w:tcPr>
            <w:tcW w:w="1544" w:type="dxa"/>
            <w:vAlign w:val="center"/>
          </w:tcPr>
          <w:p>
            <w:pPr>
              <w:pStyle w:val="687"/>
              <w:rPr>
                <w:sz w:val="21"/>
                <w:lang w:eastAsia="zh-CN"/>
              </w:rPr>
            </w:pPr>
            <w:r>
              <w:rPr>
                <w:rFonts w:hint="eastAsia"/>
                <w:sz w:val="21"/>
                <w:lang w:eastAsia="zh-CN"/>
              </w:rPr>
              <w:t>0</w:t>
            </w:r>
            <w:r>
              <w:rPr>
                <w:sz w:val="21"/>
                <w:lang w:eastAsia="zh-CN"/>
              </w:rPr>
              <w:t>.50</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continue"/>
            <w:vAlign w:val="center"/>
          </w:tcPr>
          <w:p>
            <w:pPr>
              <w:pStyle w:val="687"/>
              <w:rPr>
                <w:sz w:val="21"/>
                <w:lang w:eastAsia="zh-CN"/>
              </w:rPr>
            </w:pPr>
          </w:p>
        </w:tc>
        <w:tc>
          <w:tcPr>
            <w:tcW w:w="1000" w:type="dxa"/>
            <w:vAlign w:val="center"/>
          </w:tcPr>
          <w:p>
            <w:pPr>
              <w:pStyle w:val="687"/>
              <w:rPr>
                <w:sz w:val="21"/>
                <w:lang w:eastAsia="zh-CN"/>
              </w:rPr>
            </w:pPr>
            <w:r>
              <w:rPr>
                <w:rFonts w:hint="eastAsia"/>
                <w:sz w:val="21"/>
                <w:lang w:eastAsia="zh-CN"/>
              </w:rPr>
              <w:t>第三次</w:t>
            </w:r>
          </w:p>
        </w:tc>
        <w:tc>
          <w:tcPr>
            <w:tcW w:w="1544" w:type="dxa"/>
            <w:vAlign w:val="center"/>
          </w:tcPr>
          <w:p>
            <w:pPr>
              <w:pStyle w:val="687"/>
              <w:rPr>
                <w:sz w:val="21"/>
                <w:lang w:eastAsia="zh-CN"/>
              </w:rPr>
            </w:pPr>
            <w:r>
              <w:rPr>
                <w:rFonts w:hint="eastAsia"/>
                <w:sz w:val="21"/>
                <w:lang w:eastAsia="zh-CN"/>
              </w:rPr>
              <w:t>0</w:t>
            </w:r>
            <w:r>
              <w:rPr>
                <w:sz w:val="21"/>
                <w:lang w:eastAsia="zh-CN"/>
              </w:rPr>
              <w:t>.52</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continue"/>
            <w:vAlign w:val="center"/>
          </w:tcPr>
          <w:p>
            <w:pPr>
              <w:pStyle w:val="687"/>
              <w:rPr>
                <w:sz w:val="21"/>
                <w:lang w:eastAsia="zh-CN"/>
              </w:rPr>
            </w:pPr>
          </w:p>
        </w:tc>
        <w:tc>
          <w:tcPr>
            <w:tcW w:w="1000" w:type="dxa"/>
            <w:vAlign w:val="center"/>
          </w:tcPr>
          <w:p>
            <w:pPr>
              <w:pStyle w:val="687"/>
              <w:rPr>
                <w:sz w:val="21"/>
                <w:lang w:eastAsia="zh-CN"/>
              </w:rPr>
            </w:pPr>
            <w:r>
              <w:rPr>
                <w:rFonts w:hint="eastAsia"/>
                <w:sz w:val="21"/>
                <w:lang w:eastAsia="zh-CN"/>
              </w:rPr>
              <w:t>第四次</w:t>
            </w:r>
          </w:p>
        </w:tc>
        <w:tc>
          <w:tcPr>
            <w:tcW w:w="1544" w:type="dxa"/>
            <w:vAlign w:val="center"/>
          </w:tcPr>
          <w:p>
            <w:pPr>
              <w:pStyle w:val="687"/>
              <w:rPr>
                <w:sz w:val="21"/>
                <w:lang w:eastAsia="zh-CN"/>
              </w:rPr>
            </w:pPr>
            <w:r>
              <w:rPr>
                <w:rFonts w:hint="eastAsia"/>
                <w:sz w:val="21"/>
                <w:lang w:eastAsia="zh-CN"/>
              </w:rPr>
              <w:t>0</w:t>
            </w:r>
            <w:r>
              <w:rPr>
                <w:sz w:val="21"/>
                <w:lang w:eastAsia="zh-CN"/>
              </w:rPr>
              <w:t>.51</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restart"/>
            <w:vAlign w:val="center"/>
          </w:tcPr>
          <w:p>
            <w:pPr>
              <w:pStyle w:val="687"/>
              <w:rPr>
                <w:sz w:val="21"/>
                <w:lang w:eastAsia="zh-CN"/>
              </w:rPr>
            </w:pPr>
            <w:r>
              <w:rPr>
                <w:rFonts w:hint="eastAsia"/>
                <w:sz w:val="21"/>
                <w:lang w:eastAsia="zh-CN"/>
              </w:rPr>
              <w:t>2</w:t>
            </w:r>
            <w:r>
              <w:rPr>
                <w:sz w:val="21"/>
                <w:lang w:eastAsia="zh-CN"/>
              </w:rPr>
              <w:t>023.3.13</w:t>
            </w:r>
          </w:p>
        </w:tc>
        <w:tc>
          <w:tcPr>
            <w:tcW w:w="1000" w:type="dxa"/>
            <w:vAlign w:val="center"/>
          </w:tcPr>
          <w:p>
            <w:pPr>
              <w:pStyle w:val="687"/>
              <w:rPr>
                <w:sz w:val="21"/>
              </w:rPr>
            </w:pPr>
            <w:r>
              <w:rPr>
                <w:rFonts w:hint="eastAsia"/>
                <w:sz w:val="21"/>
                <w:lang w:eastAsia="zh-CN"/>
              </w:rPr>
              <w:t>第一次</w:t>
            </w:r>
          </w:p>
        </w:tc>
        <w:tc>
          <w:tcPr>
            <w:tcW w:w="1544" w:type="dxa"/>
            <w:vAlign w:val="center"/>
          </w:tcPr>
          <w:p>
            <w:pPr>
              <w:pStyle w:val="687"/>
              <w:rPr>
                <w:sz w:val="21"/>
                <w:lang w:eastAsia="zh-CN"/>
              </w:rPr>
            </w:pPr>
            <w:r>
              <w:rPr>
                <w:rFonts w:hint="eastAsia"/>
                <w:sz w:val="21"/>
                <w:lang w:eastAsia="zh-CN"/>
              </w:rPr>
              <w:t>0</w:t>
            </w:r>
            <w:r>
              <w:rPr>
                <w:sz w:val="21"/>
                <w:lang w:eastAsia="zh-CN"/>
              </w:rPr>
              <w:t>.55</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continue"/>
            <w:vAlign w:val="center"/>
          </w:tcPr>
          <w:p>
            <w:pPr>
              <w:pStyle w:val="687"/>
              <w:rPr>
                <w:sz w:val="21"/>
              </w:rPr>
            </w:pPr>
          </w:p>
        </w:tc>
        <w:tc>
          <w:tcPr>
            <w:tcW w:w="1000" w:type="dxa"/>
            <w:vAlign w:val="center"/>
          </w:tcPr>
          <w:p>
            <w:pPr>
              <w:pStyle w:val="687"/>
              <w:rPr>
                <w:sz w:val="21"/>
              </w:rPr>
            </w:pPr>
            <w:r>
              <w:rPr>
                <w:rFonts w:hint="eastAsia"/>
                <w:sz w:val="21"/>
                <w:lang w:eastAsia="zh-CN"/>
              </w:rPr>
              <w:t>第二次</w:t>
            </w:r>
          </w:p>
        </w:tc>
        <w:tc>
          <w:tcPr>
            <w:tcW w:w="1544" w:type="dxa"/>
            <w:vAlign w:val="center"/>
          </w:tcPr>
          <w:p>
            <w:pPr>
              <w:pStyle w:val="687"/>
              <w:rPr>
                <w:sz w:val="21"/>
                <w:lang w:eastAsia="zh-CN"/>
              </w:rPr>
            </w:pPr>
            <w:r>
              <w:rPr>
                <w:rFonts w:hint="eastAsia"/>
                <w:sz w:val="21"/>
                <w:lang w:eastAsia="zh-CN"/>
              </w:rPr>
              <w:t>0</w:t>
            </w:r>
            <w:r>
              <w:rPr>
                <w:sz w:val="21"/>
                <w:lang w:eastAsia="zh-CN"/>
              </w:rPr>
              <w:t>.53</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continue"/>
            <w:vAlign w:val="center"/>
          </w:tcPr>
          <w:p>
            <w:pPr>
              <w:pStyle w:val="687"/>
              <w:rPr>
                <w:sz w:val="21"/>
              </w:rPr>
            </w:pPr>
          </w:p>
        </w:tc>
        <w:tc>
          <w:tcPr>
            <w:tcW w:w="1000" w:type="dxa"/>
            <w:vAlign w:val="center"/>
          </w:tcPr>
          <w:p>
            <w:pPr>
              <w:pStyle w:val="687"/>
              <w:rPr>
                <w:sz w:val="21"/>
              </w:rPr>
            </w:pPr>
            <w:r>
              <w:rPr>
                <w:rFonts w:hint="eastAsia"/>
                <w:sz w:val="21"/>
                <w:lang w:eastAsia="zh-CN"/>
              </w:rPr>
              <w:t>第三次</w:t>
            </w:r>
          </w:p>
        </w:tc>
        <w:tc>
          <w:tcPr>
            <w:tcW w:w="1544" w:type="dxa"/>
            <w:vAlign w:val="center"/>
          </w:tcPr>
          <w:p>
            <w:pPr>
              <w:pStyle w:val="687"/>
              <w:rPr>
                <w:sz w:val="21"/>
                <w:lang w:eastAsia="zh-CN"/>
              </w:rPr>
            </w:pPr>
            <w:r>
              <w:rPr>
                <w:rFonts w:hint="eastAsia"/>
                <w:sz w:val="21"/>
                <w:lang w:eastAsia="zh-CN"/>
              </w:rPr>
              <w:t>0</w:t>
            </w:r>
            <w:r>
              <w:rPr>
                <w:sz w:val="21"/>
                <w:lang w:eastAsia="zh-CN"/>
              </w:rPr>
              <w:t>.55</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continue"/>
            <w:vAlign w:val="center"/>
          </w:tcPr>
          <w:p>
            <w:pPr>
              <w:pStyle w:val="687"/>
              <w:rPr>
                <w:sz w:val="21"/>
              </w:rPr>
            </w:pPr>
          </w:p>
        </w:tc>
        <w:tc>
          <w:tcPr>
            <w:tcW w:w="1000" w:type="dxa"/>
            <w:vAlign w:val="center"/>
          </w:tcPr>
          <w:p>
            <w:pPr>
              <w:pStyle w:val="687"/>
              <w:rPr>
                <w:sz w:val="21"/>
              </w:rPr>
            </w:pPr>
            <w:r>
              <w:rPr>
                <w:rFonts w:hint="eastAsia"/>
                <w:sz w:val="21"/>
                <w:lang w:eastAsia="zh-CN"/>
              </w:rPr>
              <w:t>第四次</w:t>
            </w:r>
          </w:p>
        </w:tc>
        <w:tc>
          <w:tcPr>
            <w:tcW w:w="1544" w:type="dxa"/>
            <w:vAlign w:val="center"/>
          </w:tcPr>
          <w:p>
            <w:pPr>
              <w:pStyle w:val="687"/>
              <w:rPr>
                <w:sz w:val="21"/>
                <w:lang w:eastAsia="zh-CN"/>
              </w:rPr>
            </w:pPr>
            <w:r>
              <w:rPr>
                <w:rFonts w:hint="eastAsia"/>
                <w:sz w:val="21"/>
                <w:lang w:eastAsia="zh-CN"/>
              </w:rPr>
              <w:t>0</w:t>
            </w:r>
            <w:r>
              <w:rPr>
                <w:sz w:val="21"/>
                <w:lang w:eastAsia="zh-CN"/>
              </w:rPr>
              <w:t>.56</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restart"/>
            <w:vAlign w:val="center"/>
          </w:tcPr>
          <w:p>
            <w:pPr>
              <w:pStyle w:val="687"/>
              <w:rPr>
                <w:sz w:val="21"/>
              </w:rPr>
            </w:pPr>
            <w:r>
              <w:rPr>
                <w:rFonts w:hint="eastAsia"/>
                <w:sz w:val="21"/>
                <w:lang w:eastAsia="zh-CN"/>
              </w:rPr>
              <w:t>2</w:t>
            </w:r>
            <w:r>
              <w:rPr>
                <w:sz w:val="21"/>
                <w:lang w:eastAsia="zh-CN"/>
              </w:rPr>
              <w:t>023.3.14</w:t>
            </w:r>
          </w:p>
        </w:tc>
        <w:tc>
          <w:tcPr>
            <w:tcW w:w="1000" w:type="dxa"/>
            <w:vAlign w:val="center"/>
          </w:tcPr>
          <w:p>
            <w:pPr>
              <w:pStyle w:val="687"/>
              <w:rPr>
                <w:sz w:val="21"/>
              </w:rPr>
            </w:pPr>
            <w:r>
              <w:rPr>
                <w:rFonts w:hint="eastAsia"/>
                <w:sz w:val="21"/>
                <w:lang w:eastAsia="zh-CN"/>
              </w:rPr>
              <w:t>第一次</w:t>
            </w:r>
          </w:p>
        </w:tc>
        <w:tc>
          <w:tcPr>
            <w:tcW w:w="1544" w:type="dxa"/>
            <w:vAlign w:val="center"/>
          </w:tcPr>
          <w:p>
            <w:pPr>
              <w:pStyle w:val="687"/>
              <w:rPr>
                <w:sz w:val="21"/>
                <w:lang w:eastAsia="zh-CN"/>
              </w:rPr>
            </w:pPr>
            <w:r>
              <w:rPr>
                <w:rFonts w:hint="eastAsia"/>
                <w:sz w:val="21"/>
                <w:lang w:eastAsia="zh-CN"/>
              </w:rPr>
              <w:t>0</w:t>
            </w:r>
            <w:r>
              <w:rPr>
                <w:sz w:val="21"/>
                <w:lang w:eastAsia="zh-CN"/>
              </w:rPr>
              <w:t>.53</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continue"/>
            <w:vAlign w:val="center"/>
          </w:tcPr>
          <w:p>
            <w:pPr>
              <w:pStyle w:val="687"/>
              <w:rPr>
                <w:sz w:val="21"/>
              </w:rPr>
            </w:pPr>
          </w:p>
        </w:tc>
        <w:tc>
          <w:tcPr>
            <w:tcW w:w="1000" w:type="dxa"/>
            <w:vAlign w:val="center"/>
          </w:tcPr>
          <w:p>
            <w:pPr>
              <w:pStyle w:val="687"/>
              <w:rPr>
                <w:sz w:val="21"/>
              </w:rPr>
            </w:pPr>
            <w:r>
              <w:rPr>
                <w:rFonts w:hint="eastAsia"/>
                <w:sz w:val="21"/>
                <w:lang w:eastAsia="zh-CN"/>
              </w:rPr>
              <w:t>第二次</w:t>
            </w:r>
          </w:p>
        </w:tc>
        <w:tc>
          <w:tcPr>
            <w:tcW w:w="1544" w:type="dxa"/>
            <w:vAlign w:val="center"/>
          </w:tcPr>
          <w:p>
            <w:pPr>
              <w:pStyle w:val="687"/>
              <w:rPr>
                <w:sz w:val="21"/>
                <w:lang w:eastAsia="zh-CN"/>
              </w:rPr>
            </w:pPr>
            <w:r>
              <w:rPr>
                <w:rFonts w:hint="eastAsia"/>
                <w:sz w:val="21"/>
                <w:lang w:eastAsia="zh-CN"/>
              </w:rPr>
              <w:t>0</w:t>
            </w:r>
            <w:r>
              <w:rPr>
                <w:sz w:val="21"/>
                <w:lang w:eastAsia="zh-CN"/>
              </w:rPr>
              <w:t>.58</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continue"/>
            <w:vAlign w:val="center"/>
          </w:tcPr>
          <w:p>
            <w:pPr>
              <w:pStyle w:val="687"/>
              <w:rPr>
                <w:sz w:val="21"/>
              </w:rPr>
            </w:pPr>
          </w:p>
        </w:tc>
        <w:tc>
          <w:tcPr>
            <w:tcW w:w="1000" w:type="dxa"/>
            <w:vAlign w:val="center"/>
          </w:tcPr>
          <w:p>
            <w:pPr>
              <w:pStyle w:val="687"/>
              <w:rPr>
                <w:sz w:val="21"/>
              </w:rPr>
            </w:pPr>
            <w:r>
              <w:rPr>
                <w:rFonts w:hint="eastAsia"/>
                <w:sz w:val="21"/>
                <w:lang w:eastAsia="zh-CN"/>
              </w:rPr>
              <w:t>第三次</w:t>
            </w:r>
          </w:p>
        </w:tc>
        <w:tc>
          <w:tcPr>
            <w:tcW w:w="1544" w:type="dxa"/>
            <w:vAlign w:val="center"/>
          </w:tcPr>
          <w:p>
            <w:pPr>
              <w:pStyle w:val="687"/>
              <w:rPr>
                <w:sz w:val="21"/>
                <w:lang w:eastAsia="zh-CN"/>
              </w:rPr>
            </w:pPr>
            <w:r>
              <w:rPr>
                <w:rFonts w:hint="eastAsia"/>
                <w:sz w:val="21"/>
                <w:lang w:eastAsia="zh-CN"/>
              </w:rPr>
              <w:t>0</w:t>
            </w:r>
            <w:r>
              <w:rPr>
                <w:sz w:val="21"/>
                <w:lang w:eastAsia="zh-CN"/>
              </w:rPr>
              <w:t>.56</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continue"/>
            <w:vAlign w:val="center"/>
          </w:tcPr>
          <w:p>
            <w:pPr>
              <w:pStyle w:val="687"/>
              <w:rPr>
                <w:sz w:val="21"/>
              </w:rPr>
            </w:pPr>
          </w:p>
        </w:tc>
        <w:tc>
          <w:tcPr>
            <w:tcW w:w="1000" w:type="dxa"/>
            <w:vAlign w:val="center"/>
          </w:tcPr>
          <w:p>
            <w:pPr>
              <w:pStyle w:val="687"/>
              <w:rPr>
                <w:sz w:val="21"/>
              </w:rPr>
            </w:pPr>
            <w:r>
              <w:rPr>
                <w:rFonts w:hint="eastAsia"/>
                <w:sz w:val="21"/>
                <w:lang w:eastAsia="zh-CN"/>
              </w:rPr>
              <w:t>第四次</w:t>
            </w:r>
          </w:p>
        </w:tc>
        <w:tc>
          <w:tcPr>
            <w:tcW w:w="1544" w:type="dxa"/>
            <w:vAlign w:val="center"/>
          </w:tcPr>
          <w:p>
            <w:pPr>
              <w:pStyle w:val="687"/>
              <w:rPr>
                <w:sz w:val="21"/>
                <w:lang w:eastAsia="zh-CN"/>
              </w:rPr>
            </w:pPr>
            <w:r>
              <w:rPr>
                <w:rFonts w:hint="eastAsia"/>
                <w:sz w:val="21"/>
                <w:lang w:eastAsia="zh-CN"/>
              </w:rPr>
              <w:t>0</w:t>
            </w:r>
            <w:r>
              <w:rPr>
                <w:sz w:val="21"/>
                <w:lang w:eastAsia="zh-CN"/>
              </w:rPr>
              <w:t>.56</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restart"/>
            <w:vAlign w:val="center"/>
          </w:tcPr>
          <w:p>
            <w:pPr>
              <w:pStyle w:val="687"/>
              <w:rPr>
                <w:sz w:val="21"/>
              </w:rPr>
            </w:pPr>
            <w:r>
              <w:rPr>
                <w:rFonts w:hint="eastAsia"/>
                <w:sz w:val="21"/>
                <w:lang w:eastAsia="zh-CN"/>
              </w:rPr>
              <w:t>2</w:t>
            </w:r>
            <w:r>
              <w:rPr>
                <w:sz w:val="21"/>
                <w:lang w:eastAsia="zh-CN"/>
              </w:rPr>
              <w:t>023.3.15</w:t>
            </w:r>
          </w:p>
        </w:tc>
        <w:tc>
          <w:tcPr>
            <w:tcW w:w="1000" w:type="dxa"/>
            <w:vAlign w:val="center"/>
          </w:tcPr>
          <w:p>
            <w:pPr>
              <w:pStyle w:val="687"/>
              <w:rPr>
                <w:sz w:val="21"/>
              </w:rPr>
            </w:pPr>
            <w:r>
              <w:rPr>
                <w:rFonts w:hint="eastAsia"/>
                <w:sz w:val="21"/>
                <w:lang w:eastAsia="zh-CN"/>
              </w:rPr>
              <w:t>第一次</w:t>
            </w:r>
          </w:p>
        </w:tc>
        <w:tc>
          <w:tcPr>
            <w:tcW w:w="1544" w:type="dxa"/>
            <w:vAlign w:val="center"/>
          </w:tcPr>
          <w:p>
            <w:pPr>
              <w:pStyle w:val="687"/>
              <w:rPr>
                <w:sz w:val="21"/>
                <w:lang w:eastAsia="zh-CN"/>
              </w:rPr>
            </w:pPr>
            <w:r>
              <w:rPr>
                <w:rFonts w:hint="eastAsia"/>
                <w:sz w:val="21"/>
                <w:lang w:eastAsia="zh-CN"/>
              </w:rPr>
              <w:t>0</w:t>
            </w:r>
            <w:r>
              <w:rPr>
                <w:sz w:val="21"/>
                <w:lang w:eastAsia="zh-CN"/>
              </w:rPr>
              <w:t>.54</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continue"/>
            <w:vAlign w:val="center"/>
          </w:tcPr>
          <w:p>
            <w:pPr>
              <w:pStyle w:val="687"/>
              <w:rPr>
                <w:sz w:val="21"/>
              </w:rPr>
            </w:pPr>
          </w:p>
        </w:tc>
        <w:tc>
          <w:tcPr>
            <w:tcW w:w="1000" w:type="dxa"/>
            <w:vAlign w:val="center"/>
          </w:tcPr>
          <w:p>
            <w:pPr>
              <w:pStyle w:val="687"/>
              <w:rPr>
                <w:sz w:val="21"/>
              </w:rPr>
            </w:pPr>
            <w:r>
              <w:rPr>
                <w:rFonts w:hint="eastAsia"/>
                <w:sz w:val="21"/>
                <w:lang w:eastAsia="zh-CN"/>
              </w:rPr>
              <w:t>第二次</w:t>
            </w:r>
          </w:p>
        </w:tc>
        <w:tc>
          <w:tcPr>
            <w:tcW w:w="1544" w:type="dxa"/>
            <w:vAlign w:val="center"/>
          </w:tcPr>
          <w:p>
            <w:pPr>
              <w:pStyle w:val="687"/>
              <w:rPr>
                <w:sz w:val="21"/>
                <w:lang w:eastAsia="zh-CN"/>
              </w:rPr>
            </w:pPr>
            <w:r>
              <w:rPr>
                <w:rFonts w:hint="eastAsia"/>
                <w:sz w:val="21"/>
                <w:lang w:eastAsia="zh-CN"/>
              </w:rPr>
              <w:t>0</w:t>
            </w:r>
            <w:r>
              <w:rPr>
                <w:sz w:val="21"/>
                <w:lang w:eastAsia="zh-CN"/>
              </w:rPr>
              <w:t>.52</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continue"/>
            <w:vAlign w:val="center"/>
          </w:tcPr>
          <w:p>
            <w:pPr>
              <w:pStyle w:val="687"/>
              <w:rPr>
                <w:sz w:val="21"/>
              </w:rPr>
            </w:pPr>
          </w:p>
        </w:tc>
        <w:tc>
          <w:tcPr>
            <w:tcW w:w="1000" w:type="dxa"/>
            <w:vAlign w:val="center"/>
          </w:tcPr>
          <w:p>
            <w:pPr>
              <w:pStyle w:val="687"/>
              <w:rPr>
                <w:sz w:val="21"/>
              </w:rPr>
            </w:pPr>
            <w:r>
              <w:rPr>
                <w:rFonts w:hint="eastAsia"/>
                <w:sz w:val="21"/>
                <w:lang w:eastAsia="zh-CN"/>
              </w:rPr>
              <w:t>第三次</w:t>
            </w:r>
          </w:p>
        </w:tc>
        <w:tc>
          <w:tcPr>
            <w:tcW w:w="1544" w:type="dxa"/>
            <w:vAlign w:val="center"/>
          </w:tcPr>
          <w:p>
            <w:pPr>
              <w:pStyle w:val="687"/>
              <w:rPr>
                <w:sz w:val="21"/>
                <w:lang w:eastAsia="zh-CN"/>
              </w:rPr>
            </w:pPr>
            <w:r>
              <w:rPr>
                <w:rFonts w:hint="eastAsia"/>
                <w:sz w:val="21"/>
                <w:lang w:eastAsia="zh-CN"/>
              </w:rPr>
              <w:t>0</w:t>
            </w:r>
            <w:r>
              <w:rPr>
                <w:sz w:val="21"/>
                <w:lang w:eastAsia="zh-CN"/>
              </w:rPr>
              <w:t>.54</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continue"/>
            <w:vAlign w:val="center"/>
          </w:tcPr>
          <w:p>
            <w:pPr>
              <w:pStyle w:val="687"/>
              <w:rPr>
                <w:sz w:val="21"/>
              </w:rPr>
            </w:pPr>
          </w:p>
        </w:tc>
        <w:tc>
          <w:tcPr>
            <w:tcW w:w="1000" w:type="dxa"/>
            <w:vAlign w:val="center"/>
          </w:tcPr>
          <w:p>
            <w:pPr>
              <w:pStyle w:val="687"/>
              <w:rPr>
                <w:sz w:val="21"/>
              </w:rPr>
            </w:pPr>
            <w:r>
              <w:rPr>
                <w:rFonts w:hint="eastAsia"/>
                <w:sz w:val="21"/>
                <w:lang w:eastAsia="zh-CN"/>
              </w:rPr>
              <w:t>第四次</w:t>
            </w:r>
          </w:p>
        </w:tc>
        <w:tc>
          <w:tcPr>
            <w:tcW w:w="1544" w:type="dxa"/>
            <w:vAlign w:val="center"/>
          </w:tcPr>
          <w:p>
            <w:pPr>
              <w:pStyle w:val="687"/>
              <w:rPr>
                <w:sz w:val="21"/>
                <w:lang w:eastAsia="zh-CN"/>
              </w:rPr>
            </w:pPr>
            <w:r>
              <w:rPr>
                <w:rFonts w:hint="eastAsia"/>
                <w:sz w:val="21"/>
                <w:lang w:eastAsia="zh-CN"/>
              </w:rPr>
              <w:t>0</w:t>
            </w:r>
            <w:r>
              <w:rPr>
                <w:sz w:val="21"/>
                <w:lang w:eastAsia="zh-CN"/>
              </w:rPr>
              <w:t>.55</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restart"/>
            <w:vAlign w:val="center"/>
          </w:tcPr>
          <w:p>
            <w:pPr>
              <w:pStyle w:val="687"/>
              <w:rPr>
                <w:sz w:val="21"/>
              </w:rPr>
            </w:pPr>
            <w:r>
              <w:rPr>
                <w:rFonts w:hint="eastAsia"/>
                <w:sz w:val="21"/>
                <w:lang w:eastAsia="zh-CN"/>
              </w:rPr>
              <w:t>2</w:t>
            </w:r>
            <w:r>
              <w:rPr>
                <w:sz w:val="21"/>
                <w:lang w:eastAsia="zh-CN"/>
              </w:rPr>
              <w:t>023.3.16</w:t>
            </w:r>
          </w:p>
        </w:tc>
        <w:tc>
          <w:tcPr>
            <w:tcW w:w="1000" w:type="dxa"/>
            <w:vAlign w:val="center"/>
          </w:tcPr>
          <w:p>
            <w:pPr>
              <w:pStyle w:val="687"/>
              <w:rPr>
                <w:sz w:val="21"/>
              </w:rPr>
            </w:pPr>
            <w:r>
              <w:rPr>
                <w:rFonts w:hint="eastAsia"/>
                <w:sz w:val="21"/>
                <w:lang w:eastAsia="zh-CN"/>
              </w:rPr>
              <w:t>第一次</w:t>
            </w:r>
          </w:p>
        </w:tc>
        <w:tc>
          <w:tcPr>
            <w:tcW w:w="1544" w:type="dxa"/>
            <w:vAlign w:val="center"/>
          </w:tcPr>
          <w:p>
            <w:pPr>
              <w:pStyle w:val="687"/>
              <w:rPr>
                <w:sz w:val="21"/>
                <w:lang w:eastAsia="zh-CN"/>
              </w:rPr>
            </w:pPr>
            <w:r>
              <w:rPr>
                <w:rFonts w:hint="eastAsia"/>
                <w:sz w:val="21"/>
                <w:lang w:eastAsia="zh-CN"/>
              </w:rPr>
              <w:t>0</w:t>
            </w:r>
            <w:r>
              <w:rPr>
                <w:sz w:val="21"/>
                <w:lang w:eastAsia="zh-CN"/>
              </w:rPr>
              <w:t>.51</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continue"/>
            <w:vAlign w:val="center"/>
          </w:tcPr>
          <w:p>
            <w:pPr>
              <w:pStyle w:val="687"/>
              <w:rPr>
                <w:sz w:val="21"/>
              </w:rPr>
            </w:pPr>
          </w:p>
        </w:tc>
        <w:tc>
          <w:tcPr>
            <w:tcW w:w="1000" w:type="dxa"/>
            <w:vAlign w:val="center"/>
          </w:tcPr>
          <w:p>
            <w:pPr>
              <w:pStyle w:val="687"/>
              <w:rPr>
                <w:sz w:val="21"/>
              </w:rPr>
            </w:pPr>
            <w:r>
              <w:rPr>
                <w:rFonts w:hint="eastAsia"/>
                <w:sz w:val="21"/>
                <w:lang w:eastAsia="zh-CN"/>
              </w:rPr>
              <w:t>第二次</w:t>
            </w:r>
          </w:p>
        </w:tc>
        <w:tc>
          <w:tcPr>
            <w:tcW w:w="1544" w:type="dxa"/>
            <w:vAlign w:val="center"/>
          </w:tcPr>
          <w:p>
            <w:pPr>
              <w:pStyle w:val="687"/>
              <w:rPr>
                <w:sz w:val="21"/>
                <w:lang w:eastAsia="zh-CN"/>
              </w:rPr>
            </w:pPr>
            <w:r>
              <w:rPr>
                <w:rFonts w:hint="eastAsia"/>
                <w:sz w:val="21"/>
                <w:lang w:eastAsia="zh-CN"/>
              </w:rPr>
              <w:t>0</w:t>
            </w:r>
            <w:r>
              <w:rPr>
                <w:sz w:val="21"/>
                <w:lang w:eastAsia="zh-CN"/>
              </w:rPr>
              <w:t>.52</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continue"/>
            <w:vAlign w:val="center"/>
          </w:tcPr>
          <w:p>
            <w:pPr>
              <w:pStyle w:val="687"/>
              <w:rPr>
                <w:sz w:val="21"/>
              </w:rPr>
            </w:pPr>
          </w:p>
        </w:tc>
        <w:tc>
          <w:tcPr>
            <w:tcW w:w="1000" w:type="dxa"/>
            <w:vAlign w:val="center"/>
          </w:tcPr>
          <w:p>
            <w:pPr>
              <w:pStyle w:val="687"/>
              <w:rPr>
                <w:sz w:val="21"/>
              </w:rPr>
            </w:pPr>
            <w:r>
              <w:rPr>
                <w:rFonts w:hint="eastAsia"/>
                <w:sz w:val="21"/>
                <w:lang w:eastAsia="zh-CN"/>
              </w:rPr>
              <w:t>第三次</w:t>
            </w:r>
          </w:p>
        </w:tc>
        <w:tc>
          <w:tcPr>
            <w:tcW w:w="1544" w:type="dxa"/>
            <w:vAlign w:val="center"/>
          </w:tcPr>
          <w:p>
            <w:pPr>
              <w:pStyle w:val="687"/>
              <w:rPr>
                <w:sz w:val="21"/>
                <w:lang w:eastAsia="zh-CN"/>
              </w:rPr>
            </w:pPr>
            <w:r>
              <w:rPr>
                <w:rFonts w:hint="eastAsia"/>
                <w:sz w:val="21"/>
                <w:lang w:eastAsia="zh-CN"/>
              </w:rPr>
              <w:t>0</w:t>
            </w:r>
            <w:r>
              <w:rPr>
                <w:sz w:val="21"/>
                <w:lang w:eastAsia="zh-CN"/>
              </w:rPr>
              <w:t>.51</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continue"/>
            <w:vAlign w:val="center"/>
          </w:tcPr>
          <w:p>
            <w:pPr>
              <w:pStyle w:val="687"/>
              <w:rPr>
                <w:sz w:val="21"/>
              </w:rPr>
            </w:pPr>
          </w:p>
        </w:tc>
        <w:tc>
          <w:tcPr>
            <w:tcW w:w="1000" w:type="dxa"/>
            <w:vAlign w:val="center"/>
          </w:tcPr>
          <w:p>
            <w:pPr>
              <w:pStyle w:val="687"/>
              <w:rPr>
                <w:sz w:val="21"/>
              </w:rPr>
            </w:pPr>
            <w:r>
              <w:rPr>
                <w:rFonts w:hint="eastAsia"/>
                <w:sz w:val="21"/>
                <w:lang w:eastAsia="zh-CN"/>
              </w:rPr>
              <w:t>第四次</w:t>
            </w:r>
          </w:p>
        </w:tc>
        <w:tc>
          <w:tcPr>
            <w:tcW w:w="1544" w:type="dxa"/>
            <w:vAlign w:val="center"/>
          </w:tcPr>
          <w:p>
            <w:pPr>
              <w:pStyle w:val="687"/>
              <w:rPr>
                <w:sz w:val="21"/>
                <w:lang w:eastAsia="zh-CN"/>
              </w:rPr>
            </w:pPr>
            <w:r>
              <w:rPr>
                <w:rFonts w:hint="eastAsia"/>
                <w:sz w:val="21"/>
                <w:lang w:eastAsia="zh-CN"/>
              </w:rPr>
              <w:t>0</w:t>
            </w:r>
            <w:r>
              <w:rPr>
                <w:sz w:val="21"/>
                <w:lang w:eastAsia="zh-CN"/>
              </w:rPr>
              <w:t>.51</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restart"/>
            <w:vAlign w:val="center"/>
          </w:tcPr>
          <w:p>
            <w:pPr>
              <w:pStyle w:val="687"/>
              <w:rPr>
                <w:sz w:val="21"/>
              </w:rPr>
            </w:pPr>
            <w:r>
              <w:rPr>
                <w:rFonts w:hint="eastAsia"/>
                <w:sz w:val="21"/>
                <w:lang w:eastAsia="zh-CN"/>
              </w:rPr>
              <w:t>2</w:t>
            </w:r>
            <w:r>
              <w:rPr>
                <w:sz w:val="21"/>
                <w:lang w:eastAsia="zh-CN"/>
              </w:rPr>
              <w:t>023.3.17</w:t>
            </w:r>
          </w:p>
        </w:tc>
        <w:tc>
          <w:tcPr>
            <w:tcW w:w="1000" w:type="dxa"/>
            <w:vAlign w:val="center"/>
          </w:tcPr>
          <w:p>
            <w:pPr>
              <w:pStyle w:val="687"/>
              <w:rPr>
                <w:sz w:val="21"/>
              </w:rPr>
            </w:pPr>
            <w:r>
              <w:rPr>
                <w:rFonts w:hint="eastAsia"/>
                <w:sz w:val="21"/>
                <w:lang w:eastAsia="zh-CN"/>
              </w:rPr>
              <w:t>第一次</w:t>
            </w:r>
          </w:p>
        </w:tc>
        <w:tc>
          <w:tcPr>
            <w:tcW w:w="1544" w:type="dxa"/>
            <w:vAlign w:val="center"/>
          </w:tcPr>
          <w:p>
            <w:pPr>
              <w:pStyle w:val="687"/>
              <w:rPr>
                <w:sz w:val="21"/>
                <w:lang w:eastAsia="zh-CN"/>
              </w:rPr>
            </w:pPr>
            <w:r>
              <w:rPr>
                <w:rFonts w:hint="eastAsia"/>
                <w:sz w:val="21"/>
                <w:lang w:eastAsia="zh-CN"/>
              </w:rPr>
              <w:t>0</w:t>
            </w:r>
            <w:r>
              <w:rPr>
                <w:sz w:val="21"/>
                <w:lang w:eastAsia="zh-CN"/>
              </w:rPr>
              <w:t>.58</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continue"/>
            <w:vAlign w:val="center"/>
          </w:tcPr>
          <w:p>
            <w:pPr>
              <w:pStyle w:val="687"/>
              <w:rPr>
                <w:sz w:val="21"/>
              </w:rPr>
            </w:pPr>
          </w:p>
        </w:tc>
        <w:tc>
          <w:tcPr>
            <w:tcW w:w="1000" w:type="dxa"/>
            <w:vAlign w:val="center"/>
          </w:tcPr>
          <w:p>
            <w:pPr>
              <w:pStyle w:val="687"/>
              <w:rPr>
                <w:sz w:val="21"/>
              </w:rPr>
            </w:pPr>
            <w:r>
              <w:rPr>
                <w:rFonts w:hint="eastAsia"/>
                <w:sz w:val="21"/>
                <w:lang w:eastAsia="zh-CN"/>
              </w:rPr>
              <w:t>第二次</w:t>
            </w:r>
          </w:p>
        </w:tc>
        <w:tc>
          <w:tcPr>
            <w:tcW w:w="1544" w:type="dxa"/>
            <w:vAlign w:val="center"/>
          </w:tcPr>
          <w:p>
            <w:pPr>
              <w:pStyle w:val="687"/>
              <w:rPr>
                <w:sz w:val="21"/>
                <w:lang w:eastAsia="zh-CN"/>
              </w:rPr>
            </w:pPr>
            <w:r>
              <w:rPr>
                <w:rFonts w:hint="eastAsia"/>
                <w:sz w:val="21"/>
                <w:lang w:eastAsia="zh-CN"/>
              </w:rPr>
              <w:t>0</w:t>
            </w:r>
            <w:r>
              <w:rPr>
                <w:sz w:val="21"/>
                <w:lang w:eastAsia="zh-CN"/>
              </w:rPr>
              <w:t>.56</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continue"/>
            <w:vAlign w:val="center"/>
          </w:tcPr>
          <w:p>
            <w:pPr>
              <w:pStyle w:val="687"/>
              <w:rPr>
                <w:sz w:val="21"/>
              </w:rPr>
            </w:pPr>
          </w:p>
        </w:tc>
        <w:tc>
          <w:tcPr>
            <w:tcW w:w="1000" w:type="dxa"/>
            <w:vAlign w:val="center"/>
          </w:tcPr>
          <w:p>
            <w:pPr>
              <w:pStyle w:val="687"/>
              <w:rPr>
                <w:sz w:val="21"/>
              </w:rPr>
            </w:pPr>
            <w:r>
              <w:rPr>
                <w:rFonts w:hint="eastAsia"/>
                <w:sz w:val="21"/>
                <w:lang w:eastAsia="zh-CN"/>
              </w:rPr>
              <w:t>第三次</w:t>
            </w:r>
          </w:p>
        </w:tc>
        <w:tc>
          <w:tcPr>
            <w:tcW w:w="1544" w:type="dxa"/>
            <w:vAlign w:val="center"/>
          </w:tcPr>
          <w:p>
            <w:pPr>
              <w:pStyle w:val="687"/>
              <w:rPr>
                <w:sz w:val="21"/>
                <w:lang w:eastAsia="zh-CN"/>
              </w:rPr>
            </w:pPr>
            <w:r>
              <w:rPr>
                <w:rFonts w:hint="eastAsia"/>
                <w:sz w:val="21"/>
                <w:lang w:eastAsia="zh-CN"/>
              </w:rPr>
              <w:t>0</w:t>
            </w:r>
            <w:r>
              <w:rPr>
                <w:sz w:val="21"/>
                <w:lang w:eastAsia="zh-CN"/>
              </w:rPr>
              <w:t>.60</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3</w:t>
            </w:r>
            <w:r>
              <w:rPr>
                <w:sz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continue"/>
            <w:vAlign w:val="center"/>
          </w:tcPr>
          <w:p>
            <w:pPr>
              <w:pStyle w:val="687"/>
              <w:rPr>
                <w:sz w:val="21"/>
              </w:rPr>
            </w:pPr>
          </w:p>
        </w:tc>
        <w:tc>
          <w:tcPr>
            <w:tcW w:w="1000" w:type="dxa"/>
            <w:vAlign w:val="center"/>
          </w:tcPr>
          <w:p>
            <w:pPr>
              <w:pStyle w:val="687"/>
              <w:rPr>
                <w:sz w:val="21"/>
              </w:rPr>
            </w:pPr>
            <w:r>
              <w:rPr>
                <w:rFonts w:hint="eastAsia"/>
                <w:sz w:val="21"/>
                <w:lang w:eastAsia="zh-CN"/>
              </w:rPr>
              <w:t>第四次</w:t>
            </w:r>
          </w:p>
        </w:tc>
        <w:tc>
          <w:tcPr>
            <w:tcW w:w="1544" w:type="dxa"/>
            <w:vAlign w:val="center"/>
          </w:tcPr>
          <w:p>
            <w:pPr>
              <w:pStyle w:val="687"/>
              <w:rPr>
                <w:sz w:val="21"/>
                <w:lang w:eastAsia="zh-CN"/>
              </w:rPr>
            </w:pPr>
            <w:r>
              <w:rPr>
                <w:rFonts w:hint="eastAsia"/>
                <w:sz w:val="21"/>
                <w:lang w:eastAsia="zh-CN"/>
              </w:rPr>
              <w:t>0</w:t>
            </w:r>
            <w:r>
              <w:rPr>
                <w:sz w:val="21"/>
                <w:lang w:eastAsia="zh-CN"/>
              </w:rPr>
              <w:t>.62</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3</w:t>
            </w:r>
            <w:r>
              <w:rPr>
                <w:sz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restart"/>
            <w:vAlign w:val="center"/>
          </w:tcPr>
          <w:p>
            <w:pPr>
              <w:pStyle w:val="687"/>
              <w:rPr>
                <w:sz w:val="21"/>
              </w:rPr>
            </w:pPr>
            <w:r>
              <w:rPr>
                <w:rFonts w:hint="eastAsia"/>
                <w:sz w:val="21"/>
                <w:lang w:eastAsia="zh-CN"/>
              </w:rPr>
              <w:t>2</w:t>
            </w:r>
            <w:r>
              <w:rPr>
                <w:sz w:val="21"/>
                <w:lang w:eastAsia="zh-CN"/>
              </w:rPr>
              <w:t>023.3.18</w:t>
            </w:r>
          </w:p>
        </w:tc>
        <w:tc>
          <w:tcPr>
            <w:tcW w:w="1000" w:type="dxa"/>
            <w:vAlign w:val="center"/>
          </w:tcPr>
          <w:p>
            <w:pPr>
              <w:pStyle w:val="687"/>
              <w:rPr>
                <w:sz w:val="21"/>
              </w:rPr>
            </w:pPr>
            <w:r>
              <w:rPr>
                <w:rFonts w:hint="eastAsia"/>
                <w:sz w:val="21"/>
                <w:lang w:eastAsia="zh-CN"/>
              </w:rPr>
              <w:t>第一次</w:t>
            </w:r>
          </w:p>
        </w:tc>
        <w:tc>
          <w:tcPr>
            <w:tcW w:w="1544" w:type="dxa"/>
            <w:vAlign w:val="center"/>
          </w:tcPr>
          <w:p>
            <w:pPr>
              <w:pStyle w:val="687"/>
              <w:rPr>
                <w:sz w:val="21"/>
                <w:lang w:eastAsia="zh-CN"/>
              </w:rPr>
            </w:pPr>
            <w:r>
              <w:rPr>
                <w:rFonts w:hint="eastAsia"/>
                <w:sz w:val="21"/>
                <w:lang w:eastAsia="zh-CN"/>
              </w:rPr>
              <w:t>0</w:t>
            </w:r>
            <w:r>
              <w:rPr>
                <w:sz w:val="21"/>
                <w:lang w:eastAsia="zh-CN"/>
              </w:rPr>
              <w:t>.56</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continue"/>
            <w:vAlign w:val="center"/>
          </w:tcPr>
          <w:p>
            <w:pPr>
              <w:pStyle w:val="687"/>
              <w:rPr>
                <w:sz w:val="21"/>
              </w:rPr>
            </w:pPr>
          </w:p>
        </w:tc>
        <w:tc>
          <w:tcPr>
            <w:tcW w:w="1000" w:type="dxa"/>
            <w:vAlign w:val="center"/>
          </w:tcPr>
          <w:p>
            <w:pPr>
              <w:pStyle w:val="687"/>
              <w:rPr>
                <w:sz w:val="21"/>
              </w:rPr>
            </w:pPr>
            <w:r>
              <w:rPr>
                <w:rFonts w:hint="eastAsia"/>
                <w:sz w:val="21"/>
                <w:lang w:eastAsia="zh-CN"/>
              </w:rPr>
              <w:t>第二次</w:t>
            </w:r>
          </w:p>
        </w:tc>
        <w:tc>
          <w:tcPr>
            <w:tcW w:w="1544" w:type="dxa"/>
            <w:vAlign w:val="center"/>
          </w:tcPr>
          <w:p>
            <w:pPr>
              <w:pStyle w:val="687"/>
              <w:rPr>
                <w:sz w:val="21"/>
                <w:lang w:eastAsia="zh-CN"/>
              </w:rPr>
            </w:pPr>
            <w:r>
              <w:rPr>
                <w:rFonts w:hint="eastAsia"/>
                <w:sz w:val="21"/>
                <w:lang w:eastAsia="zh-CN"/>
              </w:rPr>
              <w:t>0</w:t>
            </w:r>
            <w:r>
              <w:rPr>
                <w:sz w:val="21"/>
                <w:lang w:eastAsia="zh-CN"/>
              </w:rPr>
              <w:t>.57</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continue"/>
            <w:vAlign w:val="center"/>
          </w:tcPr>
          <w:p>
            <w:pPr>
              <w:pStyle w:val="687"/>
              <w:rPr>
                <w:sz w:val="21"/>
              </w:rPr>
            </w:pPr>
          </w:p>
        </w:tc>
        <w:tc>
          <w:tcPr>
            <w:tcW w:w="1000" w:type="dxa"/>
            <w:vAlign w:val="center"/>
          </w:tcPr>
          <w:p>
            <w:pPr>
              <w:pStyle w:val="687"/>
              <w:rPr>
                <w:sz w:val="21"/>
              </w:rPr>
            </w:pPr>
            <w:r>
              <w:rPr>
                <w:rFonts w:hint="eastAsia"/>
                <w:sz w:val="21"/>
                <w:lang w:eastAsia="zh-CN"/>
              </w:rPr>
              <w:t>第三次</w:t>
            </w:r>
          </w:p>
        </w:tc>
        <w:tc>
          <w:tcPr>
            <w:tcW w:w="1544" w:type="dxa"/>
            <w:vAlign w:val="center"/>
          </w:tcPr>
          <w:p>
            <w:pPr>
              <w:pStyle w:val="687"/>
              <w:rPr>
                <w:sz w:val="21"/>
                <w:lang w:eastAsia="zh-CN"/>
              </w:rPr>
            </w:pPr>
            <w:r>
              <w:rPr>
                <w:rFonts w:hint="eastAsia"/>
                <w:sz w:val="21"/>
                <w:lang w:eastAsia="zh-CN"/>
              </w:rPr>
              <w:t>0</w:t>
            </w:r>
            <w:r>
              <w:rPr>
                <w:sz w:val="21"/>
                <w:lang w:eastAsia="zh-CN"/>
              </w:rPr>
              <w:t>.56</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vAlign w:val="center"/>
          </w:tcPr>
          <w:p>
            <w:pPr>
              <w:pStyle w:val="687"/>
              <w:rPr>
                <w:sz w:val="21"/>
              </w:rPr>
            </w:pPr>
          </w:p>
        </w:tc>
        <w:tc>
          <w:tcPr>
            <w:tcW w:w="1002" w:type="dxa"/>
            <w:vMerge w:val="continue"/>
            <w:vAlign w:val="center"/>
          </w:tcPr>
          <w:p>
            <w:pPr>
              <w:pStyle w:val="687"/>
              <w:rPr>
                <w:sz w:val="21"/>
              </w:rPr>
            </w:pPr>
          </w:p>
        </w:tc>
        <w:tc>
          <w:tcPr>
            <w:tcW w:w="1161" w:type="dxa"/>
            <w:vMerge w:val="continue"/>
            <w:vAlign w:val="center"/>
          </w:tcPr>
          <w:p>
            <w:pPr>
              <w:pStyle w:val="687"/>
              <w:rPr>
                <w:sz w:val="21"/>
              </w:rPr>
            </w:pPr>
          </w:p>
        </w:tc>
        <w:tc>
          <w:tcPr>
            <w:tcW w:w="1000" w:type="dxa"/>
            <w:vAlign w:val="center"/>
          </w:tcPr>
          <w:p>
            <w:pPr>
              <w:pStyle w:val="687"/>
              <w:rPr>
                <w:sz w:val="21"/>
              </w:rPr>
            </w:pPr>
            <w:r>
              <w:rPr>
                <w:rFonts w:hint="eastAsia"/>
                <w:sz w:val="21"/>
                <w:lang w:eastAsia="zh-CN"/>
              </w:rPr>
              <w:t>第四次</w:t>
            </w:r>
          </w:p>
        </w:tc>
        <w:tc>
          <w:tcPr>
            <w:tcW w:w="1544" w:type="dxa"/>
            <w:vAlign w:val="center"/>
          </w:tcPr>
          <w:p>
            <w:pPr>
              <w:pStyle w:val="687"/>
              <w:rPr>
                <w:sz w:val="21"/>
                <w:lang w:eastAsia="zh-CN"/>
              </w:rPr>
            </w:pPr>
            <w:r>
              <w:rPr>
                <w:rFonts w:hint="eastAsia"/>
                <w:sz w:val="21"/>
                <w:lang w:eastAsia="zh-CN"/>
              </w:rPr>
              <w:t>0</w:t>
            </w:r>
            <w:r>
              <w:rPr>
                <w:sz w:val="21"/>
                <w:lang w:eastAsia="zh-CN"/>
              </w:rPr>
              <w:t>.57</w:t>
            </w:r>
          </w:p>
        </w:tc>
        <w:tc>
          <w:tcPr>
            <w:tcW w:w="1356" w:type="dxa"/>
            <w:vMerge w:val="continue"/>
            <w:vAlign w:val="center"/>
          </w:tcPr>
          <w:p>
            <w:pPr>
              <w:pStyle w:val="687"/>
              <w:rPr>
                <w:sz w:val="21"/>
              </w:rPr>
            </w:pPr>
          </w:p>
        </w:tc>
        <w:tc>
          <w:tcPr>
            <w:tcW w:w="1264" w:type="dxa"/>
            <w:vAlign w:val="center"/>
          </w:tcPr>
          <w:p>
            <w:pPr>
              <w:pStyle w:val="687"/>
              <w:rPr>
                <w:sz w:val="21"/>
                <w:lang w:eastAsia="zh-CN"/>
              </w:rPr>
            </w:pPr>
            <w:r>
              <w:rPr>
                <w:rFonts w:hint="eastAsia"/>
                <w:sz w:val="21"/>
                <w:lang w:eastAsia="zh-CN"/>
              </w:rPr>
              <w:t>2</w:t>
            </w:r>
            <w:r>
              <w:rPr>
                <w:sz w:val="21"/>
                <w:lang w:eastAsia="zh-CN"/>
              </w:rPr>
              <w:t>8.5</w:t>
            </w:r>
          </w:p>
        </w:tc>
      </w:tr>
    </w:tbl>
    <w:p>
      <w:pPr>
        <w:pStyle w:val="494"/>
        <w:ind w:firstLine="480"/>
      </w:pPr>
      <w:r>
        <w:t>由</w:t>
      </w:r>
      <w:r>
        <w:rPr>
          <w:rFonts w:hint="eastAsia"/>
        </w:rPr>
        <w:t>上表</w:t>
      </w:r>
      <w:r>
        <w:t>可知，项目所在区域非甲烷总烃的1小时浓度值满足《大气污染物综合排放标准详解》中的环境管理推荐限值，项目所在地环境空气质量中非甲烷总烃达标。</w:t>
      </w:r>
    </w:p>
    <w:p>
      <w:pPr>
        <w:pStyle w:val="5"/>
        <w:spacing w:before="120" w:after="120"/>
        <w:rPr>
          <w:spacing w:val="0"/>
        </w:rPr>
      </w:pPr>
      <w:bookmarkStart w:id="299" w:name="_Toc107500381"/>
      <w:bookmarkStart w:id="300" w:name="_Toc145580416"/>
      <w:r>
        <w:rPr>
          <w:rFonts w:hint="eastAsia"/>
          <w:spacing w:val="0"/>
        </w:rPr>
        <w:t>4.2.2地下</w:t>
      </w:r>
      <w:r>
        <w:rPr>
          <w:spacing w:val="0"/>
        </w:rPr>
        <w:t>水环境</w:t>
      </w:r>
      <w:r>
        <w:rPr>
          <w:rFonts w:hint="eastAsia"/>
          <w:spacing w:val="0"/>
        </w:rPr>
        <w:t>质量</w:t>
      </w:r>
      <w:r>
        <w:rPr>
          <w:spacing w:val="0"/>
        </w:rPr>
        <w:t>现状调查及评价</w:t>
      </w:r>
      <w:bookmarkEnd w:id="299"/>
      <w:bookmarkEnd w:id="300"/>
    </w:p>
    <w:p>
      <w:pPr>
        <w:pStyle w:val="494"/>
        <w:ind w:firstLine="480"/>
      </w:pPr>
      <w:bookmarkStart w:id="301" w:name="_Toc528574312"/>
      <w:bookmarkStart w:id="302" w:name="_Toc528574626"/>
      <w:r>
        <w:rPr>
          <w:rFonts w:hint="eastAsia"/>
        </w:rPr>
        <w:t>为了解本项目所在区域地下水环境质量现状，本次评价地下水环境质量现状调查与评价采用</w:t>
      </w:r>
      <w:r>
        <w:t>实测的</w:t>
      </w:r>
      <w:r>
        <w:rPr>
          <w:rFonts w:hint="eastAsia"/>
        </w:rPr>
        <w:t>方式，本次评价设置</w:t>
      </w:r>
      <w:r>
        <w:t>3</w:t>
      </w:r>
      <w:r>
        <w:rPr>
          <w:rFonts w:hint="eastAsia"/>
        </w:rPr>
        <w:t>个地下水监测点进行水质监测。</w:t>
      </w:r>
    </w:p>
    <w:p>
      <w:pPr>
        <w:pStyle w:val="494"/>
        <w:ind w:firstLine="480"/>
      </w:pPr>
      <w:r>
        <w:rPr>
          <w:rFonts w:hint="eastAsia"/>
        </w:rPr>
        <w:t>（1）</w:t>
      </w:r>
      <w:r>
        <w:t>监测点位</w:t>
      </w:r>
      <w:bookmarkEnd w:id="301"/>
      <w:bookmarkEnd w:id="302"/>
      <w:r>
        <w:rPr>
          <w:rFonts w:hint="eastAsia"/>
        </w:rPr>
        <w:t>及时间</w:t>
      </w:r>
    </w:p>
    <w:p>
      <w:pPr>
        <w:pStyle w:val="494"/>
        <w:ind w:firstLine="480"/>
      </w:pPr>
      <w:r>
        <w:rPr>
          <w:rFonts w:hint="eastAsia"/>
        </w:rPr>
        <w:t>地下水监测点位详见表4.2</w:t>
      </w:r>
      <w:r>
        <w:t>-6</w:t>
      </w:r>
      <w:r>
        <w:rPr>
          <w:rFonts w:hint="eastAsia"/>
        </w:rPr>
        <w:t>及图4.2-</w:t>
      </w:r>
      <w:r>
        <w:t>1</w:t>
      </w:r>
      <w:r>
        <w:rPr>
          <w:rFonts w:hint="eastAsia"/>
        </w:rPr>
        <w:t>。监测</w:t>
      </w:r>
      <w:r>
        <w:t>时间为</w:t>
      </w:r>
      <w:r>
        <w:rPr>
          <w:rFonts w:hint="eastAsia"/>
        </w:rPr>
        <w:t>202</w:t>
      </w:r>
      <w:r>
        <w:t>3</w:t>
      </w:r>
      <w:r>
        <w:rPr>
          <w:rFonts w:hint="eastAsia"/>
        </w:rPr>
        <w:t>年</w:t>
      </w:r>
      <w:r>
        <w:t>3</w:t>
      </w:r>
      <w:r>
        <w:rPr>
          <w:rFonts w:hint="eastAsia"/>
        </w:rPr>
        <w:t>月1</w:t>
      </w:r>
      <w:r>
        <w:t>2</w:t>
      </w:r>
      <w:r>
        <w:rPr>
          <w:rFonts w:hint="eastAsia"/>
        </w:rPr>
        <w:t>日，监测由新疆泰施特环保科技有限公司进行。</w:t>
      </w:r>
    </w:p>
    <w:p>
      <w:pPr>
        <w:pStyle w:val="400"/>
        <w:ind w:firstLine="420"/>
        <w:rPr>
          <w:lang w:bidi="en-US"/>
        </w:rPr>
      </w:pPr>
      <w:r>
        <w:rPr>
          <w:rFonts w:hint="eastAsia"/>
          <w:lang w:bidi="en-US"/>
        </w:rPr>
        <w:t>表4.2</w:t>
      </w:r>
      <w:r>
        <w:rPr>
          <w:lang w:bidi="en-US"/>
        </w:rPr>
        <w:t xml:space="preserve">-6              </w:t>
      </w:r>
      <w:r>
        <w:rPr>
          <w:rFonts w:hint="eastAsia"/>
          <w:lang w:bidi="en-US"/>
        </w:rPr>
        <w:t>地下水监测点位一览表</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701"/>
        <w:gridCol w:w="1986"/>
        <w:gridCol w:w="1416"/>
        <w:gridCol w:w="1282"/>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0" w:type="pct"/>
            <w:vAlign w:val="center"/>
          </w:tcPr>
          <w:p>
            <w:pPr>
              <w:pStyle w:val="670"/>
            </w:pPr>
            <w:bookmarkStart w:id="303" w:name="_Toc528574313"/>
            <w:bookmarkStart w:id="304" w:name="_Toc528574627"/>
            <w:r>
              <w:t>序号</w:t>
            </w:r>
          </w:p>
        </w:tc>
        <w:tc>
          <w:tcPr>
            <w:tcW w:w="1008" w:type="pct"/>
            <w:vAlign w:val="center"/>
          </w:tcPr>
          <w:p>
            <w:pPr>
              <w:pStyle w:val="670"/>
            </w:pPr>
            <w:r>
              <w:t>监测点位</w:t>
            </w:r>
          </w:p>
        </w:tc>
        <w:tc>
          <w:tcPr>
            <w:tcW w:w="1177" w:type="pct"/>
            <w:vAlign w:val="center"/>
          </w:tcPr>
          <w:p>
            <w:pPr>
              <w:pStyle w:val="670"/>
            </w:pPr>
            <w:r>
              <w:t>监测点坐标</w:t>
            </w:r>
          </w:p>
        </w:tc>
        <w:tc>
          <w:tcPr>
            <w:tcW w:w="839" w:type="pct"/>
            <w:vAlign w:val="center"/>
          </w:tcPr>
          <w:p>
            <w:pPr>
              <w:pStyle w:val="670"/>
            </w:pPr>
            <w:r>
              <w:t>与项目相对关系</w:t>
            </w:r>
          </w:p>
        </w:tc>
        <w:tc>
          <w:tcPr>
            <w:tcW w:w="760" w:type="pct"/>
            <w:vAlign w:val="center"/>
          </w:tcPr>
          <w:p>
            <w:pPr>
              <w:pStyle w:val="670"/>
            </w:pPr>
            <w:r>
              <w:t>与项目距离km</w:t>
            </w:r>
          </w:p>
        </w:tc>
        <w:tc>
          <w:tcPr>
            <w:tcW w:w="816" w:type="pct"/>
            <w:vAlign w:val="center"/>
          </w:tcPr>
          <w:p>
            <w:pPr>
              <w:pStyle w:val="670"/>
            </w:pPr>
            <w:r>
              <w:rPr>
                <w:rFonts w:hint="eastAsia"/>
              </w:rPr>
              <w:t>取水层位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Align w:val="center"/>
          </w:tcPr>
          <w:p>
            <w:pPr>
              <w:pStyle w:val="670"/>
            </w:pPr>
            <w:r>
              <w:t>1</w:t>
            </w:r>
          </w:p>
        </w:tc>
        <w:tc>
          <w:tcPr>
            <w:tcW w:w="1008" w:type="pct"/>
            <w:vAlign w:val="center"/>
          </w:tcPr>
          <w:p>
            <w:pPr>
              <w:pStyle w:val="670"/>
            </w:pPr>
            <w:r>
              <w:t>三工河哈萨克民族乡</w:t>
            </w:r>
          </w:p>
        </w:tc>
        <w:tc>
          <w:tcPr>
            <w:tcW w:w="1177" w:type="pct"/>
            <w:vAlign w:val="center"/>
          </w:tcPr>
          <w:p>
            <w:pPr>
              <w:pStyle w:val="670"/>
            </w:pPr>
            <w:r>
              <w:t>E:88°6'7.24"；N:44°16'50.94"</w:t>
            </w:r>
          </w:p>
        </w:tc>
        <w:tc>
          <w:tcPr>
            <w:tcW w:w="839" w:type="pct"/>
            <w:vAlign w:val="center"/>
          </w:tcPr>
          <w:p>
            <w:pPr>
              <w:pStyle w:val="670"/>
              <w:rPr>
                <w:lang w:eastAsia="zh-CN"/>
              </w:rPr>
            </w:pPr>
            <w:r>
              <w:rPr>
                <w:lang w:eastAsia="zh-CN"/>
              </w:rPr>
              <w:t>ES</w:t>
            </w:r>
          </w:p>
        </w:tc>
        <w:tc>
          <w:tcPr>
            <w:tcW w:w="760" w:type="pct"/>
            <w:vAlign w:val="center"/>
          </w:tcPr>
          <w:p>
            <w:pPr>
              <w:pStyle w:val="670"/>
              <w:rPr>
                <w:lang w:eastAsia="zh-CN"/>
              </w:rPr>
            </w:pPr>
            <w:r>
              <w:rPr>
                <w:lang w:eastAsia="zh-CN"/>
              </w:rPr>
              <w:t>20.5km</w:t>
            </w:r>
          </w:p>
        </w:tc>
        <w:tc>
          <w:tcPr>
            <w:tcW w:w="816" w:type="pct"/>
            <w:vAlign w:val="center"/>
          </w:tcPr>
          <w:p>
            <w:pPr>
              <w:pStyle w:val="670"/>
            </w:pPr>
            <w:r>
              <w:rPr>
                <w:rFonts w:hint="eastAsia"/>
              </w:rPr>
              <w:t>承压水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Align w:val="center"/>
          </w:tcPr>
          <w:p>
            <w:pPr>
              <w:pStyle w:val="670"/>
            </w:pPr>
            <w:r>
              <w:t>2</w:t>
            </w:r>
          </w:p>
        </w:tc>
        <w:tc>
          <w:tcPr>
            <w:tcW w:w="1008" w:type="pct"/>
            <w:vAlign w:val="center"/>
          </w:tcPr>
          <w:p>
            <w:pPr>
              <w:pStyle w:val="670"/>
            </w:pPr>
            <w:r>
              <w:t>董7井</w:t>
            </w:r>
          </w:p>
        </w:tc>
        <w:tc>
          <w:tcPr>
            <w:tcW w:w="1177" w:type="pct"/>
            <w:vAlign w:val="center"/>
          </w:tcPr>
          <w:p>
            <w:pPr>
              <w:pStyle w:val="670"/>
            </w:pPr>
            <w:r>
              <w:t>E:88°0'45.49"；N:44°26'36.04"</w:t>
            </w:r>
          </w:p>
        </w:tc>
        <w:tc>
          <w:tcPr>
            <w:tcW w:w="839" w:type="pct"/>
            <w:vAlign w:val="center"/>
          </w:tcPr>
          <w:p>
            <w:pPr>
              <w:pStyle w:val="670"/>
              <w:rPr>
                <w:lang w:eastAsia="zh-CN"/>
              </w:rPr>
            </w:pPr>
            <w:r>
              <w:rPr>
                <w:lang w:eastAsia="zh-CN"/>
              </w:rPr>
              <w:t>WS</w:t>
            </w:r>
          </w:p>
        </w:tc>
        <w:tc>
          <w:tcPr>
            <w:tcW w:w="760" w:type="pct"/>
            <w:vAlign w:val="center"/>
          </w:tcPr>
          <w:p>
            <w:pPr>
              <w:pStyle w:val="670"/>
            </w:pPr>
            <w:r>
              <w:t>2.9km</w:t>
            </w:r>
          </w:p>
        </w:tc>
        <w:tc>
          <w:tcPr>
            <w:tcW w:w="816" w:type="pct"/>
            <w:vAlign w:val="center"/>
          </w:tcPr>
          <w:p>
            <w:pPr>
              <w:pStyle w:val="670"/>
            </w:pPr>
            <w:r>
              <w:rPr>
                <w:rFonts w:hint="eastAsia"/>
              </w:rPr>
              <w:t>潜水（水位埋深</w:t>
            </w:r>
            <w:r>
              <w:t>15m</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Align w:val="center"/>
          </w:tcPr>
          <w:p>
            <w:pPr>
              <w:pStyle w:val="670"/>
            </w:pPr>
            <w:r>
              <w:t>3</w:t>
            </w:r>
          </w:p>
        </w:tc>
        <w:tc>
          <w:tcPr>
            <w:tcW w:w="1008" w:type="pct"/>
            <w:vAlign w:val="center"/>
          </w:tcPr>
          <w:p>
            <w:pPr>
              <w:pStyle w:val="670"/>
            </w:pPr>
            <w:r>
              <w:t>222团自来水厂</w:t>
            </w:r>
          </w:p>
        </w:tc>
        <w:tc>
          <w:tcPr>
            <w:tcW w:w="1177" w:type="pct"/>
            <w:vAlign w:val="center"/>
          </w:tcPr>
          <w:p>
            <w:pPr>
              <w:pStyle w:val="670"/>
            </w:pPr>
            <w:r>
              <w:t>E:87°55'47.20"；N:44°18'7.14"</w:t>
            </w:r>
          </w:p>
        </w:tc>
        <w:tc>
          <w:tcPr>
            <w:tcW w:w="839" w:type="pct"/>
            <w:vAlign w:val="center"/>
          </w:tcPr>
          <w:p>
            <w:pPr>
              <w:pStyle w:val="670"/>
              <w:rPr>
                <w:lang w:eastAsia="zh-CN"/>
              </w:rPr>
            </w:pPr>
            <w:r>
              <w:rPr>
                <w:lang w:eastAsia="zh-CN"/>
              </w:rPr>
              <w:t>WS</w:t>
            </w:r>
          </w:p>
        </w:tc>
        <w:tc>
          <w:tcPr>
            <w:tcW w:w="760" w:type="pct"/>
            <w:vAlign w:val="center"/>
          </w:tcPr>
          <w:p>
            <w:pPr>
              <w:pStyle w:val="670"/>
              <w:rPr>
                <w:lang w:eastAsia="zh-CN"/>
              </w:rPr>
            </w:pPr>
            <w:r>
              <w:rPr>
                <w:lang w:eastAsia="zh-CN"/>
              </w:rPr>
              <w:t>20km</w:t>
            </w:r>
          </w:p>
        </w:tc>
        <w:tc>
          <w:tcPr>
            <w:tcW w:w="816" w:type="pct"/>
            <w:vAlign w:val="center"/>
          </w:tcPr>
          <w:p>
            <w:pPr>
              <w:pStyle w:val="670"/>
            </w:pPr>
            <w:r>
              <w:rPr>
                <w:rFonts w:hint="eastAsia"/>
              </w:rPr>
              <w:t>承压水</w:t>
            </w:r>
          </w:p>
        </w:tc>
      </w:tr>
    </w:tbl>
    <w:p>
      <w:pPr>
        <w:pStyle w:val="494"/>
        <w:ind w:firstLine="480"/>
      </w:pPr>
      <w:r>
        <w:rPr>
          <w:rFonts w:hint="eastAsia"/>
        </w:rPr>
        <w:t>（2）</w:t>
      </w:r>
      <w:r>
        <w:t>监测项目及分析方法</w:t>
      </w:r>
      <w:bookmarkEnd w:id="303"/>
      <w:bookmarkEnd w:id="304"/>
    </w:p>
    <w:p>
      <w:pPr>
        <w:pStyle w:val="494"/>
        <w:ind w:firstLine="480"/>
      </w:pPr>
      <w:r>
        <w:rPr>
          <w:rFonts w:hint="eastAsia"/>
        </w:rPr>
        <w:t>本次评价</w:t>
      </w:r>
      <w:r>
        <w:t>实测监测分析项目：pH值、</w:t>
      </w:r>
      <w:r>
        <w:rPr>
          <w:rFonts w:hint="eastAsia"/>
        </w:rPr>
        <w:t>溶解性总固体、</w:t>
      </w:r>
      <w:r>
        <w:t>总硬度、</w:t>
      </w:r>
      <w:r>
        <w:rPr>
          <w:rFonts w:hint="eastAsia"/>
        </w:rPr>
        <w:t>挥发酚、阴离子表面活性剂、氨氮、氰化物、硫化物、氟化物、氯化物、氯离子、硫酸盐、硫酸根、硝酸盐氮、亚硝酸盐氮、碳酸根、碳酸氢根、总大肠菌群、六价铬、铁、锰、铜、锌、汞、砷、铅、镉、钾、钠、钙、镁等</w:t>
      </w:r>
      <w:r>
        <w:t>共计3</w:t>
      </w:r>
      <w:r>
        <w:rPr>
          <w:rFonts w:hint="eastAsia"/>
        </w:rPr>
        <w:t>1</w:t>
      </w:r>
      <w:r>
        <w:t>项指标</w:t>
      </w:r>
      <w:r>
        <w:rPr>
          <w:rFonts w:hint="eastAsia"/>
        </w:rPr>
        <w:t>。</w:t>
      </w:r>
    </w:p>
    <w:p>
      <w:pPr>
        <w:pStyle w:val="494"/>
        <w:ind w:firstLine="480"/>
      </w:pPr>
      <w:r>
        <w:t>分析方法：采样分析方法依照国家环保局《环境水质监测质量保证手册》与《水和废水监测分析方法》的规定进行。</w:t>
      </w:r>
    </w:p>
    <w:p>
      <w:pPr>
        <w:pStyle w:val="494"/>
        <w:ind w:firstLine="480"/>
      </w:pPr>
      <w:bookmarkStart w:id="305" w:name="_Toc528574314"/>
      <w:bookmarkStart w:id="306" w:name="_Toc528574628"/>
      <w:r>
        <w:rPr>
          <w:rFonts w:hint="eastAsia"/>
        </w:rPr>
        <w:t>（3）</w:t>
      </w:r>
      <w:r>
        <w:t>评价标准及评价方法</w:t>
      </w:r>
      <w:bookmarkEnd w:id="305"/>
      <w:bookmarkEnd w:id="306"/>
    </w:p>
    <w:p>
      <w:pPr>
        <w:pStyle w:val="494"/>
        <w:ind w:firstLine="480"/>
      </w:pPr>
      <w:r>
        <w:t>评价标准：本次地下水环境现状评价</w:t>
      </w:r>
      <w:r>
        <w:rPr>
          <w:lang w:val="zh-CN"/>
        </w:rPr>
        <w:t>采用《地下水质量标准》（</w:t>
      </w:r>
      <w:r>
        <w:t>GB/T14848-2017）</w:t>
      </w:r>
      <w:r>
        <w:rPr>
          <w:lang w:val="zh-CN"/>
        </w:rPr>
        <w:t>中</w:t>
      </w:r>
      <w:r>
        <w:rPr>
          <w:rFonts w:hint="eastAsia"/>
        </w:rPr>
        <w:t>Ⅲ</w:t>
      </w:r>
      <w:r>
        <w:t>类标准</w:t>
      </w:r>
      <w:r>
        <w:rPr>
          <w:lang w:val="zh-CN"/>
        </w:rPr>
        <w:t>进行评价</w:t>
      </w:r>
      <w:r>
        <w:t>。</w:t>
      </w:r>
    </w:p>
    <w:p>
      <w:pPr>
        <w:pStyle w:val="494"/>
        <w:ind w:firstLine="480"/>
      </w:pPr>
      <w:r>
        <w:t>评价方法：</w:t>
      </w:r>
      <w:bookmarkStart w:id="307" w:name="_Toc528574315"/>
      <w:bookmarkStart w:id="308" w:name="_Toc528574629"/>
      <w:r>
        <w:t>采用标准指数法对地下水现状进行评价。公式如下：</w:t>
      </w:r>
    </w:p>
    <w:p>
      <w:pPr>
        <w:pStyle w:val="494"/>
        <w:ind w:firstLine="480"/>
        <w:jc w:val="center"/>
      </w:pPr>
      <w:r>
        <w:object>
          <v:shape id="_x0000_i1028" o:spt="75" type="#_x0000_t75" style="height:21.75pt;width:65.2pt;" o:ole="t" fillcolor="#000011" filled="f" o:preferrelative="t" stroked="f" coordsize="21600,21600">
            <v:path/>
            <v:fill on="f" focussize="0,0"/>
            <v:stroke on="f" joinstyle="miter"/>
            <v:imagedata r:id="rId16" o:title=""/>
            <o:lock v:ext="edit" aspectratio="t"/>
            <w10:wrap type="none"/>
            <w10:anchorlock/>
          </v:shape>
          <o:OLEObject Type="Embed" ProgID="Equation.3" ShapeID="_x0000_i1028" DrawAspect="Content" ObjectID="_1468075728" r:id="rId15">
            <o:LockedField>false</o:LockedField>
          </o:OLEObject>
        </w:object>
      </w:r>
    </w:p>
    <w:p>
      <w:pPr>
        <w:pStyle w:val="494"/>
        <w:ind w:firstLine="1440" w:firstLineChars="600"/>
      </w:pPr>
      <w:r>
        <w:t>式中：</w:t>
      </w:r>
      <w:r>
        <w:rPr>
          <w:i/>
        </w:rPr>
        <w:t>S</w:t>
      </w:r>
      <w:r>
        <w:rPr>
          <w:i/>
          <w:vertAlign w:val="subscript"/>
        </w:rPr>
        <w:t>i</w:t>
      </w:r>
      <w:r>
        <w:t>—i污染物单因子污染指数；</w:t>
      </w:r>
    </w:p>
    <w:p>
      <w:pPr>
        <w:pStyle w:val="494"/>
        <w:ind w:firstLine="1440" w:firstLineChars="600"/>
      </w:pPr>
      <w:r>
        <w:rPr>
          <w:i/>
        </w:rPr>
        <w:t>C</w:t>
      </w:r>
      <w:r>
        <w:rPr>
          <w:i/>
          <w:vertAlign w:val="subscript"/>
        </w:rPr>
        <w:t>i</w:t>
      </w:r>
      <w:r>
        <w:t>—i污染物的实测浓度均值 mg//L；</w:t>
      </w:r>
    </w:p>
    <w:p>
      <w:pPr>
        <w:pStyle w:val="494"/>
        <w:ind w:firstLine="1440" w:firstLineChars="600"/>
      </w:pPr>
      <w:r>
        <w:rPr>
          <w:i/>
        </w:rPr>
        <w:t>Csi</w:t>
      </w:r>
      <w:r>
        <w:t>—i污染物评价标准值 mg//L；</w:t>
      </w:r>
    </w:p>
    <w:p>
      <w:pPr>
        <w:pStyle w:val="494"/>
        <w:ind w:firstLine="480"/>
      </w:pPr>
      <w:r>
        <w:t>pH值单值质量指数模式为：</w:t>
      </w:r>
    </w:p>
    <w:p>
      <w:pPr>
        <w:pStyle w:val="494"/>
        <w:spacing w:line="360" w:lineRule="auto"/>
        <w:ind w:firstLine="480"/>
        <w:jc w:val="center"/>
      </w:pPr>
      <w:r>
        <w:object>
          <v:shape id="_x0000_i1029" o:spt="75" type="#_x0000_t75" style="height:14.95pt;width:21.75pt;" o:ole="t" fillcolor="#000011" filled="f" o:preferrelative="t" stroked="f" coordsize="21600,21600">
            <v:path/>
            <v:fill on="f" focussize="0,0"/>
            <v:stroke on="f" joinstyle="miter"/>
            <v:imagedata r:id="rId18" o:title=""/>
            <o:lock v:ext="edit" aspectratio="t"/>
            <w10:wrap type="none"/>
            <w10:anchorlock/>
          </v:shape>
          <o:OLEObject Type="Embed" ProgID="Equation.3" ShapeID="_x0000_i1029" DrawAspect="Content" ObjectID="_1468075729" r:id="rId17">
            <o:LockedField>false</o:LockedField>
          </o:OLEObject>
        </w:object>
      </w:r>
      <w:r>
        <w:t>≤7.0时：</w:t>
      </w:r>
      <w:r>
        <w:object>
          <v:shape id="_x0000_i1030" o:spt="75" type="#_x0000_t75" style="height:34.65pt;width:94.45pt;" o:ole="t" fillcolor="#000011" filled="f" o:preferrelative="t" stroked="f" coordsize="21600,21600">
            <v:path/>
            <v:fill on="f" focussize="0,0"/>
            <v:stroke on="f" joinstyle="miter"/>
            <v:imagedata r:id="rId20" o:title=""/>
            <o:lock v:ext="edit" aspectratio="t"/>
            <w10:wrap type="none"/>
            <w10:anchorlock/>
          </v:shape>
          <o:OLEObject Type="Embed" ProgID="Equation.3" ShapeID="_x0000_i1030" DrawAspect="Content" ObjectID="_1468075730" r:id="rId19">
            <o:LockedField>false</o:LockedField>
          </o:OLEObject>
        </w:object>
      </w:r>
    </w:p>
    <w:p>
      <w:pPr>
        <w:pStyle w:val="494"/>
        <w:spacing w:line="360" w:lineRule="auto"/>
        <w:ind w:firstLine="480"/>
        <w:jc w:val="center"/>
      </w:pPr>
      <w:r>
        <w:object>
          <v:shape id="_x0000_i1031" o:spt="75" type="#_x0000_t75" style="height:14.95pt;width:21.75pt;" o:ole="t" fillcolor="#000011" filled="f" o:preferrelative="t" stroked="f" coordsize="21600,21600">
            <v:path/>
            <v:fill on="f" focussize="0,0"/>
            <v:stroke on="f" joinstyle="miter"/>
            <v:imagedata r:id="rId22" o:title=""/>
            <o:lock v:ext="edit" aspectratio="t"/>
            <w10:wrap type="none"/>
            <w10:anchorlock/>
          </v:shape>
          <o:OLEObject Type="Embed" ProgID="Equation.3" ShapeID="_x0000_i1031" DrawAspect="Content" ObjectID="_1468075731" r:id="rId21">
            <o:LockedField>false</o:LockedField>
          </o:OLEObject>
        </w:object>
      </w:r>
      <w:r>
        <w:t>＞7.0时：</w:t>
      </w:r>
      <w:r>
        <w:object>
          <v:shape id="_x0000_i1032" o:spt="75" type="#_x0000_t75" style="height:37.35pt;width:93.75pt;" o:ole="t" fillcolor="#000011" filled="f" o:preferrelative="t" stroked="f" coordsize="21600,21600">
            <v:path/>
            <v:fill on="f" focussize="0,0"/>
            <v:stroke on="f" joinstyle="miter"/>
            <v:imagedata r:id="rId24" o:title=""/>
            <o:lock v:ext="edit" aspectratio="t"/>
            <w10:wrap type="none"/>
            <w10:anchorlock/>
          </v:shape>
          <o:OLEObject Type="Embed" ProgID="Equation.3" ShapeID="_x0000_i1032" DrawAspect="Content" ObjectID="_1468075732" r:id="rId23">
            <o:LockedField>false</o:LockedField>
          </o:OLEObject>
        </w:object>
      </w:r>
    </w:p>
    <w:p>
      <w:pPr>
        <w:pStyle w:val="494"/>
        <w:ind w:firstLine="1440" w:firstLineChars="600"/>
      </w:pPr>
      <w:r>
        <w:t>式中：</w:t>
      </w:r>
      <w:r>
        <w:rPr>
          <w:i/>
        </w:rPr>
        <w:t>S</w:t>
      </w:r>
      <w:r>
        <w:rPr>
          <w:i/>
          <w:vertAlign w:val="subscript"/>
        </w:rPr>
        <w:t>pH</w:t>
      </w:r>
      <w:r>
        <w:t>—pH值评价指数；</w:t>
      </w:r>
    </w:p>
    <w:p>
      <w:pPr>
        <w:pStyle w:val="494"/>
        <w:ind w:firstLine="1440" w:firstLineChars="600"/>
      </w:pPr>
      <w:r>
        <w:t xml:space="preserve">      </w:t>
      </w:r>
      <w:r>
        <w:rPr>
          <w:i/>
        </w:rPr>
        <w:t>pH</w:t>
      </w:r>
      <w:r>
        <w:rPr>
          <w:i/>
          <w:vertAlign w:val="subscript"/>
        </w:rPr>
        <w:t>i</w:t>
      </w:r>
      <w:r>
        <w:t>—i点实测pH值；</w:t>
      </w:r>
    </w:p>
    <w:p>
      <w:pPr>
        <w:pStyle w:val="494"/>
        <w:ind w:firstLine="1440" w:firstLineChars="600"/>
      </w:pPr>
      <w:r>
        <w:t xml:space="preserve">      </w:t>
      </w:r>
      <w:r>
        <w:rPr>
          <w:i/>
        </w:rPr>
        <w:t>pH</w:t>
      </w:r>
      <w:r>
        <w:rPr>
          <w:i/>
          <w:vertAlign w:val="subscript"/>
        </w:rPr>
        <w:t>sd</w:t>
      </w:r>
      <w:r>
        <w:t>—标准中pH的下限值</w:t>
      </w:r>
      <w:r>
        <w:rPr>
          <w:rFonts w:hint="eastAsia"/>
        </w:rPr>
        <w:t>（6.5）</w:t>
      </w:r>
      <w:r>
        <w:t>；</w:t>
      </w:r>
    </w:p>
    <w:p>
      <w:pPr>
        <w:pStyle w:val="494"/>
        <w:ind w:firstLine="1440" w:firstLineChars="600"/>
      </w:pPr>
      <w:r>
        <w:t xml:space="preserve">      </w:t>
      </w:r>
      <w:r>
        <w:rPr>
          <w:i/>
        </w:rPr>
        <w:t>pH</w:t>
      </w:r>
      <w:r>
        <w:rPr>
          <w:i/>
          <w:vertAlign w:val="subscript"/>
        </w:rPr>
        <w:t>su</w:t>
      </w:r>
      <w:r>
        <w:t>—标准中pH的上限值</w:t>
      </w:r>
      <w:r>
        <w:rPr>
          <w:rFonts w:hint="eastAsia"/>
        </w:rPr>
        <w:t>（8.5）</w:t>
      </w:r>
      <w:r>
        <w:t>。</w:t>
      </w:r>
    </w:p>
    <w:p>
      <w:pPr>
        <w:pStyle w:val="494"/>
        <w:ind w:firstLine="480"/>
      </w:pPr>
      <w:r>
        <w:rPr>
          <w:rFonts w:hint="eastAsia"/>
        </w:rPr>
        <w:t>（4）</w:t>
      </w:r>
      <w:r>
        <w:t>监测数据及评价结果</w:t>
      </w:r>
      <w:bookmarkEnd w:id="307"/>
      <w:bookmarkEnd w:id="308"/>
    </w:p>
    <w:p>
      <w:pPr>
        <w:pStyle w:val="494"/>
        <w:ind w:firstLine="480"/>
        <w:rPr>
          <w:rFonts w:cs="Times New Roman"/>
        </w:rPr>
      </w:pPr>
      <w:r>
        <w:rPr>
          <w:rFonts w:hint="eastAsia" w:cs="Times New Roman"/>
        </w:rPr>
        <w:t>项目</w:t>
      </w:r>
      <w:r>
        <w:rPr>
          <w:rFonts w:cs="Times New Roman"/>
        </w:rPr>
        <w:t>地下水水质监测数据以及评价结果见表</w:t>
      </w:r>
      <w:r>
        <w:rPr>
          <w:rFonts w:hint="eastAsia"/>
        </w:rPr>
        <w:t>4.2</w:t>
      </w:r>
      <w:r>
        <w:t>-7</w:t>
      </w:r>
      <w:r>
        <w:rPr>
          <w:rFonts w:cs="Times New Roman"/>
        </w:rPr>
        <w:t>。</w:t>
      </w:r>
      <w:r>
        <w:rPr>
          <w:rFonts w:cs="Times New Roman"/>
        </w:rPr>
        <w:br w:type="page"/>
      </w:r>
    </w:p>
    <w:p>
      <w:pPr>
        <w:pStyle w:val="494"/>
        <w:ind w:firstLine="480"/>
        <w:sectPr>
          <w:pgSz w:w="11906" w:h="16838"/>
          <w:pgMar w:top="1440" w:right="1701" w:bottom="1440" w:left="1985" w:header="851" w:footer="992" w:gutter="0"/>
          <w:cols w:space="720" w:num="1"/>
          <w:docGrid w:linePitch="312" w:charSpace="0"/>
        </w:sectPr>
      </w:pPr>
    </w:p>
    <w:p>
      <w:pPr>
        <w:pStyle w:val="400"/>
        <w:ind w:firstLine="420"/>
      </w:pPr>
      <w:r>
        <w:t>表</w:t>
      </w:r>
      <w:r>
        <w:rPr>
          <w:rFonts w:hint="eastAsia"/>
        </w:rPr>
        <w:t>4.2</w:t>
      </w:r>
      <w:r>
        <w:t>-7</w:t>
      </w:r>
      <w:r>
        <w:rPr>
          <w:rFonts w:hint="eastAsia"/>
        </w:rPr>
        <w:t xml:space="preserve"> </w:t>
      </w:r>
      <w:r>
        <w:t xml:space="preserve">                                      </w:t>
      </w:r>
      <w:r>
        <w:rPr>
          <w:rFonts w:hint="eastAsia"/>
        </w:rPr>
        <w:t>项目</w:t>
      </w:r>
      <w:r>
        <w:t>地下水水质监测分析结果</w:t>
      </w:r>
    </w:p>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08" w:type="dxa"/>
          <w:bottom w:w="15" w:type="dxa"/>
          <w:right w:w="108" w:type="dxa"/>
        </w:tblCellMar>
      </w:tblPr>
      <w:tblGrid>
        <w:gridCol w:w="713"/>
        <w:gridCol w:w="2069"/>
        <w:gridCol w:w="1338"/>
        <w:gridCol w:w="1372"/>
        <w:gridCol w:w="1446"/>
        <w:gridCol w:w="1449"/>
        <w:gridCol w:w="1446"/>
        <w:gridCol w:w="1449"/>
        <w:gridCol w:w="1446"/>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Merge w:val="restart"/>
            <w:vAlign w:val="center"/>
          </w:tcPr>
          <w:p>
            <w:pPr>
              <w:pStyle w:val="670"/>
            </w:pPr>
            <w:r>
              <w:rPr>
                <w:rFonts w:hint="eastAsia"/>
              </w:rPr>
              <w:t>序号</w:t>
            </w:r>
          </w:p>
        </w:tc>
        <w:tc>
          <w:tcPr>
            <w:tcW w:w="730" w:type="pct"/>
            <w:vMerge w:val="restart"/>
            <w:vAlign w:val="center"/>
          </w:tcPr>
          <w:p>
            <w:pPr>
              <w:pStyle w:val="670"/>
            </w:pPr>
            <w:r>
              <w:rPr>
                <w:rFonts w:hint="eastAsia"/>
              </w:rPr>
              <w:t>检测项目</w:t>
            </w:r>
          </w:p>
        </w:tc>
        <w:tc>
          <w:tcPr>
            <w:tcW w:w="472" w:type="pct"/>
            <w:vMerge w:val="restart"/>
            <w:vAlign w:val="center"/>
          </w:tcPr>
          <w:p>
            <w:pPr>
              <w:pStyle w:val="670"/>
            </w:pPr>
            <w:r>
              <w:rPr>
                <w:rFonts w:hint="eastAsia"/>
              </w:rPr>
              <w:t>单位</w:t>
            </w:r>
          </w:p>
        </w:tc>
        <w:tc>
          <w:tcPr>
            <w:tcW w:w="484" w:type="pct"/>
            <w:vMerge w:val="restart"/>
            <w:vAlign w:val="center"/>
          </w:tcPr>
          <w:p>
            <w:pPr>
              <w:pStyle w:val="670"/>
            </w:pPr>
            <w:r>
              <w:rPr>
                <w:rFonts w:hint="eastAsia"/>
              </w:rPr>
              <w:t>标准值</w:t>
            </w:r>
          </w:p>
        </w:tc>
        <w:tc>
          <w:tcPr>
            <w:tcW w:w="1021" w:type="pct"/>
            <w:gridSpan w:val="2"/>
            <w:vAlign w:val="center"/>
          </w:tcPr>
          <w:p>
            <w:pPr>
              <w:pStyle w:val="670"/>
              <w:rPr>
                <w:lang w:eastAsia="zh-CN"/>
              </w:rPr>
            </w:pPr>
            <w:r>
              <w:t>三工河哈萨克民族乡</w:t>
            </w:r>
            <w:r>
              <w:rPr>
                <w:rFonts w:hint="eastAsia"/>
                <w:lang w:eastAsia="zh-CN"/>
              </w:rPr>
              <w:t xml:space="preserve"> 1</w:t>
            </w:r>
            <w:r>
              <w:rPr>
                <w:lang w:eastAsia="zh-CN"/>
              </w:rPr>
              <w:t>#</w:t>
            </w:r>
          </w:p>
        </w:tc>
        <w:tc>
          <w:tcPr>
            <w:tcW w:w="1021" w:type="pct"/>
            <w:gridSpan w:val="2"/>
            <w:vAlign w:val="center"/>
          </w:tcPr>
          <w:p>
            <w:pPr>
              <w:pStyle w:val="670"/>
              <w:rPr>
                <w:lang w:eastAsia="zh-CN"/>
              </w:rPr>
            </w:pPr>
            <w:r>
              <w:t>董7井</w:t>
            </w:r>
            <w:r>
              <w:rPr>
                <w:rFonts w:hint="eastAsia"/>
                <w:lang w:eastAsia="zh-CN"/>
              </w:rPr>
              <w:t xml:space="preserve"> </w:t>
            </w:r>
            <w:r>
              <w:rPr>
                <w:lang w:eastAsia="zh-CN"/>
              </w:rPr>
              <w:t>2#</w:t>
            </w:r>
          </w:p>
        </w:tc>
        <w:tc>
          <w:tcPr>
            <w:tcW w:w="1020" w:type="pct"/>
            <w:gridSpan w:val="2"/>
            <w:vAlign w:val="center"/>
          </w:tcPr>
          <w:p>
            <w:pPr>
              <w:pStyle w:val="670"/>
              <w:rPr>
                <w:lang w:eastAsia="zh-CN"/>
              </w:rPr>
            </w:pPr>
            <w:r>
              <w:t>222团自来水厂</w:t>
            </w:r>
            <w:r>
              <w:rPr>
                <w:lang w:eastAsia="zh-CN"/>
              </w:rPr>
              <w:t xml:space="preserve">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Merge w:val="continue"/>
            <w:vAlign w:val="center"/>
          </w:tcPr>
          <w:p>
            <w:pPr>
              <w:pStyle w:val="670"/>
            </w:pPr>
          </w:p>
        </w:tc>
        <w:tc>
          <w:tcPr>
            <w:tcW w:w="730" w:type="pct"/>
            <w:vMerge w:val="continue"/>
            <w:vAlign w:val="center"/>
          </w:tcPr>
          <w:p>
            <w:pPr>
              <w:pStyle w:val="670"/>
            </w:pPr>
          </w:p>
        </w:tc>
        <w:tc>
          <w:tcPr>
            <w:tcW w:w="472" w:type="pct"/>
            <w:vMerge w:val="continue"/>
            <w:vAlign w:val="center"/>
          </w:tcPr>
          <w:p>
            <w:pPr>
              <w:pStyle w:val="670"/>
            </w:pPr>
          </w:p>
        </w:tc>
        <w:tc>
          <w:tcPr>
            <w:tcW w:w="484" w:type="pct"/>
            <w:vMerge w:val="continue"/>
            <w:vAlign w:val="center"/>
          </w:tcPr>
          <w:p>
            <w:pPr>
              <w:pStyle w:val="670"/>
            </w:pPr>
          </w:p>
        </w:tc>
        <w:tc>
          <w:tcPr>
            <w:tcW w:w="510" w:type="pct"/>
            <w:vAlign w:val="center"/>
          </w:tcPr>
          <w:p>
            <w:pPr>
              <w:pStyle w:val="670"/>
            </w:pPr>
            <w:r>
              <w:rPr>
                <w:rFonts w:hint="eastAsia"/>
              </w:rPr>
              <w:t>检测结果</w:t>
            </w:r>
          </w:p>
        </w:tc>
        <w:tc>
          <w:tcPr>
            <w:tcW w:w="511" w:type="pct"/>
            <w:vAlign w:val="center"/>
          </w:tcPr>
          <w:p>
            <w:pPr>
              <w:pStyle w:val="670"/>
            </w:pPr>
            <w:r>
              <w:rPr>
                <w:rFonts w:hint="eastAsia"/>
              </w:rPr>
              <w:t>标准指数</w:t>
            </w:r>
          </w:p>
        </w:tc>
        <w:tc>
          <w:tcPr>
            <w:tcW w:w="510" w:type="pct"/>
            <w:vAlign w:val="center"/>
          </w:tcPr>
          <w:p>
            <w:pPr>
              <w:pStyle w:val="670"/>
            </w:pPr>
            <w:r>
              <w:rPr>
                <w:rFonts w:hint="eastAsia"/>
              </w:rPr>
              <w:t>检测结果</w:t>
            </w:r>
          </w:p>
        </w:tc>
        <w:tc>
          <w:tcPr>
            <w:tcW w:w="511" w:type="pct"/>
            <w:vAlign w:val="center"/>
          </w:tcPr>
          <w:p>
            <w:pPr>
              <w:pStyle w:val="670"/>
            </w:pPr>
            <w:r>
              <w:rPr>
                <w:rFonts w:hint="eastAsia"/>
              </w:rPr>
              <w:t>标准指数</w:t>
            </w:r>
          </w:p>
        </w:tc>
        <w:tc>
          <w:tcPr>
            <w:tcW w:w="510" w:type="pct"/>
            <w:vAlign w:val="center"/>
          </w:tcPr>
          <w:p>
            <w:pPr>
              <w:pStyle w:val="670"/>
            </w:pPr>
            <w:r>
              <w:rPr>
                <w:rFonts w:hint="eastAsia"/>
              </w:rPr>
              <w:t>检测结果</w:t>
            </w:r>
          </w:p>
        </w:tc>
        <w:tc>
          <w:tcPr>
            <w:tcW w:w="510" w:type="pct"/>
            <w:vAlign w:val="center"/>
          </w:tcPr>
          <w:p>
            <w:pPr>
              <w:pStyle w:val="670"/>
            </w:pPr>
            <w:r>
              <w:rPr>
                <w:rFonts w:hint="eastAsia"/>
              </w:rPr>
              <w:t>标准指数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1</w:t>
            </w:r>
          </w:p>
        </w:tc>
        <w:tc>
          <w:tcPr>
            <w:tcW w:w="730" w:type="pct"/>
            <w:vAlign w:val="center"/>
          </w:tcPr>
          <w:p>
            <w:pPr>
              <w:pStyle w:val="670"/>
            </w:pPr>
            <w:r>
              <w:t>pH值</w:t>
            </w:r>
          </w:p>
        </w:tc>
        <w:tc>
          <w:tcPr>
            <w:tcW w:w="472" w:type="pct"/>
            <w:vAlign w:val="center"/>
          </w:tcPr>
          <w:p>
            <w:pPr>
              <w:pStyle w:val="670"/>
            </w:pPr>
            <w:r>
              <w:rPr>
                <w:rFonts w:hint="eastAsia"/>
              </w:rPr>
              <w:t>无量纲</w:t>
            </w:r>
          </w:p>
        </w:tc>
        <w:tc>
          <w:tcPr>
            <w:tcW w:w="484" w:type="pct"/>
            <w:vAlign w:val="center"/>
          </w:tcPr>
          <w:p>
            <w:pPr>
              <w:pStyle w:val="670"/>
            </w:pPr>
            <w:r>
              <w:rPr>
                <w:rFonts w:hint="eastAsia"/>
              </w:rPr>
              <w:t>6.5～8.5</w:t>
            </w:r>
          </w:p>
        </w:tc>
        <w:tc>
          <w:tcPr>
            <w:tcW w:w="510" w:type="pct"/>
            <w:vAlign w:val="center"/>
          </w:tcPr>
          <w:p>
            <w:pPr>
              <w:pStyle w:val="670"/>
              <w:rPr>
                <w:lang w:eastAsia="zh-CN"/>
              </w:rPr>
            </w:pPr>
            <w:r>
              <w:rPr>
                <w:rFonts w:hint="eastAsia"/>
                <w:lang w:eastAsia="zh-CN"/>
              </w:rPr>
              <w:t>7.2</w:t>
            </w:r>
          </w:p>
        </w:tc>
        <w:tc>
          <w:tcPr>
            <w:tcW w:w="511" w:type="pct"/>
            <w:vAlign w:val="center"/>
          </w:tcPr>
          <w:p>
            <w:pPr>
              <w:pStyle w:val="670"/>
              <w:rPr>
                <w:lang w:eastAsia="zh-CN"/>
              </w:rPr>
            </w:pPr>
            <w:r>
              <w:rPr>
                <w:rFonts w:hint="eastAsia"/>
                <w:lang w:eastAsia="zh-CN"/>
              </w:rPr>
              <w:t>0</w:t>
            </w:r>
            <w:r>
              <w:rPr>
                <w:lang w:eastAsia="zh-CN"/>
              </w:rPr>
              <w:t>.133</w:t>
            </w:r>
          </w:p>
        </w:tc>
        <w:tc>
          <w:tcPr>
            <w:tcW w:w="510" w:type="pct"/>
            <w:vAlign w:val="center"/>
          </w:tcPr>
          <w:p>
            <w:pPr>
              <w:pStyle w:val="670"/>
              <w:rPr>
                <w:lang w:eastAsia="zh-CN"/>
              </w:rPr>
            </w:pPr>
            <w:r>
              <w:rPr>
                <w:rFonts w:hint="eastAsia"/>
                <w:lang w:eastAsia="zh-CN"/>
              </w:rPr>
              <w:t>7</w:t>
            </w:r>
            <w:r>
              <w:rPr>
                <w:lang w:eastAsia="zh-CN"/>
              </w:rPr>
              <w:t>.1</w:t>
            </w:r>
          </w:p>
        </w:tc>
        <w:tc>
          <w:tcPr>
            <w:tcW w:w="511" w:type="pct"/>
            <w:vAlign w:val="center"/>
          </w:tcPr>
          <w:p>
            <w:pPr>
              <w:pStyle w:val="670"/>
              <w:rPr>
                <w:lang w:eastAsia="zh-CN"/>
              </w:rPr>
            </w:pPr>
            <w:r>
              <w:rPr>
                <w:rFonts w:hint="eastAsia"/>
                <w:lang w:eastAsia="zh-CN"/>
              </w:rPr>
              <w:t>0</w:t>
            </w:r>
            <w:r>
              <w:rPr>
                <w:lang w:eastAsia="zh-CN"/>
              </w:rPr>
              <w:t>.067</w:t>
            </w:r>
          </w:p>
        </w:tc>
        <w:tc>
          <w:tcPr>
            <w:tcW w:w="510" w:type="pct"/>
            <w:vAlign w:val="center"/>
          </w:tcPr>
          <w:p>
            <w:pPr>
              <w:pStyle w:val="670"/>
              <w:rPr>
                <w:lang w:eastAsia="zh-CN"/>
              </w:rPr>
            </w:pPr>
            <w:r>
              <w:rPr>
                <w:rFonts w:hint="eastAsia"/>
                <w:lang w:eastAsia="zh-CN"/>
              </w:rPr>
              <w:t>7</w:t>
            </w:r>
            <w:r>
              <w:rPr>
                <w:lang w:eastAsia="zh-CN"/>
              </w:rPr>
              <w:t>.3</w:t>
            </w:r>
          </w:p>
        </w:tc>
        <w:tc>
          <w:tcPr>
            <w:tcW w:w="510" w:type="pct"/>
            <w:vAlign w:val="center"/>
          </w:tcPr>
          <w:p>
            <w:pPr>
              <w:pStyle w:val="670"/>
              <w:rPr>
                <w:lang w:eastAsia="zh-CN"/>
              </w:rPr>
            </w:pPr>
            <w:r>
              <w:rPr>
                <w:rFonts w:hint="eastAsia"/>
                <w:lang w:eastAsia="zh-CN"/>
              </w:rPr>
              <w:t>0</w:t>
            </w:r>
            <w:r>
              <w:rPr>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2</w:t>
            </w:r>
          </w:p>
        </w:tc>
        <w:tc>
          <w:tcPr>
            <w:tcW w:w="730" w:type="pct"/>
            <w:vAlign w:val="center"/>
          </w:tcPr>
          <w:p>
            <w:pPr>
              <w:pStyle w:val="670"/>
            </w:pPr>
            <w:r>
              <w:rPr>
                <w:rFonts w:hint="eastAsia"/>
              </w:rPr>
              <w:t>溶解性总固体</w:t>
            </w:r>
          </w:p>
        </w:tc>
        <w:tc>
          <w:tcPr>
            <w:tcW w:w="472" w:type="pct"/>
            <w:vAlign w:val="center"/>
          </w:tcPr>
          <w:p>
            <w:pPr>
              <w:pStyle w:val="670"/>
            </w:pPr>
            <w:r>
              <w:t>mg/L</w:t>
            </w:r>
          </w:p>
        </w:tc>
        <w:tc>
          <w:tcPr>
            <w:tcW w:w="484" w:type="pct"/>
            <w:vAlign w:val="center"/>
          </w:tcPr>
          <w:p>
            <w:pPr>
              <w:pStyle w:val="670"/>
            </w:pPr>
            <w:r>
              <w:rPr>
                <w:rFonts w:hint="eastAsia"/>
              </w:rPr>
              <w:t>≤</w:t>
            </w:r>
            <w:r>
              <w:t>1000</w:t>
            </w:r>
          </w:p>
        </w:tc>
        <w:tc>
          <w:tcPr>
            <w:tcW w:w="510" w:type="pct"/>
            <w:vAlign w:val="center"/>
          </w:tcPr>
          <w:p>
            <w:pPr>
              <w:pStyle w:val="670"/>
              <w:rPr>
                <w:lang w:eastAsia="zh-CN"/>
              </w:rPr>
            </w:pPr>
            <w:r>
              <w:rPr>
                <w:rFonts w:hint="eastAsia"/>
                <w:lang w:eastAsia="zh-CN"/>
              </w:rPr>
              <w:t>3</w:t>
            </w:r>
            <w:r>
              <w:rPr>
                <w:lang w:eastAsia="zh-CN"/>
              </w:rPr>
              <w:t>69</w:t>
            </w:r>
          </w:p>
        </w:tc>
        <w:tc>
          <w:tcPr>
            <w:tcW w:w="511" w:type="pct"/>
            <w:vAlign w:val="center"/>
          </w:tcPr>
          <w:p>
            <w:pPr>
              <w:pStyle w:val="670"/>
              <w:rPr>
                <w:lang w:eastAsia="zh-CN"/>
              </w:rPr>
            </w:pPr>
            <w:r>
              <w:rPr>
                <w:rFonts w:hint="eastAsia"/>
                <w:lang w:eastAsia="zh-CN"/>
              </w:rPr>
              <w:t>0</w:t>
            </w:r>
            <w:r>
              <w:rPr>
                <w:lang w:eastAsia="zh-CN"/>
              </w:rPr>
              <w:t>.369</w:t>
            </w:r>
          </w:p>
        </w:tc>
        <w:tc>
          <w:tcPr>
            <w:tcW w:w="510" w:type="pct"/>
            <w:vAlign w:val="center"/>
          </w:tcPr>
          <w:p>
            <w:pPr>
              <w:pStyle w:val="670"/>
              <w:rPr>
                <w:lang w:eastAsia="zh-CN"/>
              </w:rPr>
            </w:pPr>
            <w:r>
              <w:rPr>
                <w:rFonts w:hint="eastAsia"/>
                <w:lang w:eastAsia="zh-CN"/>
              </w:rPr>
              <w:t>3</w:t>
            </w:r>
            <w:r>
              <w:rPr>
                <w:lang w:eastAsia="zh-CN"/>
              </w:rPr>
              <w:t>55</w:t>
            </w:r>
          </w:p>
        </w:tc>
        <w:tc>
          <w:tcPr>
            <w:tcW w:w="511" w:type="pct"/>
            <w:vAlign w:val="center"/>
          </w:tcPr>
          <w:p>
            <w:pPr>
              <w:pStyle w:val="670"/>
              <w:rPr>
                <w:lang w:eastAsia="zh-CN"/>
              </w:rPr>
            </w:pPr>
            <w:r>
              <w:rPr>
                <w:rFonts w:hint="eastAsia"/>
                <w:lang w:eastAsia="zh-CN"/>
              </w:rPr>
              <w:t>0</w:t>
            </w:r>
            <w:r>
              <w:rPr>
                <w:lang w:eastAsia="zh-CN"/>
              </w:rPr>
              <w:t>.355</w:t>
            </w:r>
          </w:p>
        </w:tc>
        <w:tc>
          <w:tcPr>
            <w:tcW w:w="510" w:type="pct"/>
            <w:vAlign w:val="center"/>
          </w:tcPr>
          <w:p>
            <w:pPr>
              <w:pStyle w:val="670"/>
              <w:rPr>
                <w:lang w:eastAsia="zh-CN"/>
              </w:rPr>
            </w:pPr>
            <w:r>
              <w:rPr>
                <w:rFonts w:hint="eastAsia"/>
                <w:lang w:eastAsia="zh-CN"/>
              </w:rPr>
              <w:t>3</w:t>
            </w:r>
            <w:r>
              <w:rPr>
                <w:lang w:eastAsia="zh-CN"/>
              </w:rPr>
              <w:t>54</w:t>
            </w:r>
          </w:p>
        </w:tc>
        <w:tc>
          <w:tcPr>
            <w:tcW w:w="510" w:type="pct"/>
            <w:vAlign w:val="center"/>
          </w:tcPr>
          <w:p>
            <w:pPr>
              <w:pStyle w:val="670"/>
              <w:rPr>
                <w:lang w:eastAsia="zh-CN"/>
              </w:rPr>
            </w:pPr>
            <w:r>
              <w:rPr>
                <w:lang w:eastAsia="zh-CN"/>
              </w:rPr>
              <w:t>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3</w:t>
            </w:r>
          </w:p>
        </w:tc>
        <w:tc>
          <w:tcPr>
            <w:tcW w:w="730" w:type="pct"/>
            <w:vAlign w:val="center"/>
          </w:tcPr>
          <w:p>
            <w:pPr>
              <w:pStyle w:val="670"/>
            </w:pPr>
            <w:r>
              <w:rPr>
                <w:rFonts w:hint="eastAsia"/>
              </w:rPr>
              <w:t>总硬度</w:t>
            </w:r>
          </w:p>
        </w:tc>
        <w:tc>
          <w:tcPr>
            <w:tcW w:w="472" w:type="pct"/>
            <w:vAlign w:val="center"/>
          </w:tcPr>
          <w:p>
            <w:pPr>
              <w:pStyle w:val="670"/>
            </w:pPr>
            <w:r>
              <w:t>mg/L</w:t>
            </w:r>
          </w:p>
        </w:tc>
        <w:tc>
          <w:tcPr>
            <w:tcW w:w="484" w:type="pct"/>
            <w:vAlign w:val="center"/>
          </w:tcPr>
          <w:p>
            <w:pPr>
              <w:pStyle w:val="670"/>
            </w:pPr>
            <w:r>
              <w:rPr>
                <w:rFonts w:hint="eastAsia"/>
              </w:rPr>
              <w:t>≤</w:t>
            </w:r>
            <w:r>
              <w:t>450</w:t>
            </w:r>
          </w:p>
        </w:tc>
        <w:tc>
          <w:tcPr>
            <w:tcW w:w="510" w:type="pct"/>
            <w:vAlign w:val="center"/>
          </w:tcPr>
          <w:p>
            <w:pPr>
              <w:pStyle w:val="670"/>
              <w:rPr>
                <w:lang w:eastAsia="zh-CN"/>
              </w:rPr>
            </w:pPr>
            <w:r>
              <w:rPr>
                <w:rFonts w:hint="eastAsia"/>
                <w:lang w:eastAsia="zh-CN"/>
              </w:rPr>
              <w:t>2</w:t>
            </w:r>
            <w:r>
              <w:rPr>
                <w:lang w:eastAsia="zh-CN"/>
              </w:rPr>
              <w:t>01</w:t>
            </w:r>
          </w:p>
        </w:tc>
        <w:tc>
          <w:tcPr>
            <w:tcW w:w="511" w:type="pct"/>
            <w:vAlign w:val="center"/>
          </w:tcPr>
          <w:p>
            <w:pPr>
              <w:pStyle w:val="670"/>
              <w:rPr>
                <w:lang w:eastAsia="zh-CN"/>
              </w:rPr>
            </w:pPr>
            <w:r>
              <w:rPr>
                <w:rFonts w:hint="eastAsia"/>
                <w:lang w:eastAsia="zh-CN"/>
              </w:rPr>
              <w:t>0</w:t>
            </w:r>
            <w:r>
              <w:rPr>
                <w:lang w:eastAsia="zh-CN"/>
              </w:rPr>
              <w:t>.447</w:t>
            </w:r>
          </w:p>
        </w:tc>
        <w:tc>
          <w:tcPr>
            <w:tcW w:w="510" w:type="pct"/>
            <w:vAlign w:val="center"/>
          </w:tcPr>
          <w:p>
            <w:pPr>
              <w:pStyle w:val="670"/>
              <w:rPr>
                <w:lang w:eastAsia="zh-CN"/>
              </w:rPr>
            </w:pPr>
            <w:r>
              <w:rPr>
                <w:rFonts w:hint="eastAsia"/>
                <w:lang w:eastAsia="zh-CN"/>
              </w:rPr>
              <w:t>2</w:t>
            </w:r>
            <w:r>
              <w:rPr>
                <w:lang w:eastAsia="zh-CN"/>
              </w:rPr>
              <w:t>11</w:t>
            </w:r>
          </w:p>
        </w:tc>
        <w:tc>
          <w:tcPr>
            <w:tcW w:w="511" w:type="pct"/>
            <w:vAlign w:val="center"/>
          </w:tcPr>
          <w:p>
            <w:pPr>
              <w:pStyle w:val="670"/>
              <w:rPr>
                <w:lang w:eastAsia="zh-CN"/>
              </w:rPr>
            </w:pPr>
            <w:r>
              <w:rPr>
                <w:rFonts w:hint="eastAsia"/>
                <w:lang w:eastAsia="zh-CN"/>
              </w:rPr>
              <w:t>0</w:t>
            </w:r>
            <w:r>
              <w:rPr>
                <w:lang w:eastAsia="zh-CN"/>
              </w:rPr>
              <w:t>.469</w:t>
            </w:r>
          </w:p>
        </w:tc>
        <w:tc>
          <w:tcPr>
            <w:tcW w:w="510" w:type="pct"/>
            <w:vAlign w:val="center"/>
          </w:tcPr>
          <w:p>
            <w:pPr>
              <w:pStyle w:val="670"/>
              <w:rPr>
                <w:lang w:eastAsia="zh-CN"/>
              </w:rPr>
            </w:pPr>
            <w:r>
              <w:rPr>
                <w:rFonts w:hint="eastAsia"/>
                <w:lang w:eastAsia="zh-CN"/>
              </w:rPr>
              <w:t>2</w:t>
            </w:r>
            <w:r>
              <w:rPr>
                <w:lang w:eastAsia="zh-CN"/>
              </w:rPr>
              <w:t>00</w:t>
            </w:r>
          </w:p>
        </w:tc>
        <w:tc>
          <w:tcPr>
            <w:tcW w:w="510" w:type="pct"/>
            <w:vAlign w:val="center"/>
          </w:tcPr>
          <w:p>
            <w:pPr>
              <w:pStyle w:val="670"/>
              <w:rPr>
                <w:lang w:eastAsia="zh-CN"/>
              </w:rPr>
            </w:pPr>
            <w:r>
              <w:rPr>
                <w:rFonts w:hint="eastAsia"/>
                <w:lang w:eastAsia="zh-CN"/>
              </w:rPr>
              <w:t>0</w:t>
            </w:r>
            <w:r>
              <w:rPr>
                <w:lang w:eastAsia="zh-CN"/>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4</w:t>
            </w:r>
          </w:p>
        </w:tc>
        <w:tc>
          <w:tcPr>
            <w:tcW w:w="730" w:type="pct"/>
            <w:vAlign w:val="center"/>
          </w:tcPr>
          <w:p>
            <w:pPr>
              <w:pStyle w:val="670"/>
            </w:pPr>
            <w:r>
              <w:rPr>
                <w:rFonts w:hint="eastAsia"/>
              </w:rPr>
              <w:t>挥发酚</w:t>
            </w:r>
          </w:p>
        </w:tc>
        <w:tc>
          <w:tcPr>
            <w:tcW w:w="472" w:type="pct"/>
            <w:vAlign w:val="center"/>
          </w:tcPr>
          <w:p>
            <w:pPr>
              <w:pStyle w:val="670"/>
            </w:pPr>
            <w:r>
              <w:t>mg/L</w:t>
            </w:r>
          </w:p>
        </w:tc>
        <w:tc>
          <w:tcPr>
            <w:tcW w:w="484" w:type="pct"/>
            <w:vAlign w:val="center"/>
          </w:tcPr>
          <w:p>
            <w:pPr>
              <w:pStyle w:val="670"/>
            </w:pPr>
            <w:r>
              <w:rPr>
                <w:rFonts w:hint="eastAsia"/>
              </w:rPr>
              <w:t>≤0.002</w:t>
            </w:r>
          </w:p>
        </w:tc>
        <w:tc>
          <w:tcPr>
            <w:tcW w:w="510" w:type="pct"/>
            <w:vAlign w:val="center"/>
          </w:tcPr>
          <w:p>
            <w:pPr>
              <w:pStyle w:val="670"/>
              <w:rPr>
                <w:lang w:eastAsia="zh-CN"/>
              </w:rPr>
            </w:pPr>
            <w:r>
              <w:rPr>
                <w:rFonts w:hint="eastAsia"/>
                <w:lang w:eastAsia="zh-CN"/>
              </w:rPr>
              <w:t>0</w:t>
            </w:r>
            <w:r>
              <w:rPr>
                <w:lang w:eastAsia="zh-CN"/>
              </w:rPr>
              <w:t>.0009</w:t>
            </w:r>
          </w:p>
        </w:tc>
        <w:tc>
          <w:tcPr>
            <w:tcW w:w="511" w:type="pct"/>
            <w:vAlign w:val="center"/>
          </w:tcPr>
          <w:p>
            <w:pPr>
              <w:pStyle w:val="670"/>
              <w:rPr>
                <w:lang w:eastAsia="zh-CN"/>
              </w:rPr>
            </w:pPr>
            <w:r>
              <w:rPr>
                <w:rFonts w:hint="eastAsia"/>
                <w:lang w:eastAsia="zh-CN"/>
              </w:rPr>
              <w:t>0</w:t>
            </w:r>
            <w:r>
              <w:rPr>
                <w:lang w:eastAsia="zh-CN"/>
              </w:rPr>
              <w:t>.45</w:t>
            </w:r>
          </w:p>
        </w:tc>
        <w:tc>
          <w:tcPr>
            <w:tcW w:w="510" w:type="pct"/>
            <w:vAlign w:val="center"/>
          </w:tcPr>
          <w:p>
            <w:pPr>
              <w:pStyle w:val="670"/>
              <w:rPr>
                <w:lang w:eastAsia="zh-CN"/>
              </w:rPr>
            </w:pPr>
            <w:r>
              <w:rPr>
                <w:rFonts w:hint="eastAsia"/>
                <w:lang w:eastAsia="zh-CN"/>
              </w:rPr>
              <w:t>0</w:t>
            </w:r>
            <w:r>
              <w:rPr>
                <w:lang w:eastAsia="zh-CN"/>
              </w:rPr>
              <w:t>.0011</w:t>
            </w:r>
          </w:p>
        </w:tc>
        <w:tc>
          <w:tcPr>
            <w:tcW w:w="511" w:type="pct"/>
            <w:vAlign w:val="center"/>
          </w:tcPr>
          <w:p>
            <w:pPr>
              <w:pStyle w:val="670"/>
              <w:rPr>
                <w:lang w:eastAsia="zh-CN"/>
              </w:rPr>
            </w:pPr>
            <w:r>
              <w:rPr>
                <w:rFonts w:hint="eastAsia"/>
                <w:lang w:eastAsia="zh-CN"/>
              </w:rPr>
              <w:t>0</w:t>
            </w:r>
            <w:r>
              <w:rPr>
                <w:lang w:eastAsia="zh-CN"/>
              </w:rPr>
              <w:t>.55</w:t>
            </w:r>
          </w:p>
        </w:tc>
        <w:tc>
          <w:tcPr>
            <w:tcW w:w="510" w:type="pct"/>
            <w:vAlign w:val="center"/>
          </w:tcPr>
          <w:p>
            <w:pPr>
              <w:pStyle w:val="670"/>
              <w:rPr>
                <w:lang w:eastAsia="zh-CN"/>
              </w:rPr>
            </w:pPr>
            <w:r>
              <w:rPr>
                <w:rFonts w:hint="eastAsia"/>
                <w:lang w:eastAsia="zh-CN"/>
              </w:rPr>
              <w:t>0</w:t>
            </w:r>
            <w:r>
              <w:rPr>
                <w:lang w:eastAsia="zh-CN"/>
              </w:rPr>
              <w:t>.0011</w:t>
            </w:r>
          </w:p>
        </w:tc>
        <w:tc>
          <w:tcPr>
            <w:tcW w:w="510" w:type="pct"/>
            <w:vAlign w:val="center"/>
          </w:tcPr>
          <w:p>
            <w:pPr>
              <w:pStyle w:val="670"/>
              <w:rPr>
                <w:lang w:eastAsia="zh-CN"/>
              </w:rPr>
            </w:pPr>
            <w:r>
              <w:rPr>
                <w:rFonts w:hint="eastAsia"/>
                <w:lang w:eastAsia="zh-CN"/>
              </w:rPr>
              <w:t>0</w:t>
            </w:r>
            <w:r>
              <w:rPr>
                <w:lang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5</w:t>
            </w:r>
          </w:p>
        </w:tc>
        <w:tc>
          <w:tcPr>
            <w:tcW w:w="730" w:type="pct"/>
            <w:vAlign w:val="center"/>
          </w:tcPr>
          <w:p>
            <w:pPr>
              <w:pStyle w:val="670"/>
            </w:pPr>
            <w:r>
              <w:rPr>
                <w:rFonts w:hint="eastAsia"/>
              </w:rPr>
              <w:t>阴离子表面活性剂</w:t>
            </w:r>
          </w:p>
        </w:tc>
        <w:tc>
          <w:tcPr>
            <w:tcW w:w="472" w:type="pct"/>
            <w:vAlign w:val="center"/>
          </w:tcPr>
          <w:p>
            <w:pPr>
              <w:pStyle w:val="670"/>
            </w:pPr>
            <w:r>
              <w:t>mg/L</w:t>
            </w:r>
          </w:p>
        </w:tc>
        <w:tc>
          <w:tcPr>
            <w:tcW w:w="484" w:type="pct"/>
            <w:vAlign w:val="center"/>
          </w:tcPr>
          <w:p>
            <w:pPr>
              <w:pStyle w:val="670"/>
            </w:pPr>
            <w:r>
              <w:rPr>
                <w:rFonts w:hint="eastAsia"/>
              </w:rPr>
              <w:t>≤0.3</w:t>
            </w:r>
          </w:p>
        </w:tc>
        <w:tc>
          <w:tcPr>
            <w:tcW w:w="510" w:type="pct"/>
            <w:vAlign w:val="center"/>
          </w:tcPr>
          <w:p>
            <w:pPr>
              <w:pStyle w:val="670"/>
              <w:rPr>
                <w:lang w:eastAsia="zh-CN"/>
              </w:rPr>
            </w:pPr>
            <w:r>
              <w:rPr>
                <w:rFonts w:hint="eastAsia" w:eastAsiaTheme="minorEastAsia"/>
                <w:lang w:eastAsia="zh-CN"/>
              </w:rPr>
              <w:t>N</w:t>
            </w:r>
            <w:r>
              <w:rPr>
                <w:rFonts w:eastAsiaTheme="minorEastAsia"/>
                <w:lang w:eastAsia="zh-CN"/>
              </w:rPr>
              <w:t>D</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eastAsiaTheme="minorEastAsia"/>
                <w:lang w:eastAsia="zh-CN"/>
              </w:rPr>
              <w:t>N</w:t>
            </w:r>
            <w:r>
              <w:rPr>
                <w:rFonts w:eastAsiaTheme="minorEastAsia"/>
                <w:lang w:eastAsia="zh-CN"/>
              </w:rPr>
              <w:t>D</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eastAsiaTheme="minorEastAsia"/>
                <w:lang w:eastAsia="zh-CN"/>
              </w:rPr>
              <w:t>N</w:t>
            </w:r>
            <w:r>
              <w:rPr>
                <w:rFonts w:eastAsiaTheme="minorEastAsia"/>
                <w:lang w:eastAsia="zh-CN"/>
              </w:rPr>
              <w:t>D</w:t>
            </w:r>
          </w:p>
        </w:tc>
        <w:tc>
          <w:tcPr>
            <w:tcW w:w="510" w:type="pct"/>
            <w:vAlign w:val="center"/>
          </w:tcPr>
          <w:p>
            <w:pPr>
              <w:pStyle w:val="670"/>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6</w:t>
            </w:r>
          </w:p>
        </w:tc>
        <w:tc>
          <w:tcPr>
            <w:tcW w:w="730" w:type="pct"/>
            <w:vAlign w:val="center"/>
          </w:tcPr>
          <w:p>
            <w:pPr>
              <w:pStyle w:val="670"/>
            </w:pPr>
            <w:r>
              <w:rPr>
                <w:rFonts w:hint="eastAsia"/>
              </w:rPr>
              <w:t>氨氮</w:t>
            </w:r>
          </w:p>
        </w:tc>
        <w:tc>
          <w:tcPr>
            <w:tcW w:w="472" w:type="pct"/>
            <w:vAlign w:val="center"/>
          </w:tcPr>
          <w:p>
            <w:pPr>
              <w:pStyle w:val="670"/>
            </w:pPr>
            <w:r>
              <w:t>mg/L</w:t>
            </w:r>
          </w:p>
        </w:tc>
        <w:tc>
          <w:tcPr>
            <w:tcW w:w="484" w:type="pct"/>
            <w:vAlign w:val="center"/>
          </w:tcPr>
          <w:p>
            <w:pPr>
              <w:pStyle w:val="670"/>
            </w:pPr>
            <w:r>
              <w:rPr>
                <w:rFonts w:hint="eastAsia"/>
              </w:rPr>
              <w:t>≤0.5</w:t>
            </w:r>
          </w:p>
        </w:tc>
        <w:tc>
          <w:tcPr>
            <w:tcW w:w="510" w:type="pct"/>
            <w:vAlign w:val="center"/>
          </w:tcPr>
          <w:p>
            <w:pPr>
              <w:pStyle w:val="670"/>
              <w:rPr>
                <w:rFonts w:eastAsiaTheme="minorEastAsia"/>
                <w:lang w:eastAsia="zh-CN"/>
              </w:rPr>
            </w:pPr>
            <w:r>
              <w:rPr>
                <w:rFonts w:hint="eastAsia" w:eastAsiaTheme="minorEastAsia"/>
                <w:lang w:eastAsia="zh-CN"/>
              </w:rPr>
              <w:t>N</w:t>
            </w:r>
            <w:r>
              <w:rPr>
                <w:rFonts w:eastAsiaTheme="minorEastAsia"/>
                <w:lang w:eastAsia="zh-CN"/>
              </w:rPr>
              <w:t>D</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eastAsiaTheme="minorEastAsia"/>
                <w:lang w:eastAsia="zh-CN"/>
              </w:rPr>
              <w:t>N</w:t>
            </w:r>
            <w:r>
              <w:rPr>
                <w:rFonts w:eastAsiaTheme="minorEastAsia"/>
                <w:lang w:eastAsia="zh-CN"/>
              </w:rPr>
              <w:t>D</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eastAsiaTheme="minorEastAsia"/>
                <w:lang w:eastAsia="zh-CN"/>
              </w:rPr>
              <w:t>N</w:t>
            </w:r>
            <w:r>
              <w:rPr>
                <w:rFonts w:eastAsiaTheme="minorEastAsia"/>
                <w:lang w:eastAsia="zh-CN"/>
              </w:rPr>
              <w:t>D</w:t>
            </w:r>
          </w:p>
        </w:tc>
        <w:tc>
          <w:tcPr>
            <w:tcW w:w="510" w:type="pct"/>
            <w:vAlign w:val="center"/>
          </w:tcPr>
          <w:p>
            <w:pPr>
              <w:pStyle w:val="670"/>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7</w:t>
            </w:r>
          </w:p>
        </w:tc>
        <w:tc>
          <w:tcPr>
            <w:tcW w:w="730" w:type="pct"/>
            <w:vAlign w:val="center"/>
          </w:tcPr>
          <w:p>
            <w:pPr>
              <w:pStyle w:val="670"/>
            </w:pPr>
            <w:r>
              <w:rPr>
                <w:rFonts w:hint="eastAsia"/>
              </w:rPr>
              <w:t>氰化物</w:t>
            </w:r>
          </w:p>
        </w:tc>
        <w:tc>
          <w:tcPr>
            <w:tcW w:w="472" w:type="pct"/>
            <w:vAlign w:val="center"/>
          </w:tcPr>
          <w:p>
            <w:pPr>
              <w:pStyle w:val="670"/>
            </w:pPr>
            <w:r>
              <w:t>mg/L</w:t>
            </w:r>
          </w:p>
        </w:tc>
        <w:tc>
          <w:tcPr>
            <w:tcW w:w="484" w:type="pct"/>
            <w:vAlign w:val="center"/>
          </w:tcPr>
          <w:p>
            <w:pPr>
              <w:pStyle w:val="670"/>
            </w:pPr>
            <w:r>
              <w:rPr>
                <w:rFonts w:hint="eastAsia"/>
              </w:rPr>
              <w:t>≤0.05</w:t>
            </w:r>
          </w:p>
        </w:tc>
        <w:tc>
          <w:tcPr>
            <w:tcW w:w="510" w:type="pct"/>
            <w:vAlign w:val="center"/>
          </w:tcPr>
          <w:p>
            <w:pPr>
              <w:pStyle w:val="670"/>
              <w:rPr>
                <w:rFonts w:eastAsiaTheme="minorEastAsia"/>
                <w:lang w:eastAsia="zh-CN"/>
              </w:rPr>
            </w:pPr>
            <w:r>
              <w:rPr>
                <w:rFonts w:hint="eastAsia" w:eastAsiaTheme="minorEastAsia"/>
                <w:lang w:eastAsia="zh-CN"/>
              </w:rPr>
              <w:t>N</w:t>
            </w:r>
            <w:r>
              <w:rPr>
                <w:rFonts w:eastAsiaTheme="minorEastAsia"/>
                <w:lang w:eastAsia="zh-CN"/>
              </w:rPr>
              <w:t>D</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eastAsiaTheme="minorEastAsia"/>
                <w:lang w:eastAsia="zh-CN"/>
              </w:rPr>
              <w:t>N</w:t>
            </w:r>
            <w:r>
              <w:rPr>
                <w:rFonts w:eastAsiaTheme="minorEastAsia"/>
                <w:lang w:eastAsia="zh-CN"/>
              </w:rPr>
              <w:t>D</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eastAsiaTheme="minorEastAsia"/>
                <w:lang w:eastAsia="zh-CN"/>
              </w:rPr>
              <w:t>N</w:t>
            </w:r>
            <w:r>
              <w:rPr>
                <w:rFonts w:eastAsiaTheme="minorEastAsia"/>
                <w:lang w:eastAsia="zh-CN"/>
              </w:rPr>
              <w:t>D</w:t>
            </w:r>
          </w:p>
        </w:tc>
        <w:tc>
          <w:tcPr>
            <w:tcW w:w="510" w:type="pct"/>
            <w:vAlign w:val="center"/>
          </w:tcPr>
          <w:p>
            <w:pPr>
              <w:pStyle w:val="670"/>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8</w:t>
            </w:r>
          </w:p>
        </w:tc>
        <w:tc>
          <w:tcPr>
            <w:tcW w:w="730" w:type="pct"/>
            <w:vAlign w:val="center"/>
          </w:tcPr>
          <w:p>
            <w:pPr>
              <w:pStyle w:val="670"/>
            </w:pPr>
            <w:r>
              <w:rPr>
                <w:rFonts w:hint="eastAsia"/>
              </w:rPr>
              <w:t>硫化物</w:t>
            </w:r>
          </w:p>
        </w:tc>
        <w:tc>
          <w:tcPr>
            <w:tcW w:w="472" w:type="pct"/>
            <w:vAlign w:val="center"/>
          </w:tcPr>
          <w:p>
            <w:pPr>
              <w:pStyle w:val="670"/>
            </w:pPr>
            <w:r>
              <w:t>mg/L</w:t>
            </w:r>
          </w:p>
        </w:tc>
        <w:tc>
          <w:tcPr>
            <w:tcW w:w="484" w:type="pct"/>
            <w:vAlign w:val="center"/>
          </w:tcPr>
          <w:p>
            <w:pPr>
              <w:pStyle w:val="670"/>
            </w:pPr>
            <w:r>
              <w:rPr>
                <w:rFonts w:hint="eastAsia"/>
              </w:rPr>
              <w:t>≤0.02</w:t>
            </w:r>
          </w:p>
        </w:tc>
        <w:tc>
          <w:tcPr>
            <w:tcW w:w="510" w:type="pct"/>
            <w:vAlign w:val="center"/>
          </w:tcPr>
          <w:p>
            <w:pPr>
              <w:pStyle w:val="670"/>
              <w:rPr>
                <w:rFonts w:eastAsiaTheme="minorEastAsia"/>
                <w:lang w:eastAsia="zh-CN"/>
              </w:rPr>
            </w:pPr>
            <w:r>
              <w:rPr>
                <w:rFonts w:hint="eastAsia" w:eastAsiaTheme="minorEastAsia"/>
                <w:lang w:eastAsia="zh-CN"/>
              </w:rPr>
              <w:t>0</w:t>
            </w:r>
            <w:r>
              <w:rPr>
                <w:rFonts w:eastAsiaTheme="minorEastAsia"/>
                <w:lang w:eastAsia="zh-CN"/>
              </w:rPr>
              <w:t>.01</w:t>
            </w:r>
          </w:p>
        </w:tc>
        <w:tc>
          <w:tcPr>
            <w:tcW w:w="511" w:type="pct"/>
            <w:vAlign w:val="center"/>
          </w:tcPr>
          <w:p>
            <w:pPr>
              <w:pStyle w:val="670"/>
              <w:rPr>
                <w:lang w:eastAsia="zh-CN"/>
              </w:rPr>
            </w:pPr>
            <w:r>
              <w:rPr>
                <w:rFonts w:hint="eastAsia"/>
                <w:lang w:eastAsia="zh-CN"/>
              </w:rPr>
              <w:t>0</w:t>
            </w:r>
            <w:r>
              <w:rPr>
                <w:lang w:eastAsia="zh-CN"/>
              </w:rPr>
              <w:t>.5</w:t>
            </w:r>
          </w:p>
        </w:tc>
        <w:tc>
          <w:tcPr>
            <w:tcW w:w="510" w:type="pct"/>
            <w:vAlign w:val="center"/>
          </w:tcPr>
          <w:p>
            <w:pPr>
              <w:pStyle w:val="670"/>
              <w:rPr>
                <w:lang w:eastAsia="zh-CN"/>
              </w:rPr>
            </w:pPr>
            <w:r>
              <w:rPr>
                <w:rFonts w:hint="eastAsia"/>
                <w:lang w:eastAsia="zh-CN"/>
              </w:rPr>
              <w:t>0</w:t>
            </w:r>
            <w:r>
              <w:rPr>
                <w:lang w:eastAsia="zh-CN"/>
              </w:rPr>
              <w:t>.02</w:t>
            </w:r>
          </w:p>
        </w:tc>
        <w:tc>
          <w:tcPr>
            <w:tcW w:w="511" w:type="pct"/>
            <w:vAlign w:val="center"/>
          </w:tcPr>
          <w:p>
            <w:pPr>
              <w:pStyle w:val="670"/>
              <w:rPr>
                <w:lang w:eastAsia="zh-CN"/>
              </w:rPr>
            </w:pPr>
            <w:r>
              <w:rPr>
                <w:rFonts w:hint="eastAsia"/>
                <w:lang w:eastAsia="zh-CN"/>
              </w:rPr>
              <w:t>1</w:t>
            </w:r>
          </w:p>
        </w:tc>
        <w:tc>
          <w:tcPr>
            <w:tcW w:w="510" w:type="pct"/>
            <w:vAlign w:val="center"/>
          </w:tcPr>
          <w:p>
            <w:pPr>
              <w:pStyle w:val="670"/>
              <w:rPr>
                <w:lang w:eastAsia="zh-CN"/>
              </w:rPr>
            </w:pPr>
            <w:r>
              <w:rPr>
                <w:rFonts w:hint="eastAsia"/>
                <w:lang w:eastAsia="zh-CN"/>
              </w:rPr>
              <w:t>0</w:t>
            </w:r>
            <w:r>
              <w:rPr>
                <w:lang w:eastAsia="zh-CN"/>
              </w:rPr>
              <w:t>.01</w:t>
            </w:r>
          </w:p>
        </w:tc>
        <w:tc>
          <w:tcPr>
            <w:tcW w:w="510" w:type="pct"/>
            <w:vAlign w:val="center"/>
          </w:tcPr>
          <w:p>
            <w:pPr>
              <w:pStyle w:val="670"/>
              <w:rPr>
                <w:lang w:eastAsia="zh-CN"/>
              </w:rPr>
            </w:pPr>
            <w:r>
              <w:rPr>
                <w:rFonts w:hint="eastAsia"/>
                <w:lang w:eastAsia="zh-CN"/>
              </w:rPr>
              <w:t>0</w:t>
            </w:r>
            <w:r>
              <w:rPr>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9</w:t>
            </w:r>
          </w:p>
        </w:tc>
        <w:tc>
          <w:tcPr>
            <w:tcW w:w="730" w:type="pct"/>
            <w:vAlign w:val="center"/>
          </w:tcPr>
          <w:p>
            <w:pPr>
              <w:pStyle w:val="670"/>
            </w:pPr>
            <w:r>
              <w:rPr>
                <w:rFonts w:hint="eastAsia"/>
              </w:rPr>
              <w:t>氟化物</w:t>
            </w:r>
          </w:p>
        </w:tc>
        <w:tc>
          <w:tcPr>
            <w:tcW w:w="472" w:type="pct"/>
            <w:vAlign w:val="center"/>
          </w:tcPr>
          <w:p>
            <w:pPr>
              <w:pStyle w:val="670"/>
            </w:pPr>
            <w:r>
              <w:t>mg/L</w:t>
            </w:r>
          </w:p>
        </w:tc>
        <w:tc>
          <w:tcPr>
            <w:tcW w:w="484" w:type="pct"/>
            <w:vAlign w:val="center"/>
          </w:tcPr>
          <w:p>
            <w:pPr>
              <w:pStyle w:val="670"/>
            </w:pPr>
            <w:r>
              <w:rPr>
                <w:rFonts w:hint="eastAsia"/>
              </w:rPr>
              <w:t>≤1.0</w:t>
            </w:r>
          </w:p>
        </w:tc>
        <w:tc>
          <w:tcPr>
            <w:tcW w:w="510" w:type="pct"/>
            <w:vAlign w:val="center"/>
          </w:tcPr>
          <w:p>
            <w:pPr>
              <w:pStyle w:val="670"/>
              <w:rPr>
                <w:rFonts w:eastAsiaTheme="minorEastAsia"/>
                <w:lang w:eastAsia="zh-CN"/>
              </w:rPr>
            </w:pPr>
            <w:r>
              <w:rPr>
                <w:rFonts w:hint="eastAsia" w:eastAsiaTheme="minorEastAsia"/>
                <w:lang w:eastAsia="zh-CN"/>
              </w:rPr>
              <w:t>0</w:t>
            </w:r>
            <w:r>
              <w:rPr>
                <w:rFonts w:eastAsiaTheme="minorEastAsia"/>
                <w:lang w:eastAsia="zh-CN"/>
              </w:rPr>
              <w:t>.33</w:t>
            </w:r>
          </w:p>
        </w:tc>
        <w:tc>
          <w:tcPr>
            <w:tcW w:w="511" w:type="pct"/>
            <w:vAlign w:val="center"/>
          </w:tcPr>
          <w:p>
            <w:pPr>
              <w:pStyle w:val="670"/>
              <w:rPr>
                <w:lang w:eastAsia="zh-CN"/>
              </w:rPr>
            </w:pPr>
            <w:r>
              <w:rPr>
                <w:rFonts w:hint="eastAsia"/>
                <w:lang w:eastAsia="zh-CN"/>
              </w:rPr>
              <w:t>0</w:t>
            </w:r>
            <w:r>
              <w:rPr>
                <w:lang w:eastAsia="zh-CN"/>
              </w:rPr>
              <w:t>.33</w:t>
            </w:r>
          </w:p>
        </w:tc>
        <w:tc>
          <w:tcPr>
            <w:tcW w:w="510" w:type="pct"/>
            <w:vAlign w:val="center"/>
          </w:tcPr>
          <w:p>
            <w:pPr>
              <w:pStyle w:val="670"/>
              <w:rPr>
                <w:lang w:eastAsia="zh-CN"/>
              </w:rPr>
            </w:pPr>
            <w:r>
              <w:rPr>
                <w:rFonts w:hint="eastAsia"/>
                <w:lang w:eastAsia="zh-CN"/>
              </w:rPr>
              <w:t>0</w:t>
            </w:r>
            <w:r>
              <w:rPr>
                <w:lang w:eastAsia="zh-CN"/>
              </w:rPr>
              <w:t>.32</w:t>
            </w:r>
          </w:p>
        </w:tc>
        <w:tc>
          <w:tcPr>
            <w:tcW w:w="511" w:type="pct"/>
            <w:vAlign w:val="center"/>
          </w:tcPr>
          <w:p>
            <w:pPr>
              <w:pStyle w:val="670"/>
              <w:rPr>
                <w:lang w:eastAsia="zh-CN"/>
              </w:rPr>
            </w:pPr>
            <w:r>
              <w:rPr>
                <w:rFonts w:hint="eastAsia"/>
                <w:lang w:eastAsia="zh-CN"/>
              </w:rPr>
              <w:t>0</w:t>
            </w:r>
            <w:r>
              <w:rPr>
                <w:lang w:eastAsia="zh-CN"/>
              </w:rPr>
              <w:t>.32</w:t>
            </w:r>
          </w:p>
        </w:tc>
        <w:tc>
          <w:tcPr>
            <w:tcW w:w="510" w:type="pct"/>
            <w:vAlign w:val="center"/>
          </w:tcPr>
          <w:p>
            <w:pPr>
              <w:pStyle w:val="670"/>
              <w:rPr>
                <w:lang w:eastAsia="zh-CN"/>
              </w:rPr>
            </w:pPr>
            <w:r>
              <w:rPr>
                <w:rFonts w:hint="eastAsia"/>
                <w:lang w:eastAsia="zh-CN"/>
              </w:rPr>
              <w:t>0</w:t>
            </w:r>
            <w:r>
              <w:rPr>
                <w:lang w:eastAsia="zh-CN"/>
              </w:rPr>
              <w:t>.32</w:t>
            </w:r>
          </w:p>
        </w:tc>
        <w:tc>
          <w:tcPr>
            <w:tcW w:w="510" w:type="pct"/>
            <w:vAlign w:val="center"/>
          </w:tcPr>
          <w:p>
            <w:pPr>
              <w:pStyle w:val="670"/>
              <w:rPr>
                <w:lang w:eastAsia="zh-CN"/>
              </w:rPr>
            </w:pPr>
            <w:r>
              <w:rPr>
                <w:rFonts w:hint="eastAsia"/>
                <w:lang w:eastAsia="zh-CN"/>
              </w:rPr>
              <w:t>0</w:t>
            </w:r>
            <w:r>
              <w:rPr>
                <w:lang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10</w:t>
            </w:r>
          </w:p>
        </w:tc>
        <w:tc>
          <w:tcPr>
            <w:tcW w:w="730" w:type="pct"/>
            <w:vAlign w:val="center"/>
          </w:tcPr>
          <w:p>
            <w:pPr>
              <w:pStyle w:val="670"/>
            </w:pPr>
            <w:r>
              <w:rPr>
                <w:rFonts w:hint="eastAsia"/>
              </w:rPr>
              <w:t>氯化物</w:t>
            </w:r>
          </w:p>
        </w:tc>
        <w:tc>
          <w:tcPr>
            <w:tcW w:w="472" w:type="pct"/>
            <w:vAlign w:val="center"/>
          </w:tcPr>
          <w:p>
            <w:pPr>
              <w:pStyle w:val="670"/>
            </w:pPr>
            <w:r>
              <w:t>mg/L</w:t>
            </w:r>
          </w:p>
        </w:tc>
        <w:tc>
          <w:tcPr>
            <w:tcW w:w="484" w:type="pct"/>
            <w:vAlign w:val="center"/>
          </w:tcPr>
          <w:p>
            <w:pPr>
              <w:pStyle w:val="670"/>
            </w:pPr>
            <w:r>
              <w:rPr>
                <w:rFonts w:hint="eastAsia"/>
              </w:rPr>
              <w:t>≤250</w:t>
            </w:r>
          </w:p>
        </w:tc>
        <w:tc>
          <w:tcPr>
            <w:tcW w:w="510" w:type="pct"/>
            <w:vAlign w:val="center"/>
          </w:tcPr>
          <w:p>
            <w:pPr>
              <w:pStyle w:val="670"/>
              <w:rPr>
                <w:rFonts w:eastAsiaTheme="minorEastAsia"/>
                <w:lang w:eastAsia="zh-CN"/>
              </w:rPr>
            </w:pPr>
            <w:r>
              <w:rPr>
                <w:rFonts w:hint="eastAsia" w:eastAsiaTheme="minorEastAsia"/>
                <w:lang w:eastAsia="zh-CN"/>
              </w:rPr>
              <w:t>4</w:t>
            </w:r>
            <w:r>
              <w:rPr>
                <w:rFonts w:eastAsiaTheme="minorEastAsia"/>
                <w:lang w:eastAsia="zh-CN"/>
              </w:rPr>
              <w:t>4.3</w:t>
            </w:r>
          </w:p>
        </w:tc>
        <w:tc>
          <w:tcPr>
            <w:tcW w:w="511" w:type="pct"/>
            <w:vAlign w:val="center"/>
          </w:tcPr>
          <w:p>
            <w:pPr>
              <w:pStyle w:val="670"/>
              <w:rPr>
                <w:lang w:eastAsia="zh-CN"/>
              </w:rPr>
            </w:pPr>
            <w:r>
              <w:rPr>
                <w:rFonts w:hint="eastAsia"/>
                <w:lang w:eastAsia="zh-CN"/>
              </w:rPr>
              <w:t>0</w:t>
            </w:r>
            <w:r>
              <w:rPr>
                <w:lang w:eastAsia="zh-CN"/>
              </w:rPr>
              <w:t>.177</w:t>
            </w:r>
          </w:p>
        </w:tc>
        <w:tc>
          <w:tcPr>
            <w:tcW w:w="510" w:type="pct"/>
            <w:vAlign w:val="center"/>
          </w:tcPr>
          <w:p>
            <w:pPr>
              <w:pStyle w:val="670"/>
              <w:rPr>
                <w:lang w:eastAsia="zh-CN"/>
              </w:rPr>
            </w:pPr>
            <w:r>
              <w:rPr>
                <w:rFonts w:hint="eastAsia"/>
                <w:lang w:eastAsia="zh-CN"/>
              </w:rPr>
              <w:t>4</w:t>
            </w:r>
            <w:r>
              <w:rPr>
                <w:lang w:eastAsia="zh-CN"/>
              </w:rPr>
              <w:t>6.2</w:t>
            </w:r>
          </w:p>
        </w:tc>
        <w:tc>
          <w:tcPr>
            <w:tcW w:w="511" w:type="pct"/>
            <w:vAlign w:val="center"/>
          </w:tcPr>
          <w:p>
            <w:pPr>
              <w:pStyle w:val="670"/>
              <w:rPr>
                <w:lang w:eastAsia="zh-CN"/>
              </w:rPr>
            </w:pPr>
            <w:r>
              <w:rPr>
                <w:rFonts w:hint="eastAsia"/>
                <w:lang w:eastAsia="zh-CN"/>
              </w:rPr>
              <w:t>0</w:t>
            </w:r>
            <w:r>
              <w:rPr>
                <w:lang w:eastAsia="zh-CN"/>
              </w:rPr>
              <w:t>.185</w:t>
            </w:r>
          </w:p>
        </w:tc>
        <w:tc>
          <w:tcPr>
            <w:tcW w:w="510" w:type="pct"/>
            <w:vAlign w:val="center"/>
          </w:tcPr>
          <w:p>
            <w:pPr>
              <w:pStyle w:val="670"/>
              <w:rPr>
                <w:lang w:eastAsia="zh-CN"/>
              </w:rPr>
            </w:pPr>
            <w:r>
              <w:rPr>
                <w:rFonts w:hint="eastAsia"/>
                <w:lang w:eastAsia="zh-CN"/>
              </w:rPr>
              <w:t>4</w:t>
            </w:r>
            <w:r>
              <w:rPr>
                <w:lang w:eastAsia="zh-CN"/>
              </w:rPr>
              <w:t>7.0</w:t>
            </w:r>
          </w:p>
        </w:tc>
        <w:tc>
          <w:tcPr>
            <w:tcW w:w="510" w:type="pct"/>
            <w:vAlign w:val="center"/>
          </w:tcPr>
          <w:p>
            <w:pPr>
              <w:pStyle w:val="670"/>
              <w:rPr>
                <w:lang w:eastAsia="zh-CN"/>
              </w:rPr>
            </w:pPr>
            <w:r>
              <w:rPr>
                <w:rFonts w:hint="eastAsia"/>
                <w:lang w:eastAsia="zh-CN"/>
              </w:rPr>
              <w:t>0</w:t>
            </w:r>
            <w:r>
              <w:rPr>
                <w:lang w:eastAsia="zh-CN"/>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11</w:t>
            </w:r>
          </w:p>
        </w:tc>
        <w:tc>
          <w:tcPr>
            <w:tcW w:w="730" w:type="pct"/>
            <w:vAlign w:val="center"/>
          </w:tcPr>
          <w:p>
            <w:pPr>
              <w:pStyle w:val="670"/>
            </w:pPr>
            <w:r>
              <w:rPr>
                <w:rFonts w:hint="eastAsia"/>
              </w:rPr>
              <w:t>氯离子</w:t>
            </w:r>
          </w:p>
        </w:tc>
        <w:tc>
          <w:tcPr>
            <w:tcW w:w="472" w:type="pct"/>
            <w:vAlign w:val="center"/>
          </w:tcPr>
          <w:p>
            <w:pPr>
              <w:pStyle w:val="670"/>
            </w:pPr>
            <w:r>
              <w:t>mg/L</w:t>
            </w:r>
          </w:p>
        </w:tc>
        <w:tc>
          <w:tcPr>
            <w:tcW w:w="484" w:type="pct"/>
            <w:vAlign w:val="center"/>
          </w:tcPr>
          <w:p>
            <w:pPr>
              <w:pStyle w:val="670"/>
            </w:pPr>
            <w:r>
              <w:rPr>
                <w:rFonts w:hint="eastAsia"/>
              </w:rPr>
              <w:t>/</w:t>
            </w:r>
          </w:p>
        </w:tc>
        <w:tc>
          <w:tcPr>
            <w:tcW w:w="510" w:type="pct"/>
            <w:vAlign w:val="center"/>
          </w:tcPr>
          <w:p>
            <w:pPr>
              <w:pStyle w:val="670"/>
              <w:rPr>
                <w:rFonts w:eastAsiaTheme="minorEastAsia"/>
                <w:lang w:eastAsia="zh-CN"/>
              </w:rPr>
            </w:pPr>
            <w:r>
              <w:rPr>
                <w:rFonts w:hint="eastAsia" w:eastAsiaTheme="minorEastAsia"/>
                <w:lang w:eastAsia="zh-CN"/>
              </w:rPr>
              <w:t>5</w:t>
            </w:r>
            <w:r>
              <w:rPr>
                <w:rFonts w:eastAsiaTheme="minorEastAsia"/>
                <w:lang w:eastAsia="zh-CN"/>
              </w:rPr>
              <w:t>1.9</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lang w:eastAsia="zh-CN"/>
              </w:rPr>
              <w:t>4</w:t>
            </w:r>
            <w:r>
              <w:rPr>
                <w:lang w:eastAsia="zh-CN"/>
              </w:rPr>
              <w:t>7.9</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lang w:eastAsia="zh-CN"/>
              </w:rPr>
              <w:t>4</w:t>
            </w:r>
            <w:r>
              <w:rPr>
                <w:lang w:eastAsia="zh-CN"/>
              </w:rPr>
              <w:t>8.9</w:t>
            </w:r>
          </w:p>
        </w:tc>
        <w:tc>
          <w:tcPr>
            <w:tcW w:w="510" w:type="pct"/>
            <w:vAlign w:val="center"/>
          </w:tcPr>
          <w:p>
            <w:pPr>
              <w:pStyle w:val="670"/>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12</w:t>
            </w:r>
          </w:p>
        </w:tc>
        <w:tc>
          <w:tcPr>
            <w:tcW w:w="730" w:type="pct"/>
            <w:vAlign w:val="center"/>
          </w:tcPr>
          <w:p>
            <w:pPr>
              <w:pStyle w:val="670"/>
            </w:pPr>
            <w:r>
              <w:rPr>
                <w:rFonts w:hint="eastAsia"/>
              </w:rPr>
              <w:t>硫酸盐</w:t>
            </w:r>
          </w:p>
        </w:tc>
        <w:tc>
          <w:tcPr>
            <w:tcW w:w="472" w:type="pct"/>
            <w:vAlign w:val="center"/>
          </w:tcPr>
          <w:p>
            <w:pPr>
              <w:pStyle w:val="670"/>
            </w:pPr>
            <w:r>
              <w:t>mg/L</w:t>
            </w:r>
          </w:p>
        </w:tc>
        <w:tc>
          <w:tcPr>
            <w:tcW w:w="484" w:type="pct"/>
            <w:vAlign w:val="center"/>
          </w:tcPr>
          <w:p>
            <w:pPr>
              <w:pStyle w:val="670"/>
            </w:pPr>
            <w:r>
              <w:rPr>
                <w:rFonts w:hint="eastAsia"/>
              </w:rPr>
              <w:t>≤250</w:t>
            </w:r>
          </w:p>
        </w:tc>
        <w:tc>
          <w:tcPr>
            <w:tcW w:w="510" w:type="pct"/>
            <w:vAlign w:val="center"/>
          </w:tcPr>
          <w:p>
            <w:pPr>
              <w:pStyle w:val="670"/>
              <w:rPr>
                <w:rFonts w:eastAsiaTheme="minorEastAsia"/>
                <w:lang w:eastAsia="zh-CN"/>
              </w:rPr>
            </w:pPr>
            <w:r>
              <w:rPr>
                <w:rFonts w:hint="eastAsia" w:eastAsiaTheme="minorEastAsia"/>
                <w:lang w:eastAsia="zh-CN"/>
              </w:rPr>
              <w:t>1</w:t>
            </w:r>
            <w:r>
              <w:rPr>
                <w:rFonts w:eastAsiaTheme="minorEastAsia"/>
                <w:lang w:eastAsia="zh-CN"/>
              </w:rPr>
              <w:t>10</w:t>
            </w:r>
          </w:p>
        </w:tc>
        <w:tc>
          <w:tcPr>
            <w:tcW w:w="511" w:type="pct"/>
            <w:vAlign w:val="center"/>
          </w:tcPr>
          <w:p>
            <w:pPr>
              <w:pStyle w:val="670"/>
              <w:rPr>
                <w:lang w:eastAsia="zh-CN"/>
              </w:rPr>
            </w:pPr>
            <w:r>
              <w:rPr>
                <w:rFonts w:hint="eastAsia"/>
                <w:lang w:eastAsia="zh-CN"/>
              </w:rPr>
              <w:t>0</w:t>
            </w:r>
            <w:r>
              <w:rPr>
                <w:lang w:eastAsia="zh-CN"/>
              </w:rPr>
              <w:t>.44</w:t>
            </w:r>
          </w:p>
        </w:tc>
        <w:tc>
          <w:tcPr>
            <w:tcW w:w="510" w:type="pct"/>
            <w:vAlign w:val="center"/>
          </w:tcPr>
          <w:p>
            <w:pPr>
              <w:pStyle w:val="670"/>
              <w:rPr>
                <w:lang w:eastAsia="zh-CN"/>
              </w:rPr>
            </w:pPr>
            <w:r>
              <w:rPr>
                <w:rFonts w:hint="eastAsia"/>
                <w:lang w:eastAsia="zh-CN"/>
              </w:rPr>
              <w:t>7</w:t>
            </w:r>
            <w:r>
              <w:rPr>
                <w:lang w:eastAsia="zh-CN"/>
              </w:rPr>
              <w:t>2</w:t>
            </w:r>
          </w:p>
        </w:tc>
        <w:tc>
          <w:tcPr>
            <w:tcW w:w="511" w:type="pct"/>
            <w:vAlign w:val="center"/>
          </w:tcPr>
          <w:p>
            <w:pPr>
              <w:pStyle w:val="670"/>
              <w:rPr>
                <w:lang w:eastAsia="zh-CN"/>
              </w:rPr>
            </w:pPr>
            <w:r>
              <w:rPr>
                <w:rFonts w:hint="eastAsia"/>
                <w:lang w:eastAsia="zh-CN"/>
              </w:rPr>
              <w:t>0</w:t>
            </w:r>
            <w:r>
              <w:rPr>
                <w:lang w:eastAsia="zh-CN"/>
              </w:rPr>
              <w:t>.288</w:t>
            </w:r>
          </w:p>
        </w:tc>
        <w:tc>
          <w:tcPr>
            <w:tcW w:w="510" w:type="pct"/>
            <w:vAlign w:val="center"/>
          </w:tcPr>
          <w:p>
            <w:pPr>
              <w:pStyle w:val="670"/>
              <w:rPr>
                <w:lang w:eastAsia="zh-CN"/>
              </w:rPr>
            </w:pPr>
            <w:r>
              <w:rPr>
                <w:rFonts w:hint="eastAsia"/>
                <w:lang w:eastAsia="zh-CN"/>
              </w:rPr>
              <w:t>5</w:t>
            </w:r>
            <w:r>
              <w:rPr>
                <w:lang w:eastAsia="zh-CN"/>
              </w:rPr>
              <w:t>8</w:t>
            </w:r>
          </w:p>
        </w:tc>
        <w:tc>
          <w:tcPr>
            <w:tcW w:w="510" w:type="pct"/>
            <w:vAlign w:val="center"/>
          </w:tcPr>
          <w:p>
            <w:pPr>
              <w:pStyle w:val="670"/>
              <w:rPr>
                <w:lang w:eastAsia="zh-CN"/>
              </w:rPr>
            </w:pPr>
            <w:r>
              <w:rPr>
                <w:rFonts w:hint="eastAsia"/>
                <w:lang w:eastAsia="zh-CN"/>
              </w:rPr>
              <w:t>0</w:t>
            </w:r>
            <w:r>
              <w:rPr>
                <w:lang w:eastAsia="zh-CN"/>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13</w:t>
            </w:r>
          </w:p>
        </w:tc>
        <w:tc>
          <w:tcPr>
            <w:tcW w:w="730" w:type="pct"/>
            <w:vAlign w:val="center"/>
          </w:tcPr>
          <w:p>
            <w:pPr>
              <w:pStyle w:val="670"/>
            </w:pPr>
            <w:r>
              <w:rPr>
                <w:rFonts w:hint="eastAsia"/>
              </w:rPr>
              <w:t>硫酸根</w:t>
            </w:r>
          </w:p>
        </w:tc>
        <w:tc>
          <w:tcPr>
            <w:tcW w:w="472" w:type="pct"/>
            <w:vAlign w:val="center"/>
          </w:tcPr>
          <w:p>
            <w:pPr>
              <w:pStyle w:val="670"/>
            </w:pPr>
            <w:r>
              <w:t>mg/L</w:t>
            </w:r>
          </w:p>
        </w:tc>
        <w:tc>
          <w:tcPr>
            <w:tcW w:w="484" w:type="pct"/>
            <w:vAlign w:val="center"/>
          </w:tcPr>
          <w:p>
            <w:pPr>
              <w:pStyle w:val="670"/>
            </w:pPr>
            <w:r>
              <w:rPr>
                <w:rFonts w:hint="eastAsia"/>
              </w:rPr>
              <w:t>/</w:t>
            </w:r>
          </w:p>
        </w:tc>
        <w:tc>
          <w:tcPr>
            <w:tcW w:w="510" w:type="pct"/>
            <w:vAlign w:val="center"/>
          </w:tcPr>
          <w:p>
            <w:pPr>
              <w:pStyle w:val="670"/>
              <w:rPr>
                <w:rFonts w:eastAsiaTheme="minorEastAsia"/>
                <w:lang w:eastAsia="zh-CN"/>
              </w:rPr>
            </w:pPr>
            <w:r>
              <w:rPr>
                <w:rFonts w:hint="eastAsia" w:eastAsiaTheme="minorEastAsia"/>
                <w:lang w:eastAsia="zh-CN"/>
              </w:rPr>
              <w:t>8</w:t>
            </w:r>
            <w:r>
              <w:rPr>
                <w:rFonts w:eastAsiaTheme="minorEastAsia"/>
                <w:lang w:eastAsia="zh-CN"/>
              </w:rPr>
              <w:t>3.3</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lang w:eastAsia="zh-CN"/>
              </w:rPr>
              <w:t>7</w:t>
            </w:r>
            <w:r>
              <w:rPr>
                <w:lang w:eastAsia="zh-CN"/>
              </w:rPr>
              <w:t>7.5</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lang w:eastAsia="zh-CN"/>
              </w:rPr>
              <w:t>8</w:t>
            </w:r>
            <w:r>
              <w:rPr>
                <w:lang w:eastAsia="zh-CN"/>
              </w:rPr>
              <w:t>0.4</w:t>
            </w:r>
          </w:p>
        </w:tc>
        <w:tc>
          <w:tcPr>
            <w:tcW w:w="510" w:type="pct"/>
            <w:vAlign w:val="center"/>
          </w:tcPr>
          <w:p>
            <w:pPr>
              <w:pStyle w:val="670"/>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14</w:t>
            </w:r>
          </w:p>
        </w:tc>
        <w:tc>
          <w:tcPr>
            <w:tcW w:w="730" w:type="pct"/>
            <w:vAlign w:val="center"/>
          </w:tcPr>
          <w:p>
            <w:pPr>
              <w:pStyle w:val="670"/>
            </w:pPr>
            <w:r>
              <w:rPr>
                <w:rFonts w:hint="eastAsia"/>
              </w:rPr>
              <w:t>硝酸盐（以N计）</w:t>
            </w:r>
          </w:p>
        </w:tc>
        <w:tc>
          <w:tcPr>
            <w:tcW w:w="472" w:type="pct"/>
            <w:vAlign w:val="center"/>
          </w:tcPr>
          <w:p>
            <w:pPr>
              <w:pStyle w:val="670"/>
            </w:pPr>
            <w:r>
              <w:t>mg/L</w:t>
            </w:r>
          </w:p>
        </w:tc>
        <w:tc>
          <w:tcPr>
            <w:tcW w:w="484" w:type="pct"/>
            <w:vAlign w:val="center"/>
          </w:tcPr>
          <w:p>
            <w:pPr>
              <w:pStyle w:val="670"/>
            </w:pPr>
            <w:r>
              <w:rPr>
                <w:rFonts w:hint="eastAsia"/>
              </w:rPr>
              <w:t>≤20.0</w:t>
            </w:r>
          </w:p>
        </w:tc>
        <w:tc>
          <w:tcPr>
            <w:tcW w:w="510" w:type="pct"/>
            <w:vAlign w:val="center"/>
          </w:tcPr>
          <w:p>
            <w:pPr>
              <w:pStyle w:val="670"/>
              <w:rPr>
                <w:rFonts w:eastAsiaTheme="minorEastAsia"/>
                <w:lang w:eastAsia="zh-CN"/>
              </w:rPr>
            </w:pPr>
            <w:r>
              <w:rPr>
                <w:rFonts w:hint="eastAsia" w:eastAsiaTheme="minorEastAsia"/>
                <w:lang w:eastAsia="zh-CN"/>
              </w:rPr>
              <w:t>1</w:t>
            </w:r>
            <w:r>
              <w:rPr>
                <w:rFonts w:eastAsiaTheme="minorEastAsia"/>
                <w:lang w:eastAsia="zh-CN"/>
              </w:rPr>
              <w:t>.89</w:t>
            </w:r>
          </w:p>
        </w:tc>
        <w:tc>
          <w:tcPr>
            <w:tcW w:w="511" w:type="pct"/>
            <w:vAlign w:val="center"/>
          </w:tcPr>
          <w:p>
            <w:pPr>
              <w:pStyle w:val="670"/>
              <w:rPr>
                <w:lang w:eastAsia="zh-CN"/>
              </w:rPr>
            </w:pPr>
            <w:r>
              <w:rPr>
                <w:rFonts w:hint="eastAsia"/>
                <w:lang w:eastAsia="zh-CN"/>
              </w:rPr>
              <w:t>0</w:t>
            </w:r>
            <w:r>
              <w:rPr>
                <w:lang w:eastAsia="zh-CN"/>
              </w:rPr>
              <w:t>.095</w:t>
            </w:r>
          </w:p>
        </w:tc>
        <w:tc>
          <w:tcPr>
            <w:tcW w:w="510" w:type="pct"/>
            <w:vAlign w:val="center"/>
          </w:tcPr>
          <w:p>
            <w:pPr>
              <w:pStyle w:val="670"/>
              <w:rPr>
                <w:lang w:eastAsia="zh-CN"/>
              </w:rPr>
            </w:pPr>
            <w:r>
              <w:rPr>
                <w:rFonts w:hint="eastAsia"/>
                <w:lang w:eastAsia="zh-CN"/>
              </w:rPr>
              <w:t>1</w:t>
            </w:r>
            <w:r>
              <w:rPr>
                <w:lang w:eastAsia="zh-CN"/>
              </w:rPr>
              <w:t>.92</w:t>
            </w:r>
          </w:p>
        </w:tc>
        <w:tc>
          <w:tcPr>
            <w:tcW w:w="511" w:type="pct"/>
            <w:vAlign w:val="center"/>
          </w:tcPr>
          <w:p>
            <w:pPr>
              <w:pStyle w:val="670"/>
              <w:rPr>
                <w:lang w:eastAsia="zh-CN"/>
              </w:rPr>
            </w:pPr>
            <w:r>
              <w:rPr>
                <w:rFonts w:hint="eastAsia"/>
                <w:lang w:eastAsia="zh-CN"/>
              </w:rPr>
              <w:t>0</w:t>
            </w:r>
            <w:r>
              <w:rPr>
                <w:lang w:eastAsia="zh-CN"/>
              </w:rPr>
              <w:t>.096</w:t>
            </w:r>
          </w:p>
        </w:tc>
        <w:tc>
          <w:tcPr>
            <w:tcW w:w="510" w:type="pct"/>
            <w:vAlign w:val="center"/>
          </w:tcPr>
          <w:p>
            <w:pPr>
              <w:pStyle w:val="670"/>
              <w:rPr>
                <w:lang w:eastAsia="zh-CN"/>
              </w:rPr>
            </w:pPr>
            <w:r>
              <w:rPr>
                <w:rFonts w:hint="eastAsia"/>
                <w:lang w:eastAsia="zh-CN"/>
              </w:rPr>
              <w:t>1</w:t>
            </w:r>
            <w:r>
              <w:rPr>
                <w:lang w:eastAsia="zh-CN"/>
              </w:rPr>
              <w:t>.92</w:t>
            </w:r>
          </w:p>
        </w:tc>
        <w:tc>
          <w:tcPr>
            <w:tcW w:w="510" w:type="pct"/>
            <w:vAlign w:val="center"/>
          </w:tcPr>
          <w:p>
            <w:pPr>
              <w:pStyle w:val="670"/>
              <w:rPr>
                <w:lang w:eastAsia="zh-CN"/>
              </w:rPr>
            </w:pPr>
            <w:r>
              <w:rPr>
                <w:rFonts w:hint="eastAsia"/>
                <w:lang w:eastAsia="zh-CN"/>
              </w:rPr>
              <w:t>0</w:t>
            </w:r>
            <w:r>
              <w:rPr>
                <w:lang w:eastAsia="zh-CN"/>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15</w:t>
            </w:r>
          </w:p>
        </w:tc>
        <w:tc>
          <w:tcPr>
            <w:tcW w:w="730" w:type="pct"/>
            <w:vAlign w:val="center"/>
          </w:tcPr>
          <w:p>
            <w:pPr>
              <w:pStyle w:val="670"/>
            </w:pPr>
            <w:r>
              <w:rPr>
                <w:rFonts w:hint="eastAsia" w:hAnsi="宋体"/>
                <w:lang w:eastAsia="zh-CN"/>
              </w:rPr>
              <w:t>亚硝酸盐（以N计）</w:t>
            </w:r>
          </w:p>
        </w:tc>
        <w:tc>
          <w:tcPr>
            <w:tcW w:w="472" w:type="pct"/>
            <w:vAlign w:val="center"/>
          </w:tcPr>
          <w:p>
            <w:pPr>
              <w:pStyle w:val="670"/>
            </w:pPr>
            <w:r>
              <w:t>mg/L</w:t>
            </w:r>
          </w:p>
        </w:tc>
        <w:tc>
          <w:tcPr>
            <w:tcW w:w="484" w:type="pct"/>
            <w:vAlign w:val="center"/>
          </w:tcPr>
          <w:p>
            <w:pPr>
              <w:pStyle w:val="670"/>
            </w:pPr>
            <w:r>
              <w:rPr>
                <w:rFonts w:hint="eastAsia"/>
              </w:rPr>
              <w:t>≤1.00</w:t>
            </w:r>
          </w:p>
        </w:tc>
        <w:tc>
          <w:tcPr>
            <w:tcW w:w="510" w:type="pct"/>
            <w:vAlign w:val="center"/>
          </w:tcPr>
          <w:p>
            <w:pPr>
              <w:pStyle w:val="670"/>
              <w:rPr>
                <w:rFonts w:eastAsiaTheme="minorEastAsia"/>
                <w:lang w:eastAsia="zh-CN"/>
              </w:rPr>
            </w:pPr>
            <w:r>
              <w:rPr>
                <w:rFonts w:hint="eastAsia" w:eastAsiaTheme="minorEastAsia"/>
                <w:lang w:eastAsia="zh-CN"/>
              </w:rPr>
              <w:t>N</w:t>
            </w:r>
            <w:r>
              <w:rPr>
                <w:rFonts w:eastAsiaTheme="minorEastAsia"/>
                <w:lang w:eastAsia="zh-CN"/>
              </w:rPr>
              <w:t>D</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eastAsiaTheme="minorEastAsia"/>
                <w:lang w:eastAsia="zh-CN"/>
              </w:rPr>
              <w:t>N</w:t>
            </w:r>
            <w:r>
              <w:rPr>
                <w:rFonts w:eastAsiaTheme="minorEastAsia"/>
                <w:lang w:eastAsia="zh-CN"/>
              </w:rPr>
              <w:t>D</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eastAsiaTheme="minorEastAsia"/>
                <w:lang w:eastAsia="zh-CN"/>
              </w:rPr>
              <w:t>N</w:t>
            </w:r>
            <w:r>
              <w:rPr>
                <w:rFonts w:eastAsiaTheme="minorEastAsia"/>
                <w:lang w:eastAsia="zh-CN"/>
              </w:rPr>
              <w:t>D</w:t>
            </w:r>
          </w:p>
        </w:tc>
        <w:tc>
          <w:tcPr>
            <w:tcW w:w="510" w:type="pct"/>
            <w:vAlign w:val="center"/>
          </w:tcPr>
          <w:p>
            <w:pPr>
              <w:pStyle w:val="670"/>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16</w:t>
            </w:r>
          </w:p>
        </w:tc>
        <w:tc>
          <w:tcPr>
            <w:tcW w:w="730" w:type="pct"/>
            <w:vAlign w:val="center"/>
          </w:tcPr>
          <w:p>
            <w:pPr>
              <w:pStyle w:val="670"/>
            </w:pPr>
            <w:r>
              <w:rPr>
                <w:rFonts w:hint="eastAsia"/>
              </w:rPr>
              <w:t>碳酸根</w:t>
            </w:r>
          </w:p>
        </w:tc>
        <w:tc>
          <w:tcPr>
            <w:tcW w:w="472" w:type="pct"/>
            <w:vAlign w:val="center"/>
          </w:tcPr>
          <w:p>
            <w:pPr>
              <w:pStyle w:val="670"/>
            </w:pPr>
            <w:r>
              <w:t>mg/L</w:t>
            </w:r>
          </w:p>
        </w:tc>
        <w:tc>
          <w:tcPr>
            <w:tcW w:w="484" w:type="pct"/>
            <w:vAlign w:val="center"/>
          </w:tcPr>
          <w:p>
            <w:pPr>
              <w:pStyle w:val="670"/>
            </w:pPr>
            <w:r>
              <w:rPr>
                <w:rFonts w:hint="eastAsia"/>
              </w:rPr>
              <w:t>/</w:t>
            </w:r>
          </w:p>
        </w:tc>
        <w:tc>
          <w:tcPr>
            <w:tcW w:w="510" w:type="pct"/>
            <w:vAlign w:val="center"/>
          </w:tcPr>
          <w:p>
            <w:pPr>
              <w:pStyle w:val="670"/>
              <w:rPr>
                <w:rFonts w:eastAsiaTheme="minorEastAsia"/>
                <w:lang w:eastAsia="zh-CN"/>
              </w:rPr>
            </w:pPr>
            <w:r>
              <w:rPr>
                <w:rFonts w:hint="eastAsia" w:eastAsiaTheme="minorEastAsia"/>
                <w:lang w:eastAsia="zh-CN"/>
              </w:rPr>
              <w:t>＜5</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eastAsiaTheme="minorEastAsia"/>
                <w:lang w:eastAsia="zh-CN"/>
              </w:rPr>
              <w:t>＜5</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eastAsiaTheme="minorEastAsia"/>
                <w:lang w:eastAsia="zh-CN"/>
              </w:rPr>
              <w:t>＜5</w:t>
            </w:r>
          </w:p>
        </w:tc>
        <w:tc>
          <w:tcPr>
            <w:tcW w:w="510" w:type="pct"/>
            <w:vAlign w:val="center"/>
          </w:tcPr>
          <w:p>
            <w:pPr>
              <w:pStyle w:val="670"/>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17</w:t>
            </w:r>
          </w:p>
        </w:tc>
        <w:tc>
          <w:tcPr>
            <w:tcW w:w="730" w:type="pct"/>
            <w:vAlign w:val="center"/>
          </w:tcPr>
          <w:p>
            <w:pPr>
              <w:pStyle w:val="670"/>
            </w:pPr>
            <w:r>
              <w:rPr>
                <w:rFonts w:hint="eastAsia"/>
              </w:rPr>
              <w:t>碳酸氰根</w:t>
            </w:r>
          </w:p>
        </w:tc>
        <w:tc>
          <w:tcPr>
            <w:tcW w:w="472" w:type="pct"/>
            <w:vAlign w:val="center"/>
          </w:tcPr>
          <w:p>
            <w:pPr>
              <w:pStyle w:val="670"/>
            </w:pPr>
            <w:r>
              <w:t>mg/L</w:t>
            </w:r>
          </w:p>
        </w:tc>
        <w:tc>
          <w:tcPr>
            <w:tcW w:w="484" w:type="pct"/>
            <w:vAlign w:val="center"/>
          </w:tcPr>
          <w:p>
            <w:pPr>
              <w:pStyle w:val="670"/>
            </w:pPr>
            <w:r>
              <w:rPr>
                <w:rFonts w:hint="eastAsia"/>
              </w:rPr>
              <w:t>/</w:t>
            </w:r>
          </w:p>
        </w:tc>
        <w:tc>
          <w:tcPr>
            <w:tcW w:w="510" w:type="pct"/>
            <w:vAlign w:val="center"/>
          </w:tcPr>
          <w:p>
            <w:pPr>
              <w:pStyle w:val="670"/>
              <w:rPr>
                <w:rFonts w:eastAsiaTheme="minorEastAsia"/>
                <w:lang w:eastAsia="zh-CN"/>
              </w:rPr>
            </w:pPr>
            <w:r>
              <w:rPr>
                <w:rFonts w:hint="eastAsia" w:eastAsiaTheme="minorEastAsia"/>
                <w:lang w:eastAsia="zh-CN"/>
              </w:rPr>
              <w:t>1</w:t>
            </w:r>
            <w:r>
              <w:rPr>
                <w:rFonts w:eastAsiaTheme="minorEastAsia"/>
                <w:lang w:eastAsia="zh-CN"/>
              </w:rPr>
              <w:t>69</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lang w:eastAsia="zh-CN"/>
              </w:rPr>
              <w:t>1</w:t>
            </w:r>
            <w:r>
              <w:rPr>
                <w:lang w:eastAsia="zh-CN"/>
              </w:rPr>
              <w:t>63</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lang w:eastAsia="zh-CN"/>
              </w:rPr>
              <w:t>1</w:t>
            </w:r>
            <w:r>
              <w:rPr>
                <w:lang w:eastAsia="zh-CN"/>
              </w:rPr>
              <w:t>69</w:t>
            </w:r>
          </w:p>
        </w:tc>
        <w:tc>
          <w:tcPr>
            <w:tcW w:w="510" w:type="pct"/>
            <w:vAlign w:val="center"/>
          </w:tcPr>
          <w:p>
            <w:pPr>
              <w:pStyle w:val="670"/>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18</w:t>
            </w:r>
          </w:p>
        </w:tc>
        <w:tc>
          <w:tcPr>
            <w:tcW w:w="730" w:type="pct"/>
            <w:vAlign w:val="center"/>
          </w:tcPr>
          <w:p>
            <w:pPr>
              <w:pStyle w:val="670"/>
            </w:pPr>
            <w:r>
              <w:rPr>
                <w:rFonts w:hint="eastAsia"/>
              </w:rPr>
              <w:t>总大肠菌群</w:t>
            </w:r>
          </w:p>
        </w:tc>
        <w:tc>
          <w:tcPr>
            <w:tcW w:w="472" w:type="pct"/>
            <w:vAlign w:val="center"/>
          </w:tcPr>
          <w:p>
            <w:pPr>
              <w:pStyle w:val="670"/>
            </w:pPr>
            <w:r>
              <w:t>CFU</w:t>
            </w:r>
            <w:r>
              <w:rPr>
                <w:rFonts w:hint="eastAsia"/>
              </w:rPr>
              <w:t>/100mL</w:t>
            </w:r>
          </w:p>
        </w:tc>
        <w:tc>
          <w:tcPr>
            <w:tcW w:w="484" w:type="pct"/>
            <w:vAlign w:val="center"/>
          </w:tcPr>
          <w:p>
            <w:pPr>
              <w:pStyle w:val="670"/>
            </w:pPr>
            <w:r>
              <w:rPr>
                <w:rFonts w:hint="eastAsia"/>
              </w:rPr>
              <w:t>≤3.0</w:t>
            </w:r>
          </w:p>
        </w:tc>
        <w:tc>
          <w:tcPr>
            <w:tcW w:w="510" w:type="pct"/>
            <w:vAlign w:val="center"/>
          </w:tcPr>
          <w:p>
            <w:pPr>
              <w:pStyle w:val="670"/>
              <w:rPr>
                <w:rFonts w:eastAsiaTheme="minorEastAsia"/>
                <w:lang w:eastAsia="zh-CN"/>
              </w:rPr>
            </w:pPr>
            <w:r>
              <w:rPr>
                <w:rFonts w:hint="eastAsia" w:eastAsiaTheme="minorEastAsia"/>
                <w:lang w:eastAsia="zh-CN"/>
              </w:rPr>
              <w:t>0</w:t>
            </w:r>
          </w:p>
        </w:tc>
        <w:tc>
          <w:tcPr>
            <w:tcW w:w="511" w:type="pct"/>
            <w:vAlign w:val="center"/>
          </w:tcPr>
          <w:p>
            <w:pPr>
              <w:pStyle w:val="670"/>
              <w:rPr>
                <w:lang w:eastAsia="zh-CN"/>
              </w:rPr>
            </w:pPr>
            <w:r>
              <w:rPr>
                <w:rFonts w:hint="eastAsia"/>
                <w:lang w:eastAsia="zh-CN"/>
              </w:rPr>
              <w:t>0</w:t>
            </w:r>
          </w:p>
        </w:tc>
        <w:tc>
          <w:tcPr>
            <w:tcW w:w="510" w:type="pct"/>
            <w:vAlign w:val="center"/>
          </w:tcPr>
          <w:p>
            <w:pPr>
              <w:pStyle w:val="670"/>
              <w:rPr>
                <w:lang w:eastAsia="zh-CN"/>
              </w:rPr>
            </w:pPr>
            <w:r>
              <w:rPr>
                <w:rFonts w:hint="eastAsia"/>
                <w:lang w:eastAsia="zh-CN"/>
              </w:rPr>
              <w:t>0</w:t>
            </w:r>
          </w:p>
        </w:tc>
        <w:tc>
          <w:tcPr>
            <w:tcW w:w="511" w:type="pct"/>
            <w:vAlign w:val="center"/>
          </w:tcPr>
          <w:p>
            <w:pPr>
              <w:pStyle w:val="670"/>
              <w:rPr>
                <w:lang w:eastAsia="zh-CN"/>
              </w:rPr>
            </w:pPr>
            <w:r>
              <w:rPr>
                <w:rFonts w:hint="eastAsia"/>
                <w:lang w:eastAsia="zh-CN"/>
              </w:rPr>
              <w:t>0</w:t>
            </w:r>
          </w:p>
        </w:tc>
        <w:tc>
          <w:tcPr>
            <w:tcW w:w="510" w:type="pct"/>
            <w:vAlign w:val="center"/>
          </w:tcPr>
          <w:p>
            <w:pPr>
              <w:pStyle w:val="670"/>
              <w:rPr>
                <w:lang w:eastAsia="zh-CN"/>
              </w:rPr>
            </w:pPr>
            <w:r>
              <w:rPr>
                <w:rFonts w:hint="eastAsia"/>
                <w:lang w:eastAsia="zh-CN"/>
              </w:rPr>
              <w:t>0</w:t>
            </w:r>
          </w:p>
        </w:tc>
        <w:tc>
          <w:tcPr>
            <w:tcW w:w="510" w:type="pct"/>
            <w:vAlign w:val="center"/>
          </w:tcPr>
          <w:p>
            <w:pPr>
              <w:pStyle w:val="670"/>
              <w:rPr>
                <w:lang w:eastAsia="zh-CN"/>
              </w:rPr>
            </w:pPr>
            <w:r>
              <w:rPr>
                <w:rFonts w:hint="eastAsia"/>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19</w:t>
            </w:r>
          </w:p>
        </w:tc>
        <w:tc>
          <w:tcPr>
            <w:tcW w:w="730" w:type="pct"/>
            <w:vAlign w:val="center"/>
          </w:tcPr>
          <w:p>
            <w:pPr>
              <w:pStyle w:val="670"/>
            </w:pPr>
            <w:r>
              <w:rPr>
                <w:rFonts w:hint="eastAsia"/>
              </w:rPr>
              <w:t>六价铬</w:t>
            </w:r>
          </w:p>
        </w:tc>
        <w:tc>
          <w:tcPr>
            <w:tcW w:w="472" w:type="pct"/>
            <w:vAlign w:val="center"/>
          </w:tcPr>
          <w:p>
            <w:pPr>
              <w:pStyle w:val="670"/>
            </w:pPr>
            <w:r>
              <w:t>mg/L</w:t>
            </w:r>
          </w:p>
        </w:tc>
        <w:tc>
          <w:tcPr>
            <w:tcW w:w="484" w:type="pct"/>
            <w:vAlign w:val="center"/>
          </w:tcPr>
          <w:p>
            <w:pPr>
              <w:pStyle w:val="670"/>
            </w:pPr>
            <w:r>
              <w:rPr>
                <w:rFonts w:hint="eastAsia"/>
              </w:rPr>
              <w:t>≤0.05</w:t>
            </w:r>
          </w:p>
        </w:tc>
        <w:tc>
          <w:tcPr>
            <w:tcW w:w="510" w:type="pct"/>
            <w:vAlign w:val="center"/>
          </w:tcPr>
          <w:p>
            <w:pPr>
              <w:pStyle w:val="670"/>
              <w:rPr>
                <w:rFonts w:eastAsiaTheme="minorEastAsia"/>
                <w:lang w:eastAsia="zh-CN"/>
              </w:rPr>
            </w:pPr>
            <w:r>
              <w:rPr>
                <w:rFonts w:hint="eastAsia" w:eastAsiaTheme="minorEastAsia"/>
                <w:lang w:eastAsia="zh-CN"/>
              </w:rPr>
              <w:t>N</w:t>
            </w:r>
            <w:r>
              <w:rPr>
                <w:rFonts w:eastAsiaTheme="minorEastAsia"/>
                <w:lang w:eastAsia="zh-CN"/>
              </w:rPr>
              <w:t>D</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eastAsiaTheme="minorEastAsia"/>
                <w:lang w:eastAsia="zh-CN"/>
              </w:rPr>
              <w:t>N</w:t>
            </w:r>
            <w:r>
              <w:rPr>
                <w:rFonts w:eastAsiaTheme="minorEastAsia"/>
                <w:lang w:eastAsia="zh-CN"/>
              </w:rPr>
              <w:t>D</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eastAsiaTheme="minorEastAsia"/>
                <w:lang w:eastAsia="zh-CN"/>
              </w:rPr>
              <w:t>N</w:t>
            </w:r>
            <w:r>
              <w:rPr>
                <w:rFonts w:eastAsiaTheme="minorEastAsia"/>
                <w:lang w:eastAsia="zh-CN"/>
              </w:rPr>
              <w:t>D</w:t>
            </w:r>
          </w:p>
        </w:tc>
        <w:tc>
          <w:tcPr>
            <w:tcW w:w="510" w:type="pct"/>
            <w:vAlign w:val="center"/>
          </w:tcPr>
          <w:p>
            <w:pPr>
              <w:pStyle w:val="670"/>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20</w:t>
            </w:r>
          </w:p>
        </w:tc>
        <w:tc>
          <w:tcPr>
            <w:tcW w:w="730" w:type="pct"/>
            <w:vAlign w:val="center"/>
          </w:tcPr>
          <w:p>
            <w:pPr>
              <w:pStyle w:val="670"/>
            </w:pPr>
            <w:r>
              <w:rPr>
                <w:rFonts w:hint="eastAsia"/>
              </w:rPr>
              <w:t>铁</w:t>
            </w:r>
          </w:p>
        </w:tc>
        <w:tc>
          <w:tcPr>
            <w:tcW w:w="472" w:type="pct"/>
            <w:vAlign w:val="center"/>
          </w:tcPr>
          <w:p>
            <w:pPr>
              <w:pStyle w:val="670"/>
            </w:pPr>
            <w:r>
              <w:t>mg/L</w:t>
            </w:r>
          </w:p>
        </w:tc>
        <w:tc>
          <w:tcPr>
            <w:tcW w:w="484" w:type="pct"/>
            <w:vAlign w:val="center"/>
          </w:tcPr>
          <w:p>
            <w:pPr>
              <w:pStyle w:val="670"/>
            </w:pPr>
            <w:r>
              <w:rPr>
                <w:rFonts w:hint="eastAsia"/>
              </w:rPr>
              <w:t>≤0.3</w:t>
            </w:r>
          </w:p>
        </w:tc>
        <w:tc>
          <w:tcPr>
            <w:tcW w:w="510" w:type="pct"/>
            <w:vAlign w:val="center"/>
          </w:tcPr>
          <w:p>
            <w:pPr>
              <w:pStyle w:val="670"/>
              <w:rPr>
                <w:rFonts w:eastAsiaTheme="minorEastAsia"/>
                <w:lang w:eastAsia="zh-CN"/>
              </w:rPr>
            </w:pPr>
            <w:r>
              <w:rPr>
                <w:rFonts w:hint="eastAsia" w:eastAsiaTheme="minorEastAsia"/>
                <w:lang w:eastAsia="zh-CN"/>
              </w:rPr>
              <w:t>N</w:t>
            </w:r>
            <w:r>
              <w:rPr>
                <w:rFonts w:eastAsiaTheme="minorEastAsia"/>
                <w:lang w:eastAsia="zh-CN"/>
              </w:rPr>
              <w:t>D</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eastAsiaTheme="minorEastAsia"/>
                <w:lang w:eastAsia="zh-CN"/>
              </w:rPr>
              <w:t>N</w:t>
            </w:r>
            <w:r>
              <w:rPr>
                <w:rFonts w:eastAsiaTheme="minorEastAsia"/>
                <w:lang w:eastAsia="zh-CN"/>
              </w:rPr>
              <w:t>D</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eastAsiaTheme="minorEastAsia"/>
                <w:lang w:eastAsia="zh-CN"/>
              </w:rPr>
              <w:t>N</w:t>
            </w:r>
            <w:r>
              <w:rPr>
                <w:rFonts w:eastAsiaTheme="minorEastAsia"/>
                <w:lang w:eastAsia="zh-CN"/>
              </w:rPr>
              <w:t>D</w:t>
            </w:r>
          </w:p>
        </w:tc>
        <w:tc>
          <w:tcPr>
            <w:tcW w:w="510" w:type="pct"/>
            <w:vAlign w:val="center"/>
          </w:tcPr>
          <w:p>
            <w:pPr>
              <w:pStyle w:val="670"/>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21</w:t>
            </w:r>
          </w:p>
        </w:tc>
        <w:tc>
          <w:tcPr>
            <w:tcW w:w="730" w:type="pct"/>
            <w:vAlign w:val="center"/>
          </w:tcPr>
          <w:p>
            <w:pPr>
              <w:pStyle w:val="670"/>
            </w:pPr>
            <w:r>
              <w:rPr>
                <w:rFonts w:hint="eastAsia"/>
              </w:rPr>
              <w:t>锰</w:t>
            </w:r>
          </w:p>
        </w:tc>
        <w:tc>
          <w:tcPr>
            <w:tcW w:w="472" w:type="pct"/>
            <w:vAlign w:val="center"/>
          </w:tcPr>
          <w:p>
            <w:pPr>
              <w:pStyle w:val="670"/>
            </w:pPr>
            <w:r>
              <w:t>mg/L</w:t>
            </w:r>
          </w:p>
        </w:tc>
        <w:tc>
          <w:tcPr>
            <w:tcW w:w="484" w:type="pct"/>
            <w:vAlign w:val="center"/>
          </w:tcPr>
          <w:p>
            <w:pPr>
              <w:pStyle w:val="670"/>
            </w:pPr>
            <w:r>
              <w:rPr>
                <w:rFonts w:hint="eastAsia"/>
              </w:rPr>
              <w:t>≤0.10</w:t>
            </w:r>
          </w:p>
        </w:tc>
        <w:tc>
          <w:tcPr>
            <w:tcW w:w="510" w:type="pct"/>
            <w:vAlign w:val="center"/>
          </w:tcPr>
          <w:p>
            <w:pPr>
              <w:pStyle w:val="670"/>
              <w:rPr>
                <w:rFonts w:eastAsiaTheme="minorEastAsia"/>
                <w:lang w:eastAsia="zh-CN"/>
              </w:rPr>
            </w:pPr>
            <w:r>
              <w:rPr>
                <w:rFonts w:hint="eastAsia" w:eastAsiaTheme="minorEastAsia"/>
                <w:lang w:eastAsia="zh-CN"/>
              </w:rPr>
              <w:t>N</w:t>
            </w:r>
            <w:r>
              <w:rPr>
                <w:rFonts w:eastAsiaTheme="minorEastAsia"/>
                <w:lang w:eastAsia="zh-CN"/>
              </w:rPr>
              <w:t>D</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eastAsiaTheme="minorEastAsia"/>
                <w:lang w:eastAsia="zh-CN"/>
              </w:rPr>
              <w:t>N</w:t>
            </w:r>
            <w:r>
              <w:rPr>
                <w:rFonts w:eastAsiaTheme="minorEastAsia"/>
                <w:lang w:eastAsia="zh-CN"/>
              </w:rPr>
              <w:t>D</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eastAsiaTheme="minorEastAsia"/>
                <w:lang w:eastAsia="zh-CN"/>
              </w:rPr>
              <w:t>N</w:t>
            </w:r>
            <w:r>
              <w:rPr>
                <w:rFonts w:eastAsiaTheme="minorEastAsia"/>
                <w:lang w:eastAsia="zh-CN"/>
              </w:rPr>
              <w:t>D</w:t>
            </w:r>
          </w:p>
        </w:tc>
        <w:tc>
          <w:tcPr>
            <w:tcW w:w="510" w:type="pct"/>
            <w:vAlign w:val="center"/>
          </w:tcPr>
          <w:p>
            <w:pPr>
              <w:pStyle w:val="670"/>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22</w:t>
            </w:r>
          </w:p>
        </w:tc>
        <w:tc>
          <w:tcPr>
            <w:tcW w:w="730" w:type="pct"/>
            <w:vAlign w:val="center"/>
          </w:tcPr>
          <w:p>
            <w:pPr>
              <w:pStyle w:val="670"/>
            </w:pPr>
            <w:r>
              <w:rPr>
                <w:rFonts w:hint="eastAsia"/>
              </w:rPr>
              <w:t>铜</w:t>
            </w:r>
          </w:p>
        </w:tc>
        <w:tc>
          <w:tcPr>
            <w:tcW w:w="472" w:type="pct"/>
            <w:vAlign w:val="center"/>
          </w:tcPr>
          <w:p>
            <w:pPr>
              <w:pStyle w:val="670"/>
            </w:pPr>
            <w:r>
              <w:t>mg/L</w:t>
            </w:r>
          </w:p>
        </w:tc>
        <w:tc>
          <w:tcPr>
            <w:tcW w:w="484" w:type="pct"/>
            <w:vAlign w:val="center"/>
          </w:tcPr>
          <w:p>
            <w:pPr>
              <w:pStyle w:val="670"/>
            </w:pPr>
            <w:r>
              <w:rPr>
                <w:rFonts w:hint="eastAsia"/>
              </w:rPr>
              <w:t>≤1.00</w:t>
            </w:r>
          </w:p>
        </w:tc>
        <w:tc>
          <w:tcPr>
            <w:tcW w:w="510" w:type="pct"/>
            <w:vAlign w:val="center"/>
          </w:tcPr>
          <w:p>
            <w:pPr>
              <w:pStyle w:val="670"/>
              <w:rPr>
                <w:rFonts w:eastAsiaTheme="minorEastAsia"/>
                <w:lang w:eastAsia="zh-CN"/>
              </w:rPr>
            </w:pPr>
            <w:r>
              <w:rPr>
                <w:rFonts w:hint="eastAsia" w:eastAsiaTheme="minorEastAsia"/>
                <w:lang w:eastAsia="zh-CN"/>
              </w:rPr>
              <w:t>0</w:t>
            </w:r>
          </w:p>
        </w:tc>
        <w:tc>
          <w:tcPr>
            <w:tcW w:w="511" w:type="pct"/>
            <w:vAlign w:val="center"/>
          </w:tcPr>
          <w:p>
            <w:pPr>
              <w:pStyle w:val="670"/>
              <w:rPr>
                <w:lang w:eastAsia="zh-CN"/>
              </w:rPr>
            </w:pPr>
            <w:r>
              <w:rPr>
                <w:rFonts w:hint="eastAsia"/>
                <w:lang w:eastAsia="zh-CN"/>
              </w:rPr>
              <w:t>0</w:t>
            </w:r>
          </w:p>
        </w:tc>
        <w:tc>
          <w:tcPr>
            <w:tcW w:w="510" w:type="pct"/>
            <w:vAlign w:val="center"/>
          </w:tcPr>
          <w:p>
            <w:pPr>
              <w:pStyle w:val="670"/>
              <w:rPr>
                <w:lang w:eastAsia="zh-CN"/>
              </w:rPr>
            </w:pPr>
            <w:r>
              <w:rPr>
                <w:rFonts w:hint="eastAsia"/>
                <w:lang w:eastAsia="zh-CN"/>
              </w:rPr>
              <w:t>0</w:t>
            </w:r>
          </w:p>
        </w:tc>
        <w:tc>
          <w:tcPr>
            <w:tcW w:w="511" w:type="pct"/>
            <w:vAlign w:val="center"/>
          </w:tcPr>
          <w:p>
            <w:pPr>
              <w:pStyle w:val="670"/>
              <w:rPr>
                <w:lang w:eastAsia="zh-CN"/>
              </w:rPr>
            </w:pPr>
            <w:r>
              <w:rPr>
                <w:rFonts w:hint="eastAsia"/>
                <w:lang w:eastAsia="zh-CN"/>
              </w:rPr>
              <w:t>0</w:t>
            </w:r>
          </w:p>
        </w:tc>
        <w:tc>
          <w:tcPr>
            <w:tcW w:w="510" w:type="pct"/>
            <w:vAlign w:val="center"/>
          </w:tcPr>
          <w:p>
            <w:pPr>
              <w:pStyle w:val="670"/>
              <w:rPr>
                <w:lang w:eastAsia="zh-CN"/>
              </w:rPr>
            </w:pPr>
            <w:r>
              <w:rPr>
                <w:rFonts w:hint="eastAsia"/>
                <w:lang w:eastAsia="zh-CN"/>
              </w:rPr>
              <w:t>0</w:t>
            </w:r>
          </w:p>
        </w:tc>
        <w:tc>
          <w:tcPr>
            <w:tcW w:w="510" w:type="pct"/>
            <w:vAlign w:val="center"/>
          </w:tcPr>
          <w:p>
            <w:pPr>
              <w:pStyle w:val="670"/>
              <w:rPr>
                <w:lang w:eastAsia="zh-CN"/>
              </w:rPr>
            </w:pPr>
            <w:r>
              <w:rPr>
                <w:rFonts w:hint="eastAsia"/>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23</w:t>
            </w:r>
          </w:p>
        </w:tc>
        <w:tc>
          <w:tcPr>
            <w:tcW w:w="730" w:type="pct"/>
            <w:vAlign w:val="center"/>
          </w:tcPr>
          <w:p>
            <w:pPr>
              <w:pStyle w:val="670"/>
            </w:pPr>
            <w:r>
              <w:rPr>
                <w:rFonts w:hint="eastAsia"/>
              </w:rPr>
              <w:t>锌</w:t>
            </w:r>
          </w:p>
        </w:tc>
        <w:tc>
          <w:tcPr>
            <w:tcW w:w="472" w:type="pct"/>
            <w:vAlign w:val="center"/>
          </w:tcPr>
          <w:p>
            <w:pPr>
              <w:pStyle w:val="670"/>
            </w:pPr>
            <w:r>
              <w:t>mg/L</w:t>
            </w:r>
          </w:p>
        </w:tc>
        <w:tc>
          <w:tcPr>
            <w:tcW w:w="484" w:type="pct"/>
            <w:vAlign w:val="center"/>
          </w:tcPr>
          <w:p>
            <w:pPr>
              <w:pStyle w:val="670"/>
            </w:pPr>
            <w:r>
              <w:rPr>
                <w:rFonts w:hint="eastAsia"/>
              </w:rPr>
              <w:t>≤1.00</w:t>
            </w:r>
          </w:p>
        </w:tc>
        <w:tc>
          <w:tcPr>
            <w:tcW w:w="510" w:type="pct"/>
            <w:vAlign w:val="center"/>
          </w:tcPr>
          <w:p>
            <w:pPr>
              <w:pStyle w:val="670"/>
              <w:rPr>
                <w:rFonts w:eastAsiaTheme="minorEastAsia"/>
                <w:lang w:eastAsia="zh-CN"/>
              </w:rPr>
            </w:pPr>
            <w:r>
              <w:rPr>
                <w:rFonts w:hint="eastAsia" w:eastAsiaTheme="minorEastAsia"/>
                <w:lang w:eastAsia="zh-CN"/>
              </w:rPr>
              <w:t>0</w:t>
            </w:r>
          </w:p>
        </w:tc>
        <w:tc>
          <w:tcPr>
            <w:tcW w:w="511" w:type="pct"/>
            <w:vAlign w:val="center"/>
          </w:tcPr>
          <w:p>
            <w:pPr>
              <w:pStyle w:val="670"/>
              <w:rPr>
                <w:lang w:eastAsia="zh-CN"/>
              </w:rPr>
            </w:pPr>
            <w:r>
              <w:rPr>
                <w:rFonts w:hint="eastAsia"/>
                <w:lang w:eastAsia="zh-CN"/>
              </w:rPr>
              <w:t>0</w:t>
            </w:r>
          </w:p>
        </w:tc>
        <w:tc>
          <w:tcPr>
            <w:tcW w:w="510" w:type="pct"/>
            <w:vAlign w:val="center"/>
          </w:tcPr>
          <w:p>
            <w:pPr>
              <w:pStyle w:val="670"/>
              <w:rPr>
                <w:lang w:eastAsia="zh-CN"/>
              </w:rPr>
            </w:pPr>
            <w:r>
              <w:rPr>
                <w:rFonts w:hint="eastAsia"/>
                <w:lang w:eastAsia="zh-CN"/>
              </w:rPr>
              <w:t>0</w:t>
            </w:r>
          </w:p>
        </w:tc>
        <w:tc>
          <w:tcPr>
            <w:tcW w:w="511" w:type="pct"/>
            <w:vAlign w:val="center"/>
          </w:tcPr>
          <w:p>
            <w:pPr>
              <w:pStyle w:val="670"/>
              <w:rPr>
                <w:lang w:eastAsia="zh-CN"/>
              </w:rPr>
            </w:pPr>
            <w:r>
              <w:rPr>
                <w:rFonts w:hint="eastAsia"/>
                <w:lang w:eastAsia="zh-CN"/>
              </w:rPr>
              <w:t>0</w:t>
            </w:r>
          </w:p>
        </w:tc>
        <w:tc>
          <w:tcPr>
            <w:tcW w:w="510" w:type="pct"/>
            <w:vAlign w:val="center"/>
          </w:tcPr>
          <w:p>
            <w:pPr>
              <w:pStyle w:val="670"/>
              <w:rPr>
                <w:lang w:eastAsia="zh-CN"/>
              </w:rPr>
            </w:pPr>
            <w:r>
              <w:rPr>
                <w:rFonts w:hint="eastAsia"/>
                <w:lang w:eastAsia="zh-CN"/>
              </w:rPr>
              <w:t>0</w:t>
            </w:r>
          </w:p>
        </w:tc>
        <w:tc>
          <w:tcPr>
            <w:tcW w:w="510" w:type="pct"/>
            <w:vAlign w:val="center"/>
          </w:tcPr>
          <w:p>
            <w:pPr>
              <w:pStyle w:val="670"/>
              <w:rPr>
                <w:lang w:eastAsia="zh-CN"/>
              </w:rPr>
            </w:pPr>
            <w:r>
              <w:rPr>
                <w:rFonts w:hint="eastAsia"/>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24</w:t>
            </w:r>
          </w:p>
        </w:tc>
        <w:tc>
          <w:tcPr>
            <w:tcW w:w="730" w:type="pct"/>
            <w:vAlign w:val="center"/>
          </w:tcPr>
          <w:p>
            <w:pPr>
              <w:pStyle w:val="670"/>
            </w:pPr>
            <w:r>
              <w:rPr>
                <w:rFonts w:hint="eastAsia"/>
              </w:rPr>
              <w:t>汞</w:t>
            </w:r>
          </w:p>
        </w:tc>
        <w:tc>
          <w:tcPr>
            <w:tcW w:w="472" w:type="pct"/>
            <w:vAlign w:val="center"/>
          </w:tcPr>
          <w:p>
            <w:pPr>
              <w:pStyle w:val="670"/>
            </w:pPr>
            <w:r>
              <w:t>mg/L</w:t>
            </w:r>
          </w:p>
        </w:tc>
        <w:tc>
          <w:tcPr>
            <w:tcW w:w="484" w:type="pct"/>
            <w:vAlign w:val="center"/>
          </w:tcPr>
          <w:p>
            <w:pPr>
              <w:pStyle w:val="670"/>
            </w:pPr>
            <w:r>
              <w:rPr>
                <w:rFonts w:hint="eastAsia"/>
              </w:rPr>
              <w:t>≤0.001</w:t>
            </w:r>
          </w:p>
        </w:tc>
        <w:tc>
          <w:tcPr>
            <w:tcW w:w="510" w:type="pct"/>
            <w:vAlign w:val="center"/>
          </w:tcPr>
          <w:p>
            <w:pPr>
              <w:pStyle w:val="670"/>
              <w:rPr>
                <w:rFonts w:eastAsiaTheme="minorEastAsia"/>
                <w:lang w:eastAsia="zh-CN"/>
              </w:rPr>
            </w:pPr>
            <w:r>
              <w:rPr>
                <w:rFonts w:eastAsiaTheme="minorEastAsia"/>
                <w:lang w:eastAsia="zh-CN"/>
              </w:rPr>
              <w:t>3.3×10</w:t>
            </w:r>
            <w:r>
              <w:rPr>
                <w:rFonts w:eastAsiaTheme="minorEastAsia"/>
                <w:vertAlign w:val="superscript"/>
                <w:lang w:eastAsia="zh-CN"/>
              </w:rPr>
              <w:t>-4</w:t>
            </w:r>
          </w:p>
        </w:tc>
        <w:tc>
          <w:tcPr>
            <w:tcW w:w="511" w:type="pct"/>
            <w:vAlign w:val="center"/>
          </w:tcPr>
          <w:p>
            <w:pPr>
              <w:pStyle w:val="670"/>
              <w:rPr>
                <w:lang w:eastAsia="zh-CN"/>
              </w:rPr>
            </w:pPr>
            <w:r>
              <w:rPr>
                <w:rFonts w:hint="eastAsia"/>
                <w:lang w:eastAsia="zh-CN"/>
              </w:rPr>
              <w:t>0</w:t>
            </w:r>
            <w:r>
              <w:rPr>
                <w:lang w:eastAsia="zh-CN"/>
              </w:rPr>
              <w:t>.33</w:t>
            </w:r>
          </w:p>
        </w:tc>
        <w:tc>
          <w:tcPr>
            <w:tcW w:w="510" w:type="pct"/>
            <w:vAlign w:val="center"/>
          </w:tcPr>
          <w:p>
            <w:pPr>
              <w:pStyle w:val="670"/>
              <w:rPr>
                <w:lang w:eastAsia="zh-CN"/>
              </w:rPr>
            </w:pPr>
            <w:r>
              <w:rPr>
                <w:rFonts w:eastAsiaTheme="minorEastAsia"/>
                <w:lang w:eastAsia="zh-CN"/>
              </w:rPr>
              <w:t>5×10</w:t>
            </w:r>
            <w:r>
              <w:rPr>
                <w:rFonts w:eastAsiaTheme="minorEastAsia"/>
                <w:vertAlign w:val="superscript"/>
                <w:lang w:eastAsia="zh-CN"/>
              </w:rPr>
              <w:t>-4</w:t>
            </w:r>
          </w:p>
        </w:tc>
        <w:tc>
          <w:tcPr>
            <w:tcW w:w="511" w:type="pct"/>
            <w:vAlign w:val="center"/>
          </w:tcPr>
          <w:p>
            <w:pPr>
              <w:pStyle w:val="670"/>
              <w:rPr>
                <w:lang w:eastAsia="zh-CN"/>
              </w:rPr>
            </w:pPr>
            <w:r>
              <w:rPr>
                <w:rFonts w:hint="eastAsia"/>
                <w:lang w:eastAsia="zh-CN"/>
              </w:rPr>
              <w:t>0</w:t>
            </w:r>
            <w:r>
              <w:rPr>
                <w:lang w:eastAsia="zh-CN"/>
              </w:rPr>
              <w:t>.5</w:t>
            </w:r>
          </w:p>
        </w:tc>
        <w:tc>
          <w:tcPr>
            <w:tcW w:w="510" w:type="pct"/>
            <w:vAlign w:val="center"/>
          </w:tcPr>
          <w:p>
            <w:pPr>
              <w:pStyle w:val="670"/>
              <w:rPr>
                <w:lang w:eastAsia="zh-CN"/>
              </w:rPr>
            </w:pPr>
            <w:r>
              <w:rPr>
                <w:rFonts w:eastAsiaTheme="minorEastAsia"/>
                <w:lang w:eastAsia="zh-CN"/>
              </w:rPr>
              <w:t>7.6×10</w:t>
            </w:r>
            <w:r>
              <w:rPr>
                <w:rFonts w:eastAsiaTheme="minorEastAsia"/>
                <w:vertAlign w:val="superscript"/>
                <w:lang w:eastAsia="zh-CN"/>
              </w:rPr>
              <w:t>-4</w:t>
            </w:r>
          </w:p>
        </w:tc>
        <w:tc>
          <w:tcPr>
            <w:tcW w:w="510" w:type="pct"/>
            <w:vAlign w:val="center"/>
          </w:tcPr>
          <w:p>
            <w:pPr>
              <w:pStyle w:val="670"/>
              <w:rPr>
                <w:lang w:eastAsia="zh-CN"/>
              </w:rPr>
            </w:pPr>
            <w:r>
              <w:rPr>
                <w:rFonts w:hint="eastAsia"/>
                <w:lang w:eastAsia="zh-CN"/>
              </w:rPr>
              <w:t>0</w:t>
            </w:r>
            <w:r>
              <w:rPr>
                <w:lang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25</w:t>
            </w:r>
          </w:p>
        </w:tc>
        <w:tc>
          <w:tcPr>
            <w:tcW w:w="730" w:type="pct"/>
            <w:vAlign w:val="center"/>
          </w:tcPr>
          <w:p>
            <w:pPr>
              <w:pStyle w:val="670"/>
            </w:pPr>
            <w:r>
              <w:rPr>
                <w:rFonts w:hint="eastAsia"/>
              </w:rPr>
              <w:t>砷</w:t>
            </w:r>
          </w:p>
        </w:tc>
        <w:tc>
          <w:tcPr>
            <w:tcW w:w="472" w:type="pct"/>
            <w:vAlign w:val="center"/>
          </w:tcPr>
          <w:p>
            <w:pPr>
              <w:pStyle w:val="670"/>
            </w:pPr>
            <w:r>
              <w:t>mg/L</w:t>
            </w:r>
          </w:p>
        </w:tc>
        <w:tc>
          <w:tcPr>
            <w:tcW w:w="484" w:type="pct"/>
            <w:vAlign w:val="center"/>
          </w:tcPr>
          <w:p>
            <w:pPr>
              <w:pStyle w:val="670"/>
            </w:pPr>
            <w:r>
              <w:rPr>
                <w:rFonts w:hint="eastAsia"/>
              </w:rPr>
              <w:t>≤0.01</w:t>
            </w:r>
          </w:p>
        </w:tc>
        <w:tc>
          <w:tcPr>
            <w:tcW w:w="510" w:type="pct"/>
            <w:vAlign w:val="center"/>
          </w:tcPr>
          <w:p>
            <w:pPr>
              <w:pStyle w:val="670"/>
              <w:rPr>
                <w:rFonts w:eastAsiaTheme="minorEastAsia"/>
                <w:lang w:eastAsia="zh-CN"/>
              </w:rPr>
            </w:pPr>
            <w:r>
              <w:rPr>
                <w:rFonts w:eastAsiaTheme="minorEastAsia"/>
                <w:lang w:eastAsia="zh-CN"/>
              </w:rPr>
              <w:t>3×10</w:t>
            </w:r>
            <w:r>
              <w:rPr>
                <w:rFonts w:eastAsiaTheme="minorEastAsia"/>
                <w:vertAlign w:val="superscript"/>
                <w:lang w:eastAsia="zh-CN"/>
              </w:rPr>
              <w:t>-4</w:t>
            </w:r>
          </w:p>
        </w:tc>
        <w:tc>
          <w:tcPr>
            <w:tcW w:w="511" w:type="pct"/>
            <w:vAlign w:val="center"/>
          </w:tcPr>
          <w:p>
            <w:pPr>
              <w:pStyle w:val="670"/>
              <w:rPr>
                <w:lang w:eastAsia="zh-CN"/>
              </w:rPr>
            </w:pPr>
            <w:r>
              <w:rPr>
                <w:rFonts w:hint="eastAsia"/>
                <w:lang w:eastAsia="zh-CN"/>
              </w:rPr>
              <w:t>0</w:t>
            </w:r>
            <w:r>
              <w:rPr>
                <w:lang w:eastAsia="zh-CN"/>
              </w:rPr>
              <w:t>.03</w:t>
            </w:r>
          </w:p>
        </w:tc>
        <w:tc>
          <w:tcPr>
            <w:tcW w:w="510" w:type="pct"/>
            <w:vAlign w:val="center"/>
          </w:tcPr>
          <w:p>
            <w:pPr>
              <w:pStyle w:val="670"/>
              <w:rPr>
                <w:lang w:eastAsia="zh-CN"/>
              </w:rPr>
            </w:pPr>
            <w:r>
              <w:rPr>
                <w:rFonts w:hint="eastAsia"/>
                <w:lang w:eastAsia="zh-CN"/>
              </w:rPr>
              <w:t>N</w:t>
            </w:r>
            <w:r>
              <w:rPr>
                <w:lang w:eastAsia="zh-CN"/>
              </w:rPr>
              <w:t>D</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eastAsiaTheme="minorEastAsia"/>
                <w:lang w:eastAsia="zh-CN"/>
              </w:rPr>
              <w:t>3×10</w:t>
            </w:r>
            <w:r>
              <w:rPr>
                <w:rFonts w:eastAsiaTheme="minorEastAsia"/>
                <w:vertAlign w:val="superscript"/>
                <w:lang w:eastAsia="zh-CN"/>
              </w:rPr>
              <w:t>-4</w:t>
            </w:r>
          </w:p>
        </w:tc>
        <w:tc>
          <w:tcPr>
            <w:tcW w:w="510" w:type="pct"/>
            <w:vAlign w:val="center"/>
          </w:tcPr>
          <w:p>
            <w:pPr>
              <w:pStyle w:val="670"/>
              <w:rPr>
                <w:lang w:eastAsia="zh-CN"/>
              </w:rPr>
            </w:pPr>
            <w:r>
              <w:rPr>
                <w:rFonts w:hint="eastAsia"/>
                <w:lang w:eastAsia="zh-CN"/>
              </w:rPr>
              <w:t>0</w:t>
            </w:r>
            <w:r>
              <w:rPr>
                <w:lang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26</w:t>
            </w:r>
          </w:p>
        </w:tc>
        <w:tc>
          <w:tcPr>
            <w:tcW w:w="730" w:type="pct"/>
            <w:vAlign w:val="center"/>
          </w:tcPr>
          <w:p>
            <w:pPr>
              <w:pStyle w:val="670"/>
            </w:pPr>
            <w:r>
              <w:rPr>
                <w:rFonts w:hint="eastAsia"/>
              </w:rPr>
              <w:t>铅</w:t>
            </w:r>
          </w:p>
        </w:tc>
        <w:tc>
          <w:tcPr>
            <w:tcW w:w="472" w:type="pct"/>
            <w:vAlign w:val="center"/>
          </w:tcPr>
          <w:p>
            <w:pPr>
              <w:pStyle w:val="670"/>
            </w:pPr>
            <w:r>
              <w:t>mg/L</w:t>
            </w:r>
          </w:p>
        </w:tc>
        <w:tc>
          <w:tcPr>
            <w:tcW w:w="484" w:type="pct"/>
            <w:vAlign w:val="center"/>
          </w:tcPr>
          <w:p>
            <w:pPr>
              <w:pStyle w:val="670"/>
            </w:pPr>
            <w:r>
              <w:rPr>
                <w:rFonts w:hint="eastAsia"/>
              </w:rPr>
              <w:t>≤0.01</w:t>
            </w:r>
          </w:p>
        </w:tc>
        <w:tc>
          <w:tcPr>
            <w:tcW w:w="510" w:type="pct"/>
            <w:vAlign w:val="center"/>
          </w:tcPr>
          <w:p>
            <w:pPr>
              <w:pStyle w:val="670"/>
              <w:rPr>
                <w:rFonts w:eastAsiaTheme="minorEastAsia"/>
                <w:lang w:eastAsia="zh-CN"/>
              </w:rPr>
            </w:pPr>
            <w:r>
              <w:rPr>
                <w:rFonts w:hint="eastAsia" w:eastAsiaTheme="minorEastAsia"/>
                <w:lang w:eastAsia="zh-CN"/>
              </w:rPr>
              <w:t>4</w:t>
            </w:r>
            <w:r>
              <w:rPr>
                <w:rFonts w:eastAsiaTheme="minorEastAsia"/>
                <w:lang w:eastAsia="zh-CN"/>
              </w:rPr>
              <w:t>.42×10</w:t>
            </w:r>
            <w:r>
              <w:rPr>
                <w:rFonts w:eastAsiaTheme="minorEastAsia"/>
                <w:vertAlign w:val="superscript"/>
                <w:lang w:eastAsia="zh-CN"/>
              </w:rPr>
              <w:t>-3</w:t>
            </w:r>
          </w:p>
        </w:tc>
        <w:tc>
          <w:tcPr>
            <w:tcW w:w="511" w:type="pct"/>
            <w:vAlign w:val="center"/>
          </w:tcPr>
          <w:p>
            <w:pPr>
              <w:pStyle w:val="670"/>
              <w:rPr>
                <w:lang w:eastAsia="zh-CN"/>
              </w:rPr>
            </w:pPr>
            <w:r>
              <w:rPr>
                <w:rFonts w:hint="eastAsia"/>
                <w:lang w:eastAsia="zh-CN"/>
              </w:rPr>
              <w:t>0</w:t>
            </w:r>
            <w:r>
              <w:rPr>
                <w:lang w:eastAsia="zh-CN"/>
              </w:rPr>
              <w:t>.442</w:t>
            </w:r>
          </w:p>
        </w:tc>
        <w:tc>
          <w:tcPr>
            <w:tcW w:w="510" w:type="pct"/>
            <w:vAlign w:val="center"/>
          </w:tcPr>
          <w:p>
            <w:pPr>
              <w:pStyle w:val="670"/>
              <w:rPr>
                <w:lang w:eastAsia="zh-CN"/>
              </w:rPr>
            </w:pPr>
            <w:r>
              <w:rPr>
                <w:rFonts w:hint="eastAsia"/>
                <w:lang w:eastAsia="zh-CN"/>
              </w:rPr>
              <w:t>2</w:t>
            </w:r>
            <w:r>
              <w:rPr>
                <w:lang w:eastAsia="zh-CN"/>
              </w:rPr>
              <w:t>.92</w:t>
            </w:r>
            <w:r>
              <w:rPr>
                <w:rFonts w:eastAsiaTheme="minorEastAsia"/>
                <w:lang w:eastAsia="zh-CN"/>
              </w:rPr>
              <w:t>×10</w:t>
            </w:r>
            <w:r>
              <w:rPr>
                <w:rFonts w:eastAsiaTheme="minorEastAsia"/>
                <w:vertAlign w:val="superscript"/>
                <w:lang w:eastAsia="zh-CN"/>
              </w:rPr>
              <w:t>-3</w:t>
            </w:r>
          </w:p>
        </w:tc>
        <w:tc>
          <w:tcPr>
            <w:tcW w:w="511" w:type="pct"/>
            <w:vAlign w:val="center"/>
          </w:tcPr>
          <w:p>
            <w:pPr>
              <w:pStyle w:val="670"/>
              <w:rPr>
                <w:lang w:eastAsia="zh-CN"/>
              </w:rPr>
            </w:pPr>
            <w:r>
              <w:rPr>
                <w:rFonts w:hint="eastAsia"/>
                <w:lang w:eastAsia="zh-CN"/>
              </w:rPr>
              <w:t>0</w:t>
            </w:r>
            <w:r>
              <w:rPr>
                <w:lang w:eastAsia="zh-CN"/>
              </w:rPr>
              <w:t>.292</w:t>
            </w:r>
          </w:p>
        </w:tc>
        <w:tc>
          <w:tcPr>
            <w:tcW w:w="510" w:type="pct"/>
            <w:vAlign w:val="center"/>
          </w:tcPr>
          <w:p>
            <w:pPr>
              <w:pStyle w:val="670"/>
              <w:rPr>
                <w:lang w:eastAsia="zh-CN"/>
              </w:rPr>
            </w:pPr>
            <w:r>
              <w:rPr>
                <w:rFonts w:hint="eastAsia"/>
                <w:lang w:eastAsia="zh-CN"/>
              </w:rPr>
              <w:t>N</w:t>
            </w:r>
            <w:r>
              <w:rPr>
                <w:lang w:eastAsia="zh-CN"/>
              </w:rPr>
              <w:t>D</w:t>
            </w:r>
          </w:p>
        </w:tc>
        <w:tc>
          <w:tcPr>
            <w:tcW w:w="510" w:type="pct"/>
            <w:vAlign w:val="center"/>
          </w:tcPr>
          <w:p>
            <w:pPr>
              <w:pStyle w:val="670"/>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27</w:t>
            </w:r>
          </w:p>
        </w:tc>
        <w:tc>
          <w:tcPr>
            <w:tcW w:w="730" w:type="pct"/>
            <w:vAlign w:val="center"/>
          </w:tcPr>
          <w:p>
            <w:pPr>
              <w:pStyle w:val="670"/>
            </w:pPr>
            <w:r>
              <w:rPr>
                <w:rFonts w:hint="eastAsia"/>
              </w:rPr>
              <w:t>镉</w:t>
            </w:r>
          </w:p>
        </w:tc>
        <w:tc>
          <w:tcPr>
            <w:tcW w:w="472" w:type="pct"/>
            <w:vAlign w:val="center"/>
          </w:tcPr>
          <w:p>
            <w:pPr>
              <w:pStyle w:val="670"/>
            </w:pPr>
            <w:r>
              <w:t>mg/L</w:t>
            </w:r>
          </w:p>
        </w:tc>
        <w:tc>
          <w:tcPr>
            <w:tcW w:w="484" w:type="pct"/>
            <w:vAlign w:val="center"/>
          </w:tcPr>
          <w:p>
            <w:pPr>
              <w:pStyle w:val="670"/>
            </w:pPr>
            <w:r>
              <w:rPr>
                <w:rFonts w:hint="eastAsia"/>
              </w:rPr>
              <w:t>≤0.005</w:t>
            </w:r>
          </w:p>
        </w:tc>
        <w:tc>
          <w:tcPr>
            <w:tcW w:w="510" w:type="pct"/>
            <w:vAlign w:val="center"/>
          </w:tcPr>
          <w:p>
            <w:pPr>
              <w:pStyle w:val="670"/>
              <w:rPr>
                <w:rFonts w:eastAsiaTheme="minorEastAsia"/>
                <w:lang w:eastAsia="zh-CN"/>
              </w:rPr>
            </w:pPr>
            <w:r>
              <w:rPr>
                <w:rFonts w:hint="eastAsia" w:eastAsiaTheme="minorEastAsia"/>
                <w:lang w:eastAsia="zh-CN"/>
              </w:rPr>
              <w:t>N</w:t>
            </w:r>
            <w:r>
              <w:rPr>
                <w:rFonts w:eastAsiaTheme="minorEastAsia"/>
                <w:lang w:eastAsia="zh-CN"/>
              </w:rPr>
              <w:t>D</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eastAsiaTheme="minorEastAsia"/>
                <w:lang w:eastAsia="zh-CN"/>
              </w:rPr>
              <w:t>N</w:t>
            </w:r>
            <w:r>
              <w:rPr>
                <w:rFonts w:eastAsiaTheme="minorEastAsia"/>
                <w:lang w:eastAsia="zh-CN"/>
              </w:rPr>
              <w:t>D</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eastAsiaTheme="minorEastAsia"/>
                <w:lang w:eastAsia="zh-CN"/>
              </w:rPr>
              <w:t>N</w:t>
            </w:r>
            <w:r>
              <w:rPr>
                <w:rFonts w:eastAsiaTheme="minorEastAsia"/>
                <w:lang w:eastAsia="zh-CN"/>
              </w:rPr>
              <w:t>D</w:t>
            </w:r>
          </w:p>
        </w:tc>
        <w:tc>
          <w:tcPr>
            <w:tcW w:w="510" w:type="pct"/>
            <w:vAlign w:val="center"/>
          </w:tcPr>
          <w:p>
            <w:pPr>
              <w:pStyle w:val="670"/>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28</w:t>
            </w:r>
          </w:p>
        </w:tc>
        <w:tc>
          <w:tcPr>
            <w:tcW w:w="730" w:type="pct"/>
            <w:vAlign w:val="center"/>
          </w:tcPr>
          <w:p>
            <w:pPr>
              <w:pStyle w:val="670"/>
            </w:pPr>
            <w:r>
              <w:rPr>
                <w:rFonts w:hint="eastAsia"/>
              </w:rPr>
              <w:t>钾</w:t>
            </w:r>
          </w:p>
        </w:tc>
        <w:tc>
          <w:tcPr>
            <w:tcW w:w="472" w:type="pct"/>
            <w:vAlign w:val="center"/>
          </w:tcPr>
          <w:p>
            <w:pPr>
              <w:pStyle w:val="670"/>
            </w:pPr>
            <w:r>
              <w:t>mg/L</w:t>
            </w:r>
          </w:p>
        </w:tc>
        <w:tc>
          <w:tcPr>
            <w:tcW w:w="484" w:type="pct"/>
            <w:vAlign w:val="center"/>
          </w:tcPr>
          <w:p>
            <w:pPr>
              <w:pStyle w:val="670"/>
            </w:pPr>
            <w:r>
              <w:rPr>
                <w:rFonts w:hint="eastAsia"/>
              </w:rPr>
              <w:t>/</w:t>
            </w:r>
          </w:p>
        </w:tc>
        <w:tc>
          <w:tcPr>
            <w:tcW w:w="510" w:type="pct"/>
            <w:vAlign w:val="center"/>
          </w:tcPr>
          <w:p>
            <w:pPr>
              <w:pStyle w:val="670"/>
              <w:rPr>
                <w:rFonts w:eastAsiaTheme="minorEastAsia"/>
                <w:lang w:eastAsia="zh-CN"/>
              </w:rPr>
            </w:pPr>
            <w:r>
              <w:rPr>
                <w:rFonts w:hint="eastAsia" w:eastAsiaTheme="minorEastAsia"/>
                <w:lang w:eastAsia="zh-CN"/>
              </w:rPr>
              <w:t>1</w:t>
            </w:r>
            <w:r>
              <w:rPr>
                <w:rFonts w:eastAsiaTheme="minorEastAsia"/>
                <w:lang w:eastAsia="zh-CN"/>
              </w:rPr>
              <w:t>.52</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lang w:eastAsia="zh-CN"/>
              </w:rPr>
              <w:t>1</w:t>
            </w:r>
            <w:r>
              <w:rPr>
                <w:lang w:eastAsia="zh-CN"/>
              </w:rPr>
              <w:t>.88</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lang w:eastAsia="zh-CN"/>
              </w:rPr>
              <w:t>1</w:t>
            </w:r>
            <w:r>
              <w:rPr>
                <w:lang w:eastAsia="zh-CN"/>
              </w:rPr>
              <w:t>.51</w:t>
            </w:r>
          </w:p>
        </w:tc>
        <w:tc>
          <w:tcPr>
            <w:tcW w:w="510" w:type="pct"/>
            <w:vAlign w:val="center"/>
          </w:tcPr>
          <w:p>
            <w:pPr>
              <w:pStyle w:val="670"/>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29</w:t>
            </w:r>
          </w:p>
        </w:tc>
        <w:tc>
          <w:tcPr>
            <w:tcW w:w="730" w:type="pct"/>
            <w:vAlign w:val="center"/>
          </w:tcPr>
          <w:p>
            <w:pPr>
              <w:pStyle w:val="670"/>
            </w:pPr>
            <w:r>
              <w:rPr>
                <w:rFonts w:hint="eastAsia"/>
              </w:rPr>
              <w:t>钠</w:t>
            </w:r>
          </w:p>
        </w:tc>
        <w:tc>
          <w:tcPr>
            <w:tcW w:w="472" w:type="pct"/>
            <w:vAlign w:val="center"/>
          </w:tcPr>
          <w:p>
            <w:pPr>
              <w:pStyle w:val="670"/>
            </w:pPr>
            <w:r>
              <w:t>mg/L</w:t>
            </w:r>
          </w:p>
        </w:tc>
        <w:tc>
          <w:tcPr>
            <w:tcW w:w="484" w:type="pct"/>
            <w:vAlign w:val="center"/>
          </w:tcPr>
          <w:p>
            <w:pPr>
              <w:pStyle w:val="670"/>
            </w:pPr>
            <w:r>
              <w:rPr>
                <w:rFonts w:hint="eastAsia"/>
              </w:rPr>
              <w:t>/</w:t>
            </w:r>
          </w:p>
        </w:tc>
        <w:tc>
          <w:tcPr>
            <w:tcW w:w="510" w:type="pct"/>
            <w:vAlign w:val="center"/>
          </w:tcPr>
          <w:p>
            <w:pPr>
              <w:pStyle w:val="670"/>
              <w:rPr>
                <w:rFonts w:eastAsiaTheme="minorEastAsia"/>
                <w:lang w:eastAsia="zh-CN"/>
              </w:rPr>
            </w:pPr>
            <w:r>
              <w:rPr>
                <w:rFonts w:hint="eastAsia" w:eastAsiaTheme="minorEastAsia"/>
                <w:lang w:eastAsia="zh-CN"/>
              </w:rPr>
              <w:t>3</w:t>
            </w:r>
            <w:r>
              <w:rPr>
                <w:rFonts w:eastAsiaTheme="minorEastAsia"/>
                <w:lang w:eastAsia="zh-CN"/>
              </w:rPr>
              <w:t>6.6</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lang w:eastAsia="zh-CN"/>
              </w:rPr>
              <w:t>4</w:t>
            </w:r>
            <w:r>
              <w:rPr>
                <w:lang w:eastAsia="zh-CN"/>
              </w:rPr>
              <w:t>4.6</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lang w:eastAsia="zh-CN"/>
              </w:rPr>
              <w:t>4</w:t>
            </w:r>
            <w:r>
              <w:rPr>
                <w:lang w:eastAsia="zh-CN"/>
              </w:rPr>
              <w:t>1.2</w:t>
            </w:r>
          </w:p>
        </w:tc>
        <w:tc>
          <w:tcPr>
            <w:tcW w:w="510" w:type="pct"/>
            <w:vAlign w:val="center"/>
          </w:tcPr>
          <w:p>
            <w:pPr>
              <w:pStyle w:val="670"/>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30</w:t>
            </w:r>
          </w:p>
        </w:tc>
        <w:tc>
          <w:tcPr>
            <w:tcW w:w="730" w:type="pct"/>
            <w:vAlign w:val="center"/>
          </w:tcPr>
          <w:p>
            <w:pPr>
              <w:pStyle w:val="670"/>
            </w:pPr>
            <w:r>
              <w:rPr>
                <w:rFonts w:hint="eastAsia"/>
              </w:rPr>
              <w:t>钙</w:t>
            </w:r>
          </w:p>
        </w:tc>
        <w:tc>
          <w:tcPr>
            <w:tcW w:w="472" w:type="pct"/>
            <w:vAlign w:val="center"/>
          </w:tcPr>
          <w:p>
            <w:pPr>
              <w:pStyle w:val="670"/>
            </w:pPr>
            <w:r>
              <w:t>mg/L</w:t>
            </w:r>
          </w:p>
        </w:tc>
        <w:tc>
          <w:tcPr>
            <w:tcW w:w="484" w:type="pct"/>
            <w:vAlign w:val="center"/>
          </w:tcPr>
          <w:p>
            <w:pPr>
              <w:pStyle w:val="670"/>
            </w:pPr>
            <w:r>
              <w:rPr>
                <w:rFonts w:hint="eastAsia"/>
              </w:rPr>
              <w:t>/</w:t>
            </w:r>
          </w:p>
        </w:tc>
        <w:tc>
          <w:tcPr>
            <w:tcW w:w="510" w:type="pct"/>
            <w:vAlign w:val="center"/>
          </w:tcPr>
          <w:p>
            <w:pPr>
              <w:pStyle w:val="670"/>
              <w:rPr>
                <w:rFonts w:eastAsiaTheme="minorEastAsia"/>
                <w:lang w:eastAsia="zh-CN"/>
              </w:rPr>
            </w:pPr>
            <w:r>
              <w:rPr>
                <w:rFonts w:hint="eastAsia" w:eastAsiaTheme="minorEastAsia"/>
                <w:lang w:eastAsia="zh-CN"/>
              </w:rPr>
              <w:t>3</w:t>
            </w:r>
            <w:r>
              <w:rPr>
                <w:rFonts w:eastAsiaTheme="minorEastAsia"/>
                <w:lang w:eastAsia="zh-CN"/>
              </w:rPr>
              <w:t>8</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lang w:eastAsia="zh-CN"/>
              </w:rPr>
              <w:t>3</w:t>
            </w:r>
            <w:r>
              <w:rPr>
                <w:lang w:eastAsia="zh-CN"/>
              </w:rPr>
              <w:t>7.7</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lang w:eastAsia="zh-CN"/>
              </w:rPr>
              <w:t>3</w:t>
            </w:r>
            <w:r>
              <w:rPr>
                <w:lang w:eastAsia="zh-CN"/>
              </w:rPr>
              <w:t>7.7</w:t>
            </w:r>
          </w:p>
        </w:tc>
        <w:tc>
          <w:tcPr>
            <w:tcW w:w="510" w:type="pct"/>
            <w:vAlign w:val="center"/>
          </w:tcPr>
          <w:p>
            <w:pPr>
              <w:pStyle w:val="670"/>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252" w:type="pct"/>
            <w:vAlign w:val="center"/>
          </w:tcPr>
          <w:p>
            <w:pPr>
              <w:pStyle w:val="670"/>
            </w:pPr>
            <w:r>
              <w:rPr>
                <w:rFonts w:hint="eastAsia"/>
              </w:rPr>
              <w:t>31</w:t>
            </w:r>
          </w:p>
        </w:tc>
        <w:tc>
          <w:tcPr>
            <w:tcW w:w="730" w:type="pct"/>
            <w:vAlign w:val="center"/>
          </w:tcPr>
          <w:p>
            <w:pPr>
              <w:pStyle w:val="670"/>
            </w:pPr>
            <w:r>
              <w:rPr>
                <w:rFonts w:hint="eastAsia"/>
              </w:rPr>
              <w:t>镁</w:t>
            </w:r>
          </w:p>
        </w:tc>
        <w:tc>
          <w:tcPr>
            <w:tcW w:w="472" w:type="pct"/>
            <w:vAlign w:val="center"/>
          </w:tcPr>
          <w:p>
            <w:pPr>
              <w:pStyle w:val="670"/>
            </w:pPr>
            <w:r>
              <w:t>mg/L</w:t>
            </w:r>
          </w:p>
        </w:tc>
        <w:tc>
          <w:tcPr>
            <w:tcW w:w="484" w:type="pct"/>
            <w:vAlign w:val="center"/>
          </w:tcPr>
          <w:p>
            <w:pPr>
              <w:pStyle w:val="670"/>
            </w:pPr>
            <w:r>
              <w:rPr>
                <w:rFonts w:hint="eastAsia"/>
              </w:rPr>
              <w:t>/</w:t>
            </w:r>
          </w:p>
        </w:tc>
        <w:tc>
          <w:tcPr>
            <w:tcW w:w="510" w:type="pct"/>
            <w:vAlign w:val="center"/>
          </w:tcPr>
          <w:p>
            <w:pPr>
              <w:pStyle w:val="670"/>
              <w:rPr>
                <w:rFonts w:eastAsiaTheme="minorEastAsia"/>
                <w:lang w:eastAsia="zh-CN"/>
              </w:rPr>
            </w:pPr>
            <w:r>
              <w:rPr>
                <w:rFonts w:hint="eastAsia" w:eastAsiaTheme="minorEastAsia"/>
                <w:lang w:eastAsia="zh-CN"/>
              </w:rPr>
              <w:t>2</w:t>
            </w:r>
            <w:r>
              <w:rPr>
                <w:rFonts w:eastAsiaTheme="minorEastAsia"/>
                <w:lang w:eastAsia="zh-CN"/>
              </w:rPr>
              <w:t>6.4</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lang w:eastAsia="zh-CN"/>
              </w:rPr>
              <w:t>2</w:t>
            </w:r>
            <w:r>
              <w:rPr>
                <w:lang w:eastAsia="zh-CN"/>
              </w:rPr>
              <w:t>5.8</w:t>
            </w:r>
          </w:p>
        </w:tc>
        <w:tc>
          <w:tcPr>
            <w:tcW w:w="511" w:type="pct"/>
            <w:vAlign w:val="center"/>
          </w:tcPr>
          <w:p>
            <w:pPr>
              <w:pStyle w:val="670"/>
              <w:rPr>
                <w:lang w:eastAsia="zh-CN"/>
              </w:rPr>
            </w:pPr>
            <w:r>
              <w:rPr>
                <w:rFonts w:hint="eastAsia"/>
                <w:lang w:eastAsia="zh-CN"/>
              </w:rPr>
              <w:t>/</w:t>
            </w:r>
          </w:p>
        </w:tc>
        <w:tc>
          <w:tcPr>
            <w:tcW w:w="510" w:type="pct"/>
            <w:vAlign w:val="center"/>
          </w:tcPr>
          <w:p>
            <w:pPr>
              <w:pStyle w:val="670"/>
              <w:rPr>
                <w:lang w:eastAsia="zh-CN"/>
              </w:rPr>
            </w:pPr>
            <w:r>
              <w:rPr>
                <w:rFonts w:hint="eastAsia"/>
                <w:lang w:eastAsia="zh-CN"/>
              </w:rPr>
              <w:t>2</w:t>
            </w:r>
            <w:r>
              <w:rPr>
                <w:lang w:eastAsia="zh-CN"/>
              </w:rPr>
              <w:t>7</w:t>
            </w:r>
          </w:p>
        </w:tc>
        <w:tc>
          <w:tcPr>
            <w:tcW w:w="510" w:type="pct"/>
            <w:vAlign w:val="center"/>
          </w:tcPr>
          <w:p>
            <w:pPr>
              <w:pStyle w:val="670"/>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4" w:hRule="atLeast"/>
        </w:trPr>
        <w:tc>
          <w:tcPr>
            <w:tcW w:w="5000" w:type="pct"/>
            <w:gridSpan w:val="10"/>
            <w:vAlign w:val="center"/>
          </w:tcPr>
          <w:p>
            <w:pPr>
              <w:pStyle w:val="670"/>
              <w:jc w:val="both"/>
              <w:rPr>
                <w:b/>
                <w:bCs/>
                <w:lang w:eastAsia="zh-CN"/>
              </w:rPr>
            </w:pPr>
            <w:r>
              <w:rPr>
                <w:rFonts w:hint="eastAsia"/>
                <w:b/>
                <w:bCs/>
                <w:lang w:eastAsia="zh-CN"/>
              </w:rPr>
              <w:t>注：N</w:t>
            </w:r>
            <w:r>
              <w:rPr>
                <w:b/>
                <w:bCs/>
                <w:lang w:eastAsia="zh-CN"/>
              </w:rPr>
              <w:t>D</w:t>
            </w:r>
            <w:r>
              <w:rPr>
                <w:rFonts w:hint="eastAsia"/>
                <w:b/>
                <w:bCs/>
                <w:lang w:eastAsia="zh-CN"/>
              </w:rPr>
              <w:t>表示低于方法检出限</w:t>
            </w:r>
          </w:p>
        </w:tc>
      </w:tr>
    </w:tbl>
    <w:p>
      <w:pPr>
        <w:pStyle w:val="494"/>
        <w:ind w:firstLine="480"/>
      </w:pPr>
      <w:r>
        <w:rPr>
          <w:rFonts w:hint="eastAsia"/>
        </w:rPr>
        <w:t>根据上表</w:t>
      </w:r>
      <w:r>
        <w:t>监测</w:t>
      </w:r>
      <w:r>
        <w:rPr>
          <w:rFonts w:hint="eastAsia"/>
        </w:rPr>
        <w:t>结果可知，项目各地下水监测点所有监测指标均</w:t>
      </w:r>
      <w:r>
        <w:t>满足《地</w:t>
      </w:r>
      <w:r>
        <w:rPr>
          <w:rFonts w:hint="eastAsia"/>
        </w:rPr>
        <w:t>下</w:t>
      </w:r>
      <w:r>
        <w:t>水质量标准》（GB</w:t>
      </w:r>
      <w:r>
        <w:rPr>
          <w:rFonts w:hint="eastAsia"/>
        </w:rPr>
        <w:t>/T14848</w:t>
      </w:r>
      <w:r>
        <w:t>-2017）中的</w:t>
      </w:r>
      <w:r>
        <w:rPr>
          <w:rFonts w:hint="eastAsia"/>
        </w:rPr>
        <w:t>Ⅲ</w:t>
      </w:r>
      <w:r>
        <w:t>类标准</w:t>
      </w:r>
      <w:r>
        <w:rPr>
          <w:rFonts w:hint="eastAsia"/>
        </w:rPr>
        <w:t>要求，</w:t>
      </w:r>
      <w:r>
        <w:t>因此，项目区域地下水质量良好。</w:t>
      </w:r>
      <w:r>
        <w:br w:type="page"/>
      </w:r>
    </w:p>
    <w:p>
      <w:pPr>
        <w:pStyle w:val="5"/>
        <w:spacing w:before="120" w:after="120"/>
        <w:rPr>
          <w:spacing w:val="0"/>
        </w:rPr>
        <w:sectPr>
          <w:pgSz w:w="16838" w:h="11906" w:orient="landscape"/>
          <w:pgMar w:top="1985" w:right="1440" w:bottom="1701" w:left="1440" w:header="851" w:footer="992" w:gutter="0"/>
          <w:cols w:space="720" w:num="1"/>
          <w:docGrid w:linePitch="312" w:charSpace="0"/>
        </w:sectPr>
      </w:pPr>
      <w:bookmarkStart w:id="309" w:name="_Toc307906803"/>
      <w:bookmarkStart w:id="310" w:name="_Toc107500382"/>
      <w:bookmarkStart w:id="311" w:name="_Toc266632117"/>
      <w:bookmarkStart w:id="312" w:name="_Toc272675203"/>
      <w:bookmarkStart w:id="313" w:name="_Toc181360265"/>
      <w:bookmarkStart w:id="314" w:name="_Toc258581462"/>
      <w:bookmarkStart w:id="315" w:name="_Toc263171248"/>
      <w:bookmarkStart w:id="316" w:name="_Toc276397129"/>
      <w:bookmarkStart w:id="317" w:name="_Toc268028079"/>
      <w:bookmarkStart w:id="318" w:name="_Toc253485714"/>
    </w:p>
    <w:p>
      <w:pPr>
        <w:pStyle w:val="5"/>
        <w:spacing w:before="120" w:after="120"/>
        <w:rPr>
          <w:spacing w:val="0"/>
        </w:rPr>
      </w:pPr>
      <w:bookmarkStart w:id="319" w:name="_Toc145580417"/>
      <w:r>
        <w:rPr>
          <w:spacing w:val="0"/>
        </w:rPr>
        <w:t>4.</w:t>
      </w:r>
      <w:r>
        <w:rPr>
          <w:rFonts w:hint="eastAsia"/>
          <w:spacing w:val="0"/>
        </w:rPr>
        <w:t>2</w:t>
      </w:r>
      <w:r>
        <w:rPr>
          <w:spacing w:val="0"/>
        </w:rPr>
        <w:t>.3声环境现状调查与评价</w:t>
      </w:r>
      <w:bookmarkEnd w:id="309"/>
      <w:bookmarkEnd w:id="310"/>
      <w:bookmarkEnd w:id="319"/>
    </w:p>
    <w:p>
      <w:pPr>
        <w:pStyle w:val="494"/>
        <w:ind w:firstLine="480"/>
      </w:pPr>
      <w:r>
        <w:rPr>
          <w:rFonts w:hint="eastAsia"/>
        </w:rPr>
        <w:t>1、</w:t>
      </w:r>
      <w:r>
        <w:t>监测布点及时间</w:t>
      </w:r>
    </w:p>
    <w:p>
      <w:pPr>
        <w:pStyle w:val="494"/>
        <w:ind w:firstLine="480"/>
      </w:pPr>
      <w:r>
        <w:rPr>
          <w:rFonts w:hint="eastAsia"/>
        </w:rPr>
        <w:t>本次声环境质量现状监测</w:t>
      </w:r>
      <w:r>
        <w:t>在</w:t>
      </w:r>
      <w:r>
        <w:rPr>
          <w:rFonts w:hint="eastAsia"/>
        </w:rPr>
        <w:t>项目</w:t>
      </w:r>
      <w:r>
        <w:t>厂址东、南、西、北</w:t>
      </w:r>
      <w:r>
        <w:rPr>
          <w:rFonts w:hint="eastAsia"/>
        </w:rPr>
        <w:t>各设置1</w:t>
      </w:r>
      <w:r>
        <w:t>个噪声监测点，对噪声进行现状监测，由</w:t>
      </w:r>
      <w:r>
        <w:rPr>
          <w:rFonts w:hint="eastAsia"/>
        </w:rPr>
        <w:t>新疆泰施特环保科技有限公司</w:t>
      </w:r>
      <w:r>
        <w:t>完成，监测时间为20</w:t>
      </w:r>
      <w:r>
        <w:rPr>
          <w:rFonts w:hint="eastAsia"/>
        </w:rPr>
        <w:t>2</w:t>
      </w:r>
      <w:r>
        <w:t>3年3月15日。</w:t>
      </w:r>
    </w:p>
    <w:p>
      <w:pPr>
        <w:pStyle w:val="494"/>
        <w:ind w:firstLine="480"/>
      </w:pPr>
      <w:r>
        <w:t>2</w:t>
      </w:r>
      <w:r>
        <w:rPr>
          <w:rFonts w:hint="eastAsia"/>
        </w:rPr>
        <w:t>、</w:t>
      </w:r>
      <w:r>
        <w:t>监测方法</w:t>
      </w:r>
    </w:p>
    <w:p>
      <w:pPr>
        <w:pStyle w:val="494"/>
        <w:ind w:firstLine="480"/>
      </w:pPr>
      <w:r>
        <w:t>执行《声环境质量标准》（GB3096-2008）环境噪声监测要求。监测仪器使用</w:t>
      </w:r>
      <w:r>
        <w:rPr>
          <w:rFonts w:hint="eastAsia"/>
        </w:rPr>
        <w:t>多功能型</w:t>
      </w:r>
      <w:r>
        <w:t>声级计，测量前后均用声级标准器进行校准。</w:t>
      </w:r>
    </w:p>
    <w:p>
      <w:pPr>
        <w:pStyle w:val="494"/>
        <w:ind w:firstLine="480"/>
      </w:pPr>
      <w:r>
        <w:t>3</w:t>
      </w:r>
      <w:r>
        <w:rPr>
          <w:rFonts w:hint="eastAsia"/>
        </w:rPr>
        <w:t>、</w:t>
      </w:r>
      <w:r>
        <w:t>评价标准</w:t>
      </w:r>
    </w:p>
    <w:p>
      <w:pPr>
        <w:pStyle w:val="494"/>
        <w:ind w:firstLine="480"/>
      </w:pPr>
      <w:r>
        <w:t>项目所处区域执行《声环境质量标准》（GB3096-2008）中2类区标准，即昼间60dB（A），夜间50dB（A）。</w:t>
      </w:r>
    </w:p>
    <w:p>
      <w:pPr>
        <w:pStyle w:val="494"/>
        <w:ind w:firstLine="480"/>
      </w:pPr>
      <w:r>
        <w:rPr>
          <w:rFonts w:hint="eastAsia"/>
        </w:rPr>
        <w:t>4、</w:t>
      </w:r>
      <w:r>
        <w:t>评价结果</w:t>
      </w:r>
    </w:p>
    <w:p>
      <w:pPr>
        <w:pStyle w:val="494"/>
        <w:ind w:firstLine="480"/>
      </w:pPr>
      <w:r>
        <w:t>监测及评价结果见表</w:t>
      </w:r>
      <w:r>
        <w:rPr>
          <w:rFonts w:hint="eastAsia"/>
        </w:rPr>
        <w:t>4.2</w:t>
      </w:r>
      <w:r>
        <w:t>-8。</w:t>
      </w:r>
    </w:p>
    <w:p>
      <w:pPr>
        <w:pStyle w:val="400"/>
        <w:ind w:firstLine="420"/>
      </w:pPr>
      <w:r>
        <w:t>表</w:t>
      </w:r>
      <w:r>
        <w:rPr>
          <w:rFonts w:hint="eastAsia"/>
        </w:rPr>
        <w:t>4.2</w:t>
      </w:r>
      <w:r>
        <w:t>-8                噪声现状监测结果                 单位：dB（A）</w:t>
      </w:r>
    </w:p>
    <w:tbl>
      <w:tblPr>
        <w:tblStyle w:val="651"/>
        <w:tblW w:w="8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7"/>
        <w:gridCol w:w="2003"/>
        <w:gridCol w:w="1672"/>
        <w:gridCol w:w="1282"/>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17" w:type="dxa"/>
            <w:vMerge w:val="restart"/>
            <w:vAlign w:val="center"/>
          </w:tcPr>
          <w:p>
            <w:pPr>
              <w:pStyle w:val="687"/>
              <w:rPr>
                <w:sz w:val="21"/>
              </w:rPr>
            </w:pPr>
            <w:r>
              <w:rPr>
                <w:sz w:val="21"/>
              </w:rPr>
              <w:t>监测位置</w:t>
            </w:r>
          </w:p>
        </w:tc>
        <w:tc>
          <w:tcPr>
            <w:tcW w:w="3675" w:type="dxa"/>
            <w:gridSpan w:val="2"/>
            <w:vAlign w:val="center"/>
          </w:tcPr>
          <w:p>
            <w:pPr>
              <w:pStyle w:val="687"/>
              <w:rPr>
                <w:sz w:val="21"/>
              </w:rPr>
            </w:pPr>
            <w:r>
              <w:rPr>
                <w:sz w:val="21"/>
              </w:rPr>
              <w:t>监测结果</w:t>
            </w:r>
          </w:p>
        </w:tc>
        <w:tc>
          <w:tcPr>
            <w:tcW w:w="2545" w:type="dxa"/>
            <w:gridSpan w:val="2"/>
            <w:vAlign w:val="center"/>
          </w:tcPr>
          <w:p>
            <w:pPr>
              <w:pStyle w:val="687"/>
              <w:rPr>
                <w:sz w:val="21"/>
              </w:rPr>
            </w:pPr>
            <w:r>
              <w:rPr>
                <w:sz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17" w:type="dxa"/>
            <w:vMerge w:val="continue"/>
            <w:vAlign w:val="center"/>
          </w:tcPr>
          <w:p>
            <w:pPr>
              <w:pStyle w:val="687"/>
              <w:rPr>
                <w:sz w:val="21"/>
              </w:rPr>
            </w:pPr>
          </w:p>
        </w:tc>
        <w:tc>
          <w:tcPr>
            <w:tcW w:w="2003" w:type="dxa"/>
            <w:vAlign w:val="center"/>
          </w:tcPr>
          <w:p>
            <w:pPr>
              <w:pStyle w:val="687"/>
              <w:rPr>
                <w:sz w:val="21"/>
              </w:rPr>
            </w:pPr>
            <w:r>
              <w:rPr>
                <w:sz w:val="21"/>
              </w:rPr>
              <w:t>昼间</w:t>
            </w:r>
          </w:p>
        </w:tc>
        <w:tc>
          <w:tcPr>
            <w:tcW w:w="1672" w:type="dxa"/>
            <w:vAlign w:val="center"/>
          </w:tcPr>
          <w:p>
            <w:pPr>
              <w:pStyle w:val="687"/>
              <w:rPr>
                <w:sz w:val="21"/>
              </w:rPr>
            </w:pPr>
            <w:r>
              <w:rPr>
                <w:sz w:val="21"/>
              </w:rPr>
              <w:t>夜间</w:t>
            </w:r>
          </w:p>
        </w:tc>
        <w:tc>
          <w:tcPr>
            <w:tcW w:w="1282" w:type="dxa"/>
            <w:vAlign w:val="center"/>
          </w:tcPr>
          <w:p>
            <w:pPr>
              <w:pStyle w:val="687"/>
              <w:rPr>
                <w:sz w:val="21"/>
              </w:rPr>
            </w:pPr>
            <w:r>
              <w:rPr>
                <w:sz w:val="21"/>
              </w:rPr>
              <w:t>昼间</w:t>
            </w:r>
          </w:p>
        </w:tc>
        <w:tc>
          <w:tcPr>
            <w:tcW w:w="1263" w:type="dxa"/>
            <w:vAlign w:val="center"/>
          </w:tcPr>
          <w:p>
            <w:pPr>
              <w:pStyle w:val="687"/>
              <w:rPr>
                <w:sz w:val="21"/>
              </w:rPr>
            </w:pPr>
            <w:r>
              <w:rPr>
                <w:sz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17" w:type="dxa"/>
            <w:vAlign w:val="center"/>
          </w:tcPr>
          <w:p>
            <w:pPr>
              <w:pStyle w:val="687"/>
              <w:rPr>
                <w:sz w:val="21"/>
              </w:rPr>
            </w:pPr>
            <w:r>
              <w:rPr>
                <w:rFonts w:hint="eastAsia"/>
                <w:sz w:val="21"/>
              </w:rPr>
              <w:t>1#</w:t>
            </w:r>
            <w:r>
              <w:rPr>
                <w:sz w:val="21"/>
              </w:rPr>
              <w:t>项目区</w:t>
            </w:r>
            <w:r>
              <w:rPr>
                <w:rFonts w:hint="eastAsia"/>
                <w:sz w:val="21"/>
              </w:rPr>
              <w:t>东</w:t>
            </w:r>
            <w:r>
              <w:rPr>
                <w:rFonts w:hint="eastAsia"/>
                <w:sz w:val="21"/>
                <w:lang w:eastAsia="zh-CN"/>
              </w:rPr>
              <w:t>侧</w:t>
            </w:r>
          </w:p>
        </w:tc>
        <w:tc>
          <w:tcPr>
            <w:tcW w:w="2003" w:type="dxa"/>
            <w:vAlign w:val="center"/>
          </w:tcPr>
          <w:p>
            <w:pPr>
              <w:pStyle w:val="687"/>
              <w:rPr>
                <w:sz w:val="21"/>
                <w:lang w:eastAsia="zh-CN"/>
              </w:rPr>
            </w:pPr>
            <w:r>
              <w:rPr>
                <w:rFonts w:hint="eastAsia"/>
                <w:sz w:val="21"/>
                <w:lang w:eastAsia="zh-CN"/>
              </w:rPr>
              <w:t>3</w:t>
            </w:r>
            <w:r>
              <w:rPr>
                <w:sz w:val="21"/>
                <w:lang w:eastAsia="zh-CN"/>
              </w:rPr>
              <w:t>9</w:t>
            </w:r>
          </w:p>
        </w:tc>
        <w:tc>
          <w:tcPr>
            <w:tcW w:w="1672" w:type="dxa"/>
            <w:vAlign w:val="center"/>
          </w:tcPr>
          <w:p>
            <w:pPr>
              <w:pStyle w:val="687"/>
              <w:rPr>
                <w:sz w:val="21"/>
                <w:lang w:eastAsia="zh-CN"/>
              </w:rPr>
            </w:pPr>
            <w:r>
              <w:rPr>
                <w:rFonts w:hint="eastAsia"/>
                <w:sz w:val="21"/>
                <w:lang w:eastAsia="zh-CN"/>
              </w:rPr>
              <w:t>3</w:t>
            </w:r>
            <w:r>
              <w:rPr>
                <w:sz w:val="21"/>
                <w:lang w:eastAsia="zh-CN"/>
              </w:rPr>
              <w:t>7</w:t>
            </w:r>
          </w:p>
        </w:tc>
        <w:tc>
          <w:tcPr>
            <w:tcW w:w="1282" w:type="dxa"/>
            <w:vMerge w:val="restart"/>
            <w:vAlign w:val="center"/>
          </w:tcPr>
          <w:p>
            <w:pPr>
              <w:pStyle w:val="687"/>
              <w:rPr>
                <w:sz w:val="21"/>
              </w:rPr>
            </w:pPr>
            <w:r>
              <w:rPr>
                <w:sz w:val="21"/>
              </w:rPr>
              <w:t>60</w:t>
            </w:r>
          </w:p>
        </w:tc>
        <w:tc>
          <w:tcPr>
            <w:tcW w:w="1263" w:type="dxa"/>
            <w:vMerge w:val="restart"/>
            <w:vAlign w:val="center"/>
          </w:tcPr>
          <w:p>
            <w:pPr>
              <w:pStyle w:val="687"/>
              <w:rPr>
                <w:sz w:val="21"/>
              </w:rPr>
            </w:pPr>
            <w:r>
              <w:rPr>
                <w:sz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17" w:type="dxa"/>
            <w:vAlign w:val="center"/>
          </w:tcPr>
          <w:p>
            <w:pPr>
              <w:pStyle w:val="687"/>
              <w:rPr>
                <w:sz w:val="21"/>
              </w:rPr>
            </w:pPr>
            <w:r>
              <w:rPr>
                <w:rFonts w:hint="eastAsia"/>
                <w:sz w:val="21"/>
              </w:rPr>
              <w:t>2#</w:t>
            </w:r>
            <w:r>
              <w:rPr>
                <w:sz w:val="21"/>
              </w:rPr>
              <w:t>项目区</w:t>
            </w:r>
            <w:r>
              <w:rPr>
                <w:rFonts w:hint="eastAsia"/>
                <w:sz w:val="21"/>
              </w:rPr>
              <w:t>南侧</w:t>
            </w:r>
          </w:p>
        </w:tc>
        <w:tc>
          <w:tcPr>
            <w:tcW w:w="2003" w:type="dxa"/>
            <w:vAlign w:val="center"/>
          </w:tcPr>
          <w:p>
            <w:pPr>
              <w:pStyle w:val="687"/>
              <w:rPr>
                <w:sz w:val="21"/>
                <w:lang w:eastAsia="zh-CN"/>
              </w:rPr>
            </w:pPr>
            <w:r>
              <w:rPr>
                <w:rFonts w:hint="eastAsia"/>
                <w:sz w:val="21"/>
                <w:lang w:eastAsia="zh-CN"/>
              </w:rPr>
              <w:t>3</w:t>
            </w:r>
            <w:r>
              <w:rPr>
                <w:sz w:val="21"/>
                <w:lang w:eastAsia="zh-CN"/>
              </w:rPr>
              <w:t>9</w:t>
            </w:r>
          </w:p>
        </w:tc>
        <w:tc>
          <w:tcPr>
            <w:tcW w:w="1672" w:type="dxa"/>
            <w:vAlign w:val="center"/>
          </w:tcPr>
          <w:p>
            <w:pPr>
              <w:pStyle w:val="687"/>
              <w:rPr>
                <w:sz w:val="21"/>
                <w:lang w:eastAsia="zh-CN"/>
              </w:rPr>
            </w:pPr>
            <w:r>
              <w:rPr>
                <w:rFonts w:hint="eastAsia"/>
                <w:sz w:val="21"/>
                <w:lang w:eastAsia="zh-CN"/>
              </w:rPr>
              <w:t>3</w:t>
            </w:r>
            <w:r>
              <w:rPr>
                <w:sz w:val="21"/>
                <w:lang w:eastAsia="zh-CN"/>
              </w:rPr>
              <w:t>8</w:t>
            </w:r>
          </w:p>
        </w:tc>
        <w:tc>
          <w:tcPr>
            <w:tcW w:w="1282" w:type="dxa"/>
            <w:vMerge w:val="continue"/>
            <w:vAlign w:val="center"/>
          </w:tcPr>
          <w:p>
            <w:pPr>
              <w:pStyle w:val="687"/>
              <w:rPr>
                <w:sz w:val="21"/>
              </w:rPr>
            </w:pPr>
          </w:p>
        </w:tc>
        <w:tc>
          <w:tcPr>
            <w:tcW w:w="1263" w:type="dxa"/>
            <w:vMerge w:val="continue"/>
            <w:vAlign w:val="center"/>
          </w:tcPr>
          <w:p>
            <w:pPr>
              <w:pStyle w:val="687"/>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17" w:type="dxa"/>
            <w:vAlign w:val="center"/>
          </w:tcPr>
          <w:p>
            <w:pPr>
              <w:pStyle w:val="687"/>
              <w:rPr>
                <w:sz w:val="21"/>
              </w:rPr>
            </w:pPr>
            <w:r>
              <w:rPr>
                <w:rFonts w:hint="eastAsia"/>
                <w:sz w:val="21"/>
              </w:rPr>
              <w:t>3#</w:t>
            </w:r>
            <w:r>
              <w:rPr>
                <w:sz w:val="21"/>
              </w:rPr>
              <w:t>项目区</w:t>
            </w:r>
            <w:r>
              <w:rPr>
                <w:rFonts w:hint="eastAsia"/>
                <w:sz w:val="21"/>
              </w:rPr>
              <w:t>西侧</w:t>
            </w:r>
          </w:p>
        </w:tc>
        <w:tc>
          <w:tcPr>
            <w:tcW w:w="2003" w:type="dxa"/>
            <w:vAlign w:val="center"/>
          </w:tcPr>
          <w:p>
            <w:pPr>
              <w:pStyle w:val="687"/>
              <w:rPr>
                <w:sz w:val="21"/>
                <w:lang w:eastAsia="zh-CN"/>
              </w:rPr>
            </w:pPr>
            <w:r>
              <w:rPr>
                <w:rFonts w:hint="eastAsia"/>
                <w:sz w:val="21"/>
                <w:lang w:eastAsia="zh-CN"/>
              </w:rPr>
              <w:t>4</w:t>
            </w:r>
            <w:r>
              <w:rPr>
                <w:sz w:val="21"/>
                <w:lang w:eastAsia="zh-CN"/>
              </w:rPr>
              <w:t>2</w:t>
            </w:r>
          </w:p>
        </w:tc>
        <w:tc>
          <w:tcPr>
            <w:tcW w:w="1672" w:type="dxa"/>
            <w:vAlign w:val="center"/>
          </w:tcPr>
          <w:p>
            <w:pPr>
              <w:pStyle w:val="687"/>
              <w:rPr>
                <w:sz w:val="21"/>
                <w:lang w:eastAsia="zh-CN"/>
              </w:rPr>
            </w:pPr>
            <w:r>
              <w:rPr>
                <w:rFonts w:hint="eastAsia"/>
                <w:sz w:val="21"/>
                <w:lang w:eastAsia="zh-CN"/>
              </w:rPr>
              <w:t>4</w:t>
            </w:r>
            <w:r>
              <w:rPr>
                <w:sz w:val="21"/>
                <w:lang w:eastAsia="zh-CN"/>
              </w:rPr>
              <w:t>0</w:t>
            </w:r>
          </w:p>
        </w:tc>
        <w:tc>
          <w:tcPr>
            <w:tcW w:w="1282" w:type="dxa"/>
            <w:vMerge w:val="continue"/>
            <w:vAlign w:val="center"/>
          </w:tcPr>
          <w:p>
            <w:pPr>
              <w:pStyle w:val="687"/>
              <w:rPr>
                <w:sz w:val="21"/>
              </w:rPr>
            </w:pPr>
          </w:p>
        </w:tc>
        <w:tc>
          <w:tcPr>
            <w:tcW w:w="1263" w:type="dxa"/>
            <w:vMerge w:val="continue"/>
            <w:vAlign w:val="center"/>
          </w:tcPr>
          <w:p>
            <w:pPr>
              <w:pStyle w:val="687"/>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17" w:type="dxa"/>
            <w:vAlign w:val="center"/>
          </w:tcPr>
          <w:p>
            <w:pPr>
              <w:pStyle w:val="687"/>
              <w:rPr>
                <w:sz w:val="21"/>
              </w:rPr>
            </w:pPr>
            <w:r>
              <w:rPr>
                <w:rFonts w:hint="eastAsia"/>
                <w:sz w:val="21"/>
              </w:rPr>
              <w:t>4#</w:t>
            </w:r>
            <w:r>
              <w:rPr>
                <w:sz w:val="21"/>
              </w:rPr>
              <w:t>项目区</w:t>
            </w:r>
            <w:r>
              <w:rPr>
                <w:rFonts w:hint="eastAsia"/>
                <w:sz w:val="21"/>
              </w:rPr>
              <w:t>北侧</w:t>
            </w:r>
          </w:p>
        </w:tc>
        <w:tc>
          <w:tcPr>
            <w:tcW w:w="2003" w:type="dxa"/>
            <w:vAlign w:val="center"/>
          </w:tcPr>
          <w:p>
            <w:pPr>
              <w:pStyle w:val="687"/>
              <w:rPr>
                <w:sz w:val="21"/>
                <w:lang w:eastAsia="zh-CN"/>
              </w:rPr>
            </w:pPr>
            <w:r>
              <w:rPr>
                <w:rFonts w:hint="eastAsia"/>
                <w:sz w:val="21"/>
                <w:lang w:eastAsia="zh-CN"/>
              </w:rPr>
              <w:t>4</w:t>
            </w:r>
            <w:r>
              <w:rPr>
                <w:sz w:val="21"/>
                <w:lang w:eastAsia="zh-CN"/>
              </w:rPr>
              <w:t>1</w:t>
            </w:r>
          </w:p>
        </w:tc>
        <w:tc>
          <w:tcPr>
            <w:tcW w:w="1672" w:type="dxa"/>
            <w:vAlign w:val="center"/>
          </w:tcPr>
          <w:p>
            <w:pPr>
              <w:pStyle w:val="687"/>
              <w:rPr>
                <w:sz w:val="21"/>
                <w:lang w:eastAsia="zh-CN"/>
              </w:rPr>
            </w:pPr>
            <w:r>
              <w:rPr>
                <w:rFonts w:hint="eastAsia"/>
                <w:sz w:val="21"/>
                <w:lang w:eastAsia="zh-CN"/>
              </w:rPr>
              <w:t>4</w:t>
            </w:r>
            <w:r>
              <w:rPr>
                <w:sz w:val="21"/>
                <w:lang w:eastAsia="zh-CN"/>
              </w:rPr>
              <w:t>0</w:t>
            </w:r>
          </w:p>
        </w:tc>
        <w:tc>
          <w:tcPr>
            <w:tcW w:w="1282" w:type="dxa"/>
            <w:vMerge w:val="continue"/>
            <w:vAlign w:val="center"/>
          </w:tcPr>
          <w:p>
            <w:pPr>
              <w:pStyle w:val="687"/>
              <w:rPr>
                <w:sz w:val="21"/>
              </w:rPr>
            </w:pPr>
          </w:p>
        </w:tc>
        <w:tc>
          <w:tcPr>
            <w:tcW w:w="1263" w:type="dxa"/>
            <w:vMerge w:val="continue"/>
            <w:vAlign w:val="center"/>
          </w:tcPr>
          <w:p>
            <w:pPr>
              <w:pStyle w:val="687"/>
              <w:rPr>
                <w:sz w:val="21"/>
              </w:rPr>
            </w:pPr>
          </w:p>
        </w:tc>
      </w:tr>
    </w:tbl>
    <w:p>
      <w:pPr>
        <w:pStyle w:val="494"/>
        <w:ind w:firstLine="480"/>
      </w:pPr>
      <w:r>
        <w:t>从表</w:t>
      </w:r>
      <w:r>
        <w:rPr>
          <w:rFonts w:hint="eastAsia"/>
        </w:rPr>
        <w:t>4.</w:t>
      </w:r>
      <w:r>
        <w:t>2-8的监测结果可以看出，</w:t>
      </w:r>
      <w:r>
        <w:rPr>
          <w:rFonts w:hint="eastAsia"/>
        </w:rPr>
        <w:t>项目区</w:t>
      </w:r>
      <w:r>
        <w:t>昼间及夜间噪声监测值均符合《声环境质量标准》（GB3096-2008）中的2类</w:t>
      </w:r>
      <w:r>
        <w:rPr>
          <w:rFonts w:hint="eastAsia"/>
        </w:rPr>
        <w:t>声环境功能区</w:t>
      </w:r>
      <w:r>
        <w:t>标准限值。</w:t>
      </w:r>
    </w:p>
    <w:p>
      <w:pPr>
        <w:pStyle w:val="5"/>
        <w:spacing w:before="120" w:after="120"/>
        <w:rPr>
          <w:spacing w:val="0"/>
        </w:rPr>
      </w:pPr>
      <w:bookmarkStart w:id="320" w:name="_Toc145580418"/>
      <w:bookmarkStart w:id="321" w:name="_Toc107500383"/>
      <w:r>
        <w:rPr>
          <w:spacing w:val="0"/>
        </w:rPr>
        <w:t>4.</w:t>
      </w:r>
      <w:r>
        <w:rPr>
          <w:rFonts w:hint="eastAsia"/>
          <w:spacing w:val="0"/>
        </w:rPr>
        <w:t>2</w:t>
      </w:r>
      <w:r>
        <w:rPr>
          <w:spacing w:val="0"/>
        </w:rPr>
        <w:t>.4</w:t>
      </w:r>
      <w:r>
        <w:rPr>
          <w:rFonts w:hint="eastAsia"/>
          <w:spacing w:val="0"/>
        </w:rPr>
        <w:t>土壤</w:t>
      </w:r>
      <w:r>
        <w:rPr>
          <w:spacing w:val="0"/>
        </w:rPr>
        <w:t>环境现状调查与评价</w:t>
      </w:r>
      <w:bookmarkEnd w:id="320"/>
      <w:bookmarkEnd w:id="321"/>
    </w:p>
    <w:p>
      <w:pPr>
        <w:pStyle w:val="488"/>
        <w:ind w:firstLine="480"/>
        <w:rPr>
          <w:rFonts w:ascii="Times New Roman" w:hAnsi="Times New Roman" w:cs="Times New Roman"/>
        </w:rPr>
      </w:pPr>
      <w:r>
        <w:rPr>
          <w:rFonts w:ascii="Times New Roman" w:hAnsi="Times New Roman" w:cs="Times New Roman"/>
        </w:rPr>
        <w:t>1、监测布点及监测时间</w:t>
      </w:r>
    </w:p>
    <w:p>
      <w:pPr>
        <w:pStyle w:val="488"/>
        <w:ind w:firstLine="480"/>
        <w:rPr>
          <w:rFonts w:ascii="Times New Roman" w:hAnsi="Times New Roman" w:cs="Times New Roman"/>
        </w:rPr>
      </w:pPr>
      <w:r>
        <w:rPr>
          <w:rFonts w:hint="eastAsia"/>
        </w:rPr>
        <w:t>本次评价引用《新疆天安鑫业油气技术服务有限公司董701区块零散天然气回收项目环境影响报告书》中对项目区土壤环境的监测数据，监测公司为</w:t>
      </w:r>
      <w:r>
        <w:rPr>
          <w:rFonts w:ascii="Times New Roman" w:hAnsi="Times New Roman" w:cs="Times New Roman"/>
        </w:rPr>
        <w:t>新疆锡水金山环境科技有限公司。共布设三个土壤表层样点，分别位于厂区北侧、设备区东侧、厂区南侧。各监测点位名称及与项目相对关系见表4.2-9，土壤监测点位图见图4.2-2。</w:t>
      </w:r>
    </w:p>
    <w:p>
      <w:pPr>
        <w:pStyle w:val="400"/>
        <w:ind w:firstLine="420"/>
      </w:pPr>
      <w:r>
        <w:rPr>
          <w:rFonts w:hint="eastAsia"/>
        </w:rPr>
        <w:t>表</w:t>
      </w:r>
      <w:r>
        <w:t xml:space="preserve">4.2-9               </w:t>
      </w:r>
      <w:r>
        <w:rPr>
          <w:rFonts w:hint="eastAsia"/>
        </w:rPr>
        <w:t xml:space="preserve"> </w:t>
      </w:r>
      <w:r>
        <w:t xml:space="preserve">  </w:t>
      </w:r>
      <w:r>
        <w:rPr>
          <w:rFonts w:hint="eastAsia"/>
        </w:rPr>
        <w:t>土壤监测点位布置图</w:t>
      </w:r>
    </w:p>
    <w:tbl>
      <w:tblPr>
        <w:tblStyle w:val="55"/>
        <w:tblW w:w="8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994"/>
        <w:gridCol w:w="2269"/>
        <w:gridCol w:w="3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tcBorders>
              <w:top w:val="single" w:color="auto" w:sz="4" w:space="0"/>
              <w:left w:val="single" w:color="auto" w:sz="4" w:space="0"/>
              <w:bottom w:val="single" w:color="auto" w:sz="4" w:space="0"/>
              <w:right w:val="single" w:color="auto" w:sz="4" w:space="0"/>
            </w:tcBorders>
            <w:vAlign w:val="center"/>
          </w:tcPr>
          <w:p>
            <w:pPr>
              <w:pStyle w:val="670"/>
            </w:pPr>
            <w:r>
              <w:t>点号</w:t>
            </w:r>
          </w:p>
        </w:tc>
        <w:tc>
          <w:tcPr>
            <w:tcW w:w="1994" w:type="dxa"/>
            <w:tcBorders>
              <w:top w:val="single" w:color="auto" w:sz="4" w:space="0"/>
              <w:left w:val="single" w:color="auto" w:sz="4" w:space="0"/>
              <w:bottom w:val="single" w:color="auto" w:sz="4" w:space="0"/>
              <w:right w:val="single" w:color="auto" w:sz="4" w:space="0"/>
            </w:tcBorders>
            <w:vAlign w:val="center"/>
          </w:tcPr>
          <w:p>
            <w:pPr>
              <w:pStyle w:val="670"/>
            </w:pPr>
            <w:r>
              <w:t>位置</w:t>
            </w:r>
          </w:p>
        </w:tc>
        <w:tc>
          <w:tcPr>
            <w:tcW w:w="2269" w:type="dxa"/>
            <w:tcBorders>
              <w:top w:val="single" w:color="auto" w:sz="4" w:space="0"/>
              <w:left w:val="single" w:color="auto" w:sz="4" w:space="0"/>
              <w:bottom w:val="single" w:color="auto" w:sz="4" w:space="0"/>
              <w:right w:val="single" w:color="auto" w:sz="4" w:space="0"/>
            </w:tcBorders>
            <w:vAlign w:val="center"/>
          </w:tcPr>
          <w:p>
            <w:pPr>
              <w:pStyle w:val="670"/>
            </w:pPr>
            <w:r>
              <w:t>点位类型</w:t>
            </w:r>
          </w:p>
        </w:tc>
        <w:tc>
          <w:tcPr>
            <w:tcW w:w="3602" w:type="dxa"/>
            <w:tcBorders>
              <w:top w:val="single" w:color="auto" w:sz="4" w:space="0"/>
              <w:left w:val="single" w:color="auto" w:sz="4" w:space="0"/>
              <w:bottom w:val="single" w:color="auto" w:sz="4" w:space="0"/>
              <w:right w:val="single" w:color="auto" w:sz="4" w:space="0"/>
            </w:tcBorders>
            <w:vAlign w:val="center"/>
          </w:tcPr>
          <w:p>
            <w:pPr>
              <w:pStyle w:val="670"/>
            </w:pPr>
            <w:r>
              <w:t>点位坐标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tcBorders>
              <w:top w:val="single" w:color="auto" w:sz="4" w:space="0"/>
              <w:left w:val="single" w:color="auto" w:sz="4" w:space="0"/>
              <w:bottom w:val="single" w:color="auto" w:sz="4" w:space="0"/>
              <w:right w:val="single" w:color="auto" w:sz="4" w:space="0"/>
            </w:tcBorders>
            <w:vAlign w:val="center"/>
          </w:tcPr>
          <w:p>
            <w:pPr>
              <w:pStyle w:val="670"/>
            </w:pPr>
            <w:r>
              <w:t>1#</w:t>
            </w:r>
          </w:p>
        </w:tc>
        <w:tc>
          <w:tcPr>
            <w:tcW w:w="1994" w:type="dxa"/>
            <w:tcBorders>
              <w:top w:val="single" w:color="auto" w:sz="4" w:space="0"/>
              <w:left w:val="single" w:color="auto" w:sz="4" w:space="0"/>
              <w:bottom w:val="single" w:color="auto" w:sz="4" w:space="0"/>
              <w:right w:val="single" w:color="auto" w:sz="4" w:space="0"/>
            </w:tcBorders>
            <w:vAlign w:val="center"/>
          </w:tcPr>
          <w:p>
            <w:pPr>
              <w:pStyle w:val="670"/>
            </w:pPr>
            <w:r>
              <w:t>厂区北侧</w:t>
            </w:r>
          </w:p>
        </w:tc>
        <w:tc>
          <w:tcPr>
            <w:tcW w:w="2269" w:type="dxa"/>
            <w:tcBorders>
              <w:top w:val="single" w:color="auto" w:sz="4" w:space="0"/>
              <w:left w:val="single" w:color="auto" w:sz="4" w:space="0"/>
              <w:bottom w:val="single" w:color="auto" w:sz="4" w:space="0"/>
              <w:right w:val="single" w:color="auto" w:sz="4" w:space="0"/>
            </w:tcBorders>
            <w:vAlign w:val="center"/>
          </w:tcPr>
          <w:p>
            <w:pPr>
              <w:pStyle w:val="670"/>
            </w:pPr>
            <w:r>
              <w:t>表层样点</w:t>
            </w:r>
          </w:p>
        </w:tc>
        <w:tc>
          <w:tcPr>
            <w:tcW w:w="3602" w:type="dxa"/>
            <w:tcBorders>
              <w:top w:val="single" w:color="auto" w:sz="4" w:space="0"/>
              <w:left w:val="single" w:color="auto" w:sz="4" w:space="0"/>
              <w:bottom w:val="single" w:color="auto" w:sz="4" w:space="0"/>
              <w:right w:val="single" w:color="auto" w:sz="4" w:space="0"/>
            </w:tcBorders>
            <w:vAlign w:val="center"/>
          </w:tcPr>
          <w:p>
            <w:pPr>
              <w:pStyle w:val="670"/>
            </w:pPr>
            <w:r>
              <w:t>N44°55′38.14″；E89°04′27.64″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tcBorders>
              <w:top w:val="single" w:color="auto" w:sz="4" w:space="0"/>
              <w:left w:val="single" w:color="auto" w:sz="4" w:space="0"/>
              <w:bottom w:val="single" w:color="auto" w:sz="4" w:space="0"/>
              <w:right w:val="single" w:color="auto" w:sz="4" w:space="0"/>
            </w:tcBorders>
            <w:vAlign w:val="center"/>
          </w:tcPr>
          <w:p>
            <w:pPr>
              <w:pStyle w:val="670"/>
            </w:pPr>
            <w:r>
              <w:t>2#</w:t>
            </w:r>
          </w:p>
        </w:tc>
        <w:tc>
          <w:tcPr>
            <w:tcW w:w="1994" w:type="dxa"/>
            <w:tcBorders>
              <w:top w:val="single" w:color="auto" w:sz="4" w:space="0"/>
              <w:left w:val="single" w:color="auto" w:sz="4" w:space="0"/>
              <w:bottom w:val="single" w:color="auto" w:sz="4" w:space="0"/>
              <w:right w:val="single" w:color="auto" w:sz="4" w:space="0"/>
            </w:tcBorders>
            <w:vAlign w:val="center"/>
          </w:tcPr>
          <w:p>
            <w:pPr>
              <w:pStyle w:val="670"/>
            </w:pPr>
            <w:r>
              <w:t>设备区东侧</w:t>
            </w:r>
          </w:p>
        </w:tc>
        <w:tc>
          <w:tcPr>
            <w:tcW w:w="2269" w:type="dxa"/>
            <w:tcBorders>
              <w:top w:val="single" w:color="auto" w:sz="4" w:space="0"/>
              <w:left w:val="single" w:color="auto" w:sz="4" w:space="0"/>
              <w:bottom w:val="single" w:color="auto" w:sz="4" w:space="0"/>
              <w:right w:val="single" w:color="auto" w:sz="4" w:space="0"/>
            </w:tcBorders>
            <w:vAlign w:val="center"/>
          </w:tcPr>
          <w:p>
            <w:pPr>
              <w:pStyle w:val="670"/>
            </w:pPr>
            <w:r>
              <w:t>表层样点</w:t>
            </w:r>
          </w:p>
        </w:tc>
        <w:tc>
          <w:tcPr>
            <w:tcW w:w="3602" w:type="dxa"/>
            <w:tcBorders>
              <w:top w:val="single" w:color="auto" w:sz="4" w:space="0"/>
              <w:left w:val="single" w:color="auto" w:sz="4" w:space="0"/>
              <w:bottom w:val="single" w:color="auto" w:sz="4" w:space="0"/>
              <w:right w:val="single" w:color="auto" w:sz="4" w:space="0"/>
            </w:tcBorders>
            <w:vAlign w:val="center"/>
          </w:tcPr>
          <w:p>
            <w:pPr>
              <w:pStyle w:val="670"/>
            </w:pPr>
            <w:r>
              <w:t>N44°55′31.39″；E89°04′35.56″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tcBorders>
              <w:top w:val="single" w:color="auto" w:sz="4" w:space="0"/>
              <w:left w:val="single" w:color="auto" w:sz="4" w:space="0"/>
              <w:bottom w:val="single" w:color="auto" w:sz="4" w:space="0"/>
              <w:right w:val="single" w:color="auto" w:sz="4" w:space="0"/>
            </w:tcBorders>
            <w:vAlign w:val="center"/>
          </w:tcPr>
          <w:p>
            <w:pPr>
              <w:pStyle w:val="670"/>
            </w:pPr>
            <w:r>
              <w:t>3#</w:t>
            </w:r>
          </w:p>
        </w:tc>
        <w:tc>
          <w:tcPr>
            <w:tcW w:w="1994" w:type="dxa"/>
            <w:tcBorders>
              <w:top w:val="single" w:color="auto" w:sz="4" w:space="0"/>
              <w:left w:val="single" w:color="auto" w:sz="4" w:space="0"/>
              <w:bottom w:val="single" w:color="auto" w:sz="4" w:space="0"/>
              <w:right w:val="single" w:color="auto" w:sz="4" w:space="0"/>
            </w:tcBorders>
            <w:vAlign w:val="center"/>
          </w:tcPr>
          <w:p>
            <w:pPr>
              <w:pStyle w:val="670"/>
            </w:pPr>
            <w:r>
              <w:t>厂区南侧</w:t>
            </w:r>
          </w:p>
        </w:tc>
        <w:tc>
          <w:tcPr>
            <w:tcW w:w="2269" w:type="dxa"/>
            <w:tcBorders>
              <w:top w:val="single" w:color="auto" w:sz="4" w:space="0"/>
              <w:left w:val="single" w:color="auto" w:sz="4" w:space="0"/>
              <w:bottom w:val="single" w:color="auto" w:sz="4" w:space="0"/>
              <w:right w:val="single" w:color="auto" w:sz="4" w:space="0"/>
            </w:tcBorders>
            <w:vAlign w:val="center"/>
          </w:tcPr>
          <w:p>
            <w:pPr>
              <w:pStyle w:val="670"/>
            </w:pPr>
            <w:r>
              <w:t>表层样点</w:t>
            </w:r>
          </w:p>
        </w:tc>
        <w:tc>
          <w:tcPr>
            <w:tcW w:w="3602" w:type="dxa"/>
            <w:tcBorders>
              <w:top w:val="single" w:color="auto" w:sz="4" w:space="0"/>
              <w:left w:val="single" w:color="auto" w:sz="4" w:space="0"/>
              <w:bottom w:val="single" w:color="auto" w:sz="4" w:space="0"/>
              <w:right w:val="single" w:color="auto" w:sz="4" w:space="0"/>
            </w:tcBorders>
            <w:vAlign w:val="center"/>
          </w:tcPr>
          <w:p>
            <w:pPr>
              <w:pStyle w:val="670"/>
            </w:pPr>
            <w:r>
              <w:t>N44°55′41.09″；E89°04′19.12″</w:t>
            </w:r>
          </w:p>
        </w:tc>
      </w:tr>
    </w:tbl>
    <w:p>
      <w:pPr>
        <w:pStyle w:val="488"/>
        <w:ind w:firstLine="480"/>
        <w:rPr>
          <w:rFonts w:ascii="Times New Roman" w:hAnsi="Times New Roman" w:cs="Times New Roman"/>
          <w:kern w:val="0"/>
        </w:rPr>
      </w:pPr>
      <w:r>
        <w:rPr>
          <w:rFonts w:ascii="Times New Roman" w:hAnsi="Times New Roman" w:cs="Times New Roman"/>
        </w:rPr>
        <w:t>监测时间：2021年9月19日。</w:t>
      </w:r>
    </w:p>
    <w:p>
      <w:pPr>
        <w:pStyle w:val="488"/>
        <w:ind w:firstLine="480"/>
        <w:rPr>
          <w:rFonts w:ascii="Times New Roman" w:hAnsi="Times New Roman" w:cs="Times New Roman"/>
        </w:rPr>
      </w:pPr>
      <w:r>
        <w:rPr>
          <w:rFonts w:ascii="Times New Roman" w:hAnsi="Times New Roman" w:cs="Times New Roman"/>
        </w:rPr>
        <w:t>监测频次：土壤表层样点取样深度为0~20cm。</w:t>
      </w:r>
    </w:p>
    <w:p>
      <w:pPr>
        <w:pStyle w:val="494"/>
        <w:ind w:firstLine="480"/>
      </w:pPr>
      <w:r>
        <w:rPr>
          <w:rFonts w:hint="eastAsia"/>
        </w:rPr>
        <w:t>2、监测因子</w:t>
      </w:r>
    </w:p>
    <w:p>
      <w:pPr>
        <w:pStyle w:val="488"/>
        <w:ind w:firstLine="480"/>
        <w:rPr>
          <w:rFonts w:ascii="Times New Roman" w:hAnsi="Times New Roman" w:cs="Times New Roman"/>
        </w:rPr>
      </w:pPr>
      <w:r>
        <w:rPr>
          <w:rFonts w:ascii="Times New Roman" w:hAnsi="Times New Roman" w:cs="Times New Roman"/>
        </w:rPr>
        <w:t>结合项目产污特点，本次评价土壤质量现状监测因子共选择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pH、石油烃，共47项。</w:t>
      </w:r>
    </w:p>
    <w:p>
      <w:pPr>
        <w:pStyle w:val="494"/>
        <w:ind w:firstLine="480"/>
      </w:pPr>
      <w:r>
        <w:rPr>
          <w:rFonts w:hint="eastAsia"/>
        </w:rPr>
        <w:t>3、评价标准</w:t>
      </w:r>
    </w:p>
    <w:p>
      <w:pPr>
        <w:pStyle w:val="494"/>
        <w:ind w:firstLine="480"/>
      </w:pPr>
      <w:r>
        <w:rPr>
          <w:rFonts w:hint="eastAsia"/>
        </w:rPr>
        <w:t>评价标准采用</w:t>
      </w:r>
      <w:r>
        <w:rPr>
          <w:rFonts w:hint="eastAsia"/>
          <w:bCs/>
        </w:rPr>
        <w:t>《土壤环境质量 建设用地土壤污染风险管控标准（试行）》（</w:t>
      </w:r>
      <w:r>
        <w:rPr>
          <w:bCs/>
        </w:rPr>
        <w:t>GB36600-2018</w:t>
      </w:r>
      <w:r>
        <w:rPr>
          <w:rFonts w:hint="eastAsia"/>
          <w:bCs/>
        </w:rPr>
        <w:t>）中相关限值</w:t>
      </w:r>
      <w:r>
        <w:rPr>
          <w:rFonts w:hint="eastAsia"/>
        </w:rPr>
        <w:t>。</w:t>
      </w:r>
    </w:p>
    <w:p>
      <w:pPr>
        <w:pStyle w:val="494"/>
        <w:ind w:firstLine="480"/>
      </w:pPr>
      <w:r>
        <w:rPr>
          <w:rFonts w:hint="eastAsia"/>
        </w:rPr>
        <w:t>4、评价方法</w:t>
      </w:r>
    </w:p>
    <w:p>
      <w:pPr>
        <w:pStyle w:val="494"/>
        <w:ind w:firstLine="480"/>
      </w:pPr>
      <w:r>
        <w:rPr>
          <w:rFonts w:hint="eastAsia"/>
        </w:rPr>
        <w:t>评价方法采用标准指数法。</w:t>
      </w:r>
    </w:p>
    <w:p>
      <w:pPr>
        <w:pStyle w:val="494"/>
        <w:ind w:firstLine="480"/>
      </w:pPr>
      <w:r>
        <w:rPr>
          <w:rFonts w:hint="eastAsia"/>
        </w:rPr>
        <w:t>计算公式为：</w:t>
      </w:r>
    </w:p>
    <w:p>
      <w:pPr>
        <w:pStyle w:val="494"/>
        <w:spacing w:line="360" w:lineRule="auto"/>
        <w:ind w:firstLine="480"/>
        <w:rPr>
          <w:i/>
        </w:rPr>
      </w:pPr>
      <m:oMathPara>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i</m:t>
              </m:r>
              <m:ctrlPr>
                <w:rPr>
                  <w:rFonts w:ascii="Cambria Math" w:hAnsi="Cambria Math"/>
                  <w:i/>
                </w:rPr>
              </m:ctrlPr>
            </m:sub>
          </m:sSub>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i</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0i</m:t>
                  </m:r>
                  <m:ctrlPr>
                    <w:rPr>
                      <w:rFonts w:ascii="Cambria Math" w:hAnsi="Cambria Math"/>
                      <w:i/>
                    </w:rPr>
                  </m:ctrlPr>
                </m:sub>
              </m:sSub>
              <m:ctrlPr>
                <w:rPr>
                  <w:rFonts w:ascii="Cambria Math" w:hAnsi="Cambria Math"/>
                  <w:i/>
                </w:rPr>
              </m:ctrlPr>
            </m:den>
          </m:f>
        </m:oMath>
      </m:oMathPara>
    </w:p>
    <w:p>
      <w:pPr>
        <w:pStyle w:val="494"/>
        <w:ind w:firstLine="480"/>
      </w:pPr>
      <w:r>
        <w:rPr>
          <w:rFonts w:hint="eastAsia"/>
        </w:rPr>
        <w:t>式中：</w:t>
      </w:r>
      <w:r>
        <w:rPr>
          <w:rFonts w:hint="eastAsia"/>
          <w:i/>
        </w:rPr>
        <w:t>P</w:t>
      </w:r>
      <w:r>
        <w:rPr>
          <w:i/>
          <w:vertAlign w:val="subscript"/>
        </w:rPr>
        <w:t>i</w:t>
      </w:r>
      <w:r>
        <w:t>—i</w:t>
      </w:r>
      <w:r>
        <w:rPr>
          <w:rFonts w:hint="eastAsia"/>
        </w:rPr>
        <w:t>污染物标准指数；</w:t>
      </w:r>
    </w:p>
    <w:p>
      <w:pPr>
        <w:pStyle w:val="494"/>
        <w:ind w:firstLine="480"/>
      </w:pPr>
      <w:r>
        <w:rPr>
          <w:rFonts w:hint="eastAsia"/>
        </w:rPr>
        <w:t xml:space="preserve">     </w:t>
      </w:r>
      <w:r>
        <w:rPr>
          <w:rFonts w:hint="eastAsia"/>
          <w:i/>
        </w:rPr>
        <w:t xml:space="preserve"> </w:t>
      </w:r>
      <w:r>
        <w:rPr>
          <w:i/>
        </w:rPr>
        <w:t>C</w:t>
      </w:r>
      <w:r>
        <w:rPr>
          <w:i/>
          <w:vertAlign w:val="subscript"/>
        </w:rPr>
        <w:t>i</w:t>
      </w:r>
      <w:r>
        <w:t>—i</w:t>
      </w:r>
      <w:r>
        <w:rPr>
          <w:rFonts w:hint="eastAsia"/>
        </w:rPr>
        <w:t>污染物的实测浓度均值</w:t>
      </w:r>
      <w:r>
        <w:t xml:space="preserve"> mg/</w:t>
      </w:r>
      <w:r>
        <w:rPr>
          <w:rFonts w:hint="eastAsia"/>
        </w:rPr>
        <w:t>kg；</w:t>
      </w:r>
    </w:p>
    <w:p>
      <w:pPr>
        <w:pStyle w:val="494"/>
        <w:ind w:firstLine="480"/>
      </w:pPr>
      <w:r>
        <w:rPr>
          <w:rFonts w:hint="eastAsia"/>
        </w:rPr>
        <w:t xml:space="preserve">     </w:t>
      </w:r>
      <w:r>
        <w:rPr>
          <w:rFonts w:hint="eastAsia"/>
          <w:i/>
        </w:rPr>
        <w:t xml:space="preserve"> </w:t>
      </w:r>
      <w:r>
        <w:rPr>
          <w:i/>
        </w:rPr>
        <w:t>C</w:t>
      </w:r>
      <w:r>
        <w:rPr>
          <w:rFonts w:hint="eastAsia"/>
          <w:i/>
          <w:vertAlign w:val="subscript"/>
        </w:rPr>
        <w:t>0</w:t>
      </w:r>
      <w:r>
        <w:rPr>
          <w:i/>
          <w:vertAlign w:val="subscript"/>
        </w:rPr>
        <w:t>i</w:t>
      </w:r>
      <w:r>
        <w:t>—i</w:t>
      </w:r>
      <w:r>
        <w:rPr>
          <w:rFonts w:hint="eastAsia"/>
        </w:rPr>
        <w:t>污染物评价标准值</w:t>
      </w:r>
      <w:r>
        <w:t xml:space="preserve"> mg/</w:t>
      </w:r>
      <w:r>
        <w:rPr>
          <w:rFonts w:hint="eastAsia"/>
        </w:rPr>
        <w:t>kg；</w:t>
      </w:r>
    </w:p>
    <w:p>
      <w:pPr>
        <w:pStyle w:val="494"/>
        <w:ind w:firstLine="480"/>
      </w:pPr>
      <w:r>
        <w:rPr>
          <w:rFonts w:hint="eastAsia"/>
        </w:rPr>
        <w:t>5、监测数据及评价结果</w:t>
      </w:r>
    </w:p>
    <w:p>
      <w:pPr>
        <w:pStyle w:val="494"/>
        <w:ind w:firstLine="480"/>
      </w:pPr>
      <w:r>
        <w:t>统计项目区土壤监测数据，各采样点监测结果见表4.2-10。</w:t>
      </w:r>
    </w:p>
    <w:p>
      <w:pPr>
        <w:pStyle w:val="494"/>
        <w:ind w:firstLine="480"/>
      </w:pPr>
      <w:r>
        <w:br w:type="page"/>
      </w:r>
    </w:p>
    <w:p>
      <w:pPr>
        <w:pStyle w:val="494"/>
        <w:ind w:firstLine="480"/>
        <w:sectPr>
          <w:pgSz w:w="11906" w:h="16838"/>
          <w:pgMar w:top="1440" w:right="1701" w:bottom="1440" w:left="1985" w:header="851" w:footer="992" w:gutter="0"/>
          <w:cols w:space="720" w:num="1"/>
          <w:docGrid w:linePitch="312" w:charSpace="0"/>
        </w:sectPr>
      </w:pPr>
    </w:p>
    <w:p>
      <w:pPr>
        <w:pStyle w:val="672"/>
        <w:spacing w:before="120"/>
        <w:rPr>
          <w:color w:val="auto"/>
        </w:rPr>
      </w:pPr>
      <w:r>
        <w:rPr>
          <w:color w:val="auto"/>
        </w:rPr>
        <w:t>表4.2-10                                           各监测点</w:t>
      </w:r>
      <w:r>
        <w:rPr>
          <w:rFonts w:hint="eastAsia"/>
          <w:color w:val="auto"/>
        </w:rPr>
        <w:t>土壤环境</w:t>
      </w:r>
      <w:r>
        <w:rPr>
          <w:color w:val="auto"/>
        </w:rPr>
        <w:t xml:space="preserve">现状监测及评价结果                          单位：mg/kg </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82"/>
        <w:gridCol w:w="916"/>
        <w:gridCol w:w="916"/>
        <w:gridCol w:w="916"/>
        <w:gridCol w:w="916"/>
        <w:gridCol w:w="916"/>
        <w:gridCol w:w="916"/>
        <w:gridCol w:w="709"/>
        <w:gridCol w:w="879"/>
        <w:gridCol w:w="879"/>
        <w:gridCol w:w="879"/>
        <w:gridCol w:w="879"/>
        <w:gridCol w:w="879"/>
        <w:gridCol w:w="672"/>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blHeader/>
          <w:jc w:val="center"/>
        </w:trPr>
        <w:tc>
          <w:tcPr>
            <w:tcW w:w="474" w:type="pct"/>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项目</w:t>
            </w:r>
          </w:p>
        </w:tc>
        <w:tc>
          <w:tcPr>
            <w:tcW w:w="276" w:type="pct"/>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标准</w:t>
            </w:r>
          </w:p>
          <w:p>
            <w:pPr>
              <w:jc w:val="center"/>
              <w:rPr>
                <w:szCs w:val="21"/>
              </w:rPr>
            </w:pPr>
            <w:r>
              <w:rPr>
                <w:szCs w:val="21"/>
              </w:rPr>
              <w:t>限值</w:t>
            </w:r>
          </w:p>
        </w:tc>
        <w:tc>
          <w:tcPr>
            <w:tcW w:w="646" w:type="pct"/>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厂区北侧</w:t>
            </w:r>
          </w:p>
        </w:tc>
        <w:tc>
          <w:tcPr>
            <w:tcW w:w="646" w:type="pct"/>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设备区东侧</w:t>
            </w:r>
          </w:p>
        </w:tc>
        <w:tc>
          <w:tcPr>
            <w:tcW w:w="646" w:type="pct"/>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厂区南侧</w:t>
            </w:r>
          </w:p>
        </w:tc>
        <w:tc>
          <w:tcPr>
            <w:tcW w:w="250" w:type="pct"/>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样本数量</w:t>
            </w:r>
          </w:p>
        </w:tc>
        <w:tc>
          <w:tcPr>
            <w:tcW w:w="310" w:type="pct"/>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最大值</w:t>
            </w:r>
          </w:p>
        </w:tc>
        <w:tc>
          <w:tcPr>
            <w:tcW w:w="310" w:type="pct"/>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最小值</w:t>
            </w:r>
          </w:p>
        </w:tc>
        <w:tc>
          <w:tcPr>
            <w:tcW w:w="310" w:type="pct"/>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均值</w:t>
            </w:r>
          </w:p>
        </w:tc>
        <w:tc>
          <w:tcPr>
            <w:tcW w:w="310" w:type="pct"/>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标准差</w:t>
            </w:r>
          </w:p>
        </w:tc>
        <w:tc>
          <w:tcPr>
            <w:tcW w:w="310" w:type="pct"/>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检出率</w:t>
            </w:r>
          </w:p>
        </w:tc>
        <w:tc>
          <w:tcPr>
            <w:tcW w:w="237" w:type="pct"/>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超标率%</w:t>
            </w:r>
          </w:p>
        </w:tc>
        <w:tc>
          <w:tcPr>
            <w:tcW w:w="274" w:type="pct"/>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blHeader/>
          <w:jc w:val="center"/>
        </w:trPr>
        <w:tc>
          <w:tcPr>
            <w:tcW w:w="474" w:type="pct"/>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276" w:type="pct"/>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监测值</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Pi</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监测值</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Pi</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监测值</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Pi</w:t>
            </w:r>
          </w:p>
        </w:tc>
        <w:tc>
          <w:tcPr>
            <w:tcW w:w="250" w:type="pct"/>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310" w:type="pct"/>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310" w:type="pct"/>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310" w:type="pct"/>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310" w:type="pct"/>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310" w:type="pct"/>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237" w:type="pct"/>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274" w:type="pct"/>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pH</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8.06</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7.93</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7.87</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8.06</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7.87</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7.953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0.08</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100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总汞</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38</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0.375</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0.009</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0.395</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0.01</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0.374</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0.01</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0.395</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0.374</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0.381</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0.01</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100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总砷</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60</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12.1</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0.20</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12.1</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0.20</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12.3</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0.21</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12.3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12.1</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12.17</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0.09</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100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铅</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800</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45</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0.06</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49</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0.06</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46</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0.06</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49</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45</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46.67</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1.70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100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镉</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65</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0.12</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0.002</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0.11</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0.002</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0.11</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0.002</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0.12</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0.11</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0.11</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100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镍</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900</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42</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0.05</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42</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0.05</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44</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0.05</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44</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42</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42.67</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0.94</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100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铜</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18000</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48</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0.003</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43</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0.002</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48</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0.003</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48</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46.33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2.36</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100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六价铬</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5.7</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4.9</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0.86</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4.9</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0.86</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5.1</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0.89</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5.1</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4.9</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4.97</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0.09</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100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四氯化碳</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2.8</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氯仿</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0.9</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1,1-二氯乙烷</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9</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1,2-二氯乙烷</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5</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1,1-二氯乙烯</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66</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顺1,2-二氯乙烯</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596</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反1,2-二氯乙烯</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54</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二氯甲烷</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616</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1,2-二氯丙烷</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5</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1,1,1,2-四氯乙烷</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10</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1,1,2,2-四氯乙烷</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6.8</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1,1,2-三氯乙烷</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2.8</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三氯乙烯</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2.8</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氯乙烯</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0.43</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苯</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1,2-二氯苯</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560</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1,4-二氯苯</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20</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乙苯</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28</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苯乙烯</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1290</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甲苯</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1200</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间二甲苯+对二甲苯</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570</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邻二甲苯</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640</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四氯乙烯</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53</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1,2,3-三氯丙烷</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0.5</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1,1,1-三氯乙烷</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840</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氯苯</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270</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2-氯酚</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2256</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苯并[a]蒽</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15</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苯并[a]芘</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1.5</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苯并[b]荧蒽</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15</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苯并[k]荧蒽</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151</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䓛</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1293</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二苯并[a,h]蒽</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1.5</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茚并[1,2,3-cd]芘</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15</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萘</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70</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氯甲烷</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37</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硝基苯</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76</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苯胺</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260</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ND</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石油烃（C10～C40）</w:t>
            </w:r>
          </w:p>
        </w:tc>
        <w:tc>
          <w:tcPr>
            <w:tcW w:w="2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4500</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15.4</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0.0034</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12.2</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0.0027</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13.5</w:t>
            </w:r>
          </w:p>
        </w:tc>
        <w:tc>
          <w:tcPr>
            <w:tcW w:w="3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0.003</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15.4</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12.2</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13.70</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1.31</w:t>
            </w:r>
          </w:p>
        </w:tc>
        <w:tc>
          <w:tcPr>
            <w:tcW w:w="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27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bl>
    <w:p>
      <w:pPr>
        <w:pStyle w:val="494"/>
        <w:ind w:firstLine="480"/>
      </w:pPr>
      <w:r>
        <w:t>监测结果显示，各监测点监测因子均满足《土壤环境质量 建设用地土壤污染风险管控标准（试行）》（GB36600-2018）中第二类用地风险筛选值要求。</w:t>
      </w:r>
    </w:p>
    <w:p>
      <w:pPr>
        <w:pStyle w:val="494"/>
        <w:ind w:firstLine="480"/>
        <w:sectPr>
          <w:pgSz w:w="16838" w:h="11906" w:orient="landscape"/>
          <w:pgMar w:top="1985" w:right="1440" w:bottom="1701" w:left="1440" w:header="851" w:footer="992" w:gutter="0"/>
          <w:cols w:space="720" w:num="1"/>
          <w:docGrid w:linePitch="312" w:charSpace="0"/>
        </w:sectPr>
      </w:pPr>
    </w:p>
    <w:p>
      <w:pPr>
        <w:pStyle w:val="5"/>
        <w:spacing w:before="120" w:after="120"/>
        <w:rPr>
          <w:spacing w:val="0"/>
        </w:rPr>
      </w:pPr>
      <w:bookmarkStart w:id="322" w:name="_Toc145580419"/>
      <w:r>
        <w:rPr>
          <w:spacing w:val="0"/>
        </w:rPr>
        <w:t>4.</w:t>
      </w:r>
      <w:r>
        <w:rPr>
          <w:rFonts w:hint="eastAsia"/>
          <w:spacing w:val="0"/>
        </w:rPr>
        <w:t>2</w:t>
      </w:r>
      <w:r>
        <w:rPr>
          <w:spacing w:val="0"/>
        </w:rPr>
        <w:t>.4</w:t>
      </w:r>
      <w:r>
        <w:rPr>
          <w:rFonts w:hint="eastAsia"/>
          <w:spacing w:val="0"/>
        </w:rPr>
        <w:t>生态</w:t>
      </w:r>
      <w:r>
        <w:rPr>
          <w:spacing w:val="0"/>
        </w:rPr>
        <w:t>环境现状调查</w:t>
      </w:r>
      <w:bookmarkEnd w:id="322"/>
    </w:p>
    <w:p>
      <w:pPr>
        <w:pStyle w:val="494"/>
        <w:ind w:firstLine="480"/>
      </w:pPr>
      <w:r>
        <w:t>根据《新疆生态功能区划》，本项目所在区域属于“准噶尔盆地温性荒漠与绿洲农业生态区（</w:t>
      </w:r>
      <w:r>
        <w:rPr>
          <w:rFonts w:hint="eastAsia" w:ascii="宋体" w:hAnsi="宋体" w:cs="宋体"/>
        </w:rPr>
        <w:t>Ⅱ</w:t>
      </w:r>
      <w:r>
        <w:t>） 准噶尔盆地中部固定、半固定沙漠生态亚区（</w:t>
      </w:r>
      <w:r>
        <w:rPr>
          <w:rFonts w:hint="eastAsia" w:ascii="宋体" w:hAnsi="宋体" w:cs="宋体"/>
        </w:rPr>
        <w:t>Ⅱ</w:t>
      </w:r>
      <w:r>
        <w:rPr>
          <w:vertAlign w:val="subscript"/>
        </w:rPr>
        <w:t>3</w:t>
      </w:r>
      <w:r>
        <w:t>） 23．古尔班通古特沙漠化敏感及植被保护生态功能区”。</w:t>
      </w:r>
      <w:r>
        <w:rPr>
          <w:rFonts w:hint="eastAsia"/>
        </w:rPr>
        <w:t>项目在新疆生态功能区划的位置见图4</w:t>
      </w:r>
      <w:r>
        <w:t>.2-3</w:t>
      </w:r>
      <w:r>
        <w:rPr>
          <w:rFonts w:hint="eastAsia"/>
        </w:rPr>
        <w:t>。该生态功能区的主要生态服务功能、生态敏感因子、主要生态环境问题和主要保护目标见表4.2</w:t>
      </w:r>
      <w:r>
        <w:t>-11</w:t>
      </w:r>
      <w:r>
        <w:rPr>
          <w:rFonts w:hint="eastAsia"/>
        </w:rPr>
        <w:t>。</w:t>
      </w:r>
    </w:p>
    <w:p>
      <w:pPr>
        <w:autoSpaceDE w:val="0"/>
        <w:autoSpaceDN w:val="0"/>
        <w:adjustRightInd w:val="0"/>
        <w:ind w:firstLine="420" w:firstLineChars="200"/>
        <w:rPr>
          <w:rFonts w:eastAsia="黑体"/>
          <w:szCs w:val="21"/>
        </w:rPr>
      </w:pPr>
      <w:r>
        <w:rPr>
          <w:rFonts w:hint="eastAsia" w:eastAsia="黑体"/>
          <w:szCs w:val="21"/>
        </w:rPr>
        <w:t>表4.2</w:t>
      </w:r>
      <w:r>
        <w:rPr>
          <w:rFonts w:eastAsia="黑体"/>
          <w:szCs w:val="21"/>
        </w:rPr>
        <w:t xml:space="preserve">-11        </w:t>
      </w:r>
      <w:r>
        <w:rPr>
          <w:rFonts w:hint="eastAsia" w:eastAsia="黑体"/>
          <w:szCs w:val="21"/>
        </w:rPr>
        <w:t>　　　</w:t>
      </w:r>
      <w:r>
        <w:rPr>
          <w:rFonts w:eastAsia="黑体"/>
          <w:szCs w:val="21"/>
        </w:rPr>
        <w:t xml:space="preserve">  </w:t>
      </w:r>
      <w:r>
        <w:rPr>
          <w:rFonts w:hint="eastAsia" w:eastAsia="黑体"/>
          <w:szCs w:val="21"/>
        </w:rPr>
        <w:t>　项目区生态功能区划</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1426"/>
        <w:gridCol w:w="6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restart"/>
            <w:vAlign w:val="center"/>
          </w:tcPr>
          <w:p>
            <w:pPr>
              <w:jc w:val="center"/>
              <w:rPr>
                <w:kern w:val="0"/>
                <w:szCs w:val="21"/>
              </w:rPr>
            </w:pPr>
            <w:r>
              <w:rPr>
                <w:rFonts w:hint="eastAsia"/>
                <w:kern w:val="0"/>
                <w:szCs w:val="21"/>
              </w:rPr>
              <w:t>生态功能分区单元</w:t>
            </w:r>
          </w:p>
        </w:tc>
        <w:tc>
          <w:tcPr>
            <w:tcW w:w="845" w:type="pct"/>
            <w:vAlign w:val="center"/>
          </w:tcPr>
          <w:p>
            <w:pPr>
              <w:jc w:val="center"/>
              <w:rPr>
                <w:kern w:val="0"/>
                <w:szCs w:val="21"/>
              </w:rPr>
            </w:pPr>
            <w:r>
              <w:rPr>
                <w:rFonts w:hint="eastAsia"/>
                <w:kern w:val="0"/>
                <w:szCs w:val="21"/>
              </w:rPr>
              <w:t>生态区</w:t>
            </w:r>
          </w:p>
        </w:tc>
        <w:tc>
          <w:tcPr>
            <w:tcW w:w="3592" w:type="pct"/>
            <w:vAlign w:val="center"/>
          </w:tcPr>
          <w:p>
            <w:pPr>
              <w:jc w:val="center"/>
              <w:rPr>
                <w:kern w:val="0"/>
                <w:szCs w:val="21"/>
              </w:rPr>
            </w:pPr>
            <w:r>
              <w:rPr>
                <w:rFonts w:hint="eastAsia" w:ascii="宋体" w:hAnsi="宋体" w:cs="宋体"/>
                <w:kern w:val="0"/>
                <w:szCs w:val="21"/>
              </w:rPr>
              <w:t>Ⅱ</w:t>
            </w:r>
            <w:r>
              <w:rPr>
                <w:rFonts w:hint="eastAsia"/>
                <w:kern w:val="0"/>
                <w:szCs w:val="21"/>
              </w:rPr>
              <w:t>准噶尔盆地温性荒漠与绿洲农业生态区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continue"/>
            <w:vAlign w:val="center"/>
          </w:tcPr>
          <w:p>
            <w:pPr>
              <w:widowControl/>
              <w:jc w:val="left"/>
              <w:rPr>
                <w:kern w:val="0"/>
                <w:szCs w:val="21"/>
              </w:rPr>
            </w:pPr>
          </w:p>
        </w:tc>
        <w:tc>
          <w:tcPr>
            <w:tcW w:w="845" w:type="pct"/>
            <w:vAlign w:val="center"/>
          </w:tcPr>
          <w:p>
            <w:pPr>
              <w:pStyle w:val="670"/>
              <w:widowControl w:val="0"/>
              <w:rPr>
                <w:kern w:val="2"/>
                <w:lang w:eastAsia="zh-CN" w:bidi="ar-SA"/>
              </w:rPr>
            </w:pPr>
            <w:r>
              <w:rPr>
                <w:rFonts w:hint="eastAsia"/>
                <w:kern w:val="2"/>
                <w:lang w:eastAsia="zh-CN" w:bidi="ar-SA"/>
              </w:rPr>
              <w:t>生态亚区</w:t>
            </w:r>
          </w:p>
        </w:tc>
        <w:tc>
          <w:tcPr>
            <w:tcW w:w="3592" w:type="pct"/>
            <w:vAlign w:val="center"/>
          </w:tcPr>
          <w:p>
            <w:pPr>
              <w:pStyle w:val="670"/>
              <w:widowControl w:val="0"/>
              <w:rPr>
                <w:kern w:val="2"/>
                <w:lang w:eastAsia="zh-CN" w:bidi="ar-SA"/>
              </w:rPr>
            </w:pPr>
            <w:r>
              <w:rPr>
                <w:rFonts w:hint="eastAsia" w:ascii="宋体" w:hAnsi="宋体" w:cs="宋体"/>
                <w:kern w:val="2"/>
                <w:lang w:eastAsia="zh-CN" w:bidi="ar-SA"/>
              </w:rPr>
              <w:t>Ⅱ</w:t>
            </w:r>
            <w:r>
              <w:rPr>
                <w:rFonts w:hint="eastAsia"/>
                <w:kern w:val="2"/>
                <w:vertAlign w:val="subscript"/>
                <w:lang w:eastAsia="zh-CN" w:bidi="ar-SA"/>
              </w:rPr>
              <w:t>5</w:t>
            </w:r>
            <w:r>
              <w:rPr>
                <w:rFonts w:hint="eastAsia"/>
                <w:bCs/>
                <w:kern w:val="2"/>
                <w:lang w:eastAsia="zh-CN" w:bidi="ar-SA"/>
              </w:rPr>
              <w:t>准噶尔盆地南部荒漠绿洲农业生态亚区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continue"/>
            <w:vAlign w:val="center"/>
          </w:tcPr>
          <w:p>
            <w:pPr>
              <w:widowControl/>
              <w:jc w:val="left"/>
              <w:rPr>
                <w:kern w:val="0"/>
                <w:szCs w:val="21"/>
              </w:rPr>
            </w:pPr>
          </w:p>
        </w:tc>
        <w:tc>
          <w:tcPr>
            <w:tcW w:w="845" w:type="pct"/>
            <w:vAlign w:val="center"/>
          </w:tcPr>
          <w:p>
            <w:pPr>
              <w:pStyle w:val="670"/>
              <w:widowControl w:val="0"/>
              <w:rPr>
                <w:kern w:val="2"/>
                <w:lang w:eastAsia="zh-CN" w:bidi="ar-SA"/>
              </w:rPr>
            </w:pPr>
            <w:r>
              <w:rPr>
                <w:rFonts w:hint="eastAsia"/>
                <w:kern w:val="2"/>
                <w:lang w:eastAsia="zh-CN" w:bidi="ar-SA"/>
              </w:rPr>
              <w:t>生态功能区</w:t>
            </w:r>
          </w:p>
        </w:tc>
        <w:tc>
          <w:tcPr>
            <w:tcW w:w="3592" w:type="pct"/>
            <w:vAlign w:val="center"/>
          </w:tcPr>
          <w:p>
            <w:pPr>
              <w:pStyle w:val="670"/>
              <w:widowControl w:val="0"/>
              <w:rPr>
                <w:kern w:val="2"/>
                <w:lang w:eastAsia="zh-CN" w:bidi="ar-SA"/>
              </w:rPr>
            </w:pPr>
            <w:r>
              <w:rPr>
                <w:rFonts w:hint="eastAsia"/>
                <w:kern w:val="2"/>
                <w:lang w:eastAsia="zh-CN" w:bidi="ar-SA"/>
              </w:rPr>
              <w:t>乌苏—石河子—昌吉城镇与绿洲农业生态功能区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8" w:type="pct"/>
            <w:gridSpan w:val="2"/>
            <w:vAlign w:val="center"/>
          </w:tcPr>
          <w:p>
            <w:pPr>
              <w:jc w:val="center"/>
              <w:rPr>
                <w:kern w:val="0"/>
                <w:szCs w:val="21"/>
              </w:rPr>
            </w:pPr>
            <w:r>
              <w:rPr>
                <w:rFonts w:hint="eastAsia"/>
                <w:kern w:val="0"/>
                <w:szCs w:val="21"/>
              </w:rPr>
              <w:t>主要生态服务功能</w:t>
            </w:r>
          </w:p>
        </w:tc>
        <w:tc>
          <w:tcPr>
            <w:tcW w:w="3592" w:type="pct"/>
            <w:vAlign w:val="center"/>
          </w:tcPr>
          <w:p>
            <w:pPr>
              <w:jc w:val="center"/>
              <w:rPr>
                <w:kern w:val="0"/>
                <w:szCs w:val="21"/>
              </w:rPr>
            </w:pPr>
            <w:r>
              <w:rPr>
                <w:rFonts w:hint="eastAsia"/>
                <w:kern w:val="0"/>
                <w:szCs w:val="21"/>
              </w:rPr>
              <w:t>工农畜产品生产、人居环境、荒漠化控制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8" w:type="pct"/>
            <w:gridSpan w:val="2"/>
            <w:vAlign w:val="center"/>
          </w:tcPr>
          <w:p>
            <w:pPr>
              <w:jc w:val="center"/>
              <w:rPr>
                <w:kern w:val="0"/>
                <w:szCs w:val="21"/>
              </w:rPr>
            </w:pPr>
            <w:r>
              <w:rPr>
                <w:rFonts w:hint="eastAsia"/>
                <w:kern w:val="0"/>
                <w:szCs w:val="21"/>
              </w:rPr>
              <w:t>主要生态环境问题</w:t>
            </w:r>
          </w:p>
        </w:tc>
        <w:tc>
          <w:tcPr>
            <w:tcW w:w="3592" w:type="pct"/>
            <w:vAlign w:val="center"/>
          </w:tcPr>
          <w:p>
            <w:pPr>
              <w:jc w:val="center"/>
              <w:rPr>
                <w:kern w:val="0"/>
                <w:szCs w:val="21"/>
              </w:rPr>
            </w:pPr>
            <w:r>
              <w:rPr>
                <w:rFonts w:hint="eastAsia"/>
                <w:kern w:val="0"/>
                <w:szCs w:val="21"/>
              </w:rPr>
              <w:t>地下水超采、荒漠植被退化、土地荒漠化与盐渍化、大气和水质及土壤污染、良田减少、绿洲外围受到沙漠化威胁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8" w:type="pct"/>
            <w:gridSpan w:val="2"/>
            <w:vAlign w:val="center"/>
          </w:tcPr>
          <w:p>
            <w:pPr>
              <w:jc w:val="center"/>
              <w:rPr>
                <w:kern w:val="0"/>
                <w:szCs w:val="21"/>
              </w:rPr>
            </w:pPr>
            <w:r>
              <w:rPr>
                <w:rFonts w:hint="eastAsia"/>
                <w:kern w:val="0"/>
                <w:szCs w:val="21"/>
              </w:rPr>
              <w:t>生态敏感因子敏感程度</w:t>
            </w:r>
          </w:p>
        </w:tc>
        <w:tc>
          <w:tcPr>
            <w:tcW w:w="3592" w:type="pct"/>
            <w:vAlign w:val="center"/>
          </w:tcPr>
          <w:p>
            <w:pPr>
              <w:jc w:val="center"/>
              <w:rPr>
                <w:kern w:val="0"/>
                <w:szCs w:val="21"/>
              </w:rPr>
            </w:pPr>
            <w:r>
              <w:rPr>
                <w:rFonts w:hint="eastAsia"/>
                <w:kern w:val="0"/>
                <w:szCs w:val="21"/>
              </w:rPr>
              <w:t>生物多样性及其生境中度敏感，土壤盐渍化轻度敏感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8" w:type="pct"/>
            <w:gridSpan w:val="2"/>
            <w:vAlign w:val="center"/>
          </w:tcPr>
          <w:p>
            <w:pPr>
              <w:jc w:val="center"/>
              <w:rPr>
                <w:kern w:val="0"/>
                <w:szCs w:val="21"/>
              </w:rPr>
            </w:pPr>
            <w:r>
              <w:rPr>
                <w:rFonts w:hint="eastAsia"/>
                <w:kern w:val="0"/>
                <w:szCs w:val="21"/>
              </w:rPr>
              <w:t>保护目标</w:t>
            </w:r>
          </w:p>
        </w:tc>
        <w:tc>
          <w:tcPr>
            <w:tcW w:w="3592" w:type="pct"/>
            <w:vAlign w:val="center"/>
          </w:tcPr>
          <w:p>
            <w:pPr>
              <w:jc w:val="center"/>
              <w:rPr>
                <w:kern w:val="0"/>
                <w:szCs w:val="21"/>
              </w:rPr>
            </w:pPr>
            <w:r>
              <w:rPr>
                <w:rFonts w:hint="eastAsia"/>
                <w:kern w:val="0"/>
                <w:szCs w:val="21"/>
              </w:rPr>
              <w:t>保护绿洲农田、保护城市大气和水环境质量、保护荒漠植被、保护农田土壤环境质量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8" w:type="pct"/>
            <w:gridSpan w:val="2"/>
            <w:vAlign w:val="center"/>
          </w:tcPr>
          <w:p>
            <w:pPr>
              <w:jc w:val="center"/>
              <w:rPr>
                <w:kern w:val="0"/>
                <w:szCs w:val="21"/>
              </w:rPr>
            </w:pPr>
            <w:r>
              <w:rPr>
                <w:rFonts w:hint="eastAsia"/>
                <w:kern w:val="0"/>
                <w:szCs w:val="21"/>
              </w:rPr>
              <w:t>保护措施</w:t>
            </w:r>
          </w:p>
        </w:tc>
        <w:tc>
          <w:tcPr>
            <w:tcW w:w="3592" w:type="pct"/>
            <w:vAlign w:val="center"/>
          </w:tcPr>
          <w:p>
            <w:pPr>
              <w:jc w:val="center"/>
              <w:rPr>
                <w:kern w:val="0"/>
                <w:szCs w:val="21"/>
              </w:rPr>
            </w:pPr>
            <w:r>
              <w:rPr>
                <w:rFonts w:hint="eastAsia"/>
                <w:kern w:val="0"/>
                <w:szCs w:val="21"/>
              </w:rPr>
              <w:t>节水灌溉、严格控制地下水开采、污染物达标排放、提高城镇建设规划水平、控制城镇建设用地、荒漠草场禁牧休牧 、完善防护林体系、加强农田投入品的使用管理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8" w:type="pct"/>
            <w:gridSpan w:val="2"/>
            <w:vAlign w:val="center"/>
          </w:tcPr>
          <w:p>
            <w:pPr>
              <w:jc w:val="center"/>
              <w:rPr>
                <w:kern w:val="0"/>
                <w:szCs w:val="21"/>
              </w:rPr>
            </w:pPr>
            <w:r>
              <w:rPr>
                <w:rFonts w:hint="eastAsia"/>
                <w:kern w:val="0"/>
                <w:szCs w:val="21"/>
              </w:rPr>
              <w:t>发展方向</w:t>
            </w:r>
          </w:p>
        </w:tc>
        <w:tc>
          <w:tcPr>
            <w:tcW w:w="3592" w:type="pct"/>
            <w:vAlign w:val="center"/>
          </w:tcPr>
          <w:p>
            <w:pPr>
              <w:jc w:val="center"/>
              <w:rPr>
                <w:kern w:val="0"/>
                <w:szCs w:val="21"/>
              </w:rPr>
            </w:pPr>
            <w:r>
              <w:rPr>
                <w:rFonts w:hint="eastAsia"/>
                <w:kern w:val="0"/>
                <w:szCs w:val="21"/>
              </w:rPr>
              <w:t>发展优质高效农牧业，美化城市环境，建设健康、稳定的城乡生态系统与人居环境</w:t>
            </w:r>
          </w:p>
        </w:tc>
      </w:tr>
    </w:tbl>
    <w:p>
      <w:pPr>
        <w:pStyle w:val="494"/>
        <w:ind w:firstLine="480"/>
        <w:rPr>
          <w:kern w:val="0"/>
        </w:rPr>
      </w:pPr>
      <w:r>
        <w:t>2、土地利用现状及评价</w:t>
      </w:r>
    </w:p>
    <w:p>
      <w:pPr>
        <w:pStyle w:val="494"/>
        <w:ind w:firstLine="480"/>
      </w:pPr>
      <w:r>
        <w:t>本工程所利用的土地为阜康市直属土地，根据新疆土地利用/土地覆盖地图数据6大类25小类的统计，本工程土地利用类型为灌木林地及未利用地。工程区域土地利用现状见图4.2-4。</w:t>
      </w:r>
    </w:p>
    <w:p>
      <w:pPr>
        <w:pStyle w:val="494"/>
        <w:ind w:firstLine="480"/>
      </w:pPr>
      <w:r>
        <w:t>3、土壤类型</w:t>
      </w:r>
    </w:p>
    <w:p>
      <w:pPr>
        <w:pStyle w:val="494"/>
        <w:ind w:firstLine="480"/>
      </w:pPr>
      <w:r>
        <w:t>根据《中国土壤区划》，本工程位于蒙新干旱/半干旱土壤区域、灰漠土带、准噶尔盆地风沙土/灰漠土/灰棕漠土地区。工程区域土壤类型主要为风沙土，南部彩乌线3#阀室周边区域有部分林灌草甸土，工程区域土壤类型分布见图4.2-5。</w:t>
      </w:r>
    </w:p>
    <w:p>
      <w:pPr>
        <w:pStyle w:val="494"/>
        <w:ind w:firstLine="480"/>
      </w:pPr>
      <w:r>
        <w:t>风沙土是风沙地区风成沙性母质上发育的土壤，它是在风的搬迁、堆积下形成的。风沙土的成土过程很微弱，由于风蚀和沙积作用，成土过程经常被中断，成土作用时间短，很不稳定，通常在剖面中看不见成熟土壤的发生层次，一般仅有不明显的结皮和稍紧实的表土层。</w:t>
      </w:r>
    </w:p>
    <w:p>
      <w:pPr>
        <w:pStyle w:val="494"/>
        <w:ind w:firstLine="480"/>
      </w:pPr>
      <w:r>
        <w:t>风沙土的形成过程大致分以下3个阶段：</w:t>
      </w:r>
    </w:p>
    <w:p>
      <w:pPr>
        <w:pStyle w:val="494"/>
        <w:ind w:firstLine="480"/>
      </w:pPr>
      <w:r>
        <w:t>流动风沙土阶段：植物极少，存在土壤微生物活动，含有一定植物营养元素，但由于风沙流动，植物难以定居，处于成土过程的初级阶段。</w:t>
      </w:r>
    </w:p>
    <w:p>
      <w:pPr>
        <w:pStyle w:val="494"/>
        <w:ind w:firstLine="480"/>
      </w:pPr>
      <w:r>
        <w:t>半固定风沙土阶段：随着植被继续滋生，覆盖度增大，流沙逐渐成为半固定状态，地表开始形成薄结皮，地面表层变紧实，并被腐殖质染色，土壤剖面稍有分异，成土特征明显。</w:t>
      </w:r>
    </w:p>
    <w:p>
      <w:pPr>
        <w:pStyle w:val="494"/>
        <w:ind w:firstLine="480"/>
      </w:pPr>
      <w:r>
        <w:t>固定风沙土阶段：半固定风沙土上的植物进一步生长发育，在沙丘上生长各种沙生和旱生植物，形成一定的植被覆盖度；地表结皮增厚，表层沙面变得更紧实，植物的枯枝落叶堆积物和根系成为土壤粗有机质，使表层分异明显，土壤剖面可见雏形发育的A-C层。风沙土的土壤颗粒十分均匀，有机质含量低，平均在4.0~7.2g/kg /kg左右，重矿物含量低，但种类较多。荒漠地区的风沙土，还往往含有一定的盐分。</w:t>
      </w:r>
    </w:p>
    <w:p>
      <w:pPr>
        <w:pStyle w:val="494"/>
        <w:ind w:firstLine="480"/>
      </w:pPr>
      <w:r>
        <w:t>林灌草甸土成土母质多河流冲积物或洪积冲积物，局部为风积物。本工程区域林灌草甸土即为风积物在准噶尔盆地温性荒漠与绿洲农业生态区过渡带形成。区域气候属于降水稀少、蒸发强烈的大陆性气候，冬春干寒，夏季干热，冷热较差悬殊，日照强，风大沙暴多，间歇性的地下水补给和漫润，对土壤生物物质循环和矿物元素的迁移与积累有着深刻的影响。在这种特殊的生物气候条件下形成的林灌草甸土具有明显的阶段发育特征。</w:t>
      </w:r>
    </w:p>
    <w:p>
      <w:pPr>
        <w:pStyle w:val="494"/>
        <w:ind w:firstLine="480"/>
      </w:pPr>
      <w:r>
        <w:t>林灌草甸土风化成土作用弱，剖面分异不明显，剖面各土层的硅、铁、铝氧化物含量均较高，粘粒硅铝分子比率也高，且层间基本无变化，表明该类土壤在成土过程中，矿物元素未有多大的移动变化，也反映了漠土地区一般土壤风化成土作用均较弱的特点。林灌草甸土的质地以砂质壤土至壤土为主，粘粒含量多小于15%，底土稍粘重，可到粉砂质粘土或壤质粘土，粘粒含量大于25%，高者达30%以上。质地剖面的土层排列以壤砂相间最为常见，均质壤土、砂土或砂粘间层者甚少，沉积层理明显。</w:t>
      </w:r>
    </w:p>
    <w:p>
      <w:pPr>
        <w:pStyle w:val="494"/>
        <w:ind w:firstLine="480"/>
      </w:pPr>
      <w:r>
        <w:t>林灌草甸土养分的区域变化大。在自然状况下，林灌草甸土的有机质含量一般均较高。表土层以下含量陡然降低，碳氮比值宽，这与其上生长的灌木植被枯枝落叶本质化程度高有关。腐殖质组成以富里酸为主，胡富比值小于1。具荒漠化和盐化作用的林灌草甸土，有机质及其它矿物营养成分均显著偏低。据剖面统计，表土有机质的平均含量小于5g/kg，全氮0.19 g/kg，全磷和全钾的含量分别为0.49 g/kg和19.0 g/kg。林灌草甸土经耕垦后，土壤有机质和速效磷明显下降，且下降的速度快。据新疆、甘肃资料，有机质由10.9 g/kg下降到7 g/kg，速效磷由10 mg/kg下降到6 mg/kg，而全氮和速效钾的含量则略有上升的趋势，这是人为活动改善土壤生境条件和生产条件，促进生物物质循环，加速有机质矿化分解所致，反映了林灌草甸土不同利用条件下土壤营养特性的差异。</w:t>
      </w:r>
    </w:p>
    <w:p>
      <w:pPr>
        <w:pStyle w:val="494"/>
        <w:ind w:firstLine="480"/>
      </w:pPr>
      <w:r>
        <w:t>4、植被环境现状调查与评价</w:t>
      </w:r>
    </w:p>
    <w:p>
      <w:pPr>
        <w:pStyle w:val="494"/>
        <w:ind w:firstLine="480"/>
      </w:pPr>
      <w:r>
        <w:t>根据《中国植被区划》，本工程位于干旱荒漠带、温带荒漠区域、温带干旱半灌木/小乔木荒漠地带、准噶尔盆地小乔木、半灌木荒漠区。根据现场勘察和收集资料，工程评价区域内占优势的植被为梭梭，其次还分布有沙漠绢蒿、琵琶柴、驼绒藜、旱蒿等自然植被，灌木覆盖度约10-15%，局部灌木分布区域生境条件较好，植被覆盖度可达40%。工程区域植被类型见图4.2-6。</w:t>
      </w:r>
    </w:p>
    <w:p>
      <w:pPr>
        <w:pStyle w:val="494"/>
        <w:ind w:firstLine="480"/>
        <w:rPr>
          <w:szCs w:val="32"/>
        </w:rPr>
      </w:pPr>
      <w:r>
        <w:rPr>
          <w:szCs w:val="32"/>
        </w:rPr>
        <w:t>项目区地处准噶尔盆地南缘的荒漠-绿洲交错带，自然地带性植被以为梭梭为主。区域内天然植物种类贫乏，以超旱生、耐盐碱的荒漠成分占优势，主要是梭梭、沙漠绢蒿、琵琶柴、驼绒藜、旱蒿等。从历史成分来看，显示出其古老性，梭梭等属的一些种均发生于第三纪。</w:t>
      </w:r>
    </w:p>
    <w:p>
      <w:pPr>
        <w:pStyle w:val="494"/>
        <w:ind w:firstLine="480"/>
      </w:pPr>
      <w:r>
        <w:t>（1）主要植被种类及分布</w:t>
      </w:r>
    </w:p>
    <w:p>
      <w:pPr>
        <w:pStyle w:val="494"/>
        <w:ind w:firstLine="480"/>
      </w:pPr>
      <w:r>
        <w:t>根据实地调查结果统计，评价区内主要物种及分布环境见表4.2-12。</w:t>
      </w:r>
    </w:p>
    <w:p>
      <w:pPr>
        <w:pStyle w:val="672"/>
        <w:rPr>
          <w:color w:val="auto"/>
        </w:rPr>
      </w:pPr>
      <w:r>
        <w:rPr>
          <w:color w:val="auto"/>
        </w:rPr>
        <w:t>表4.2-12            评价区常见高等植物种类及分布环境</w:t>
      </w:r>
    </w:p>
    <w:tbl>
      <w:tblPr>
        <w:tblStyle w:val="55"/>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4678"/>
        <w:gridCol w:w="1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958" w:type="dxa"/>
            <w:tcBorders>
              <w:top w:val="single" w:color="auto" w:sz="4" w:space="0"/>
              <w:left w:val="single" w:color="auto" w:sz="4" w:space="0"/>
              <w:bottom w:val="single" w:color="auto" w:sz="4" w:space="0"/>
              <w:right w:val="single" w:color="auto" w:sz="4" w:space="0"/>
            </w:tcBorders>
            <w:vAlign w:val="center"/>
          </w:tcPr>
          <w:p>
            <w:pPr>
              <w:pStyle w:val="670"/>
            </w:pPr>
            <w:r>
              <w:t>中文名</w:t>
            </w:r>
          </w:p>
        </w:tc>
        <w:tc>
          <w:tcPr>
            <w:tcW w:w="4678" w:type="dxa"/>
            <w:tcBorders>
              <w:top w:val="single" w:color="auto" w:sz="4" w:space="0"/>
              <w:left w:val="single" w:color="auto" w:sz="4" w:space="0"/>
              <w:bottom w:val="single" w:color="auto" w:sz="4" w:space="0"/>
              <w:right w:val="single" w:color="auto" w:sz="4" w:space="0"/>
            </w:tcBorders>
            <w:vAlign w:val="center"/>
          </w:tcPr>
          <w:p>
            <w:pPr>
              <w:pStyle w:val="670"/>
            </w:pPr>
            <w:r>
              <w:t>学名</w:t>
            </w:r>
          </w:p>
        </w:tc>
        <w:tc>
          <w:tcPr>
            <w:tcW w:w="1899" w:type="dxa"/>
            <w:tcBorders>
              <w:top w:val="single" w:color="auto" w:sz="4" w:space="0"/>
              <w:left w:val="single" w:color="auto" w:sz="4" w:space="0"/>
              <w:bottom w:val="single" w:color="auto" w:sz="4" w:space="0"/>
              <w:right w:val="single" w:color="auto" w:sz="4" w:space="0"/>
            </w:tcBorders>
            <w:vAlign w:val="center"/>
          </w:tcPr>
          <w:p>
            <w:pPr>
              <w:pStyle w:val="670"/>
            </w:pPr>
            <w: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8" w:type="dxa"/>
            <w:tcBorders>
              <w:top w:val="single" w:color="auto" w:sz="4" w:space="0"/>
              <w:left w:val="single" w:color="auto" w:sz="4" w:space="0"/>
              <w:bottom w:val="single" w:color="auto" w:sz="4" w:space="0"/>
              <w:right w:val="single" w:color="auto" w:sz="4" w:space="0"/>
            </w:tcBorders>
            <w:vAlign w:val="center"/>
          </w:tcPr>
          <w:p>
            <w:pPr>
              <w:pStyle w:val="670"/>
            </w:pPr>
            <w:r>
              <w:t>梭梭</w:t>
            </w:r>
          </w:p>
        </w:tc>
        <w:tc>
          <w:tcPr>
            <w:tcW w:w="4678" w:type="dxa"/>
            <w:tcBorders>
              <w:top w:val="single" w:color="auto" w:sz="4" w:space="0"/>
              <w:left w:val="single" w:color="auto" w:sz="4" w:space="0"/>
              <w:bottom w:val="single" w:color="auto" w:sz="4" w:space="0"/>
              <w:right w:val="single" w:color="auto" w:sz="4" w:space="0"/>
            </w:tcBorders>
            <w:vAlign w:val="center"/>
          </w:tcPr>
          <w:p>
            <w:pPr>
              <w:pStyle w:val="670"/>
            </w:pPr>
            <w:r>
              <w:t>Haloxylon ammodendron</w:t>
            </w:r>
          </w:p>
        </w:tc>
        <w:tc>
          <w:tcPr>
            <w:tcW w:w="1899" w:type="dxa"/>
            <w:tcBorders>
              <w:top w:val="single" w:color="auto" w:sz="4" w:space="0"/>
              <w:left w:val="single" w:color="auto" w:sz="4" w:space="0"/>
              <w:bottom w:val="single" w:color="auto" w:sz="4" w:space="0"/>
              <w:right w:val="single" w:color="auto" w:sz="4" w:space="0"/>
            </w:tcBorders>
            <w:vAlign w:val="center"/>
          </w:tcPr>
          <w:p>
            <w:pPr>
              <w:pStyle w:val="67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8" w:type="dxa"/>
            <w:tcBorders>
              <w:top w:val="single" w:color="auto" w:sz="4" w:space="0"/>
              <w:left w:val="single" w:color="auto" w:sz="4" w:space="0"/>
              <w:bottom w:val="single" w:color="auto" w:sz="4" w:space="0"/>
              <w:right w:val="single" w:color="auto" w:sz="4" w:space="0"/>
            </w:tcBorders>
            <w:vAlign w:val="center"/>
          </w:tcPr>
          <w:p>
            <w:pPr>
              <w:pStyle w:val="670"/>
            </w:pPr>
            <w:r>
              <w:t>沙漠绢蒿</w:t>
            </w:r>
          </w:p>
        </w:tc>
        <w:tc>
          <w:tcPr>
            <w:tcW w:w="4678" w:type="dxa"/>
            <w:tcBorders>
              <w:top w:val="single" w:color="auto" w:sz="4" w:space="0"/>
              <w:left w:val="single" w:color="auto" w:sz="4" w:space="0"/>
              <w:bottom w:val="single" w:color="auto" w:sz="4" w:space="0"/>
              <w:right w:val="single" w:color="auto" w:sz="4" w:space="0"/>
            </w:tcBorders>
            <w:vAlign w:val="center"/>
          </w:tcPr>
          <w:p>
            <w:pPr>
              <w:pStyle w:val="670"/>
            </w:pPr>
            <w:r>
              <w:t>——</w:t>
            </w:r>
          </w:p>
        </w:tc>
        <w:tc>
          <w:tcPr>
            <w:tcW w:w="1899" w:type="dxa"/>
            <w:tcBorders>
              <w:top w:val="single" w:color="auto" w:sz="4" w:space="0"/>
              <w:left w:val="single" w:color="auto" w:sz="4" w:space="0"/>
              <w:bottom w:val="single" w:color="auto" w:sz="4" w:space="0"/>
              <w:right w:val="single" w:color="auto" w:sz="4" w:space="0"/>
            </w:tcBorders>
            <w:vAlign w:val="center"/>
          </w:tcPr>
          <w:p>
            <w:pPr>
              <w:pStyle w:val="67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8" w:type="dxa"/>
            <w:tcBorders>
              <w:top w:val="single" w:color="auto" w:sz="4" w:space="0"/>
              <w:left w:val="single" w:color="auto" w:sz="4" w:space="0"/>
              <w:bottom w:val="single" w:color="auto" w:sz="4" w:space="0"/>
              <w:right w:val="single" w:color="auto" w:sz="4" w:space="0"/>
            </w:tcBorders>
            <w:vAlign w:val="center"/>
          </w:tcPr>
          <w:p>
            <w:pPr>
              <w:pStyle w:val="670"/>
            </w:pPr>
            <w:r>
              <w:t>驼绒藜</w:t>
            </w:r>
          </w:p>
        </w:tc>
        <w:tc>
          <w:tcPr>
            <w:tcW w:w="4678" w:type="dxa"/>
            <w:tcBorders>
              <w:top w:val="single" w:color="auto" w:sz="4" w:space="0"/>
              <w:left w:val="single" w:color="auto" w:sz="4" w:space="0"/>
              <w:bottom w:val="single" w:color="auto" w:sz="4" w:space="0"/>
              <w:right w:val="single" w:color="auto" w:sz="4" w:space="0"/>
            </w:tcBorders>
            <w:vAlign w:val="center"/>
          </w:tcPr>
          <w:p>
            <w:pPr>
              <w:pStyle w:val="670"/>
            </w:pPr>
            <w:bookmarkStart w:id="323" w:name="_Hlk54260448"/>
            <w:r>
              <w:t>Ceratoides latens (J. F. Gmel.) Reveal et Holmgren</w:t>
            </w:r>
            <w:bookmarkEnd w:id="323"/>
          </w:p>
        </w:tc>
        <w:tc>
          <w:tcPr>
            <w:tcW w:w="1899" w:type="dxa"/>
            <w:tcBorders>
              <w:top w:val="single" w:color="auto" w:sz="4" w:space="0"/>
              <w:left w:val="single" w:color="auto" w:sz="4" w:space="0"/>
              <w:bottom w:val="single" w:color="auto" w:sz="4" w:space="0"/>
              <w:right w:val="single" w:color="auto" w:sz="4" w:space="0"/>
            </w:tcBorders>
            <w:vAlign w:val="center"/>
          </w:tcPr>
          <w:p>
            <w:pPr>
              <w:pStyle w:val="67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8" w:type="dxa"/>
            <w:tcBorders>
              <w:top w:val="single" w:color="auto" w:sz="4" w:space="0"/>
              <w:left w:val="single" w:color="auto" w:sz="4" w:space="0"/>
              <w:bottom w:val="single" w:color="auto" w:sz="4" w:space="0"/>
              <w:right w:val="single" w:color="auto" w:sz="4" w:space="0"/>
            </w:tcBorders>
            <w:vAlign w:val="center"/>
          </w:tcPr>
          <w:p>
            <w:pPr>
              <w:pStyle w:val="670"/>
            </w:pPr>
            <w:r>
              <w:t>旱蒿</w:t>
            </w:r>
          </w:p>
        </w:tc>
        <w:tc>
          <w:tcPr>
            <w:tcW w:w="4678" w:type="dxa"/>
            <w:tcBorders>
              <w:top w:val="single" w:color="auto" w:sz="4" w:space="0"/>
              <w:left w:val="single" w:color="auto" w:sz="4" w:space="0"/>
              <w:bottom w:val="single" w:color="auto" w:sz="4" w:space="0"/>
              <w:right w:val="single" w:color="auto" w:sz="4" w:space="0"/>
            </w:tcBorders>
            <w:vAlign w:val="center"/>
          </w:tcPr>
          <w:p>
            <w:pPr>
              <w:pStyle w:val="670"/>
            </w:pPr>
            <w:r>
              <w:t>Artemisia xerophytica</w:t>
            </w:r>
          </w:p>
        </w:tc>
        <w:tc>
          <w:tcPr>
            <w:tcW w:w="1899" w:type="dxa"/>
            <w:tcBorders>
              <w:top w:val="single" w:color="auto" w:sz="4" w:space="0"/>
              <w:left w:val="single" w:color="auto" w:sz="4" w:space="0"/>
              <w:bottom w:val="single" w:color="auto" w:sz="4" w:space="0"/>
              <w:right w:val="single" w:color="auto" w:sz="4" w:space="0"/>
            </w:tcBorders>
            <w:vAlign w:val="center"/>
          </w:tcPr>
          <w:p>
            <w:pPr>
              <w:pStyle w:val="67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8" w:type="dxa"/>
            <w:tcBorders>
              <w:top w:val="single" w:color="auto" w:sz="4" w:space="0"/>
              <w:left w:val="single" w:color="auto" w:sz="4" w:space="0"/>
              <w:bottom w:val="single" w:color="auto" w:sz="4" w:space="0"/>
              <w:right w:val="single" w:color="auto" w:sz="4" w:space="0"/>
            </w:tcBorders>
            <w:vAlign w:val="center"/>
          </w:tcPr>
          <w:p>
            <w:pPr>
              <w:pStyle w:val="670"/>
            </w:pPr>
            <w:r>
              <w:t>琵琶柴</w:t>
            </w:r>
          </w:p>
        </w:tc>
        <w:tc>
          <w:tcPr>
            <w:tcW w:w="4678" w:type="dxa"/>
            <w:tcBorders>
              <w:top w:val="single" w:color="auto" w:sz="4" w:space="0"/>
              <w:left w:val="single" w:color="auto" w:sz="4" w:space="0"/>
              <w:bottom w:val="single" w:color="auto" w:sz="4" w:space="0"/>
              <w:right w:val="single" w:color="auto" w:sz="4" w:space="0"/>
            </w:tcBorders>
            <w:vAlign w:val="center"/>
          </w:tcPr>
          <w:p>
            <w:pPr>
              <w:pStyle w:val="670"/>
            </w:pPr>
            <w:r>
              <w:t>Reaumuria soongorica</w:t>
            </w:r>
          </w:p>
        </w:tc>
        <w:tc>
          <w:tcPr>
            <w:tcW w:w="1899" w:type="dxa"/>
            <w:tcBorders>
              <w:top w:val="single" w:color="auto" w:sz="4" w:space="0"/>
              <w:left w:val="single" w:color="auto" w:sz="4" w:space="0"/>
              <w:bottom w:val="single" w:color="auto" w:sz="4" w:space="0"/>
              <w:right w:val="single" w:color="auto" w:sz="4" w:space="0"/>
            </w:tcBorders>
            <w:vAlign w:val="center"/>
          </w:tcPr>
          <w:p>
            <w:pPr>
              <w:pStyle w:val="670"/>
            </w:pPr>
            <w:r>
              <w:t>＋</w:t>
            </w:r>
          </w:p>
        </w:tc>
      </w:tr>
    </w:tbl>
    <w:p>
      <w:pPr>
        <w:pStyle w:val="488"/>
        <w:spacing w:line="240" w:lineRule="auto"/>
        <w:ind w:firstLine="361"/>
        <w:rPr>
          <w:rFonts w:ascii="Times New Roman" w:hAnsi="Times New Roman" w:cs="Times New Roman"/>
          <w:b/>
          <w:kern w:val="0"/>
          <w:sz w:val="18"/>
          <w:szCs w:val="18"/>
        </w:rPr>
      </w:pPr>
      <w:r>
        <w:rPr>
          <w:rFonts w:ascii="Times New Roman" w:hAnsi="Times New Roman" w:cs="Times New Roman"/>
          <w:b/>
          <w:sz w:val="18"/>
          <w:szCs w:val="18"/>
        </w:rPr>
        <w:t>注：＋＋为多见；＋为少见。</w:t>
      </w:r>
    </w:p>
    <w:p>
      <w:pPr>
        <w:pStyle w:val="494"/>
        <w:ind w:firstLine="480"/>
      </w:pPr>
      <w:bookmarkStart w:id="324" w:name="_Hlk52281098"/>
      <w:r>
        <w:t>1）梭梭</w:t>
      </w:r>
    </w:p>
    <w:p>
      <w:pPr>
        <w:pStyle w:val="494"/>
        <w:ind w:firstLine="480"/>
      </w:pPr>
      <w:r>
        <w:t>梭梭高1~6m，树冠通常近半球形。木材坚而脆，老枝淡黄褐色或灰褐色，通常具环状裂隙；幼枝通常较白梭梭稍粗，径约1.5mm，往往斜升，具关节，节部长4~12mm，干后通常有皱或小点，叶退化为鱗片状，宽三角形，稍开展，基部连合，边缘膜质，先端钝或尖（但无芒尖），腋间具棉毛。花单生叶腋，排列于当年生短枝上；小苞片舟状，宽卵形；矩圆形，背部生翅状附属物，在翅以上部分稍向内曲并围抱果实；翅膜质，褐色至淡黄褐色，肾形至近圆形，基部心形至楔形，通常平展，少数斜伸。胞果黄褐色。种子黑色；胚陀螺状。花期6~8月，果期8~10月。</w:t>
      </w:r>
    </w:p>
    <w:p>
      <w:pPr>
        <w:pStyle w:val="494"/>
        <w:ind w:firstLine="480"/>
      </w:pPr>
      <w:r>
        <w:t>生于海拔450~1500m的广大山麓洪积扇和淤积平原、固定沙丘、沙地、砂砾质荒漠、砾质荒漠、轻度盐碱土荒漠。本种为荒漠地区优良固沙造林植物，也是良好的饲用植物，特别是骆驼喜食。木材坚实，为优良燃料。</w:t>
      </w:r>
    </w:p>
    <w:p>
      <w:pPr>
        <w:pStyle w:val="494"/>
        <w:ind w:firstLine="480"/>
      </w:pPr>
      <w:r>
        <w:t>2）沙漠绢蒿</w:t>
      </w:r>
    </w:p>
    <w:p>
      <w:pPr>
        <w:pStyle w:val="494"/>
        <w:ind w:firstLine="480"/>
      </w:pPr>
      <w:r>
        <w:t>半灌木状草本。主根稍粗，木质；根状茎粗大，木质，上部常分化出若干部分，并具多枚、木质、短的营养枝，被褐色、开裂、脱落的外皮，并密生营养叶。茎多数，直立或弯曲上升，高25~35(-45)cm，下部木质，被渴色，开裂的茎皮，上部半木质，并有多数细长的分枝，枝近平展，长10~20cm，具斜向上弯曲的小枝；茎、枝、叶两面密被灰白色绒毛，花后茎、枝上毛渐脱落。</w:t>
      </w:r>
    </w:p>
    <w:p>
      <w:pPr>
        <w:pStyle w:val="494"/>
        <w:ind w:firstLine="480"/>
      </w:pPr>
      <w:r>
        <w:t>两性花3~4朵，花冠管状，花药线形，先端附属物线形，基部钝，花柱短，开花时稍叉开，叉端截形，具睫毛。瘦果卵形或倒卵形，结实时总苞片与果全脱落。花果期8~10月。常生于海拔1400m以下沙漠地区的半流动或固定沙丘上。</w:t>
      </w:r>
    </w:p>
    <w:p>
      <w:pPr>
        <w:pStyle w:val="494"/>
        <w:ind w:firstLine="480"/>
      </w:pPr>
      <w:r>
        <w:t>超旱生半灌木。耐旱、耐高温、抗风沙。主要生于沙地和沙漠中的固定和半固定沙丘，以及沙丘间沙质低平地，在较平缓的固定沙垄上生长最盛。是新疆北部半固定沙丘向固定沙丘发展的先驱植物。能利用早春融雪水和少量春雨迅速萌生，使沙地水分难以下渗，造成半固定沙丘上的深根性植物白梭梭(Haloxylon persicum)衰退，草地类型由半流动沙丘上的白梭梭、白皮沙拐枣(Calligonum leucocladum)、羽毛三芒草(Aristida pennata)演替为固定沙丘上的沙漠绢蒿、蛇麻黄(Ephedra distachys)、囊果沙苔草(Carex physodes)以及一年生藜科草本植物组成的群落。</w:t>
      </w:r>
    </w:p>
    <w:p>
      <w:pPr>
        <w:pStyle w:val="494"/>
        <w:ind w:firstLine="480"/>
      </w:pPr>
      <w:r>
        <w:t>沙漠绢蒿富含粗脂肪，花期粗脂肪含量达4%以上。秋、冬、春季对羊的适口性好，并能提供较多能量，对于冬季保膘，春季恢复膘情均有重要作用，是沙漠中饲用价值较高的牧草。骆驼不喜食。</w:t>
      </w:r>
    </w:p>
    <w:p>
      <w:pPr>
        <w:pStyle w:val="494"/>
        <w:ind w:firstLine="480"/>
      </w:pPr>
      <w:r>
        <w:t>由于沙漠绢蒿群落促使半固定沙丘向固定沙丘发展。因此，要严格控制放牧强度，春季转场宜早，以保护沙漠绢蒿，使早春生机旺盛，生长良好，并防止对沙丘沙地的破坏，引起草地沙化。</w:t>
      </w:r>
    </w:p>
    <w:p>
      <w:pPr>
        <w:pStyle w:val="494"/>
        <w:ind w:firstLine="480"/>
      </w:pPr>
      <w:r>
        <w:t>3）驼绒藜</w:t>
      </w:r>
    </w:p>
    <w:p>
      <w:pPr>
        <w:pStyle w:val="494"/>
        <w:ind w:firstLine="480"/>
      </w:pPr>
      <w:r>
        <w:t>驼绒藜属灌木或半灌木，茎直立，高20~80cm，茎、枝密被星状毛，枝斜伸或近平展，多集中茎下部。单叶互生，具短柄，叶片条形、条状披针形、披针形或矩圆形，长1~2cm，宽0.2~0.5cm，先端钝或急尖，基部渐狭、楔形或圆形，全缘，有时近基部有2条侧脉，极稀为羽状，背腹两面密被星状毛。雄花序短而紧密;雌花管侧扁，椭圆形或倒卵形，角状裂片较长，其长为管长的1/3到近等长，果时外具4束长毛。果直立，椭圆形，被毛。花期6~7月，果期8~9月。</w:t>
      </w:r>
    </w:p>
    <w:p>
      <w:pPr>
        <w:pStyle w:val="494"/>
        <w:ind w:firstLine="480"/>
      </w:pPr>
      <w:r>
        <w:t>主要生于新疆北部海拔200~1200m的平原至低山，在天山南坡则上升到海拔1800~2000m，在昆仑山北坡更升到海拔2500m，阿克陶及乌恰一带则高达海拔3200m。大多见于山前平原、低山干谷、山麓洪积扇、河谷阶地沙丘到山地草原阳坡的砾质荒漠、沙质荒漠及草原地带。为优良牧草，各类牲畜喜食。</w:t>
      </w:r>
    </w:p>
    <w:p>
      <w:pPr>
        <w:pStyle w:val="494"/>
        <w:ind w:firstLine="480"/>
      </w:pPr>
      <w:r>
        <w:t>4）旱蒿</w:t>
      </w:r>
    </w:p>
    <w:p>
      <w:pPr>
        <w:pStyle w:val="494"/>
        <w:ind w:firstLine="480"/>
      </w:pPr>
      <w:r>
        <w:t>旱蒿是菊科蒿属的植物。一般生于半固定沙丘上、戈壁、局部地区为植物群落的优势种、半荒漠草原以及主要伴生种。</w:t>
      </w:r>
    </w:p>
    <w:p>
      <w:pPr>
        <w:pStyle w:val="494"/>
        <w:ind w:firstLine="480"/>
      </w:pPr>
      <w:r>
        <w:t>主要性状表现为主根粗大，木质，垂直，伸长，侧根多；根状茎粗短，直径达2~4cm，上部常分化出若干部分，有多数营养枝。茎多数，稀少数，丛生，高30~40cm，木质或下部木质，上部半木质，棕黄色或褐黄色，纵棱明显；上部分枝多，枝细长，初时密被绒毛，后稍稀疏。旱蒿花果期为8~10月。</w:t>
      </w:r>
    </w:p>
    <w:p>
      <w:pPr>
        <w:pStyle w:val="494"/>
        <w:ind w:firstLine="480"/>
      </w:pPr>
      <w:r>
        <w:t>旱蒿根系粗大，深长，耐干旱，抗风沙，在荒漠与半荒漠地区作防风固沙的辅助性植物。牧区为牲畜营养价值良好的饲料。</w:t>
      </w:r>
    </w:p>
    <w:p>
      <w:pPr>
        <w:pStyle w:val="494"/>
        <w:ind w:firstLine="480"/>
      </w:pPr>
      <w:r>
        <w:t>5）琵琶柴</w:t>
      </w:r>
    </w:p>
    <w:p>
      <w:pPr>
        <w:pStyle w:val="494"/>
        <w:ind w:firstLine="480"/>
      </w:pPr>
      <w:r>
        <w:t>琵琶柴属小灌木植物，高10~25cm。老枝灰棕由叶肉质，圆柱形，长部稍粗，长1~5mm，宽1mm，顶端钝，常4~6枚簇生。琵琶柴是我国荒漠地区分布最广的地带性植被类型之一。主要生于海拔1000~3200m的山间盆地、湖岸盐碱地、戈壁、砂砾山坡，荒漠植物，常成片生长。</w:t>
      </w:r>
    </w:p>
    <w:p>
      <w:pPr>
        <w:pStyle w:val="494"/>
        <w:ind w:firstLine="480"/>
      </w:pPr>
      <w:r>
        <w:t>（2）保护植物</w:t>
      </w:r>
    </w:p>
    <w:p>
      <w:pPr>
        <w:pStyle w:val="494"/>
        <w:ind w:firstLine="480"/>
      </w:pPr>
      <w:r>
        <w:t>工程区域分布的天然野生植物中，无国家重点保护植物，有自治区</w:t>
      </w:r>
      <w:r>
        <w:rPr>
          <w:rFonts w:hint="eastAsia" w:ascii="宋体" w:hAnsi="宋体" w:cs="宋体"/>
        </w:rPr>
        <w:t>Ⅰ</w:t>
      </w:r>
      <w:r>
        <w:t>级保护植物1种，为梭梭，是典型的荒漠植物及优良固沙植物。</w:t>
      </w:r>
      <w:bookmarkEnd w:id="324"/>
    </w:p>
    <w:p>
      <w:pPr>
        <w:pStyle w:val="494"/>
        <w:ind w:firstLine="480"/>
      </w:pPr>
      <w:r>
        <w:t>5、重点公益林现状调查</w:t>
      </w:r>
    </w:p>
    <w:p>
      <w:pPr>
        <w:pStyle w:val="494"/>
        <w:ind w:firstLine="480"/>
      </w:pPr>
      <w:r>
        <w:t>重点公益林是指生态区位极为重要或生态状况极为脆弱，对国土生态安全、生物多样性保护和经济社会可持续发展具有重要作用，以提供森林生态和社会服务产品为主要经营目的的重点防护林和特种用途林。包括水源涵养林、水土保持林、防风固沙林和护岸林；自然保护区的森林和国防林等。</w:t>
      </w:r>
    </w:p>
    <w:p>
      <w:pPr>
        <w:pStyle w:val="494"/>
        <w:ind w:firstLine="480"/>
      </w:pPr>
      <w:r>
        <w:t>（1）区域重点公益林现状</w:t>
      </w:r>
    </w:p>
    <w:p>
      <w:pPr>
        <w:pStyle w:val="494"/>
        <w:ind w:firstLine="480"/>
      </w:pPr>
      <w:r>
        <w:t>阜康市公益林林种为防护林。根据阜康市公益林区划界定成果，阜康市区划林地面积151654.3hm</w:t>
      </w:r>
      <w:r>
        <w:rPr>
          <w:vertAlign w:val="superscript"/>
        </w:rPr>
        <w:t>2</w:t>
      </w:r>
      <w:r>
        <w:t>。阜康市林地面积中，生态公益林（地）150852.93hm</w:t>
      </w:r>
      <w:r>
        <w:rPr>
          <w:vertAlign w:val="superscript"/>
        </w:rPr>
        <w:t>2</w:t>
      </w:r>
      <w:r>
        <w:t>，其中：国家级公益林34075.77hm</w:t>
      </w:r>
      <w:r>
        <w:rPr>
          <w:vertAlign w:val="superscript"/>
        </w:rPr>
        <w:t>2</w:t>
      </w:r>
      <w:r>
        <w:t>，占公益林面积的22.59%；地方公益林116777.16hm</w:t>
      </w:r>
      <w:r>
        <w:rPr>
          <w:vertAlign w:val="superscript"/>
        </w:rPr>
        <w:t>2</w:t>
      </w:r>
      <w:r>
        <w:t>，占公益林面积的77.41%。</w:t>
      </w:r>
    </w:p>
    <w:p>
      <w:pPr>
        <w:pStyle w:val="494"/>
        <w:ind w:firstLine="480"/>
      </w:pPr>
      <w:r>
        <w:t>林地按工程类别分：三北防护林工程面积1878.05hm</w:t>
      </w:r>
      <w:r>
        <w:rPr>
          <w:vertAlign w:val="superscript"/>
        </w:rPr>
        <w:t>2</w:t>
      </w:r>
      <w:r>
        <w:t>，占林地面积的1.24%；退耕还林工程面积1315.25 hm</w:t>
      </w:r>
      <w:r>
        <w:rPr>
          <w:vertAlign w:val="superscript"/>
        </w:rPr>
        <w:t>2</w:t>
      </w:r>
      <w:r>
        <w:t>，占0.87%；重点公益林经营工程面积34075.77 hm</w:t>
      </w:r>
      <w:r>
        <w:rPr>
          <w:vertAlign w:val="superscript"/>
        </w:rPr>
        <w:t>2</w:t>
      </w:r>
      <w:r>
        <w:t>，占22.47%；其他林业工程面积114385.23 hm</w:t>
      </w:r>
      <w:r>
        <w:rPr>
          <w:vertAlign w:val="superscript"/>
        </w:rPr>
        <w:t>2</w:t>
      </w:r>
      <w:r>
        <w:t>，占75.42%。</w:t>
      </w:r>
    </w:p>
    <w:p>
      <w:pPr>
        <w:pStyle w:val="494"/>
        <w:ind w:firstLine="480"/>
      </w:pPr>
      <w:r>
        <w:t>阜康市林地质量分为</w:t>
      </w:r>
      <w:r>
        <w:rPr>
          <w:rFonts w:hint="eastAsia" w:ascii="宋体" w:hAnsi="宋体" w:cs="宋体"/>
        </w:rPr>
        <w:t>Ⅱ</w:t>
      </w:r>
      <w:r>
        <w:t>级、</w:t>
      </w:r>
      <w:r>
        <w:rPr>
          <w:rFonts w:hint="eastAsia" w:ascii="宋体" w:hAnsi="宋体" w:cs="宋体"/>
        </w:rPr>
        <w:t>Ⅲ</w:t>
      </w:r>
      <w:r>
        <w:t>级、</w:t>
      </w:r>
      <w:r>
        <w:rPr>
          <w:rFonts w:hint="eastAsia" w:ascii="宋体" w:hAnsi="宋体" w:cs="宋体"/>
        </w:rPr>
        <w:t>Ⅳ</w:t>
      </w:r>
      <w:r>
        <w:t>级3个等级。</w:t>
      </w:r>
      <w:r>
        <w:rPr>
          <w:rFonts w:hint="eastAsia" w:ascii="宋体" w:hAnsi="宋体" w:cs="宋体"/>
        </w:rPr>
        <w:t>Ⅱ</w:t>
      </w:r>
      <w:r>
        <w:t>级林地，主要分布在阜康市核心区域与绿洲农区交界的部分区域，灌木林林地质量综合评分值在2~4之间，主要分布在市直属区域、城关镇、甘河子镇、九运街镇、三工河乡、水磨沟乡、上户沟乡、滋泥泉镇等7个乡（镇、场）。林地质量等级为</w:t>
      </w:r>
      <w:r>
        <w:rPr>
          <w:rFonts w:hint="eastAsia" w:ascii="宋体" w:hAnsi="宋体" w:cs="宋体"/>
        </w:rPr>
        <w:t>Ⅱ</w:t>
      </w:r>
      <w:r>
        <w:t>级面积11604 hm</w:t>
      </w:r>
      <w:r>
        <w:rPr>
          <w:vertAlign w:val="superscript"/>
        </w:rPr>
        <w:t>2</w:t>
      </w:r>
      <w:r>
        <w:t>，占林地面积的7.65%。</w:t>
      </w:r>
      <w:r>
        <w:rPr>
          <w:rFonts w:hint="eastAsia" w:ascii="宋体" w:hAnsi="宋体" w:cs="宋体"/>
        </w:rPr>
        <w:t>Ⅲ</w:t>
      </w:r>
      <w:r>
        <w:t>等林地主要分布在阜康市绿洲区域农田防护林和农区内部的经济林，包括林地质量综合评分值在4~6之间的林地，林地质量等级为</w:t>
      </w:r>
      <w:r>
        <w:rPr>
          <w:rFonts w:hint="eastAsia" w:ascii="宋体" w:hAnsi="宋体" w:cs="宋体"/>
        </w:rPr>
        <w:t>Ⅲ</w:t>
      </w:r>
      <w:r>
        <w:t>级面积46275.57 hm</w:t>
      </w:r>
      <w:r>
        <w:rPr>
          <w:vertAlign w:val="superscript"/>
        </w:rPr>
        <w:t>2</w:t>
      </w:r>
      <w:r>
        <w:t>，占林地面积的30.52%。</w:t>
      </w:r>
      <w:r>
        <w:rPr>
          <w:rFonts w:hint="eastAsia" w:ascii="宋体" w:hAnsi="宋体" w:cs="宋体"/>
        </w:rPr>
        <w:t>Ⅳ</w:t>
      </w:r>
      <w:r>
        <w:t>级保护林地是需予以保护并引导合理、适度利用的区域，包括未纳入上述</w:t>
      </w:r>
      <w:r>
        <w:rPr>
          <w:rFonts w:hint="eastAsia" w:ascii="宋体" w:hAnsi="宋体" w:cs="宋体"/>
        </w:rPr>
        <w:t>Ⅰ</w:t>
      </w:r>
      <w:r>
        <w:t>、</w:t>
      </w:r>
      <w:r>
        <w:rPr>
          <w:rFonts w:hint="eastAsia" w:ascii="宋体" w:hAnsi="宋体" w:cs="宋体"/>
        </w:rPr>
        <w:t>Ⅱ</w:t>
      </w:r>
      <w:r>
        <w:t>、</w:t>
      </w:r>
      <w:r>
        <w:rPr>
          <w:rFonts w:hint="eastAsia" w:ascii="宋体" w:hAnsi="宋体" w:cs="宋体"/>
        </w:rPr>
        <w:t>Ⅲ</w:t>
      </w:r>
      <w:r>
        <w:t>级保护范围的各类林地。全市</w:t>
      </w:r>
      <w:r>
        <w:rPr>
          <w:rFonts w:hint="eastAsia" w:ascii="宋体" w:hAnsi="宋体" w:cs="宋体"/>
        </w:rPr>
        <w:t>Ⅳ</w:t>
      </w:r>
      <w:r>
        <w:t>级保护林地面积93774.73 hm</w:t>
      </w:r>
      <w:r>
        <w:rPr>
          <w:vertAlign w:val="superscript"/>
        </w:rPr>
        <w:t>2</w:t>
      </w:r>
      <w:r>
        <w:t>，占林地面积的61.83%。</w:t>
      </w:r>
    </w:p>
    <w:p>
      <w:pPr>
        <w:pStyle w:val="494"/>
        <w:ind w:firstLine="480"/>
      </w:pPr>
      <w:r>
        <w:t>阜康市灌木林（防护树种）总面积74077.88 hm</w:t>
      </w:r>
      <w:r>
        <w:rPr>
          <w:vertAlign w:val="superscript"/>
        </w:rPr>
        <w:t>2</w:t>
      </w:r>
      <w:r>
        <w:t>。按起源划分，天然林面积74019.55 hm</w:t>
      </w:r>
      <w:r>
        <w:rPr>
          <w:vertAlign w:val="superscript"/>
        </w:rPr>
        <w:t>2</w:t>
      </w:r>
      <w:r>
        <w:t>；占灌木林（防护树种）总面积的99.92%；人工林面积58.33 hm</w:t>
      </w:r>
      <w:r>
        <w:rPr>
          <w:vertAlign w:val="superscript"/>
        </w:rPr>
        <w:t>2</w:t>
      </w:r>
      <w:r>
        <w:t>，占0.08%。按林种划分全部为防风固沙林。主要分布在荒漠区域。</w:t>
      </w:r>
    </w:p>
    <w:p>
      <w:pPr>
        <w:pStyle w:val="494"/>
        <w:ind w:firstLine="480"/>
      </w:pPr>
      <w:r>
        <w:t>（2）区块林地现状</w:t>
      </w:r>
    </w:p>
    <w:p>
      <w:pPr>
        <w:pStyle w:val="494"/>
        <w:ind w:firstLine="480"/>
      </w:pPr>
      <w:r>
        <w:rPr>
          <w:rFonts w:hint="eastAsia"/>
        </w:rPr>
        <w:t>目前企业</w:t>
      </w:r>
      <w:r>
        <w:t>临时占用林地阜康市林业和草原局所管辖林地0.9893hm</w:t>
      </w:r>
      <w:r>
        <w:rPr>
          <w:vertAlign w:val="superscript"/>
        </w:rPr>
        <w:t>2</w:t>
      </w:r>
      <w:r>
        <w:rPr>
          <w:rFonts w:hint="eastAsia"/>
        </w:rPr>
        <w:t>（已签补偿林地协议，详见附件）</w:t>
      </w:r>
      <w:r>
        <w:t>，涉及阜康市直属8林班23小班，地类均为灌木林地，林地、林木权属均为国有林地，归属于阜康市林业和草原局经营管理，起源均为天然林，林地保护等级均为II级保护林地，森林类别均为国家级二级公益林，林种为防风固沙林，使用林地类型均为防护林林地，优势树种为梭梭。拟使用林地范围内不涉及林木采伐。</w:t>
      </w:r>
    </w:p>
    <w:p>
      <w:pPr>
        <w:pStyle w:val="494"/>
        <w:ind w:firstLine="480"/>
      </w:pPr>
      <w:r>
        <w:t>6、野生动物现状调查与评价</w:t>
      </w:r>
    </w:p>
    <w:p>
      <w:pPr>
        <w:pStyle w:val="494"/>
        <w:ind w:firstLine="480"/>
      </w:pPr>
      <w:r>
        <w:t>根据《中国动物地理区划》，本工程评价区域属古北界、蒙新区、西部荒漠亚区、东疆小区。同时，评价区属于极端干旱的大陆性气候控制下的严酷荒漠自然环境，致使评价区所属动物区系组成贫乏，主要为荒漠。</w:t>
      </w:r>
    </w:p>
    <w:p>
      <w:pPr>
        <w:pStyle w:val="494"/>
        <w:ind w:firstLine="480"/>
      </w:pPr>
      <w:r>
        <w:t>目前气田开发区及其邻近区域内的野生动物数量不多，以荒漠动物为主。在气田开发区域，因石油开发建设活动早已开展，人类活动频繁，使得对人类活动敏感的野生动物早已离去，已难以再见到大中型野生动物，偶尔可见一些耐旱型荒漠动物，以鸟类、爬行动物和啮齿类动物为主，动物种类和数量较少。</w:t>
      </w:r>
    </w:p>
    <w:p>
      <w:pPr>
        <w:pStyle w:val="494"/>
        <w:ind w:firstLine="480"/>
      </w:pPr>
      <w:r>
        <w:t>由于准噶尔盆地严酷的气候条件，野生动物分布种类少，没有区域特有种，也无保护动物。</w:t>
      </w:r>
    </w:p>
    <w:p>
      <w:pPr>
        <w:pStyle w:val="494"/>
        <w:ind w:firstLine="480"/>
      </w:pPr>
      <w:r>
        <w:t>7、生态环境现状调查小结</w:t>
      </w:r>
    </w:p>
    <w:p>
      <w:pPr>
        <w:pStyle w:val="494"/>
        <w:ind w:firstLine="480"/>
      </w:pPr>
      <w:r>
        <w:t>根据《新疆生态功能区划》，本工程所在区域属于准噶尔盆地温性荒漠与绿洲农业生态区，准噶尔盆地中部固定、半固定沙漠生态亚区，古尔班通古特沙漠化敏感及植被保护生态功能区。本区的主要生态服务功能为：沙漠化控制、生物多样性维护；</w:t>
      </w:r>
    </w:p>
    <w:p>
      <w:pPr>
        <w:pStyle w:val="494"/>
        <w:ind w:firstLine="480"/>
      </w:pPr>
      <w:r>
        <w:t>评价区生态系统为荒漠生态系统，土壤类型主要是风沙土、林灌草甸土；土地利用类型为灌木林地、未利用地；植物群落较为单一，主要植物有梭梭、沙漠绢蒿、琵琶柴、驼绒藜等自然植被；涉及的重点公益林均属于防风固沙林；区域野生动物稀少，无国家和自治区重点保护的野生动物及地方珍稀特有野生动物</w:t>
      </w:r>
      <w:r>
        <w:rPr>
          <w:rFonts w:hint="eastAsia"/>
        </w:rPr>
        <w:t>。</w:t>
      </w:r>
    </w:p>
    <w:p>
      <w:pPr>
        <w:pStyle w:val="2"/>
        <w:rPr>
          <w:color w:val="auto"/>
        </w:rPr>
        <w:sectPr>
          <w:pgSz w:w="11906" w:h="16838"/>
          <w:pgMar w:top="1440" w:right="1701" w:bottom="1440" w:left="1985" w:header="851" w:footer="992" w:gutter="0"/>
          <w:cols w:space="720" w:num="1"/>
          <w:docGrid w:linePitch="312" w:charSpace="0"/>
        </w:sectPr>
      </w:pPr>
    </w:p>
    <w:bookmarkEnd w:id="311"/>
    <w:bookmarkEnd w:id="312"/>
    <w:bookmarkEnd w:id="313"/>
    <w:bookmarkEnd w:id="314"/>
    <w:bookmarkEnd w:id="315"/>
    <w:bookmarkEnd w:id="316"/>
    <w:bookmarkEnd w:id="317"/>
    <w:bookmarkEnd w:id="318"/>
    <w:p>
      <w:pPr>
        <w:pStyle w:val="3"/>
      </w:pPr>
      <w:bookmarkStart w:id="325" w:name="_Toc107500384"/>
      <w:bookmarkStart w:id="326" w:name="_Toc145580420"/>
      <w:bookmarkStart w:id="327" w:name="_Toc313433761"/>
      <w:bookmarkStart w:id="328" w:name="_Toc319402970"/>
      <w:bookmarkStart w:id="329" w:name="_Toc390713412"/>
      <w:r>
        <w:rPr>
          <w:rFonts w:hint="eastAsia"/>
        </w:rPr>
        <w:t>5  环境影响分析与评价</w:t>
      </w:r>
      <w:bookmarkEnd w:id="325"/>
      <w:bookmarkEnd w:id="326"/>
    </w:p>
    <w:bookmarkEnd w:id="327"/>
    <w:bookmarkEnd w:id="328"/>
    <w:bookmarkEnd w:id="329"/>
    <w:p>
      <w:pPr>
        <w:pStyle w:val="4"/>
        <w:spacing w:before="120" w:after="120"/>
        <w:rPr>
          <w:color w:val="FF0000"/>
        </w:rPr>
      </w:pPr>
      <w:bookmarkStart w:id="330" w:name="_Toc327365492"/>
      <w:bookmarkStart w:id="331" w:name="_Toc3576"/>
      <w:bookmarkStart w:id="332" w:name="_Toc107500385"/>
      <w:bookmarkStart w:id="333" w:name="_Toc145580421"/>
      <w:bookmarkStart w:id="334" w:name="_Hlk147653065"/>
      <w:r>
        <w:rPr>
          <w:rFonts w:hint="eastAsia"/>
          <w:color w:val="FF0000"/>
        </w:rPr>
        <w:t>5</w:t>
      </w:r>
      <w:r>
        <w:rPr>
          <w:color w:val="FF0000"/>
        </w:rPr>
        <w:t xml:space="preserve">.1 </w:t>
      </w:r>
      <w:bookmarkEnd w:id="330"/>
      <w:bookmarkEnd w:id="331"/>
      <w:r>
        <w:rPr>
          <w:rFonts w:hint="eastAsia"/>
          <w:color w:val="FF0000"/>
        </w:rPr>
        <w:t>施工期环境影响分析与评价</w:t>
      </w:r>
      <w:bookmarkEnd w:id="332"/>
      <w:bookmarkEnd w:id="333"/>
    </w:p>
    <w:p>
      <w:pPr>
        <w:pStyle w:val="494"/>
        <w:ind w:firstLine="480"/>
        <w:rPr>
          <w:color w:val="FF0000"/>
        </w:rPr>
      </w:pPr>
      <w:r>
        <w:rPr>
          <w:rFonts w:hint="eastAsia"/>
          <w:color w:val="FF0000"/>
        </w:rPr>
        <w:t>本项目在现有厂区内建设，不新增用地，</w:t>
      </w:r>
      <w:r>
        <w:rPr>
          <w:color w:val="FF0000"/>
        </w:rPr>
        <w:t>施工期污染主要为拆除现有</w:t>
      </w:r>
      <w:r>
        <w:rPr>
          <w:rFonts w:hint="eastAsia"/>
          <w:color w:val="FF0000"/>
        </w:rPr>
        <w:t>工程部分设备以及安装新设备过程</w:t>
      </w:r>
      <w:r>
        <w:rPr>
          <w:color w:val="FF0000"/>
        </w:rPr>
        <w:t>中产生的施工扬尘、施工噪声、施工废水、施工期固体废物</w:t>
      </w:r>
      <w:r>
        <w:rPr>
          <w:rFonts w:hint="eastAsia"/>
          <w:color w:val="FF0000"/>
        </w:rPr>
        <w:t>。</w:t>
      </w:r>
    </w:p>
    <w:p>
      <w:pPr>
        <w:pStyle w:val="5"/>
        <w:spacing w:before="120" w:after="120"/>
        <w:rPr>
          <w:color w:val="FF0000"/>
          <w:spacing w:val="0"/>
        </w:rPr>
      </w:pPr>
      <w:bookmarkStart w:id="335" w:name="_Toc107500386"/>
      <w:bookmarkStart w:id="336" w:name="_Toc145580422"/>
      <w:r>
        <w:rPr>
          <w:rFonts w:hint="eastAsia"/>
          <w:color w:val="FF0000"/>
          <w:spacing w:val="0"/>
        </w:rPr>
        <w:t>5.1.1施工期大气环境影响分析与评价</w:t>
      </w:r>
      <w:bookmarkEnd w:id="335"/>
      <w:bookmarkEnd w:id="336"/>
    </w:p>
    <w:p>
      <w:pPr>
        <w:pStyle w:val="494"/>
        <w:ind w:firstLine="480"/>
        <w:rPr>
          <w:color w:val="FF0000"/>
        </w:rPr>
      </w:pPr>
      <w:r>
        <w:rPr>
          <w:rFonts w:hint="eastAsia"/>
          <w:color w:val="FF0000"/>
        </w:rPr>
        <w:t>1、施工扬尘</w:t>
      </w:r>
    </w:p>
    <w:p>
      <w:pPr>
        <w:pStyle w:val="494"/>
        <w:ind w:firstLine="480"/>
        <w:rPr>
          <w:color w:val="FF0000"/>
        </w:rPr>
      </w:pPr>
      <w:r>
        <w:rPr>
          <w:rFonts w:hint="eastAsia"/>
          <w:color w:val="FF0000"/>
        </w:rPr>
        <w:t>运输扬尘主要是由于施工车辆在施工道路上运输设备及施工时需要的材料而引起的，引起运输扬尘的因素较多，主要与车辆行驶速度、风速、路面积尘量和路面湿度有关，其中风速、风力还直接影响到扬尘的传输距离。</w:t>
      </w:r>
    </w:p>
    <w:p>
      <w:pPr>
        <w:pStyle w:val="494"/>
        <w:ind w:firstLine="480"/>
        <w:rPr>
          <w:color w:val="FF0000"/>
        </w:rPr>
      </w:pPr>
      <w:r>
        <w:rPr>
          <w:rFonts w:hint="eastAsia"/>
          <w:color w:val="FF0000"/>
        </w:rPr>
        <w:t>道路表面由于其表面土层松散、车辆碾压频繁，也易形成尘源，采取洒水措施来减少扬尘。</w:t>
      </w:r>
    </w:p>
    <w:p>
      <w:pPr>
        <w:pStyle w:val="494"/>
        <w:ind w:firstLine="480"/>
        <w:rPr>
          <w:color w:val="FF0000"/>
        </w:rPr>
      </w:pPr>
      <w:r>
        <w:rPr>
          <w:rFonts w:hint="eastAsia"/>
          <w:color w:val="FF0000"/>
        </w:rPr>
        <w:t>施工过程中建设单位应要求施工单位经常洒水抑尘。目前国内常用于抑制路面扬尘的方法是洒水，实践验证该法抑制扬尘十分有效，具体效果见表5.1-1。</w:t>
      </w:r>
    </w:p>
    <w:p>
      <w:pPr>
        <w:pStyle w:val="400"/>
        <w:ind w:firstLine="420"/>
        <w:rPr>
          <w:color w:val="FF0000"/>
        </w:rPr>
      </w:pPr>
      <w:r>
        <w:rPr>
          <w:color w:val="FF0000"/>
        </w:rPr>
        <w:t>表</w:t>
      </w:r>
      <w:r>
        <w:rPr>
          <w:rFonts w:hint="eastAsia"/>
          <w:color w:val="FF0000"/>
        </w:rPr>
        <w:t>5</w:t>
      </w:r>
      <w:r>
        <w:rPr>
          <w:color w:val="FF0000"/>
        </w:rPr>
        <w:t xml:space="preserve">.1-1   </w:t>
      </w:r>
      <w:r>
        <w:rPr>
          <w:rFonts w:hint="eastAsia"/>
          <w:color w:val="FF0000"/>
        </w:rPr>
        <w:t xml:space="preserve">            </w:t>
      </w:r>
      <w:r>
        <w:rPr>
          <w:color w:val="FF0000"/>
        </w:rPr>
        <w:t>施工路段洒水降尘试验结果</w:t>
      </w:r>
    </w:p>
    <w:tbl>
      <w:tblPr>
        <w:tblStyle w:val="65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2"/>
        <w:gridCol w:w="1174"/>
        <w:gridCol w:w="1210"/>
        <w:gridCol w:w="1210"/>
        <w:gridCol w:w="1210"/>
        <w:gridCol w:w="1210"/>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414" w:type="pct"/>
            <w:gridSpan w:val="2"/>
            <w:vAlign w:val="center"/>
          </w:tcPr>
          <w:p>
            <w:pPr>
              <w:pStyle w:val="670"/>
              <w:rPr>
                <w:color w:val="FF0000"/>
                <w:sz w:val="21"/>
              </w:rPr>
            </w:pPr>
            <w:r>
              <w:rPr>
                <w:color w:val="FF0000"/>
                <w:sz w:val="21"/>
              </w:rPr>
              <w:t>距路边距离（m）</w:t>
            </w:r>
          </w:p>
        </w:tc>
        <w:tc>
          <w:tcPr>
            <w:tcW w:w="717" w:type="pct"/>
            <w:vAlign w:val="center"/>
          </w:tcPr>
          <w:p>
            <w:pPr>
              <w:pStyle w:val="670"/>
              <w:rPr>
                <w:color w:val="FF0000"/>
                <w:sz w:val="21"/>
              </w:rPr>
            </w:pPr>
            <w:r>
              <w:rPr>
                <w:color w:val="FF0000"/>
                <w:sz w:val="21"/>
              </w:rPr>
              <w:t>0</w:t>
            </w:r>
          </w:p>
        </w:tc>
        <w:tc>
          <w:tcPr>
            <w:tcW w:w="717" w:type="pct"/>
            <w:vAlign w:val="center"/>
          </w:tcPr>
          <w:p>
            <w:pPr>
              <w:pStyle w:val="670"/>
              <w:rPr>
                <w:color w:val="FF0000"/>
                <w:sz w:val="21"/>
              </w:rPr>
            </w:pPr>
            <w:r>
              <w:rPr>
                <w:color w:val="FF0000"/>
                <w:sz w:val="21"/>
              </w:rPr>
              <w:t>20</w:t>
            </w:r>
          </w:p>
        </w:tc>
        <w:tc>
          <w:tcPr>
            <w:tcW w:w="717" w:type="pct"/>
            <w:vAlign w:val="center"/>
          </w:tcPr>
          <w:p>
            <w:pPr>
              <w:pStyle w:val="670"/>
              <w:rPr>
                <w:color w:val="FF0000"/>
                <w:sz w:val="21"/>
              </w:rPr>
            </w:pPr>
            <w:r>
              <w:rPr>
                <w:color w:val="FF0000"/>
                <w:sz w:val="21"/>
              </w:rPr>
              <w:t>50</w:t>
            </w:r>
          </w:p>
        </w:tc>
        <w:tc>
          <w:tcPr>
            <w:tcW w:w="717" w:type="pct"/>
            <w:vAlign w:val="center"/>
          </w:tcPr>
          <w:p>
            <w:pPr>
              <w:pStyle w:val="670"/>
              <w:rPr>
                <w:color w:val="FF0000"/>
                <w:sz w:val="21"/>
              </w:rPr>
            </w:pPr>
            <w:r>
              <w:rPr>
                <w:color w:val="FF0000"/>
                <w:sz w:val="21"/>
              </w:rPr>
              <w:t>100</w:t>
            </w:r>
          </w:p>
        </w:tc>
        <w:tc>
          <w:tcPr>
            <w:tcW w:w="717" w:type="pct"/>
            <w:vAlign w:val="center"/>
          </w:tcPr>
          <w:p>
            <w:pPr>
              <w:pStyle w:val="670"/>
              <w:rPr>
                <w:color w:val="FF0000"/>
                <w:sz w:val="21"/>
              </w:rPr>
            </w:pPr>
            <w:r>
              <w:rPr>
                <w:color w:val="FF0000"/>
                <w:sz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719" w:type="pct"/>
            <w:vMerge w:val="restart"/>
            <w:vAlign w:val="center"/>
          </w:tcPr>
          <w:p>
            <w:pPr>
              <w:pStyle w:val="670"/>
              <w:rPr>
                <w:color w:val="FF0000"/>
                <w:sz w:val="21"/>
              </w:rPr>
            </w:pPr>
            <w:r>
              <w:rPr>
                <w:color w:val="FF0000"/>
                <w:sz w:val="21"/>
              </w:rPr>
              <w:t>TSP</w:t>
            </w:r>
          </w:p>
          <w:p>
            <w:pPr>
              <w:pStyle w:val="670"/>
              <w:rPr>
                <w:color w:val="FF0000"/>
                <w:sz w:val="21"/>
              </w:rPr>
            </w:pPr>
            <w:r>
              <w:rPr>
                <w:color w:val="FF0000"/>
                <w:sz w:val="21"/>
              </w:rPr>
              <w:t>（mg/m</w:t>
            </w:r>
            <w:r>
              <w:rPr>
                <w:color w:val="FF0000"/>
                <w:sz w:val="21"/>
                <w:vertAlign w:val="superscript"/>
              </w:rPr>
              <w:t>3</w:t>
            </w:r>
            <w:r>
              <w:rPr>
                <w:color w:val="FF0000"/>
                <w:sz w:val="21"/>
              </w:rPr>
              <w:t>）</w:t>
            </w:r>
          </w:p>
        </w:tc>
        <w:tc>
          <w:tcPr>
            <w:tcW w:w="696" w:type="pct"/>
            <w:vAlign w:val="center"/>
          </w:tcPr>
          <w:p>
            <w:pPr>
              <w:pStyle w:val="670"/>
              <w:rPr>
                <w:color w:val="FF0000"/>
                <w:sz w:val="21"/>
              </w:rPr>
            </w:pPr>
            <w:r>
              <w:rPr>
                <w:color w:val="FF0000"/>
                <w:sz w:val="21"/>
              </w:rPr>
              <w:t>不洒水</w:t>
            </w:r>
          </w:p>
        </w:tc>
        <w:tc>
          <w:tcPr>
            <w:tcW w:w="717" w:type="pct"/>
            <w:vAlign w:val="center"/>
          </w:tcPr>
          <w:p>
            <w:pPr>
              <w:pStyle w:val="670"/>
              <w:rPr>
                <w:color w:val="FF0000"/>
                <w:sz w:val="21"/>
              </w:rPr>
            </w:pPr>
            <w:r>
              <w:rPr>
                <w:color w:val="FF0000"/>
                <w:sz w:val="21"/>
              </w:rPr>
              <w:t>11.03</w:t>
            </w:r>
          </w:p>
        </w:tc>
        <w:tc>
          <w:tcPr>
            <w:tcW w:w="717" w:type="pct"/>
            <w:vAlign w:val="center"/>
          </w:tcPr>
          <w:p>
            <w:pPr>
              <w:pStyle w:val="670"/>
              <w:rPr>
                <w:color w:val="FF0000"/>
                <w:sz w:val="21"/>
              </w:rPr>
            </w:pPr>
            <w:r>
              <w:rPr>
                <w:color w:val="FF0000"/>
                <w:sz w:val="21"/>
              </w:rPr>
              <w:t>2.89</w:t>
            </w:r>
          </w:p>
        </w:tc>
        <w:tc>
          <w:tcPr>
            <w:tcW w:w="717" w:type="pct"/>
            <w:vAlign w:val="center"/>
          </w:tcPr>
          <w:p>
            <w:pPr>
              <w:pStyle w:val="670"/>
              <w:rPr>
                <w:color w:val="FF0000"/>
                <w:sz w:val="21"/>
              </w:rPr>
            </w:pPr>
            <w:r>
              <w:rPr>
                <w:color w:val="FF0000"/>
                <w:sz w:val="21"/>
              </w:rPr>
              <w:t>1.15</w:t>
            </w:r>
          </w:p>
        </w:tc>
        <w:tc>
          <w:tcPr>
            <w:tcW w:w="717" w:type="pct"/>
            <w:vAlign w:val="center"/>
          </w:tcPr>
          <w:p>
            <w:pPr>
              <w:pStyle w:val="670"/>
              <w:rPr>
                <w:color w:val="FF0000"/>
                <w:sz w:val="21"/>
              </w:rPr>
            </w:pPr>
            <w:r>
              <w:rPr>
                <w:color w:val="FF0000"/>
                <w:sz w:val="21"/>
              </w:rPr>
              <w:t>0.86</w:t>
            </w:r>
          </w:p>
        </w:tc>
        <w:tc>
          <w:tcPr>
            <w:tcW w:w="717" w:type="pct"/>
            <w:vAlign w:val="center"/>
          </w:tcPr>
          <w:p>
            <w:pPr>
              <w:pStyle w:val="670"/>
              <w:rPr>
                <w:color w:val="FF0000"/>
                <w:sz w:val="21"/>
              </w:rPr>
            </w:pPr>
            <w:r>
              <w:rPr>
                <w:color w:val="FF0000"/>
                <w:sz w:val="21"/>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719" w:type="pct"/>
            <w:vMerge w:val="continue"/>
            <w:vAlign w:val="center"/>
          </w:tcPr>
          <w:p>
            <w:pPr>
              <w:pStyle w:val="670"/>
              <w:rPr>
                <w:color w:val="FF0000"/>
                <w:sz w:val="21"/>
              </w:rPr>
            </w:pPr>
          </w:p>
        </w:tc>
        <w:tc>
          <w:tcPr>
            <w:tcW w:w="696" w:type="pct"/>
            <w:vAlign w:val="center"/>
          </w:tcPr>
          <w:p>
            <w:pPr>
              <w:pStyle w:val="670"/>
              <w:rPr>
                <w:color w:val="FF0000"/>
                <w:sz w:val="21"/>
              </w:rPr>
            </w:pPr>
            <w:r>
              <w:rPr>
                <w:color w:val="FF0000"/>
                <w:sz w:val="21"/>
              </w:rPr>
              <w:t>洒水</w:t>
            </w:r>
          </w:p>
        </w:tc>
        <w:tc>
          <w:tcPr>
            <w:tcW w:w="717" w:type="pct"/>
            <w:vAlign w:val="center"/>
          </w:tcPr>
          <w:p>
            <w:pPr>
              <w:pStyle w:val="670"/>
              <w:rPr>
                <w:color w:val="FF0000"/>
                <w:sz w:val="21"/>
              </w:rPr>
            </w:pPr>
            <w:r>
              <w:rPr>
                <w:color w:val="FF0000"/>
                <w:sz w:val="21"/>
              </w:rPr>
              <w:t>2.11</w:t>
            </w:r>
          </w:p>
        </w:tc>
        <w:tc>
          <w:tcPr>
            <w:tcW w:w="717" w:type="pct"/>
            <w:vAlign w:val="center"/>
          </w:tcPr>
          <w:p>
            <w:pPr>
              <w:pStyle w:val="670"/>
              <w:rPr>
                <w:color w:val="FF0000"/>
                <w:sz w:val="21"/>
              </w:rPr>
            </w:pPr>
            <w:r>
              <w:rPr>
                <w:color w:val="FF0000"/>
                <w:sz w:val="21"/>
              </w:rPr>
              <w:t>1.40</w:t>
            </w:r>
          </w:p>
        </w:tc>
        <w:tc>
          <w:tcPr>
            <w:tcW w:w="717" w:type="pct"/>
            <w:vAlign w:val="center"/>
          </w:tcPr>
          <w:p>
            <w:pPr>
              <w:pStyle w:val="670"/>
              <w:rPr>
                <w:color w:val="FF0000"/>
                <w:sz w:val="21"/>
              </w:rPr>
            </w:pPr>
            <w:r>
              <w:rPr>
                <w:color w:val="FF0000"/>
                <w:sz w:val="21"/>
              </w:rPr>
              <w:t>0.68</w:t>
            </w:r>
          </w:p>
        </w:tc>
        <w:tc>
          <w:tcPr>
            <w:tcW w:w="717" w:type="pct"/>
            <w:vAlign w:val="center"/>
          </w:tcPr>
          <w:p>
            <w:pPr>
              <w:pStyle w:val="670"/>
              <w:rPr>
                <w:color w:val="FF0000"/>
                <w:sz w:val="21"/>
              </w:rPr>
            </w:pPr>
            <w:r>
              <w:rPr>
                <w:color w:val="FF0000"/>
                <w:sz w:val="21"/>
              </w:rPr>
              <w:t>0.60</w:t>
            </w:r>
          </w:p>
        </w:tc>
        <w:tc>
          <w:tcPr>
            <w:tcW w:w="717" w:type="pct"/>
            <w:vAlign w:val="center"/>
          </w:tcPr>
          <w:p>
            <w:pPr>
              <w:pStyle w:val="670"/>
              <w:rPr>
                <w:color w:val="FF0000"/>
                <w:sz w:val="21"/>
              </w:rPr>
            </w:pPr>
            <w:r>
              <w:rPr>
                <w:color w:val="FF0000"/>
                <w:sz w:val="21"/>
              </w:rPr>
              <w:t>0.29</w:t>
            </w:r>
          </w:p>
        </w:tc>
      </w:tr>
    </w:tbl>
    <w:p>
      <w:pPr>
        <w:pStyle w:val="494"/>
        <w:ind w:firstLine="480"/>
        <w:rPr>
          <w:color w:val="FF0000"/>
        </w:rPr>
      </w:pPr>
      <w:r>
        <w:rPr>
          <w:rFonts w:hint="eastAsia"/>
          <w:color w:val="FF0000"/>
        </w:rPr>
        <w:t>2、施工机械废气</w:t>
      </w:r>
    </w:p>
    <w:p>
      <w:pPr>
        <w:pStyle w:val="494"/>
        <w:ind w:firstLine="480"/>
        <w:rPr>
          <w:color w:val="FF0000"/>
        </w:rPr>
      </w:pPr>
      <w:r>
        <w:rPr>
          <w:rFonts w:hint="eastAsia"/>
          <w:color w:val="FF0000"/>
        </w:rPr>
        <w:t>机械</w:t>
      </w:r>
      <w:r>
        <w:rPr>
          <w:color w:val="FF0000"/>
        </w:rPr>
        <w:t>废气</w:t>
      </w:r>
      <w:r>
        <w:rPr>
          <w:rFonts w:hint="eastAsia"/>
          <w:color w:val="FF0000"/>
        </w:rPr>
        <w:t>主要是来自施工机械、物料运输车辆等产生的汽车尾气。主要污染物为</w:t>
      </w:r>
      <w:r>
        <w:rPr>
          <w:color w:val="FF0000"/>
        </w:rPr>
        <w:t>CO、NO</w:t>
      </w:r>
      <w:r>
        <w:rPr>
          <w:color w:val="FF0000"/>
          <w:vertAlign w:val="subscript"/>
        </w:rPr>
        <w:t>X</w:t>
      </w:r>
      <w:r>
        <w:rPr>
          <w:color w:val="FF0000"/>
        </w:rPr>
        <w:t>及碳氢化合物。</w:t>
      </w:r>
      <w:r>
        <w:rPr>
          <w:rFonts w:hint="eastAsia"/>
          <w:color w:val="FF0000"/>
        </w:rPr>
        <w:t>这些污染物量很小，可忽略不计。影响范围仅局限在施工作业区内，而且施工场地相对较为空旷，施工过程中各机械设备排放的废气很快就会随风稀释扩散，对周围</w:t>
      </w:r>
      <w:r>
        <w:rPr>
          <w:color w:val="FF0000"/>
        </w:rPr>
        <w:t>环境</w:t>
      </w:r>
      <w:r>
        <w:rPr>
          <w:rFonts w:hint="eastAsia"/>
          <w:color w:val="FF0000"/>
        </w:rPr>
        <w:t>空气造成的影响不大。</w:t>
      </w:r>
    </w:p>
    <w:p>
      <w:pPr>
        <w:pStyle w:val="494"/>
        <w:ind w:firstLine="480"/>
        <w:rPr>
          <w:color w:val="FF0000"/>
        </w:rPr>
      </w:pPr>
      <w:r>
        <w:rPr>
          <w:rFonts w:hint="eastAsia"/>
          <w:color w:val="FF0000"/>
        </w:rPr>
        <w:t>本次评价要求施工单位加强施工场地管理，保证各生产设备正常运转，减少施工机械待机时间及运输车辆在施工场地内停留时间，能够有效减少废气产生量。</w:t>
      </w:r>
    </w:p>
    <w:p>
      <w:pPr>
        <w:pStyle w:val="494"/>
        <w:ind w:firstLine="480"/>
        <w:rPr>
          <w:color w:val="FF0000"/>
        </w:rPr>
      </w:pPr>
      <w:r>
        <w:rPr>
          <w:rFonts w:hint="eastAsia"/>
          <w:color w:val="FF0000"/>
        </w:rPr>
        <w:t>由于施工期大气污染物的排放都是暂时的，只要合理规划、科学管理，施工活动不会对区域环境空气质量产生明显影响，而且随着施工活动的结束，施工期环境影响也将消失。</w:t>
      </w:r>
    </w:p>
    <w:p>
      <w:pPr>
        <w:pStyle w:val="5"/>
        <w:spacing w:before="120" w:after="120"/>
        <w:rPr>
          <w:color w:val="FF0000"/>
          <w:spacing w:val="0"/>
        </w:rPr>
      </w:pPr>
      <w:bookmarkStart w:id="337" w:name="_Toc107500387"/>
      <w:bookmarkStart w:id="338" w:name="_Toc145580423"/>
      <w:r>
        <w:rPr>
          <w:rFonts w:hint="eastAsia"/>
          <w:color w:val="FF0000"/>
          <w:spacing w:val="0"/>
        </w:rPr>
        <w:t>5.1.2施工废水对环境的影响分析与评价</w:t>
      </w:r>
      <w:bookmarkEnd w:id="337"/>
      <w:bookmarkEnd w:id="338"/>
    </w:p>
    <w:p>
      <w:pPr>
        <w:pStyle w:val="494"/>
        <w:ind w:firstLine="480"/>
        <w:rPr>
          <w:color w:val="FF0000"/>
        </w:rPr>
      </w:pPr>
      <w:bookmarkStart w:id="339" w:name="_Toc454899371"/>
      <w:r>
        <w:rPr>
          <w:rFonts w:hint="eastAsia"/>
          <w:color w:val="FF0000"/>
        </w:rPr>
        <w:t>施工期废水主要为施工人员的生活污水</w:t>
      </w:r>
      <w:r>
        <w:rPr>
          <w:color w:val="FF0000"/>
        </w:rPr>
        <w:t>。</w:t>
      </w:r>
    </w:p>
    <w:p>
      <w:pPr>
        <w:pStyle w:val="494"/>
        <w:ind w:firstLine="480"/>
        <w:rPr>
          <w:color w:val="FF0000"/>
        </w:rPr>
      </w:pPr>
      <w:r>
        <w:rPr>
          <w:rFonts w:hint="eastAsia"/>
          <w:color w:val="FF0000"/>
        </w:rPr>
        <w:t>施工人员</w:t>
      </w:r>
      <w:r>
        <w:rPr>
          <w:color w:val="FF0000"/>
        </w:rPr>
        <w:t>生活污水排入9m</w:t>
      </w:r>
      <w:r>
        <w:rPr>
          <w:color w:val="FF0000"/>
          <w:vertAlign w:val="superscript"/>
        </w:rPr>
        <w:t>3</w:t>
      </w:r>
      <w:r>
        <w:rPr>
          <w:color w:val="FF0000"/>
        </w:rPr>
        <w:t>的化粪池暂存，定期</w:t>
      </w:r>
      <w:r>
        <w:rPr>
          <w:rFonts w:hint="eastAsia"/>
          <w:color w:val="FF0000"/>
        </w:rPr>
        <w:t>交由</w:t>
      </w:r>
      <w:r>
        <w:rPr>
          <w:rFonts w:hint="eastAsia"/>
          <w:bCs/>
          <w:color w:val="FF0000"/>
        </w:rPr>
        <w:t>新疆诺客蒙鑫环境技术有限公司拉运处置</w:t>
      </w:r>
      <w:r>
        <w:rPr>
          <w:rFonts w:hint="eastAsia"/>
          <w:color w:val="FF0000"/>
        </w:rPr>
        <w:t>，</w:t>
      </w:r>
      <w:r>
        <w:rPr>
          <w:color w:val="FF0000"/>
        </w:rPr>
        <w:t>不会对区域水环境产生不良影响。</w:t>
      </w:r>
    </w:p>
    <w:p>
      <w:pPr>
        <w:pStyle w:val="5"/>
        <w:spacing w:before="120" w:after="120"/>
        <w:rPr>
          <w:color w:val="FF0000"/>
          <w:spacing w:val="0"/>
        </w:rPr>
      </w:pPr>
      <w:bookmarkStart w:id="340" w:name="_Toc107500388"/>
      <w:bookmarkStart w:id="341" w:name="_Toc145580424"/>
      <w:r>
        <w:rPr>
          <w:rFonts w:hint="eastAsia"/>
          <w:color w:val="FF0000"/>
          <w:spacing w:val="0"/>
        </w:rPr>
        <w:t>5.1.3施工期</w:t>
      </w:r>
      <w:r>
        <w:rPr>
          <w:color w:val="FF0000"/>
          <w:spacing w:val="0"/>
        </w:rPr>
        <w:t>声环境影响分析</w:t>
      </w:r>
      <w:bookmarkEnd w:id="339"/>
      <w:r>
        <w:rPr>
          <w:rFonts w:hint="eastAsia"/>
          <w:color w:val="FF0000"/>
          <w:spacing w:val="0"/>
        </w:rPr>
        <w:t>与评价</w:t>
      </w:r>
      <w:bookmarkEnd w:id="340"/>
      <w:bookmarkEnd w:id="341"/>
    </w:p>
    <w:p>
      <w:pPr>
        <w:pStyle w:val="494"/>
        <w:ind w:firstLine="480"/>
        <w:rPr>
          <w:color w:val="FF0000"/>
        </w:rPr>
      </w:pPr>
      <w:bookmarkStart w:id="342" w:name="_Toc309715403"/>
      <w:r>
        <w:rPr>
          <w:rFonts w:hint="eastAsia"/>
          <w:color w:val="FF0000"/>
        </w:rPr>
        <w:t>1、噪声源强</w:t>
      </w:r>
    </w:p>
    <w:p>
      <w:pPr>
        <w:pStyle w:val="494"/>
        <w:ind w:firstLine="480"/>
        <w:rPr>
          <w:color w:val="FF0000"/>
        </w:rPr>
      </w:pPr>
      <w:r>
        <w:rPr>
          <w:rFonts w:hint="eastAsia"/>
          <w:color w:val="FF0000"/>
        </w:rPr>
        <w:t>本项目施工期间的噪声主要来自各类施工机械。施工期主要施工机械设备的噪声源情况见表</w:t>
      </w:r>
      <w:r>
        <w:rPr>
          <w:color w:val="FF0000"/>
        </w:rPr>
        <w:t>5.1</w:t>
      </w:r>
      <w:r>
        <w:rPr>
          <w:rFonts w:hint="eastAsia"/>
          <w:color w:val="FF0000"/>
        </w:rPr>
        <w:t>-</w:t>
      </w:r>
      <w:r>
        <w:rPr>
          <w:color w:val="FF0000"/>
        </w:rPr>
        <w:t>2</w:t>
      </w:r>
      <w:r>
        <w:rPr>
          <w:rFonts w:hint="eastAsia"/>
          <w:color w:val="FF0000"/>
        </w:rPr>
        <w:t>。</w:t>
      </w:r>
    </w:p>
    <w:p>
      <w:pPr>
        <w:pStyle w:val="400"/>
        <w:ind w:firstLine="420"/>
        <w:rPr>
          <w:color w:val="FF0000"/>
        </w:rPr>
      </w:pPr>
      <w:r>
        <w:rPr>
          <w:rFonts w:hint="eastAsia"/>
          <w:color w:val="FF0000"/>
        </w:rPr>
        <w:t>表5</w:t>
      </w:r>
      <w:r>
        <w:rPr>
          <w:color w:val="FF0000"/>
        </w:rPr>
        <w:t xml:space="preserve">.1-2               </w:t>
      </w:r>
      <w:r>
        <w:rPr>
          <w:rFonts w:hint="eastAsia"/>
          <w:color w:val="FF0000"/>
        </w:rPr>
        <w:t>施工设备噪声源强</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2"/>
        <w:gridCol w:w="2812"/>
        <w:gridCol w:w="2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2" w:type="dxa"/>
            <w:vAlign w:val="center"/>
          </w:tcPr>
          <w:p>
            <w:pPr>
              <w:pStyle w:val="687"/>
              <w:rPr>
                <w:color w:val="FF0000"/>
                <w:sz w:val="21"/>
              </w:rPr>
            </w:pPr>
            <w:r>
              <w:rPr>
                <w:rFonts w:hint="eastAsia"/>
                <w:color w:val="FF0000"/>
                <w:sz w:val="21"/>
                <w:lang w:eastAsia="zh-CN"/>
              </w:rPr>
              <w:t>序号</w:t>
            </w:r>
          </w:p>
        </w:tc>
        <w:tc>
          <w:tcPr>
            <w:tcW w:w="2812" w:type="dxa"/>
            <w:vAlign w:val="center"/>
          </w:tcPr>
          <w:p>
            <w:pPr>
              <w:pStyle w:val="687"/>
              <w:rPr>
                <w:color w:val="FF0000"/>
                <w:sz w:val="21"/>
              </w:rPr>
            </w:pPr>
            <w:r>
              <w:rPr>
                <w:rFonts w:hint="eastAsia"/>
                <w:color w:val="FF0000"/>
                <w:sz w:val="21"/>
                <w:lang w:eastAsia="zh-CN"/>
              </w:rPr>
              <w:t>机械设备</w:t>
            </w:r>
          </w:p>
        </w:tc>
        <w:tc>
          <w:tcPr>
            <w:tcW w:w="2812" w:type="dxa"/>
            <w:vAlign w:val="center"/>
          </w:tcPr>
          <w:p>
            <w:pPr>
              <w:pStyle w:val="687"/>
              <w:rPr>
                <w:color w:val="FF0000"/>
                <w:sz w:val="21"/>
                <w:lang w:eastAsia="zh-CN"/>
              </w:rPr>
            </w:pPr>
            <w:r>
              <w:rPr>
                <w:rFonts w:hint="eastAsia"/>
                <w:color w:val="FF0000"/>
                <w:sz w:val="21"/>
                <w:lang w:eastAsia="zh-CN"/>
              </w:rPr>
              <w:t>源强d</w:t>
            </w:r>
            <w:r>
              <w:rPr>
                <w:color w:val="FF0000"/>
                <w:sz w:val="21"/>
                <w:lang w:eastAsia="zh-CN"/>
              </w:rPr>
              <w:t>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2" w:type="dxa"/>
            <w:vAlign w:val="center"/>
          </w:tcPr>
          <w:p>
            <w:pPr>
              <w:pStyle w:val="687"/>
              <w:rPr>
                <w:color w:val="FF0000"/>
                <w:sz w:val="21"/>
                <w:lang w:eastAsia="zh-CN"/>
              </w:rPr>
            </w:pPr>
            <w:r>
              <w:rPr>
                <w:rFonts w:hint="eastAsia"/>
                <w:color w:val="FF0000"/>
                <w:sz w:val="21"/>
                <w:lang w:eastAsia="zh-CN"/>
              </w:rPr>
              <w:t>1</w:t>
            </w:r>
          </w:p>
        </w:tc>
        <w:tc>
          <w:tcPr>
            <w:tcW w:w="2812" w:type="dxa"/>
            <w:vAlign w:val="center"/>
          </w:tcPr>
          <w:p>
            <w:pPr>
              <w:pStyle w:val="687"/>
              <w:rPr>
                <w:color w:val="FF0000"/>
                <w:sz w:val="21"/>
                <w:lang w:eastAsia="zh-CN"/>
              </w:rPr>
            </w:pPr>
            <w:r>
              <w:rPr>
                <w:rFonts w:hint="eastAsia"/>
                <w:color w:val="FF0000"/>
                <w:sz w:val="21"/>
                <w:lang w:eastAsia="zh-CN"/>
              </w:rPr>
              <w:t>起重机</w:t>
            </w:r>
          </w:p>
        </w:tc>
        <w:tc>
          <w:tcPr>
            <w:tcW w:w="2812" w:type="dxa"/>
            <w:vAlign w:val="center"/>
          </w:tcPr>
          <w:p>
            <w:pPr>
              <w:pStyle w:val="687"/>
              <w:rPr>
                <w:color w:val="FF0000"/>
                <w:sz w:val="21"/>
                <w:lang w:eastAsia="zh-CN"/>
              </w:rPr>
            </w:pPr>
            <w:r>
              <w:rPr>
                <w:rFonts w:hint="eastAsia"/>
                <w:color w:val="FF0000"/>
                <w:sz w:val="21"/>
                <w:lang w:eastAsia="zh-CN"/>
              </w:rPr>
              <w:t>9</w:t>
            </w:r>
            <w:r>
              <w:rPr>
                <w:color w:val="FF0000"/>
                <w:sz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2" w:type="dxa"/>
            <w:vAlign w:val="center"/>
          </w:tcPr>
          <w:p>
            <w:pPr>
              <w:pStyle w:val="687"/>
              <w:rPr>
                <w:color w:val="FF0000"/>
                <w:sz w:val="21"/>
                <w:lang w:eastAsia="zh-CN"/>
              </w:rPr>
            </w:pPr>
            <w:r>
              <w:rPr>
                <w:rFonts w:hint="eastAsia"/>
                <w:color w:val="FF0000"/>
                <w:sz w:val="21"/>
                <w:lang w:eastAsia="zh-CN"/>
              </w:rPr>
              <w:t>2</w:t>
            </w:r>
          </w:p>
        </w:tc>
        <w:tc>
          <w:tcPr>
            <w:tcW w:w="2812" w:type="dxa"/>
            <w:vAlign w:val="center"/>
          </w:tcPr>
          <w:p>
            <w:pPr>
              <w:pStyle w:val="687"/>
              <w:rPr>
                <w:color w:val="FF0000"/>
                <w:sz w:val="21"/>
              </w:rPr>
            </w:pPr>
            <w:r>
              <w:rPr>
                <w:rFonts w:hint="eastAsia"/>
                <w:color w:val="FF0000"/>
                <w:sz w:val="21"/>
                <w:lang w:eastAsia="zh-CN"/>
              </w:rPr>
              <w:t>吊车</w:t>
            </w:r>
          </w:p>
        </w:tc>
        <w:tc>
          <w:tcPr>
            <w:tcW w:w="2812" w:type="dxa"/>
            <w:vAlign w:val="center"/>
          </w:tcPr>
          <w:p>
            <w:pPr>
              <w:pStyle w:val="687"/>
              <w:rPr>
                <w:color w:val="FF0000"/>
                <w:sz w:val="21"/>
                <w:lang w:eastAsia="zh-CN"/>
              </w:rPr>
            </w:pPr>
            <w:r>
              <w:rPr>
                <w:color w:val="FF0000"/>
                <w:sz w:val="21"/>
                <w:lang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2" w:type="dxa"/>
            <w:vAlign w:val="center"/>
          </w:tcPr>
          <w:p>
            <w:pPr>
              <w:pStyle w:val="687"/>
              <w:rPr>
                <w:color w:val="FF0000"/>
                <w:sz w:val="21"/>
                <w:lang w:eastAsia="zh-CN"/>
              </w:rPr>
            </w:pPr>
            <w:r>
              <w:rPr>
                <w:rFonts w:hint="eastAsia"/>
                <w:color w:val="FF0000"/>
                <w:sz w:val="21"/>
                <w:lang w:eastAsia="zh-CN"/>
              </w:rPr>
              <w:t>3</w:t>
            </w:r>
          </w:p>
        </w:tc>
        <w:tc>
          <w:tcPr>
            <w:tcW w:w="2812" w:type="dxa"/>
            <w:vAlign w:val="center"/>
          </w:tcPr>
          <w:p>
            <w:pPr>
              <w:pStyle w:val="687"/>
              <w:rPr>
                <w:color w:val="FF0000"/>
                <w:sz w:val="21"/>
              </w:rPr>
            </w:pPr>
            <w:r>
              <w:rPr>
                <w:rFonts w:hint="eastAsia"/>
                <w:color w:val="FF0000"/>
                <w:sz w:val="21"/>
                <w:lang w:eastAsia="zh-CN"/>
              </w:rPr>
              <w:t>电锯、电钻</w:t>
            </w:r>
          </w:p>
        </w:tc>
        <w:tc>
          <w:tcPr>
            <w:tcW w:w="2812" w:type="dxa"/>
            <w:vAlign w:val="center"/>
          </w:tcPr>
          <w:p>
            <w:pPr>
              <w:pStyle w:val="687"/>
              <w:rPr>
                <w:color w:val="FF0000"/>
                <w:sz w:val="21"/>
                <w:lang w:eastAsia="zh-CN"/>
              </w:rPr>
            </w:pPr>
            <w:r>
              <w:rPr>
                <w:color w:val="FF0000"/>
                <w:sz w:val="21"/>
                <w:lang w:eastAsia="zh-CN"/>
              </w:rPr>
              <w:t>96</w:t>
            </w:r>
          </w:p>
        </w:tc>
      </w:tr>
    </w:tbl>
    <w:p>
      <w:pPr>
        <w:pStyle w:val="494"/>
        <w:ind w:firstLine="480"/>
        <w:rPr>
          <w:color w:val="FF0000"/>
        </w:rPr>
      </w:pPr>
      <w:r>
        <w:rPr>
          <w:rFonts w:hint="eastAsia"/>
          <w:color w:val="FF0000"/>
        </w:rPr>
        <w:t>2、预测模式</w:t>
      </w:r>
    </w:p>
    <w:p>
      <w:pPr>
        <w:pStyle w:val="494"/>
        <w:ind w:firstLine="480"/>
        <w:rPr>
          <w:color w:val="FF0000"/>
        </w:rPr>
      </w:pPr>
      <w:r>
        <w:rPr>
          <w:rFonts w:hint="eastAsia"/>
          <w:color w:val="FF0000"/>
        </w:rPr>
        <w:t>本次评价采用下列公式计算距离建设项目噪声源不同距离处的噪声值：</w:t>
      </w:r>
    </w:p>
    <w:p>
      <w:pPr>
        <w:pStyle w:val="494"/>
        <w:ind w:firstLine="0" w:firstLineChars="0"/>
        <w:jc w:val="center"/>
        <w:rPr>
          <w:color w:val="FF0000"/>
        </w:rPr>
      </w:pPr>
      <w:r>
        <w:rPr>
          <w:rFonts w:hint="eastAsia"/>
          <w:color w:val="FF0000"/>
        </w:rPr>
        <w:t>L</w:t>
      </w:r>
      <w:r>
        <w:rPr>
          <w:rFonts w:hint="eastAsia"/>
          <w:color w:val="FF0000"/>
          <w:vertAlign w:val="subscript"/>
        </w:rPr>
        <w:t>A(r)</w:t>
      </w:r>
      <w:r>
        <w:rPr>
          <w:rFonts w:hint="eastAsia"/>
          <w:color w:val="FF0000"/>
        </w:rPr>
        <w:t>＝L</w:t>
      </w:r>
      <w:r>
        <w:rPr>
          <w:rFonts w:hint="eastAsia"/>
          <w:color w:val="FF0000"/>
          <w:vertAlign w:val="subscript"/>
        </w:rPr>
        <w:t>A(r0)</w:t>
      </w:r>
      <w:r>
        <w:rPr>
          <w:rFonts w:hint="eastAsia"/>
          <w:color w:val="FF0000"/>
        </w:rPr>
        <w:t>－20lg(r/r0)</w:t>
      </w:r>
    </w:p>
    <w:p>
      <w:pPr>
        <w:pStyle w:val="494"/>
        <w:ind w:firstLine="480"/>
        <w:rPr>
          <w:color w:val="FF0000"/>
        </w:rPr>
      </w:pPr>
      <w:r>
        <w:rPr>
          <w:rFonts w:hint="eastAsia"/>
          <w:color w:val="FF0000"/>
        </w:rPr>
        <w:t>式中：</w:t>
      </w:r>
    </w:p>
    <w:p>
      <w:pPr>
        <w:pStyle w:val="494"/>
        <w:ind w:firstLine="1200" w:firstLineChars="500"/>
        <w:rPr>
          <w:color w:val="FF0000"/>
        </w:rPr>
      </w:pPr>
      <w:r>
        <w:rPr>
          <w:rFonts w:hint="eastAsia"/>
          <w:color w:val="FF0000"/>
        </w:rPr>
        <w:t>LA(r)－距声源r处的A声级；</w:t>
      </w:r>
    </w:p>
    <w:p>
      <w:pPr>
        <w:pStyle w:val="494"/>
        <w:ind w:firstLine="1200" w:firstLineChars="500"/>
        <w:rPr>
          <w:color w:val="FF0000"/>
        </w:rPr>
      </w:pPr>
      <w:r>
        <w:rPr>
          <w:rFonts w:hint="eastAsia"/>
          <w:color w:val="FF0000"/>
        </w:rPr>
        <w:t>LA(r0)－参考位置r0处的A声级；</w:t>
      </w:r>
    </w:p>
    <w:p>
      <w:pPr>
        <w:pStyle w:val="494"/>
        <w:ind w:firstLine="480"/>
        <w:rPr>
          <w:color w:val="FF0000"/>
        </w:rPr>
      </w:pPr>
      <w:r>
        <w:rPr>
          <w:rFonts w:hint="eastAsia"/>
          <w:color w:val="FF0000"/>
        </w:rPr>
        <w:t>建设项目声源在预测点产生的等效声级贡献值(</w:t>
      </w:r>
      <w:r>
        <w:rPr>
          <w:rFonts w:hint="eastAsia"/>
          <w:i/>
          <w:color w:val="FF0000"/>
        </w:rPr>
        <w:t>L</w:t>
      </w:r>
      <w:r>
        <w:rPr>
          <w:rFonts w:hint="eastAsia"/>
          <w:i/>
          <w:color w:val="FF0000"/>
          <w:vertAlign w:val="subscript"/>
        </w:rPr>
        <w:t>eqg</w:t>
      </w:r>
      <w:r>
        <w:rPr>
          <w:rFonts w:hint="eastAsia"/>
          <w:color w:val="FF0000"/>
        </w:rPr>
        <w:t>)计算公式：</w:t>
      </w:r>
    </w:p>
    <w:p>
      <w:pPr>
        <w:overflowPunct w:val="0"/>
        <w:spacing w:line="360" w:lineRule="auto"/>
        <w:ind w:firstLine="480" w:firstLineChars="200"/>
        <w:rPr>
          <w:rFonts w:asciiTheme="minorEastAsia" w:hAnsiTheme="minorEastAsia" w:eastAsiaTheme="minorEastAsia"/>
          <w:color w:val="FF0000"/>
          <w:kern w:val="24"/>
          <w:sz w:val="24"/>
        </w:rPr>
      </w:pPr>
      <m:oMathPara>
        <m:oMath>
          <m:sSub>
            <m:sSubPr>
              <m:ctrlPr>
                <w:rPr>
                  <w:rFonts w:ascii="Cambria Math" w:hAnsi="Cambria Math" w:eastAsiaTheme="minorEastAsia"/>
                  <w:color w:val="FF0000"/>
                  <w:kern w:val="24"/>
                  <w:sz w:val="24"/>
                </w:rPr>
              </m:ctrlPr>
            </m:sSubPr>
            <m:e>
              <m:r>
                <m:rPr/>
                <w:rPr>
                  <w:rFonts w:hint="eastAsia" w:ascii="Cambria Math" w:hAnsi="Cambria Math" w:eastAsiaTheme="minorEastAsia"/>
                  <w:color w:val="FF0000"/>
                  <w:kern w:val="24"/>
                  <w:sz w:val="24"/>
                </w:rPr>
                <m:t>L</m:t>
              </m:r>
              <m:ctrlPr>
                <w:rPr>
                  <w:rFonts w:ascii="Cambria Math" w:hAnsi="Cambria Math" w:eastAsiaTheme="minorEastAsia"/>
                  <w:color w:val="FF0000"/>
                  <w:kern w:val="24"/>
                  <w:sz w:val="24"/>
                </w:rPr>
              </m:ctrlPr>
            </m:e>
            <m:sub>
              <m:r>
                <m:rPr/>
                <w:rPr>
                  <w:rFonts w:hint="eastAsia" w:ascii="Cambria Math" w:hAnsi="Cambria Math" w:eastAsiaTheme="minorEastAsia"/>
                  <w:color w:val="FF0000"/>
                  <w:kern w:val="24"/>
                  <w:sz w:val="24"/>
                </w:rPr>
                <m:t>eqg</m:t>
              </m:r>
              <m:ctrlPr>
                <w:rPr>
                  <w:rFonts w:ascii="Cambria Math" w:hAnsi="Cambria Math" w:eastAsiaTheme="minorEastAsia"/>
                  <w:color w:val="FF0000"/>
                  <w:kern w:val="24"/>
                  <w:sz w:val="24"/>
                </w:rPr>
              </m:ctrlPr>
            </m:sub>
          </m:sSub>
          <m:r>
            <m:rPr/>
            <w:rPr>
              <w:rFonts w:ascii="Cambria Math" w:hAnsi="Cambria Math" w:eastAsiaTheme="minorEastAsia"/>
              <w:color w:val="FF0000"/>
              <w:kern w:val="24"/>
              <w:sz w:val="24"/>
            </w:rPr>
            <m:t>=10</m:t>
          </m:r>
          <m:r>
            <m:rPr/>
            <w:rPr>
              <w:rFonts w:hint="eastAsia" w:ascii="Cambria Math" w:hAnsi="Cambria Math" w:eastAsiaTheme="minorEastAsia"/>
              <w:color w:val="FF0000"/>
              <w:kern w:val="24"/>
              <w:sz w:val="24"/>
            </w:rPr>
            <m:t>lg</m:t>
          </m:r>
          <m:d>
            <m:dPr>
              <m:ctrlPr>
                <w:rPr>
                  <w:rFonts w:ascii="Cambria Math" w:hAnsi="Cambria Math" w:eastAsiaTheme="minorEastAsia"/>
                  <w:i/>
                  <w:color w:val="FF0000"/>
                  <w:kern w:val="24"/>
                  <w:sz w:val="24"/>
                </w:rPr>
              </m:ctrlPr>
            </m:dPr>
            <m:e>
              <m:f>
                <m:fPr>
                  <m:ctrlPr>
                    <w:rPr>
                      <w:rFonts w:ascii="Cambria Math" w:hAnsi="Cambria Math" w:eastAsiaTheme="minorEastAsia"/>
                      <w:i/>
                      <w:color w:val="FF0000"/>
                      <w:kern w:val="24"/>
                      <w:sz w:val="24"/>
                    </w:rPr>
                  </m:ctrlPr>
                </m:fPr>
                <m:num>
                  <m:r>
                    <m:rPr/>
                    <w:rPr>
                      <w:rFonts w:ascii="Cambria Math" w:hAnsi="Cambria Math" w:eastAsiaTheme="minorEastAsia"/>
                      <w:color w:val="FF0000"/>
                      <w:kern w:val="24"/>
                      <w:sz w:val="24"/>
                    </w:rPr>
                    <m:t>1</m:t>
                  </m:r>
                  <m:ctrlPr>
                    <w:rPr>
                      <w:rFonts w:ascii="Cambria Math" w:hAnsi="Cambria Math" w:eastAsiaTheme="minorEastAsia"/>
                      <w:i/>
                      <w:color w:val="FF0000"/>
                      <w:kern w:val="24"/>
                      <w:sz w:val="24"/>
                    </w:rPr>
                  </m:ctrlPr>
                </m:num>
                <m:den>
                  <m:r>
                    <m:rPr/>
                    <w:rPr>
                      <w:rFonts w:hint="eastAsia" w:ascii="Cambria Math" w:hAnsi="Cambria Math" w:eastAsiaTheme="minorEastAsia"/>
                      <w:color w:val="FF0000"/>
                      <w:kern w:val="24"/>
                      <w:sz w:val="24"/>
                    </w:rPr>
                    <m:t>T</m:t>
                  </m:r>
                  <m:ctrlPr>
                    <w:rPr>
                      <w:rFonts w:ascii="Cambria Math" w:hAnsi="Cambria Math" w:eastAsiaTheme="minorEastAsia"/>
                      <w:i/>
                      <w:color w:val="FF0000"/>
                      <w:kern w:val="24"/>
                      <w:sz w:val="24"/>
                    </w:rPr>
                  </m:ctrlPr>
                </m:den>
              </m:f>
              <m:nary>
                <m:naryPr>
                  <m:chr m:val="∑"/>
                  <m:limLoc m:val="undOvr"/>
                  <m:ctrlPr>
                    <w:rPr>
                      <w:rFonts w:ascii="Cambria Math" w:hAnsi="Cambria Math" w:eastAsiaTheme="minorEastAsia"/>
                      <w:i/>
                      <w:color w:val="FF0000"/>
                      <w:kern w:val="24"/>
                      <w:sz w:val="24"/>
                    </w:rPr>
                  </m:ctrlPr>
                </m:naryPr>
                <m:sub>
                  <m:r>
                    <m:rPr/>
                    <w:rPr>
                      <w:rFonts w:ascii="Cambria Math" w:hAnsi="Cambria Math" w:eastAsiaTheme="minorEastAsia"/>
                      <w:color w:val="FF0000"/>
                      <w:kern w:val="24"/>
                      <w:sz w:val="24"/>
                    </w:rPr>
                    <m:t>i=1</m:t>
                  </m:r>
                  <m:ctrlPr>
                    <w:rPr>
                      <w:rFonts w:ascii="Cambria Math" w:hAnsi="Cambria Math" w:eastAsiaTheme="minorEastAsia"/>
                      <w:i/>
                      <w:color w:val="FF0000"/>
                      <w:kern w:val="24"/>
                      <w:sz w:val="24"/>
                    </w:rPr>
                  </m:ctrlPr>
                </m:sub>
                <m:sup>
                  <m:r>
                    <m:rPr/>
                    <w:rPr>
                      <w:rFonts w:ascii="Cambria Math" w:hAnsi="Cambria Math" w:eastAsiaTheme="minorEastAsia"/>
                      <w:color w:val="FF0000"/>
                      <w:kern w:val="24"/>
                      <w:sz w:val="24"/>
                    </w:rPr>
                    <m:t>n</m:t>
                  </m:r>
                  <m:ctrlPr>
                    <w:rPr>
                      <w:rFonts w:ascii="Cambria Math" w:hAnsi="Cambria Math" w:eastAsiaTheme="minorEastAsia"/>
                      <w:i/>
                      <w:color w:val="FF0000"/>
                      <w:kern w:val="24"/>
                      <w:sz w:val="24"/>
                    </w:rPr>
                  </m:ctrlPr>
                </m:sup>
                <m:e>
                  <m:sSub>
                    <m:sSubPr>
                      <m:ctrlPr>
                        <w:rPr>
                          <w:rFonts w:ascii="Cambria Math" w:hAnsi="Cambria Math" w:eastAsiaTheme="minorEastAsia"/>
                          <w:i/>
                          <w:color w:val="FF0000"/>
                          <w:kern w:val="24"/>
                          <w:sz w:val="24"/>
                        </w:rPr>
                      </m:ctrlPr>
                    </m:sSubPr>
                    <m:e>
                      <m:r>
                        <m:rPr/>
                        <w:rPr>
                          <w:rFonts w:ascii="Cambria Math" w:hAnsi="Cambria Math" w:eastAsiaTheme="minorEastAsia"/>
                          <w:color w:val="FF0000"/>
                          <w:kern w:val="24"/>
                          <w:sz w:val="24"/>
                        </w:rPr>
                        <m:t>t</m:t>
                      </m:r>
                      <m:ctrlPr>
                        <w:rPr>
                          <w:rFonts w:ascii="Cambria Math" w:hAnsi="Cambria Math" w:eastAsiaTheme="minorEastAsia"/>
                          <w:i/>
                          <w:color w:val="FF0000"/>
                          <w:kern w:val="24"/>
                          <w:sz w:val="24"/>
                        </w:rPr>
                      </m:ctrlPr>
                    </m:e>
                    <m:sub>
                      <m:r>
                        <m:rPr/>
                        <w:rPr>
                          <w:rFonts w:ascii="Cambria Math" w:hAnsi="Cambria Math" w:eastAsiaTheme="minorEastAsia"/>
                          <w:color w:val="FF0000"/>
                          <w:kern w:val="24"/>
                          <w:sz w:val="24"/>
                        </w:rPr>
                        <m:t>i</m:t>
                      </m:r>
                      <m:ctrlPr>
                        <w:rPr>
                          <w:rFonts w:ascii="Cambria Math" w:hAnsi="Cambria Math" w:eastAsiaTheme="minorEastAsia"/>
                          <w:i/>
                          <w:color w:val="FF0000"/>
                          <w:kern w:val="24"/>
                          <w:sz w:val="24"/>
                        </w:rPr>
                      </m:ctrlPr>
                    </m:sub>
                  </m:sSub>
                  <m:sSup>
                    <m:sSupPr>
                      <m:ctrlPr>
                        <w:rPr>
                          <w:rFonts w:ascii="Cambria Math" w:hAnsi="Cambria Math" w:eastAsiaTheme="minorEastAsia"/>
                          <w:i/>
                          <w:color w:val="FF0000"/>
                          <w:kern w:val="24"/>
                          <w:sz w:val="24"/>
                        </w:rPr>
                      </m:ctrlPr>
                    </m:sSupPr>
                    <m:e>
                      <m:r>
                        <m:rPr/>
                        <w:rPr>
                          <w:rFonts w:ascii="Cambria Math" w:hAnsi="Cambria Math" w:eastAsiaTheme="minorEastAsia"/>
                          <w:color w:val="FF0000"/>
                          <w:kern w:val="24"/>
                          <w:sz w:val="24"/>
                        </w:rPr>
                        <m:t>10</m:t>
                      </m:r>
                      <m:ctrlPr>
                        <w:rPr>
                          <w:rFonts w:ascii="Cambria Math" w:hAnsi="Cambria Math" w:eastAsiaTheme="minorEastAsia"/>
                          <w:i/>
                          <w:color w:val="FF0000"/>
                          <w:kern w:val="24"/>
                          <w:sz w:val="24"/>
                        </w:rPr>
                      </m:ctrlPr>
                    </m:e>
                    <m:sup>
                      <m:r>
                        <m:rPr/>
                        <w:rPr>
                          <w:rFonts w:ascii="Cambria Math" w:hAnsi="Cambria Math" w:eastAsiaTheme="minorEastAsia"/>
                          <w:color w:val="FF0000"/>
                          <w:kern w:val="24"/>
                          <w:sz w:val="24"/>
                        </w:rPr>
                        <m:t>0.1</m:t>
                      </m:r>
                      <m:sSub>
                        <m:sSubPr>
                          <m:ctrlPr>
                            <w:rPr>
                              <w:rFonts w:ascii="Cambria Math" w:hAnsi="Cambria Math" w:eastAsiaTheme="minorEastAsia"/>
                              <w:i/>
                              <w:color w:val="FF0000"/>
                              <w:kern w:val="24"/>
                              <w:sz w:val="24"/>
                            </w:rPr>
                          </m:ctrlPr>
                        </m:sSubPr>
                        <m:e>
                          <m:r>
                            <m:rPr/>
                            <w:rPr>
                              <w:rFonts w:ascii="Cambria Math" w:hAnsi="Cambria Math" w:eastAsiaTheme="minorEastAsia"/>
                              <w:color w:val="FF0000"/>
                              <w:kern w:val="24"/>
                              <w:sz w:val="24"/>
                            </w:rPr>
                            <m:t>L</m:t>
                          </m:r>
                          <m:ctrlPr>
                            <w:rPr>
                              <w:rFonts w:ascii="Cambria Math" w:hAnsi="Cambria Math" w:eastAsiaTheme="minorEastAsia"/>
                              <w:i/>
                              <w:color w:val="FF0000"/>
                              <w:kern w:val="24"/>
                              <w:sz w:val="24"/>
                            </w:rPr>
                          </m:ctrlPr>
                        </m:e>
                        <m:sub>
                          <m:r>
                            <m:rPr/>
                            <w:rPr>
                              <w:rFonts w:ascii="Cambria Math" w:hAnsi="Cambria Math" w:eastAsiaTheme="minorEastAsia"/>
                              <w:color w:val="FF0000"/>
                              <w:kern w:val="24"/>
                              <w:sz w:val="24"/>
                            </w:rPr>
                            <m:t>Ai</m:t>
                          </m:r>
                          <m:ctrlPr>
                            <w:rPr>
                              <w:rFonts w:ascii="Cambria Math" w:hAnsi="Cambria Math" w:eastAsiaTheme="minorEastAsia"/>
                              <w:i/>
                              <w:color w:val="FF0000"/>
                              <w:kern w:val="24"/>
                              <w:sz w:val="24"/>
                            </w:rPr>
                          </m:ctrlPr>
                        </m:sub>
                      </m:sSub>
                      <m:ctrlPr>
                        <w:rPr>
                          <w:rFonts w:ascii="Cambria Math" w:hAnsi="Cambria Math" w:eastAsiaTheme="minorEastAsia"/>
                          <w:i/>
                          <w:color w:val="FF0000"/>
                          <w:kern w:val="24"/>
                          <w:sz w:val="24"/>
                        </w:rPr>
                      </m:ctrlPr>
                    </m:sup>
                  </m:sSup>
                  <m:ctrlPr>
                    <w:rPr>
                      <w:rFonts w:ascii="Cambria Math" w:hAnsi="Cambria Math" w:eastAsiaTheme="minorEastAsia"/>
                      <w:i/>
                      <w:color w:val="FF0000"/>
                      <w:kern w:val="24"/>
                      <w:sz w:val="24"/>
                    </w:rPr>
                  </m:ctrlPr>
                </m:e>
              </m:nary>
              <m:ctrlPr>
                <w:rPr>
                  <w:rFonts w:ascii="Cambria Math" w:hAnsi="Cambria Math" w:eastAsiaTheme="minorEastAsia"/>
                  <w:i/>
                  <w:color w:val="FF0000"/>
                  <w:kern w:val="24"/>
                  <w:sz w:val="24"/>
                </w:rPr>
              </m:ctrlPr>
            </m:e>
          </m:d>
        </m:oMath>
      </m:oMathPara>
    </w:p>
    <w:p>
      <w:pPr>
        <w:pStyle w:val="494"/>
        <w:ind w:firstLine="480"/>
        <w:rPr>
          <w:color w:val="FF0000"/>
        </w:rPr>
      </w:pPr>
      <w:r>
        <w:rPr>
          <w:rFonts w:hint="eastAsia"/>
          <w:color w:val="FF0000"/>
        </w:rPr>
        <w:t>式中：</w:t>
      </w:r>
    </w:p>
    <w:p>
      <w:pPr>
        <w:pStyle w:val="494"/>
        <w:ind w:firstLine="1200" w:firstLineChars="500"/>
        <w:rPr>
          <w:color w:val="FF0000"/>
        </w:rPr>
      </w:pPr>
      <w:r>
        <w:rPr>
          <w:rFonts w:hint="eastAsia"/>
          <w:i/>
          <w:color w:val="FF0000"/>
        </w:rPr>
        <w:t>L</w:t>
      </w:r>
      <w:r>
        <w:rPr>
          <w:rFonts w:hint="eastAsia"/>
          <w:i/>
          <w:color w:val="FF0000"/>
          <w:vertAlign w:val="subscript"/>
        </w:rPr>
        <w:t>eqg</w:t>
      </w:r>
      <w:r>
        <w:rPr>
          <w:rFonts w:hint="eastAsia"/>
          <w:color w:val="FF0000"/>
        </w:rPr>
        <w:t>－建设项目声源在预测点的等效声级贡献值，dB(A)；</w:t>
      </w:r>
    </w:p>
    <w:p>
      <w:pPr>
        <w:pStyle w:val="494"/>
        <w:ind w:firstLine="1200" w:firstLineChars="500"/>
        <w:rPr>
          <w:color w:val="FF0000"/>
        </w:rPr>
      </w:pPr>
      <w:r>
        <w:rPr>
          <w:rFonts w:hint="eastAsia"/>
          <w:i/>
          <w:color w:val="FF0000"/>
        </w:rPr>
        <w:t>L</w:t>
      </w:r>
      <w:r>
        <w:rPr>
          <w:rFonts w:hint="eastAsia"/>
          <w:i/>
          <w:color w:val="FF0000"/>
          <w:vertAlign w:val="subscript"/>
        </w:rPr>
        <w:t>Ai</w:t>
      </w:r>
      <w:r>
        <w:rPr>
          <w:rFonts w:hint="eastAsia"/>
          <w:color w:val="FF0000"/>
        </w:rPr>
        <w:t>－i声源在预测点产生的A声级，dB(A)；</w:t>
      </w:r>
    </w:p>
    <w:p>
      <w:pPr>
        <w:pStyle w:val="494"/>
        <w:ind w:firstLine="1200" w:firstLineChars="500"/>
        <w:rPr>
          <w:color w:val="FF0000"/>
        </w:rPr>
      </w:pPr>
      <w:r>
        <w:rPr>
          <w:rFonts w:hint="eastAsia"/>
          <w:i/>
          <w:color w:val="FF0000"/>
        </w:rPr>
        <w:t>T</w:t>
      </w:r>
      <w:r>
        <w:rPr>
          <w:rFonts w:hint="eastAsia"/>
          <w:color w:val="FF0000"/>
        </w:rPr>
        <w:t>－预测计算的时间段，s；</w:t>
      </w:r>
    </w:p>
    <w:p>
      <w:pPr>
        <w:pStyle w:val="494"/>
        <w:ind w:firstLine="1200" w:firstLineChars="500"/>
        <w:rPr>
          <w:color w:val="FF0000"/>
        </w:rPr>
      </w:pPr>
      <w:r>
        <w:rPr>
          <w:rFonts w:hint="eastAsia"/>
          <w:i/>
          <w:color w:val="FF0000"/>
        </w:rPr>
        <w:t>ti</w:t>
      </w:r>
      <w:r>
        <w:rPr>
          <w:rFonts w:hint="eastAsia"/>
          <w:color w:val="FF0000"/>
        </w:rPr>
        <w:t>－i声源在T时段内的运行时间，s。</w:t>
      </w:r>
    </w:p>
    <w:p>
      <w:pPr>
        <w:pStyle w:val="494"/>
        <w:ind w:firstLine="480"/>
        <w:rPr>
          <w:color w:val="FF0000"/>
        </w:rPr>
      </w:pPr>
      <w:r>
        <w:rPr>
          <w:rFonts w:hint="eastAsia"/>
          <w:color w:val="FF0000"/>
        </w:rPr>
        <w:t>预测点的预测等效声级（Leq）计算公式：</w:t>
      </w:r>
    </w:p>
    <w:p>
      <w:pPr>
        <w:pStyle w:val="494"/>
        <w:ind w:firstLine="480"/>
        <w:rPr>
          <w:color w:val="FF0000"/>
        </w:rPr>
      </w:pPr>
      <m:oMathPara>
        <m:oMath>
          <m:sSub>
            <m:sSubPr>
              <m:ctrlPr>
                <w:rPr>
                  <w:rFonts w:ascii="Cambria Math" w:hAnsi="Cambria Math"/>
                  <w:color w:val="FF0000"/>
                </w:rPr>
              </m:ctrlPr>
            </m:sSubPr>
            <m:e>
              <m:r>
                <m:rPr/>
                <w:rPr>
                  <w:rFonts w:hint="eastAsia" w:ascii="Cambria Math" w:hAnsi="Cambria Math"/>
                  <w:color w:val="FF0000"/>
                </w:rPr>
                <m:t>L</m:t>
              </m:r>
              <m:ctrlPr>
                <w:rPr>
                  <w:rFonts w:ascii="Cambria Math" w:hAnsi="Cambria Math"/>
                  <w:color w:val="FF0000"/>
                </w:rPr>
              </m:ctrlPr>
            </m:e>
            <m:sub>
              <m:r>
                <m:rPr/>
                <w:rPr>
                  <w:rFonts w:hint="eastAsia" w:ascii="Cambria Math" w:hAnsi="Cambria Math"/>
                  <w:color w:val="FF0000"/>
                </w:rPr>
                <m:t>eq</m:t>
              </m:r>
              <m:ctrlPr>
                <w:rPr>
                  <w:rFonts w:ascii="Cambria Math" w:hAnsi="Cambria Math"/>
                  <w:color w:val="FF0000"/>
                </w:rPr>
              </m:ctrlPr>
            </m:sub>
          </m:sSub>
          <m:r>
            <m:rPr/>
            <w:rPr>
              <w:rFonts w:ascii="Cambria Math" w:hAnsi="Cambria Math"/>
              <w:color w:val="FF0000"/>
            </w:rPr>
            <m:t>=10</m:t>
          </m:r>
          <m:r>
            <m:rPr>
              <m:sty m:val="p"/>
            </m:rPr>
            <w:rPr>
              <w:rFonts w:ascii="Cambria Math" w:hAnsi="Cambria Math"/>
              <w:color w:val="FF0000"/>
            </w:rPr>
            <m:t>lg⁡</m:t>
          </m:r>
          <m:d>
            <m:dPr>
              <m:ctrlPr>
                <w:rPr>
                  <w:rFonts w:ascii="Cambria Math" w:hAnsi="Cambria Math"/>
                  <w:i/>
                  <w:color w:val="FF0000"/>
                </w:rPr>
              </m:ctrlPr>
            </m:dPr>
            <m:e>
              <m:sSup>
                <m:sSupPr>
                  <m:ctrlPr>
                    <w:rPr>
                      <w:rFonts w:ascii="Cambria Math" w:hAnsi="Cambria Math"/>
                      <w:i/>
                      <w:color w:val="FF0000"/>
                    </w:rPr>
                  </m:ctrlPr>
                </m:sSupPr>
                <m:e>
                  <m:r>
                    <m:rPr/>
                    <w:rPr>
                      <w:rFonts w:ascii="Cambria Math" w:hAnsi="Cambria Math"/>
                      <w:color w:val="FF0000"/>
                    </w:rPr>
                    <m:t>10</m:t>
                  </m:r>
                  <m:ctrlPr>
                    <w:rPr>
                      <w:rFonts w:ascii="Cambria Math" w:hAnsi="Cambria Math"/>
                      <w:i/>
                      <w:color w:val="FF0000"/>
                    </w:rPr>
                  </m:ctrlPr>
                </m:e>
                <m:sup>
                  <m:r>
                    <m:rPr/>
                    <w:rPr>
                      <w:rFonts w:ascii="Cambria Math" w:hAnsi="Cambria Math"/>
                      <w:color w:val="FF0000"/>
                    </w:rPr>
                    <m:t>0.1</m:t>
                  </m:r>
                  <m:sSub>
                    <m:sSubPr>
                      <m:ctrlPr>
                        <w:rPr>
                          <w:rFonts w:ascii="Cambria Math" w:hAnsi="Cambria Math"/>
                          <w:i/>
                          <w:color w:val="FF0000"/>
                        </w:rPr>
                      </m:ctrlPr>
                    </m:sSubPr>
                    <m:e>
                      <m:r>
                        <m:rPr/>
                        <w:rPr>
                          <w:rFonts w:hint="eastAsia" w:ascii="Cambria Math" w:hAnsi="Cambria Math"/>
                          <w:color w:val="FF0000"/>
                        </w:rPr>
                        <m:t>L</m:t>
                      </m:r>
                      <m:ctrlPr>
                        <w:rPr>
                          <w:rFonts w:ascii="Cambria Math" w:hAnsi="Cambria Math"/>
                          <w:i/>
                          <w:color w:val="FF0000"/>
                        </w:rPr>
                      </m:ctrlPr>
                    </m:e>
                    <m:sub>
                      <m:r>
                        <m:rPr/>
                        <w:rPr>
                          <w:rFonts w:hint="eastAsia" w:ascii="Cambria Math" w:hAnsi="Cambria Math"/>
                          <w:color w:val="FF0000"/>
                        </w:rPr>
                        <m:t>eqg</m:t>
                      </m:r>
                      <m:ctrlPr>
                        <w:rPr>
                          <w:rFonts w:ascii="Cambria Math" w:hAnsi="Cambria Math"/>
                          <w:i/>
                          <w:color w:val="FF0000"/>
                        </w:rPr>
                      </m:ctrlPr>
                    </m:sub>
                  </m:sSub>
                  <m:ctrlPr>
                    <w:rPr>
                      <w:rFonts w:ascii="Cambria Math" w:hAnsi="Cambria Math"/>
                      <w:i/>
                      <w:color w:val="FF0000"/>
                    </w:rPr>
                  </m:ctrlPr>
                </m:sup>
              </m:sSup>
              <m:r>
                <m:rPr/>
                <w:rPr>
                  <w:rFonts w:ascii="Cambria Math" w:hAnsi="Cambria Math"/>
                  <w:color w:val="FF0000"/>
                </w:rPr>
                <m:t>+</m:t>
              </m:r>
              <m:sSup>
                <m:sSupPr>
                  <m:ctrlPr>
                    <w:rPr>
                      <w:rFonts w:ascii="Cambria Math" w:hAnsi="Cambria Math"/>
                      <w:i/>
                      <w:color w:val="FF0000"/>
                    </w:rPr>
                  </m:ctrlPr>
                </m:sSupPr>
                <m:e>
                  <m:r>
                    <m:rPr/>
                    <w:rPr>
                      <w:rFonts w:ascii="Cambria Math" w:hAnsi="Cambria Math"/>
                      <w:color w:val="FF0000"/>
                    </w:rPr>
                    <m:t>10</m:t>
                  </m:r>
                  <m:ctrlPr>
                    <w:rPr>
                      <w:rFonts w:ascii="Cambria Math" w:hAnsi="Cambria Math"/>
                      <w:i/>
                      <w:color w:val="FF0000"/>
                    </w:rPr>
                  </m:ctrlPr>
                </m:e>
                <m:sup>
                  <m:r>
                    <m:rPr/>
                    <w:rPr>
                      <w:rFonts w:ascii="Cambria Math" w:hAnsi="Cambria Math"/>
                      <w:color w:val="FF0000"/>
                    </w:rPr>
                    <m:t>0.1</m:t>
                  </m:r>
                  <m:sSub>
                    <m:sSubPr>
                      <m:ctrlPr>
                        <w:rPr>
                          <w:rFonts w:ascii="Cambria Math" w:hAnsi="Cambria Math"/>
                          <w:i/>
                          <w:color w:val="FF0000"/>
                        </w:rPr>
                      </m:ctrlPr>
                    </m:sSubPr>
                    <m:e>
                      <m:r>
                        <m:rPr/>
                        <w:rPr>
                          <w:rFonts w:hint="eastAsia" w:ascii="Cambria Math" w:hAnsi="Cambria Math"/>
                          <w:color w:val="FF0000"/>
                        </w:rPr>
                        <m:t>L</m:t>
                      </m:r>
                      <m:ctrlPr>
                        <w:rPr>
                          <w:rFonts w:ascii="Cambria Math" w:hAnsi="Cambria Math"/>
                          <w:i/>
                          <w:color w:val="FF0000"/>
                        </w:rPr>
                      </m:ctrlPr>
                    </m:e>
                    <m:sub>
                      <m:r>
                        <m:rPr/>
                        <w:rPr>
                          <w:rFonts w:hint="eastAsia" w:ascii="Cambria Math" w:hAnsi="Cambria Math"/>
                          <w:color w:val="FF0000"/>
                        </w:rPr>
                        <m:t>eqb</m:t>
                      </m:r>
                      <m:ctrlPr>
                        <w:rPr>
                          <w:rFonts w:ascii="Cambria Math" w:hAnsi="Cambria Math"/>
                          <w:i/>
                          <w:color w:val="FF0000"/>
                        </w:rPr>
                      </m:ctrlPr>
                    </m:sub>
                  </m:sSub>
                  <m:ctrlPr>
                    <w:rPr>
                      <w:rFonts w:ascii="Cambria Math" w:hAnsi="Cambria Math"/>
                      <w:i/>
                      <w:color w:val="FF0000"/>
                    </w:rPr>
                  </m:ctrlPr>
                </m:sup>
              </m:sSup>
              <m:ctrlPr>
                <w:rPr>
                  <w:rFonts w:ascii="Cambria Math" w:hAnsi="Cambria Math"/>
                  <w:i/>
                  <w:color w:val="FF0000"/>
                </w:rPr>
              </m:ctrlPr>
            </m:e>
          </m:d>
        </m:oMath>
      </m:oMathPara>
    </w:p>
    <w:p>
      <w:pPr>
        <w:pStyle w:val="494"/>
        <w:ind w:firstLine="480"/>
        <w:rPr>
          <w:color w:val="FF0000"/>
        </w:rPr>
      </w:pPr>
      <w:r>
        <w:rPr>
          <w:rFonts w:hint="eastAsia"/>
          <w:color w:val="FF0000"/>
        </w:rPr>
        <w:t>式中：</w:t>
      </w:r>
    </w:p>
    <w:p>
      <w:pPr>
        <w:pStyle w:val="494"/>
        <w:ind w:firstLine="1080" w:firstLineChars="450"/>
        <w:rPr>
          <w:color w:val="FF0000"/>
        </w:rPr>
      </w:pPr>
      <w:r>
        <w:rPr>
          <w:rFonts w:hint="eastAsia"/>
          <w:i/>
          <w:color w:val="FF0000"/>
        </w:rPr>
        <w:t>L</w:t>
      </w:r>
      <w:r>
        <w:rPr>
          <w:rFonts w:hint="eastAsia"/>
          <w:i/>
          <w:color w:val="FF0000"/>
          <w:vertAlign w:val="subscript"/>
        </w:rPr>
        <w:t>eqg</w:t>
      </w:r>
      <w:r>
        <w:rPr>
          <w:rFonts w:hint="eastAsia"/>
          <w:color w:val="FF0000"/>
        </w:rPr>
        <w:t>－建设项目声源在预测点的等效声级贡献值，dB(A)；</w:t>
      </w:r>
    </w:p>
    <w:p>
      <w:pPr>
        <w:pStyle w:val="494"/>
        <w:ind w:firstLine="1080" w:firstLineChars="450"/>
        <w:rPr>
          <w:color w:val="FF0000"/>
        </w:rPr>
      </w:pPr>
      <w:r>
        <w:rPr>
          <w:rFonts w:hint="eastAsia"/>
          <w:i/>
          <w:color w:val="FF0000"/>
        </w:rPr>
        <w:t>L</w:t>
      </w:r>
      <w:r>
        <w:rPr>
          <w:rFonts w:hint="eastAsia"/>
          <w:i/>
          <w:color w:val="FF0000"/>
          <w:vertAlign w:val="subscript"/>
        </w:rPr>
        <w:t>eqb</w:t>
      </w:r>
      <w:r>
        <w:rPr>
          <w:rFonts w:hint="eastAsia"/>
          <w:color w:val="FF0000"/>
        </w:rPr>
        <w:t>－预测点的背景值，dB(A)。</w:t>
      </w:r>
    </w:p>
    <w:p>
      <w:pPr>
        <w:pStyle w:val="494"/>
        <w:ind w:firstLine="480"/>
        <w:rPr>
          <w:color w:val="FF0000"/>
        </w:rPr>
      </w:pPr>
      <w:r>
        <w:rPr>
          <w:rFonts w:hint="eastAsia"/>
          <w:color w:val="FF0000"/>
        </w:rPr>
        <w:t>3、预测结果</w:t>
      </w:r>
    </w:p>
    <w:p>
      <w:pPr>
        <w:pStyle w:val="494"/>
        <w:ind w:firstLine="480"/>
        <w:rPr>
          <w:color w:val="FF0000"/>
        </w:rPr>
      </w:pPr>
      <w:r>
        <w:rPr>
          <w:rFonts w:hint="eastAsia"/>
          <w:color w:val="FF0000"/>
        </w:rPr>
        <w:t>将施工中使用较频繁的几种主要机械设备的噪声值分别代入前述预测模式进行计算，预测单台机械设备的噪声衰减情况见表5.1-</w:t>
      </w:r>
      <w:r>
        <w:rPr>
          <w:color w:val="FF0000"/>
        </w:rPr>
        <w:t>3</w:t>
      </w:r>
      <w:r>
        <w:rPr>
          <w:rFonts w:hint="eastAsia"/>
          <w:color w:val="FF0000"/>
        </w:rPr>
        <w:t>。现场施工时具体投入多少台机械设备很难预测。本次评价假设有5台设备同时使用，将所产生的噪声叠加后预测对某个距离的总声压级，预测情况见表5.1-</w:t>
      </w:r>
      <w:r>
        <w:rPr>
          <w:color w:val="FF0000"/>
        </w:rPr>
        <w:t>4</w:t>
      </w:r>
      <w:r>
        <w:rPr>
          <w:rFonts w:hint="eastAsia"/>
          <w:color w:val="FF0000"/>
        </w:rPr>
        <w:t>。</w:t>
      </w:r>
    </w:p>
    <w:p>
      <w:pPr>
        <w:pStyle w:val="400"/>
        <w:ind w:firstLine="420"/>
        <w:rPr>
          <w:color w:val="FF0000"/>
        </w:rPr>
      </w:pPr>
      <w:r>
        <w:rPr>
          <w:color w:val="FF0000"/>
        </w:rPr>
        <w:t>表</w:t>
      </w:r>
      <w:r>
        <w:rPr>
          <w:rFonts w:hint="eastAsia"/>
          <w:color w:val="FF0000"/>
        </w:rPr>
        <w:t>5.</w:t>
      </w:r>
      <w:r>
        <w:rPr>
          <w:color w:val="FF0000"/>
        </w:rPr>
        <w:t xml:space="preserve">1-3  </w:t>
      </w:r>
      <w:r>
        <w:rPr>
          <w:rFonts w:hint="eastAsia"/>
          <w:color w:val="FF0000"/>
        </w:rPr>
        <w:t xml:space="preserve">           </w:t>
      </w:r>
      <w:r>
        <w:rPr>
          <w:color w:val="FF0000"/>
        </w:rPr>
        <w:t xml:space="preserve"> 单台机械设备的噪声预测值（dB(A)）</w:t>
      </w:r>
    </w:p>
    <w:tbl>
      <w:tblPr>
        <w:tblStyle w:val="65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678"/>
        <w:gridCol w:w="766"/>
        <w:gridCol w:w="768"/>
        <w:gridCol w:w="766"/>
        <w:gridCol w:w="766"/>
        <w:gridCol w:w="768"/>
        <w:gridCol w:w="773"/>
        <w:gridCol w:w="739"/>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2" w:type="pct"/>
            <w:vAlign w:val="center"/>
          </w:tcPr>
          <w:p>
            <w:pPr>
              <w:pStyle w:val="670"/>
              <w:rPr>
                <w:color w:val="FF0000"/>
                <w:sz w:val="21"/>
              </w:rPr>
            </w:pPr>
            <w:r>
              <w:rPr>
                <w:color w:val="FF0000"/>
                <w:sz w:val="21"/>
              </w:rPr>
              <w:t>机械类型</w:t>
            </w:r>
          </w:p>
        </w:tc>
        <w:tc>
          <w:tcPr>
            <w:tcW w:w="402" w:type="pct"/>
            <w:vAlign w:val="center"/>
          </w:tcPr>
          <w:p>
            <w:pPr>
              <w:pStyle w:val="670"/>
              <w:rPr>
                <w:color w:val="FF0000"/>
                <w:sz w:val="21"/>
              </w:rPr>
            </w:pPr>
            <w:r>
              <w:rPr>
                <w:color w:val="FF0000"/>
                <w:sz w:val="21"/>
              </w:rPr>
              <w:t>5m</w:t>
            </w:r>
          </w:p>
        </w:tc>
        <w:tc>
          <w:tcPr>
            <w:tcW w:w="454" w:type="pct"/>
            <w:vAlign w:val="center"/>
          </w:tcPr>
          <w:p>
            <w:pPr>
              <w:pStyle w:val="670"/>
              <w:rPr>
                <w:color w:val="FF0000"/>
                <w:sz w:val="21"/>
              </w:rPr>
            </w:pPr>
            <w:r>
              <w:rPr>
                <w:color w:val="FF0000"/>
                <w:sz w:val="21"/>
              </w:rPr>
              <w:t>10m</w:t>
            </w:r>
          </w:p>
        </w:tc>
        <w:tc>
          <w:tcPr>
            <w:tcW w:w="455" w:type="pct"/>
            <w:vAlign w:val="center"/>
          </w:tcPr>
          <w:p>
            <w:pPr>
              <w:pStyle w:val="670"/>
              <w:rPr>
                <w:color w:val="FF0000"/>
                <w:sz w:val="21"/>
              </w:rPr>
            </w:pPr>
            <w:r>
              <w:rPr>
                <w:color w:val="FF0000"/>
                <w:sz w:val="21"/>
              </w:rPr>
              <w:t>20m</w:t>
            </w:r>
          </w:p>
        </w:tc>
        <w:tc>
          <w:tcPr>
            <w:tcW w:w="454" w:type="pct"/>
            <w:vAlign w:val="center"/>
          </w:tcPr>
          <w:p>
            <w:pPr>
              <w:pStyle w:val="670"/>
              <w:rPr>
                <w:color w:val="FF0000"/>
                <w:sz w:val="21"/>
              </w:rPr>
            </w:pPr>
            <w:r>
              <w:rPr>
                <w:color w:val="FF0000"/>
                <w:sz w:val="21"/>
              </w:rPr>
              <w:t>40m</w:t>
            </w:r>
          </w:p>
        </w:tc>
        <w:tc>
          <w:tcPr>
            <w:tcW w:w="454" w:type="pct"/>
            <w:vAlign w:val="center"/>
          </w:tcPr>
          <w:p>
            <w:pPr>
              <w:pStyle w:val="670"/>
              <w:rPr>
                <w:color w:val="FF0000"/>
                <w:sz w:val="21"/>
              </w:rPr>
            </w:pPr>
            <w:r>
              <w:rPr>
                <w:color w:val="FF0000"/>
                <w:sz w:val="21"/>
              </w:rPr>
              <w:t>60m</w:t>
            </w:r>
          </w:p>
        </w:tc>
        <w:tc>
          <w:tcPr>
            <w:tcW w:w="455" w:type="pct"/>
            <w:vAlign w:val="center"/>
          </w:tcPr>
          <w:p>
            <w:pPr>
              <w:pStyle w:val="670"/>
              <w:rPr>
                <w:color w:val="FF0000"/>
                <w:sz w:val="21"/>
              </w:rPr>
            </w:pPr>
            <w:r>
              <w:rPr>
                <w:color w:val="FF0000"/>
                <w:sz w:val="21"/>
              </w:rPr>
              <w:t>80m</w:t>
            </w:r>
          </w:p>
        </w:tc>
        <w:tc>
          <w:tcPr>
            <w:tcW w:w="458" w:type="pct"/>
            <w:vAlign w:val="center"/>
          </w:tcPr>
          <w:p>
            <w:pPr>
              <w:pStyle w:val="670"/>
              <w:rPr>
                <w:color w:val="FF0000"/>
                <w:sz w:val="21"/>
              </w:rPr>
            </w:pPr>
            <w:r>
              <w:rPr>
                <w:color w:val="FF0000"/>
                <w:sz w:val="21"/>
              </w:rPr>
              <w:t>100m</w:t>
            </w:r>
          </w:p>
        </w:tc>
        <w:tc>
          <w:tcPr>
            <w:tcW w:w="438" w:type="pct"/>
            <w:vAlign w:val="center"/>
          </w:tcPr>
          <w:p>
            <w:pPr>
              <w:pStyle w:val="670"/>
              <w:rPr>
                <w:color w:val="FF0000"/>
                <w:sz w:val="21"/>
              </w:rPr>
            </w:pPr>
            <w:r>
              <w:rPr>
                <w:color w:val="FF0000"/>
                <w:sz w:val="21"/>
              </w:rPr>
              <w:t>150m</w:t>
            </w:r>
          </w:p>
        </w:tc>
        <w:tc>
          <w:tcPr>
            <w:tcW w:w="448" w:type="pct"/>
            <w:vAlign w:val="center"/>
          </w:tcPr>
          <w:p>
            <w:pPr>
              <w:pStyle w:val="670"/>
              <w:rPr>
                <w:color w:val="FF0000"/>
                <w:sz w:val="21"/>
              </w:rPr>
            </w:pPr>
            <w:r>
              <w:rPr>
                <w:color w:val="FF0000"/>
                <w:sz w:val="21"/>
              </w:rP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2" w:type="pct"/>
            <w:vAlign w:val="center"/>
          </w:tcPr>
          <w:p>
            <w:pPr>
              <w:pStyle w:val="670"/>
              <w:rPr>
                <w:color w:val="FF0000"/>
                <w:sz w:val="21"/>
              </w:rPr>
            </w:pPr>
            <w:r>
              <w:rPr>
                <w:color w:val="FF0000"/>
                <w:sz w:val="21"/>
              </w:rPr>
              <w:t>起重机</w:t>
            </w:r>
          </w:p>
        </w:tc>
        <w:tc>
          <w:tcPr>
            <w:tcW w:w="402" w:type="pct"/>
            <w:vAlign w:val="center"/>
          </w:tcPr>
          <w:p>
            <w:pPr>
              <w:pStyle w:val="670"/>
              <w:rPr>
                <w:color w:val="FF0000"/>
                <w:sz w:val="21"/>
              </w:rPr>
            </w:pPr>
            <w:r>
              <w:rPr>
                <w:color w:val="FF0000"/>
                <w:sz w:val="21"/>
              </w:rPr>
              <w:t>90</w:t>
            </w:r>
          </w:p>
        </w:tc>
        <w:tc>
          <w:tcPr>
            <w:tcW w:w="454" w:type="pct"/>
            <w:vAlign w:val="center"/>
          </w:tcPr>
          <w:p>
            <w:pPr>
              <w:pStyle w:val="670"/>
              <w:rPr>
                <w:color w:val="FF0000"/>
                <w:sz w:val="21"/>
              </w:rPr>
            </w:pPr>
            <w:r>
              <w:rPr>
                <w:color w:val="FF0000"/>
                <w:sz w:val="21"/>
              </w:rPr>
              <w:t>84</w:t>
            </w:r>
          </w:p>
        </w:tc>
        <w:tc>
          <w:tcPr>
            <w:tcW w:w="455" w:type="pct"/>
            <w:vAlign w:val="center"/>
          </w:tcPr>
          <w:p>
            <w:pPr>
              <w:pStyle w:val="670"/>
              <w:rPr>
                <w:color w:val="FF0000"/>
                <w:sz w:val="21"/>
              </w:rPr>
            </w:pPr>
            <w:r>
              <w:rPr>
                <w:color w:val="FF0000"/>
                <w:sz w:val="21"/>
              </w:rPr>
              <w:t>78</w:t>
            </w:r>
          </w:p>
        </w:tc>
        <w:tc>
          <w:tcPr>
            <w:tcW w:w="454" w:type="pct"/>
            <w:vAlign w:val="center"/>
          </w:tcPr>
          <w:p>
            <w:pPr>
              <w:pStyle w:val="670"/>
              <w:rPr>
                <w:color w:val="FF0000"/>
                <w:sz w:val="21"/>
              </w:rPr>
            </w:pPr>
            <w:r>
              <w:rPr>
                <w:color w:val="FF0000"/>
                <w:sz w:val="21"/>
              </w:rPr>
              <w:t>72</w:t>
            </w:r>
          </w:p>
        </w:tc>
        <w:tc>
          <w:tcPr>
            <w:tcW w:w="454" w:type="pct"/>
            <w:vAlign w:val="center"/>
          </w:tcPr>
          <w:p>
            <w:pPr>
              <w:pStyle w:val="670"/>
              <w:rPr>
                <w:color w:val="FF0000"/>
                <w:sz w:val="21"/>
              </w:rPr>
            </w:pPr>
            <w:r>
              <w:rPr>
                <w:color w:val="FF0000"/>
                <w:sz w:val="21"/>
              </w:rPr>
              <w:t>68.5</w:t>
            </w:r>
          </w:p>
        </w:tc>
        <w:tc>
          <w:tcPr>
            <w:tcW w:w="455" w:type="pct"/>
            <w:vAlign w:val="center"/>
          </w:tcPr>
          <w:p>
            <w:pPr>
              <w:pStyle w:val="670"/>
              <w:rPr>
                <w:color w:val="FF0000"/>
                <w:sz w:val="21"/>
              </w:rPr>
            </w:pPr>
            <w:r>
              <w:rPr>
                <w:color w:val="FF0000"/>
                <w:sz w:val="21"/>
              </w:rPr>
              <w:t>66</w:t>
            </w:r>
          </w:p>
        </w:tc>
        <w:tc>
          <w:tcPr>
            <w:tcW w:w="458" w:type="pct"/>
            <w:vAlign w:val="center"/>
          </w:tcPr>
          <w:p>
            <w:pPr>
              <w:pStyle w:val="670"/>
              <w:rPr>
                <w:color w:val="FF0000"/>
                <w:sz w:val="21"/>
              </w:rPr>
            </w:pPr>
            <w:r>
              <w:rPr>
                <w:color w:val="FF0000"/>
                <w:sz w:val="21"/>
              </w:rPr>
              <w:t>64.1</w:t>
            </w:r>
          </w:p>
        </w:tc>
        <w:tc>
          <w:tcPr>
            <w:tcW w:w="438" w:type="pct"/>
            <w:vAlign w:val="center"/>
          </w:tcPr>
          <w:p>
            <w:pPr>
              <w:pStyle w:val="670"/>
              <w:rPr>
                <w:color w:val="FF0000"/>
                <w:sz w:val="21"/>
              </w:rPr>
            </w:pPr>
            <w:r>
              <w:rPr>
                <w:color w:val="FF0000"/>
                <w:sz w:val="21"/>
              </w:rPr>
              <w:t>60.6</w:t>
            </w:r>
          </w:p>
        </w:tc>
        <w:tc>
          <w:tcPr>
            <w:tcW w:w="448" w:type="pct"/>
            <w:vAlign w:val="center"/>
          </w:tcPr>
          <w:p>
            <w:pPr>
              <w:pStyle w:val="670"/>
              <w:rPr>
                <w:color w:val="FF0000"/>
                <w:sz w:val="21"/>
              </w:rPr>
            </w:pPr>
            <w:r>
              <w:rPr>
                <w:color w:val="FF0000"/>
                <w:sz w:val="21"/>
              </w:rPr>
              <w:t>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2" w:type="pct"/>
            <w:vAlign w:val="center"/>
          </w:tcPr>
          <w:p>
            <w:pPr>
              <w:pStyle w:val="670"/>
              <w:rPr>
                <w:color w:val="FF0000"/>
                <w:sz w:val="21"/>
              </w:rPr>
            </w:pPr>
            <w:r>
              <w:rPr>
                <w:rFonts w:hint="eastAsia"/>
                <w:color w:val="FF0000"/>
                <w:sz w:val="21"/>
                <w:lang w:eastAsia="zh-CN"/>
              </w:rPr>
              <w:t>吊车</w:t>
            </w:r>
          </w:p>
        </w:tc>
        <w:tc>
          <w:tcPr>
            <w:tcW w:w="402" w:type="pct"/>
            <w:vAlign w:val="center"/>
          </w:tcPr>
          <w:p>
            <w:pPr>
              <w:pStyle w:val="670"/>
              <w:rPr>
                <w:color w:val="FF0000"/>
                <w:sz w:val="21"/>
              </w:rPr>
            </w:pPr>
            <w:r>
              <w:rPr>
                <w:color w:val="FF0000"/>
                <w:sz w:val="21"/>
              </w:rPr>
              <w:t>89</w:t>
            </w:r>
          </w:p>
        </w:tc>
        <w:tc>
          <w:tcPr>
            <w:tcW w:w="454" w:type="pct"/>
            <w:vAlign w:val="center"/>
          </w:tcPr>
          <w:p>
            <w:pPr>
              <w:pStyle w:val="670"/>
              <w:rPr>
                <w:color w:val="FF0000"/>
                <w:sz w:val="21"/>
              </w:rPr>
            </w:pPr>
            <w:r>
              <w:rPr>
                <w:color w:val="FF0000"/>
                <w:sz w:val="21"/>
              </w:rPr>
              <w:t>83</w:t>
            </w:r>
          </w:p>
        </w:tc>
        <w:tc>
          <w:tcPr>
            <w:tcW w:w="455" w:type="pct"/>
            <w:vAlign w:val="center"/>
          </w:tcPr>
          <w:p>
            <w:pPr>
              <w:pStyle w:val="670"/>
              <w:rPr>
                <w:color w:val="FF0000"/>
                <w:sz w:val="21"/>
              </w:rPr>
            </w:pPr>
            <w:r>
              <w:rPr>
                <w:color w:val="FF0000"/>
                <w:sz w:val="21"/>
              </w:rPr>
              <w:t>77</w:t>
            </w:r>
          </w:p>
        </w:tc>
        <w:tc>
          <w:tcPr>
            <w:tcW w:w="454" w:type="pct"/>
            <w:vAlign w:val="center"/>
          </w:tcPr>
          <w:p>
            <w:pPr>
              <w:pStyle w:val="670"/>
              <w:rPr>
                <w:color w:val="FF0000"/>
                <w:sz w:val="21"/>
              </w:rPr>
            </w:pPr>
            <w:r>
              <w:rPr>
                <w:color w:val="FF0000"/>
                <w:sz w:val="21"/>
              </w:rPr>
              <w:t>71</w:t>
            </w:r>
          </w:p>
        </w:tc>
        <w:tc>
          <w:tcPr>
            <w:tcW w:w="454" w:type="pct"/>
            <w:vAlign w:val="center"/>
          </w:tcPr>
          <w:p>
            <w:pPr>
              <w:pStyle w:val="670"/>
              <w:rPr>
                <w:color w:val="FF0000"/>
                <w:sz w:val="21"/>
              </w:rPr>
            </w:pPr>
            <w:r>
              <w:rPr>
                <w:color w:val="FF0000"/>
                <w:sz w:val="21"/>
              </w:rPr>
              <w:t>67.5</w:t>
            </w:r>
          </w:p>
        </w:tc>
        <w:tc>
          <w:tcPr>
            <w:tcW w:w="455" w:type="pct"/>
            <w:vAlign w:val="center"/>
          </w:tcPr>
          <w:p>
            <w:pPr>
              <w:pStyle w:val="670"/>
              <w:rPr>
                <w:color w:val="FF0000"/>
                <w:sz w:val="21"/>
              </w:rPr>
            </w:pPr>
            <w:r>
              <w:rPr>
                <w:color w:val="FF0000"/>
                <w:sz w:val="21"/>
              </w:rPr>
              <w:t>65</w:t>
            </w:r>
          </w:p>
        </w:tc>
        <w:tc>
          <w:tcPr>
            <w:tcW w:w="458" w:type="pct"/>
            <w:vAlign w:val="center"/>
          </w:tcPr>
          <w:p>
            <w:pPr>
              <w:pStyle w:val="670"/>
              <w:rPr>
                <w:color w:val="FF0000"/>
                <w:sz w:val="21"/>
              </w:rPr>
            </w:pPr>
            <w:r>
              <w:rPr>
                <w:color w:val="FF0000"/>
                <w:sz w:val="21"/>
              </w:rPr>
              <w:t>63.1</w:t>
            </w:r>
          </w:p>
        </w:tc>
        <w:tc>
          <w:tcPr>
            <w:tcW w:w="438" w:type="pct"/>
            <w:vAlign w:val="center"/>
          </w:tcPr>
          <w:p>
            <w:pPr>
              <w:pStyle w:val="670"/>
              <w:rPr>
                <w:color w:val="FF0000"/>
                <w:sz w:val="21"/>
              </w:rPr>
            </w:pPr>
            <w:r>
              <w:rPr>
                <w:color w:val="FF0000"/>
                <w:sz w:val="21"/>
              </w:rPr>
              <w:t>59.6</w:t>
            </w:r>
          </w:p>
        </w:tc>
        <w:tc>
          <w:tcPr>
            <w:tcW w:w="448" w:type="pct"/>
            <w:vAlign w:val="center"/>
          </w:tcPr>
          <w:p>
            <w:pPr>
              <w:pStyle w:val="670"/>
              <w:rPr>
                <w:color w:val="FF0000"/>
                <w:sz w:val="21"/>
              </w:rPr>
            </w:pPr>
            <w:r>
              <w:rPr>
                <w:color w:val="FF0000"/>
                <w:sz w:val="21"/>
              </w:rPr>
              <w:t>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2" w:type="pct"/>
            <w:vAlign w:val="center"/>
          </w:tcPr>
          <w:p>
            <w:pPr>
              <w:pStyle w:val="670"/>
              <w:rPr>
                <w:color w:val="FF0000"/>
                <w:sz w:val="21"/>
              </w:rPr>
            </w:pPr>
            <w:r>
              <w:rPr>
                <w:color w:val="FF0000"/>
                <w:sz w:val="21"/>
              </w:rPr>
              <w:t>电锯</w:t>
            </w:r>
            <w:r>
              <w:rPr>
                <w:rFonts w:hint="eastAsia"/>
                <w:color w:val="FF0000"/>
                <w:sz w:val="21"/>
                <w:lang w:eastAsia="zh-CN"/>
              </w:rPr>
              <w:t>、电钻</w:t>
            </w:r>
          </w:p>
        </w:tc>
        <w:tc>
          <w:tcPr>
            <w:tcW w:w="402" w:type="pct"/>
            <w:vAlign w:val="center"/>
          </w:tcPr>
          <w:p>
            <w:pPr>
              <w:pStyle w:val="670"/>
              <w:rPr>
                <w:color w:val="FF0000"/>
                <w:sz w:val="21"/>
              </w:rPr>
            </w:pPr>
            <w:r>
              <w:rPr>
                <w:color w:val="FF0000"/>
                <w:sz w:val="21"/>
              </w:rPr>
              <w:t>96</w:t>
            </w:r>
          </w:p>
        </w:tc>
        <w:tc>
          <w:tcPr>
            <w:tcW w:w="454" w:type="pct"/>
            <w:vAlign w:val="center"/>
          </w:tcPr>
          <w:p>
            <w:pPr>
              <w:pStyle w:val="670"/>
              <w:rPr>
                <w:color w:val="FF0000"/>
                <w:sz w:val="21"/>
              </w:rPr>
            </w:pPr>
            <w:r>
              <w:rPr>
                <w:color w:val="FF0000"/>
                <w:sz w:val="21"/>
              </w:rPr>
              <w:t>90</w:t>
            </w:r>
          </w:p>
        </w:tc>
        <w:tc>
          <w:tcPr>
            <w:tcW w:w="455" w:type="pct"/>
            <w:vAlign w:val="center"/>
          </w:tcPr>
          <w:p>
            <w:pPr>
              <w:pStyle w:val="670"/>
              <w:rPr>
                <w:color w:val="FF0000"/>
                <w:sz w:val="21"/>
              </w:rPr>
            </w:pPr>
            <w:r>
              <w:rPr>
                <w:color w:val="FF0000"/>
                <w:sz w:val="21"/>
              </w:rPr>
              <w:t>84</w:t>
            </w:r>
          </w:p>
        </w:tc>
        <w:tc>
          <w:tcPr>
            <w:tcW w:w="454" w:type="pct"/>
            <w:vAlign w:val="center"/>
          </w:tcPr>
          <w:p>
            <w:pPr>
              <w:pStyle w:val="670"/>
              <w:rPr>
                <w:color w:val="FF0000"/>
                <w:sz w:val="21"/>
              </w:rPr>
            </w:pPr>
            <w:r>
              <w:rPr>
                <w:color w:val="FF0000"/>
                <w:sz w:val="21"/>
              </w:rPr>
              <w:t>78</w:t>
            </w:r>
          </w:p>
        </w:tc>
        <w:tc>
          <w:tcPr>
            <w:tcW w:w="454" w:type="pct"/>
            <w:vAlign w:val="center"/>
          </w:tcPr>
          <w:p>
            <w:pPr>
              <w:pStyle w:val="670"/>
              <w:rPr>
                <w:color w:val="FF0000"/>
                <w:sz w:val="21"/>
              </w:rPr>
            </w:pPr>
            <w:r>
              <w:rPr>
                <w:color w:val="FF0000"/>
                <w:sz w:val="21"/>
              </w:rPr>
              <w:t>74.5</w:t>
            </w:r>
          </w:p>
        </w:tc>
        <w:tc>
          <w:tcPr>
            <w:tcW w:w="455" w:type="pct"/>
            <w:vAlign w:val="center"/>
          </w:tcPr>
          <w:p>
            <w:pPr>
              <w:pStyle w:val="670"/>
              <w:rPr>
                <w:color w:val="FF0000"/>
                <w:sz w:val="21"/>
              </w:rPr>
            </w:pPr>
            <w:r>
              <w:rPr>
                <w:color w:val="FF0000"/>
                <w:sz w:val="21"/>
              </w:rPr>
              <w:t>72</w:t>
            </w:r>
          </w:p>
        </w:tc>
        <w:tc>
          <w:tcPr>
            <w:tcW w:w="458" w:type="pct"/>
            <w:vAlign w:val="center"/>
          </w:tcPr>
          <w:p>
            <w:pPr>
              <w:pStyle w:val="670"/>
              <w:rPr>
                <w:color w:val="FF0000"/>
                <w:sz w:val="21"/>
              </w:rPr>
            </w:pPr>
            <w:r>
              <w:rPr>
                <w:color w:val="FF0000"/>
                <w:sz w:val="21"/>
              </w:rPr>
              <w:t>70.1</w:t>
            </w:r>
          </w:p>
        </w:tc>
        <w:tc>
          <w:tcPr>
            <w:tcW w:w="438" w:type="pct"/>
            <w:vAlign w:val="center"/>
          </w:tcPr>
          <w:p>
            <w:pPr>
              <w:pStyle w:val="670"/>
              <w:rPr>
                <w:color w:val="FF0000"/>
                <w:sz w:val="21"/>
              </w:rPr>
            </w:pPr>
            <w:r>
              <w:rPr>
                <w:color w:val="FF0000"/>
                <w:sz w:val="21"/>
              </w:rPr>
              <w:t>66.6</w:t>
            </w:r>
          </w:p>
        </w:tc>
        <w:tc>
          <w:tcPr>
            <w:tcW w:w="448" w:type="pct"/>
            <w:vAlign w:val="center"/>
          </w:tcPr>
          <w:p>
            <w:pPr>
              <w:pStyle w:val="670"/>
              <w:rPr>
                <w:color w:val="FF0000"/>
                <w:sz w:val="21"/>
              </w:rPr>
            </w:pPr>
            <w:r>
              <w:rPr>
                <w:color w:val="FF0000"/>
                <w:sz w:val="21"/>
              </w:rPr>
              <w:t>64.1</w:t>
            </w:r>
          </w:p>
        </w:tc>
      </w:tr>
    </w:tbl>
    <w:p>
      <w:pPr>
        <w:pStyle w:val="400"/>
        <w:ind w:firstLine="420"/>
        <w:rPr>
          <w:color w:val="FF0000"/>
        </w:rPr>
      </w:pPr>
      <w:r>
        <w:rPr>
          <w:color w:val="FF0000"/>
        </w:rPr>
        <w:t>表</w:t>
      </w:r>
      <w:r>
        <w:rPr>
          <w:rFonts w:hint="eastAsia"/>
          <w:color w:val="FF0000"/>
        </w:rPr>
        <w:t>5.1</w:t>
      </w:r>
      <w:r>
        <w:rPr>
          <w:color w:val="FF0000"/>
        </w:rPr>
        <w:t>-4</w:t>
      </w:r>
      <w:r>
        <w:rPr>
          <w:rFonts w:hint="eastAsia"/>
          <w:color w:val="FF0000"/>
        </w:rPr>
        <w:t xml:space="preserve">          </w:t>
      </w:r>
      <w:r>
        <w:rPr>
          <w:color w:val="FF0000"/>
        </w:rPr>
        <w:t>多台机械设备同时运转的噪声预测值（dB(A)）</w:t>
      </w:r>
    </w:p>
    <w:tbl>
      <w:tblPr>
        <w:tblStyle w:val="65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843"/>
        <w:gridCol w:w="843"/>
        <w:gridCol w:w="843"/>
        <w:gridCol w:w="844"/>
        <w:gridCol w:w="844"/>
        <w:gridCol w:w="844"/>
        <w:gridCol w:w="844"/>
        <w:gridCol w:w="844"/>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 w:type="pct"/>
            <w:vAlign w:val="center"/>
          </w:tcPr>
          <w:p>
            <w:pPr>
              <w:pStyle w:val="687"/>
              <w:rPr>
                <w:color w:val="FF0000"/>
                <w:sz w:val="21"/>
              </w:rPr>
            </w:pPr>
            <w:r>
              <w:rPr>
                <w:color w:val="FF0000"/>
                <w:sz w:val="21"/>
              </w:rPr>
              <w:t>距离</w:t>
            </w:r>
          </w:p>
        </w:tc>
        <w:tc>
          <w:tcPr>
            <w:tcW w:w="500" w:type="pct"/>
            <w:vAlign w:val="center"/>
          </w:tcPr>
          <w:p>
            <w:pPr>
              <w:pStyle w:val="687"/>
              <w:rPr>
                <w:color w:val="FF0000"/>
                <w:sz w:val="21"/>
              </w:rPr>
            </w:pPr>
            <w:r>
              <w:rPr>
                <w:color w:val="FF0000"/>
                <w:sz w:val="21"/>
              </w:rPr>
              <w:t>5m</w:t>
            </w:r>
          </w:p>
        </w:tc>
        <w:tc>
          <w:tcPr>
            <w:tcW w:w="500" w:type="pct"/>
            <w:vAlign w:val="center"/>
          </w:tcPr>
          <w:p>
            <w:pPr>
              <w:pStyle w:val="687"/>
              <w:rPr>
                <w:color w:val="FF0000"/>
                <w:sz w:val="21"/>
              </w:rPr>
            </w:pPr>
            <w:r>
              <w:rPr>
                <w:color w:val="FF0000"/>
                <w:sz w:val="21"/>
              </w:rPr>
              <w:t>10m</w:t>
            </w:r>
          </w:p>
        </w:tc>
        <w:tc>
          <w:tcPr>
            <w:tcW w:w="500" w:type="pct"/>
            <w:vAlign w:val="center"/>
          </w:tcPr>
          <w:p>
            <w:pPr>
              <w:pStyle w:val="687"/>
              <w:rPr>
                <w:color w:val="FF0000"/>
                <w:sz w:val="21"/>
              </w:rPr>
            </w:pPr>
            <w:r>
              <w:rPr>
                <w:color w:val="FF0000"/>
                <w:sz w:val="21"/>
              </w:rPr>
              <w:t>20m</w:t>
            </w:r>
          </w:p>
        </w:tc>
        <w:tc>
          <w:tcPr>
            <w:tcW w:w="500" w:type="pct"/>
            <w:vAlign w:val="center"/>
          </w:tcPr>
          <w:p>
            <w:pPr>
              <w:pStyle w:val="687"/>
              <w:rPr>
                <w:color w:val="FF0000"/>
                <w:sz w:val="21"/>
              </w:rPr>
            </w:pPr>
            <w:r>
              <w:rPr>
                <w:color w:val="FF0000"/>
                <w:sz w:val="21"/>
              </w:rPr>
              <w:t>40m</w:t>
            </w:r>
          </w:p>
        </w:tc>
        <w:tc>
          <w:tcPr>
            <w:tcW w:w="500" w:type="pct"/>
            <w:vAlign w:val="center"/>
          </w:tcPr>
          <w:p>
            <w:pPr>
              <w:pStyle w:val="687"/>
              <w:rPr>
                <w:color w:val="FF0000"/>
                <w:sz w:val="21"/>
              </w:rPr>
            </w:pPr>
            <w:r>
              <w:rPr>
                <w:color w:val="FF0000"/>
                <w:sz w:val="21"/>
              </w:rPr>
              <w:t>50m</w:t>
            </w:r>
          </w:p>
        </w:tc>
        <w:tc>
          <w:tcPr>
            <w:tcW w:w="500" w:type="pct"/>
            <w:vAlign w:val="center"/>
          </w:tcPr>
          <w:p>
            <w:pPr>
              <w:pStyle w:val="687"/>
              <w:rPr>
                <w:color w:val="FF0000"/>
                <w:sz w:val="21"/>
              </w:rPr>
            </w:pPr>
            <w:r>
              <w:rPr>
                <w:color w:val="FF0000"/>
                <w:sz w:val="21"/>
              </w:rPr>
              <w:t>89m</w:t>
            </w:r>
          </w:p>
        </w:tc>
        <w:tc>
          <w:tcPr>
            <w:tcW w:w="500" w:type="pct"/>
            <w:vAlign w:val="center"/>
          </w:tcPr>
          <w:p>
            <w:pPr>
              <w:pStyle w:val="687"/>
              <w:rPr>
                <w:color w:val="FF0000"/>
                <w:sz w:val="21"/>
              </w:rPr>
            </w:pPr>
            <w:r>
              <w:rPr>
                <w:color w:val="FF0000"/>
                <w:sz w:val="21"/>
              </w:rPr>
              <w:t>100m</w:t>
            </w:r>
          </w:p>
        </w:tc>
        <w:tc>
          <w:tcPr>
            <w:tcW w:w="500" w:type="pct"/>
            <w:vAlign w:val="center"/>
          </w:tcPr>
          <w:p>
            <w:pPr>
              <w:pStyle w:val="687"/>
              <w:rPr>
                <w:color w:val="FF0000"/>
                <w:sz w:val="21"/>
              </w:rPr>
            </w:pPr>
            <w:r>
              <w:rPr>
                <w:color w:val="FF0000"/>
                <w:sz w:val="21"/>
              </w:rPr>
              <w:t>150m</w:t>
            </w:r>
          </w:p>
        </w:tc>
        <w:tc>
          <w:tcPr>
            <w:tcW w:w="500" w:type="pct"/>
            <w:vAlign w:val="center"/>
          </w:tcPr>
          <w:p>
            <w:pPr>
              <w:pStyle w:val="687"/>
              <w:rPr>
                <w:color w:val="FF0000"/>
                <w:sz w:val="21"/>
              </w:rPr>
            </w:pPr>
            <w:r>
              <w:rPr>
                <w:color w:val="FF0000"/>
                <w:sz w:val="21"/>
              </w:rP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 w:type="pct"/>
            <w:vAlign w:val="center"/>
          </w:tcPr>
          <w:p>
            <w:pPr>
              <w:pStyle w:val="687"/>
              <w:rPr>
                <w:color w:val="FF0000"/>
                <w:sz w:val="21"/>
              </w:rPr>
            </w:pPr>
            <w:r>
              <w:rPr>
                <w:color w:val="FF0000"/>
                <w:sz w:val="21"/>
              </w:rPr>
              <w:t>声级</w:t>
            </w:r>
          </w:p>
        </w:tc>
        <w:tc>
          <w:tcPr>
            <w:tcW w:w="500" w:type="pct"/>
            <w:vAlign w:val="center"/>
          </w:tcPr>
          <w:p>
            <w:pPr>
              <w:pStyle w:val="687"/>
              <w:rPr>
                <w:color w:val="FF0000"/>
                <w:sz w:val="21"/>
              </w:rPr>
            </w:pPr>
            <w:r>
              <w:rPr>
                <w:color w:val="FF0000"/>
                <w:sz w:val="21"/>
              </w:rPr>
              <w:t>96</w:t>
            </w:r>
          </w:p>
        </w:tc>
        <w:tc>
          <w:tcPr>
            <w:tcW w:w="500" w:type="pct"/>
            <w:vAlign w:val="center"/>
          </w:tcPr>
          <w:p>
            <w:pPr>
              <w:pStyle w:val="687"/>
              <w:rPr>
                <w:color w:val="FF0000"/>
                <w:sz w:val="21"/>
              </w:rPr>
            </w:pPr>
            <w:r>
              <w:rPr>
                <w:color w:val="FF0000"/>
                <w:sz w:val="21"/>
              </w:rPr>
              <w:t>89</w:t>
            </w:r>
          </w:p>
        </w:tc>
        <w:tc>
          <w:tcPr>
            <w:tcW w:w="500" w:type="pct"/>
            <w:vAlign w:val="center"/>
          </w:tcPr>
          <w:p>
            <w:pPr>
              <w:pStyle w:val="687"/>
              <w:rPr>
                <w:color w:val="FF0000"/>
                <w:sz w:val="21"/>
              </w:rPr>
            </w:pPr>
            <w:r>
              <w:rPr>
                <w:color w:val="FF0000"/>
                <w:sz w:val="21"/>
              </w:rPr>
              <w:t>83</w:t>
            </w:r>
          </w:p>
        </w:tc>
        <w:tc>
          <w:tcPr>
            <w:tcW w:w="500" w:type="pct"/>
            <w:vAlign w:val="center"/>
          </w:tcPr>
          <w:p>
            <w:pPr>
              <w:pStyle w:val="687"/>
              <w:rPr>
                <w:color w:val="FF0000"/>
                <w:sz w:val="21"/>
              </w:rPr>
            </w:pPr>
            <w:r>
              <w:rPr>
                <w:color w:val="FF0000"/>
                <w:sz w:val="21"/>
              </w:rPr>
              <w:t>77</w:t>
            </w:r>
          </w:p>
        </w:tc>
        <w:tc>
          <w:tcPr>
            <w:tcW w:w="500" w:type="pct"/>
            <w:vAlign w:val="center"/>
          </w:tcPr>
          <w:p>
            <w:pPr>
              <w:pStyle w:val="687"/>
              <w:rPr>
                <w:color w:val="FF0000"/>
                <w:sz w:val="21"/>
              </w:rPr>
            </w:pPr>
            <w:r>
              <w:rPr>
                <w:color w:val="FF0000"/>
                <w:sz w:val="21"/>
              </w:rPr>
              <w:t>75</w:t>
            </w:r>
          </w:p>
        </w:tc>
        <w:tc>
          <w:tcPr>
            <w:tcW w:w="500" w:type="pct"/>
            <w:vAlign w:val="center"/>
          </w:tcPr>
          <w:p>
            <w:pPr>
              <w:pStyle w:val="687"/>
              <w:rPr>
                <w:color w:val="FF0000"/>
                <w:sz w:val="21"/>
              </w:rPr>
            </w:pPr>
            <w:r>
              <w:rPr>
                <w:color w:val="FF0000"/>
                <w:sz w:val="21"/>
              </w:rPr>
              <w:t>70</w:t>
            </w:r>
          </w:p>
        </w:tc>
        <w:tc>
          <w:tcPr>
            <w:tcW w:w="500" w:type="pct"/>
            <w:vAlign w:val="center"/>
          </w:tcPr>
          <w:p>
            <w:pPr>
              <w:pStyle w:val="687"/>
              <w:rPr>
                <w:color w:val="FF0000"/>
                <w:sz w:val="21"/>
              </w:rPr>
            </w:pPr>
            <w:r>
              <w:rPr>
                <w:color w:val="FF0000"/>
                <w:sz w:val="21"/>
              </w:rPr>
              <w:t>69</w:t>
            </w:r>
          </w:p>
        </w:tc>
        <w:tc>
          <w:tcPr>
            <w:tcW w:w="500" w:type="pct"/>
            <w:vAlign w:val="center"/>
          </w:tcPr>
          <w:p>
            <w:pPr>
              <w:pStyle w:val="687"/>
              <w:rPr>
                <w:color w:val="FF0000"/>
                <w:sz w:val="21"/>
              </w:rPr>
            </w:pPr>
            <w:r>
              <w:rPr>
                <w:color w:val="FF0000"/>
                <w:sz w:val="21"/>
              </w:rPr>
              <w:t>65</w:t>
            </w:r>
          </w:p>
        </w:tc>
        <w:tc>
          <w:tcPr>
            <w:tcW w:w="500" w:type="pct"/>
            <w:vAlign w:val="center"/>
          </w:tcPr>
          <w:p>
            <w:pPr>
              <w:pStyle w:val="687"/>
              <w:rPr>
                <w:color w:val="FF0000"/>
                <w:sz w:val="21"/>
              </w:rPr>
            </w:pPr>
            <w:r>
              <w:rPr>
                <w:color w:val="FF0000"/>
                <w:sz w:val="21"/>
              </w:rPr>
              <w:t>62</w:t>
            </w:r>
          </w:p>
        </w:tc>
      </w:tr>
      <w:bookmarkEnd w:id="342"/>
    </w:tbl>
    <w:p>
      <w:pPr>
        <w:pStyle w:val="494"/>
        <w:ind w:firstLine="480"/>
        <w:rPr>
          <w:color w:val="FF0000"/>
        </w:rPr>
      </w:pPr>
      <w:bookmarkStart w:id="343" w:name="_Toc395138417"/>
      <w:bookmarkStart w:id="344" w:name="_Toc245882765"/>
      <w:bookmarkStart w:id="345" w:name="_Toc454899372"/>
      <w:r>
        <w:rPr>
          <w:color w:val="FF0000"/>
        </w:rPr>
        <w:t>本项目施工过程中噪声会对</w:t>
      </w:r>
      <w:r>
        <w:rPr>
          <w:rFonts w:hint="eastAsia"/>
          <w:color w:val="FF0000"/>
        </w:rPr>
        <w:t>周围</w:t>
      </w:r>
      <w:r>
        <w:rPr>
          <w:color w:val="FF0000"/>
        </w:rPr>
        <w:t>产生一定的影响</w:t>
      </w:r>
      <w:r>
        <w:rPr>
          <w:rFonts w:hint="eastAsia"/>
          <w:color w:val="FF0000"/>
        </w:rPr>
        <w:t>，</w:t>
      </w:r>
      <w:r>
        <w:rPr>
          <w:rFonts w:hint="eastAsia" w:cs="Times New Roman" w:asciiTheme="minorEastAsia" w:hAnsiTheme="minorEastAsia"/>
          <w:color w:val="FF0000"/>
        </w:rPr>
        <w:t>项目北侧100m处为居民区，项目施工期噪声对居民会产生一定影响。</w:t>
      </w:r>
      <w:r>
        <w:rPr>
          <w:rFonts w:hint="eastAsia"/>
          <w:color w:val="FF0000"/>
        </w:rPr>
        <w:t>为了减轻本工程施工期噪声的环境影响，可采取以下控制措施：</w:t>
      </w:r>
    </w:p>
    <w:p>
      <w:pPr>
        <w:pStyle w:val="494"/>
        <w:ind w:firstLine="480"/>
        <w:rPr>
          <w:color w:val="FF0000"/>
        </w:rPr>
      </w:pPr>
      <w:r>
        <w:rPr>
          <w:rFonts w:hint="eastAsia"/>
          <w:color w:val="FF0000"/>
        </w:rPr>
        <w:t>（1）选用低噪声机械设备，在施工过程中应设专人对设备进行定期保养和维护；</w:t>
      </w:r>
    </w:p>
    <w:p>
      <w:pPr>
        <w:pStyle w:val="494"/>
        <w:ind w:firstLine="480"/>
        <w:rPr>
          <w:color w:val="FF0000"/>
        </w:rPr>
      </w:pPr>
      <w:r>
        <w:rPr>
          <w:rFonts w:hint="eastAsia"/>
          <w:color w:val="FF0000"/>
        </w:rPr>
        <w:t>（2）合理安排施工时间；</w:t>
      </w:r>
    </w:p>
    <w:p>
      <w:pPr>
        <w:pStyle w:val="494"/>
        <w:ind w:firstLine="480"/>
        <w:rPr>
          <w:color w:val="FF0000"/>
        </w:rPr>
      </w:pPr>
      <w:r>
        <w:rPr>
          <w:rFonts w:hint="eastAsia"/>
          <w:color w:val="FF0000"/>
        </w:rPr>
        <w:t>（3）合理布局施工现场，避免在同一地点安排大量动力机械设备同时施工，以免局部声级过高。</w:t>
      </w:r>
    </w:p>
    <w:p>
      <w:pPr>
        <w:pStyle w:val="494"/>
        <w:ind w:firstLine="480"/>
        <w:rPr>
          <w:color w:val="FF0000"/>
        </w:rPr>
      </w:pPr>
      <w:r>
        <w:rPr>
          <w:rFonts w:hint="eastAsia"/>
          <w:color w:val="FF0000"/>
        </w:rPr>
        <w:t>通过</w:t>
      </w:r>
      <w:r>
        <w:rPr>
          <w:color w:val="FF0000"/>
        </w:rPr>
        <w:t>采取以上措施</w:t>
      </w:r>
      <w:r>
        <w:rPr>
          <w:rFonts w:hint="eastAsia"/>
          <w:color w:val="FF0000"/>
        </w:rPr>
        <w:t>，本</w:t>
      </w:r>
      <w:r>
        <w:rPr>
          <w:color w:val="FF0000"/>
        </w:rPr>
        <w:t>项目</w:t>
      </w:r>
      <w:r>
        <w:rPr>
          <w:rFonts w:hint="eastAsia"/>
          <w:color w:val="FF0000"/>
        </w:rPr>
        <w:t>施工期</w:t>
      </w:r>
      <w:r>
        <w:rPr>
          <w:color w:val="FF0000"/>
        </w:rPr>
        <w:t>噪声</w:t>
      </w:r>
      <w:r>
        <w:rPr>
          <w:rFonts w:hint="eastAsia"/>
          <w:color w:val="FF0000"/>
        </w:rPr>
        <w:t>可以满足《建筑施工场界环境噪声排放标准》（GB12523-2011）中相关标准限值要求，即昼间</w:t>
      </w:r>
      <w:r>
        <w:rPr>
          <w:rFonts w:hint="eastAsia" w:cs="Times New Roman"/>
          <w:color w:val="FF0000"/>
        </w:rPr>
        <w:t>70dB(A)</w:t>
      </w:r>
      <w:r>
        <w:rPr>
          <w:rFonts w:hint="eastAsia"/>
          <w:color w:val="FF0000"/>
        </w:rPr>
        <w:t>，夜间</w:t>
      </w:r>
      <w:r>
        <w:rPr>
          <w:rFonts w:hint="eastAsia" w:cs="Times New Roman"/>
          <w:color w:val="FF0000"/>
        </w:rPr>
        <w:t>55dB(A)</w:t>
      </w:r>
      <w:r>
        <w:rPr>
          <w:rFonts w:hint="eastAsia"/>
          <w:color w:val="FF0000"/>
        </w:rPr>
        <w:t>；因此</w:t>
      </w:r>
      <w:r>
        <w:rPr>
          <w:color w:val="FF0000"/>
        </w:rPr>
        <w:t>，施工期噪声对</w:t>
      </w:r>
      <w:r>
        <w:rPr>
          <w:rFonts w:hint="eastAsia"/>
          <w:color w:val="FF0000"/>
        </w:rPr>
        <w:t>周围声环境的影响不大。</w:t>
      </w:r>
    </w:p>
    <w:p>
      <w:pPr>
        <w:pStyle w:val="5"/>
        <w:spacing w:before="120" w:after="120"/>
        <w:rPr>
          <w:color w:val="FF0000"/>
          <w:spacing w:val="0"/>
        </w:rPr>
      </w:pPr>
      <w:bookmarkStart w:id="346" w:name="_Toc107500389"/>
      <w:bookmarkStart w:id="347" w:name="_Toc145580425"/>
      <w:r>
        <w:rPr>
          <w:rFonts w:hint="eastAsia"/>
          <w:color w:val="FF0000"/>
          <w:spacing w:val="0"/>
        </w:rPr>
        <w:t>5.1.4施工期</w:t>
      </w:r>
      <w:r>
        <w:rPr>
          <w:color w:val="FF0000"/>
          <w:spacing w:val="0"/>
        </w:rPr>
        <w:t>固体废物</w:t>
      </w:r>
      <w:r>
        <w:rPr>
          <w:rFonts w:hint="eastAsia"/>
          <w:color w:val="FF0000"/>
          <w:spacing w:val="0"/>
        </w:rPr>
        <w:t>对环境</w:t>
      </w:r>
      <w:r>
        <w:rPr>
          <w:color w:val="FF0000"/>
          <w:spacing w:val="0"/>
        </w:rPr>
        <w:t>影响分析</w:t>
      </w:r>
      <w:bookmarkEnd w:id="343"/>
      <w:bookmarkEnd w:id="344"/>
      <w:bookmarkEnd w:id="345"/>
      <w:r>
        <w:rPr>
          <w:rFonts w:hint="eastAsia"/>
          <w:color w:val="FF0000"/>
          <w:spacing w:val="0"/>
        </w:rPr>
        <w:t>与评价</w:t>
      </w:r>
      <w:bookmarkEnd w:id="346"/>
      <w:bookmarkEnd w:id="347"/>
    </w:p>
    <w:p>
      <w:pPr>
        <w:pStyle w:val="494"/>
        <w:ind w:firstLine="480"/>
        <w:rPr>
          <w:color w:val="FF0000"/>
        </w:rPr>
      </w:pPr>
      <w:r>
        <w:rPr>
          <w:rFonts w:hint="eastAsia"/>
          <w:color w:val="FF0000"/>
        </w:rPr>
        <w:t>施工期产生的固体废物主要为施工生活垃圾。</w:t>
      </w:r>
    </w:p>
    <w:p>
      <w:pPr>
        <w:pStyle w:val="494"/>
        <w:ind w:firstLine="480"/>
        <w:rPr>
          <w:color w:val="FF0000"/>
        </w:rPr>
      </w:pPr>
      <w:r>
        <w:rPr>
          <w:rFonts w:hint="eastAsia"/>
          <w:color w:val="FF0000"/>
        </w:rPr>
        <w:t>项目不设置施工营地，施工人员生活垃圾产生量较小，预计施工时平均人员为</w:t>
      </w:r>
      <w:r>
        <w:rPr>
          <w:color w:val="FF0000"/>
        </w:rPr>
        <w:t>10</w:t>
      </w:r>
      <w:r>
        <w:rPr>
          <w:rFonts w:hint="eastAsia"/>
          <w:color w:val="FF0000"/>
        </w:rPr>
        <w:t>人，施工人员按每人每天产生垃圾量</w:t>
      </w:r>
      <w:r>
        <w:rPr>
          <w:color w:val="FF0000"/>
        </w:rPr>
        <w:t>0.5</w:t>
      </w:r>
      <w:r>
        <w:rPr>
          <w:rFonts w:hint="eastAsia"/>
          <w:color w:val="FF0000"/>
        </w:rPr>
        <w:t>kg计算，则施工期产生的生活垃圾约为</w:t>
      </w:r>
      <w:r>
        <w:rPr>
          <w:color w:val="FF0000"/>
        </w:rPr>
        <w:t>5</w:t>
      </w:r>
      <w:r>
        <w:rPr>
          <w:rFonts w:hint="eastAsia"/>
          <w:color w:val="FF0000"/>
        </w:rPr>
        <w:t>kg/d，施工期约1个月，垃圾总量为0.</w:t>
      </w:r>
      <w:r>
        <w:rPr>
          <w:color w:val="FF0000"/>
        </w:rPr>
        <w:t>15</w:t>
      </w:r>
      <w:r>
        <w:rPr>
          <w:rFonts w:hint="eastAsia"/>
          <w:color w:val="FF0000"/>
        </w:rPr>
        <w:t>t。生活垃圾依托厂区现有设施统一收集后按照当地环卫部门的要求进行清运处置。</w:t>
      </w:r>
    </w:p>
    <w:p>
      <w:pPr>
        <w:pStyle w:val="494"/>
        <w:ind w:firstLine="480"/>
        <w:rPr>
          <w:color w:val="FF0000"/>
        </w:rPr>
      </w:pPr>
      <w:r>
        <w:rPr>
          <w:rFonts w:hint="eastAsia"/>
          <w:color w:val="FF0000"/>
        </w:rPr>
        <w:t>综上所述，采取上述措施后施工期产生的固体废物对周围环境影响较小。</w:t>
      </w:r>
    </w:p>
    <w:bookmarkEnd w:id="334"/>
    <w:p>
      <w:pPr>
        <w:pStyle w:val="4"/>
        <w:spacing w:before="120" w:after="120"/>
      </w:pPr>
      <w:bookmarkStart w:id="348" w:name="_Toc145580426"/>
      <w:bookmarkStart w:id="349" w:name="_Toc107500390"/>
      <w:r>
        <w:rPr>
          <w:rFonts w:hint="eastAsia"/>
        </w:rPr>
        <w:t>5.2 运营期环境影响分析与评价</w:t>
      </w:r>
      <w:bookmarkEnd w:id="348"/>
      <w:bookmarkEnd w:id="349"/>
    </w:p>
    <w:p>
      <w:pPr>
        <w:pStyle w:val="5"/>
        <w:spacing w:before="120" w:after="120"/>
        <w:rPr>
          <w:spacing w:val="0"/>
        </w:rPr>
      </w:pPr>
      <w:bookmarkStart w:id="350" w:name="_Toc107500391"/>
      <w:bookmarkStart w:id="351" w:name="_Toc145580427"/>
      <w:r>
        <w:rPr>
          <w:rFonts w:hint="eastAsia"/>
          <w:spacing w:val="0"/>
        </w:rPr>
        <w:t>5.2.1大气环境影响预测与评价</w:t>
      </w:r>
      <w:bookmarkEnd w:id="350"/>
      <w:bookmarkEnd w:id="351"/>
    </w:p>
    <w:p>
      <w:pPr>
        <w:pStyle w:val="494"/>
        <w:ind w:firstLine="480"/>
      </w:pPr>
      <w:r>
        <w:rPr>
          <w:rFonts w:hint="eastAsia"/>
        </w:rPr>
        <w:t>根据工程分析，项目运营期废气主要为</w:t>
      </w:r>
      <w:r>
        <w:rPr>
          <w:rFonts w:hint="eastAsia"/>
          <w:kern w:val="0"/>
        </w:rPr>
        <w:t>生产区无组织废气</w:t>
      </w:r>
      <w:r>
        <w:rPr>
          <w:rFonts w:hint="eastAsia"/>
        </w:rPr>
        <w:t>。</w:t>
      </w:r>
    </w:p>
    <w:p>
      <w:pPr>
        <w:pStyle w:val="494"/>
        <w:ind w:firstLine="480"/>
      </w:pPr>
      <w:r>
        <w:t>1</w:t>
      </w:r>
      <w:r>
        <w:rPr>
          <w:rFonts w:hint="eastAsia"/>
        </w:rPr>
        <w:t>、废气影响预测与分析</w:t>
      </w:r>
    </w:p>
    <w:p>
      <w:pPr>
        <w:pStyle w:val="494"/>
        <w:ind w:firstLine="480"/>
      </w:pPr>
      <w:r>
        <w:rPr>
          <w:rFonts w:hint="eastAsia"/>
        </w:rPr>
        <w:t>（1）估算模型选取</w:t>
      </w:r>
    </w:p>
    <w:p>
      <w:pPr>
        <w:pStyle w:val="494"/>
        <w:ind w:firstLine="480"/>
      </w:pPr>
      <w:r>
        <w:rPr>
          <w:rFonts w:hint="eastAsia"/>
        </w:rPr>
        <w:t>为了解本项目废气对周边环境的影响，本此评价根据《环境影响评价技术导则 大气环境》（HJ2.2-2018），采用估算模式（AERSCREEN）对项目排放的废气进行预测分析。结合本项目特点，本评价选取非甲烷总烃作为预测估算因子。</w:t>
      </w:r>
    </w:p>
    <w:p>
      <w:pPr>
        <w:pStyle w:val="494"/>
        <w:ind w:firstLine="480"/>
      </w:pPr>
      <w:r>
        <w:rPr>
          <w:rFonts w:hint="eastAsia"/>
        </w:rPr>
        <w:t>（2）评价标准</w:t>
      </w:r>
    </w:p>
    <w:p>
      <w:pPr>
        <w:pStyle w:val="494"/>
        <w:ind w:firstLine="480"/>
      </w:pPr>
      <w:r>
        <w:rPr>
          <w:rFonts w:hint="eastAsia"/>
        </w:rPr>
        <w:t>项目评价因子和和评价标准详见表5.</w:t>
      </w:r>
      <w:r>
        <w:t>2</w:t>
      </w:r>
      <w:r>
        <w:rPr>
          <w:rFonts w:hint="eastAsia"/>
        </w:rPr>
        <w:t>-1。</w:t>
      </w:r>
    </w:p>
    <w:p>
      <w:pPr>
        <w:pStyle w:val="400"/>
        <w:ind w:firstLine="420"/>
      </w:pPr>
      <w:r>
        <w:rPr>
          <w:rFonts w:hint="eastAsia"/>
        </w:rPr>
        <w:t>表5.2-1                评价因子和评价标准一览表</w:t>
      </w:r>
    </w:p>
    <w:tbl>
      <w:tblPr>
        <w:tblStyle w:val="6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842"/>
        <w:gridCol w:w="1985"/>
        <w:gridCol w:w="2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dxa"/>
            <w:vAlign w:val="center"/>
          </w:tcPr>
          <w:p>
            <w:pPr>
              <w:pStyle w:val="687"/>
              <w:rPr>
                <w:sz w:val="21"/>
              </w:rPr>
            </w:pPr>
            <w:r>
              <w:rPr>
                <w:rFonts w:hint="eastAsia"/>
                <w:sz w:val="21"/>
              </w:rPr>
              <w:t>评价因子</w:t>
            </w:r>
          </w:p>
        </w:tc>
        <w:tc>
          <w:tcPr>
            <w:tcW w:w="1842" w:type="dxa"/>
            <w:vAlign w:val="center"/>
          </w:tcPr>
          <w:p>
            <w:pPr>
              <w:pStyle w:val="687"/>
              <w:rPr>
                <w:sz w:val="21"/>
              </w:rPr>
            </w:pPr>
            <w:r>
              <w:rPr>
                <w:rFonts w:hint="eastAsia"/>
                <w:sz w:val="21"/>
              </w:rPr>
              <w:t>评价时段</w:t>
            </w:r>
          </w:p>
        </w:tc>
        <w:tc>
          <w:tcPr>
            <w:tcW w:w="1985" w:type="dxa"/>
            <w:vAlign w:val="center"/>
          </w:tcPr>
          <w:p>
            <w:pPr>
              <w:pStyle w:val="687"/>
              <w:rPr>
                <w:sz w:val="21"/>
              </w:rPr>
            </w:pPr>
            <w:r>
              <w:rPr>
                <w:rFonts w:hint="eastAsia"/>
                <w:sz w:val="21"/>
              </w:rPr>
              <w:t>标准值（mg/m</w:t>
            </w:r>
            <w:r>
              <w:rPr>
                <w:rFonts w:hint="eastAsia"/>
                <w:sz w:val="21"/>
                <w:vertAlign w:val="superscript"/>
              </w:rPr>
              <w:t>3</w:t>
            </w:r>
            <w:r>
              <w:rPr>
                <w:rFonts w:hint="eastAsia"/>
                <w:sz w:val="21"/>
              </w:rPr>
              <w:t>）</w:t>
            </w:r>
          </w:p>
        </w:tc>
        <w:tc>
          <w:tcPr>
            <w:tcW w:w="2941" w:type="dxa"/>
            <w:vAlign w:val="center"/>
          </w:tcPr>
          <w:p>
            <w:pPr>
              <w:pStyle w:val="687"/>
              <w:rPr>
                <w:sz w:val="21"/>
              </w:rPr>
            </w:pPr>
            <w:r>
              <w:rPr>
                <w:rFonts w:hint="eastAsia"/>
                <w:sz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dxa"/>
            <w:vAlign w:val="center"/>
          </w:tcPr>
          <w:p>
            <w:pPr>
              <w:pStyle w:val="687"/>
              <w:rPr>
                <w:sz w:val="20"/>
                <w:lang w:eastAsia="zh-CN"/>
              </w:rPr>
            </w:pPr>
            <w:r>
              <w:rPr>
                <w:rFonts w:hint="eastAsia"/>
                <w:sz w:val="21"/>
              </w:rPr>
              <w:t>非甲烷总烃</w:t>
            </w:r>
          </w:p>
        </w:tc>
        <w:tc>
          <w:tcPr>
            <w:tcW w:w="1842" w:type="dxa"/>
            <w:vAlign w:val="center"/>
          </w:tcPr>
          <w:p>
            <w:pPr>
              <w:pStyle w:val="687"/>
              <w:rPr>
                <w:sz w:val="20"/>
              </w:rPr>
            </w:pPr>
            <w:r>
              <w:rPr>
                <w:rFonts w:hint="eastAsia"/>
                <w:sz w:val="21"/>
              </w:rPr>
              <w:t>小时平均浓度</w:t>
            </w:r>
          </w:p>
        </w:tc>
        <w:tc>
          <w:tcPr>
            <w:tcW w:w="1985" w:type="dxa"/>
            <w:vAlign w:val="center"/>
          </w:tcPr>
          <w:p>
            <w:pPr>
              <w:pStyle w:val="687"/>
              <w:rPr>
                <w:sz w:val="20"/>
                <w:lang w:eastAsia="zh-CN"/>
              </w:rPr>
            </w:pPr>
            <w:r>
              <w:rPr>
                <w:rFonts w:hint="eastAsia"/>
                <w:sz w:val="21"/>
              </w:rPr>
              <w:t>2</w:t>
            </w:r>
          </w:p>
        </w:tc>
        <w:tc>
          <w:tcPr>
            <w:tcW w:w="2941" w:type="dxa"/>
            <w:vAlign w:val="center"/>
          </w:tcPr>
          <w:p>
            <w:pPr>
              <w:pStyle w:val="687"/>
              <w:rPr>
                <w:sz w:val="20"/>
                <w:lang w:eastAsia="zh-CN"/>
              </w:rPr>
            </w:pPr>
            <w:r>
              <w:rPr>
                <w:rFonts w:hint="eastAsia"/>
                <w:sz w:val="21"/>
                <w:lang w:eastAsia="zh-CN"/>
              </w:rPr>
              <w:t>《大气污染物综合排放标准详解》中的环境管理推荐限值</w:t>
            </w:r>
          </w:p>
        </w:tc>
      </w:tr>
    </w:tbl>
    <w:p>
      <w:pPr>
        <w:pStyle w:val="494"/>
        <w:ind w:firstLine="480"/>
      </w:pPr>
      <w:r>
        <w:rPr>
          <w:rFonts w:hint="eastAsia"/>
        </w:rPr>
        <w:t>（3）污染源强</w:t>
      </w:r>
    </w:p>
    <w:p>
      <w:pPr>
        <w:pStyle w:val="494"/>
        <w:ind w:firstLine="480"/>
        <w:rPr>
          <w:color w:val="FF0000"/>
        </w:rPr>
      </w:pPr>
      <w:r>
        <w:rPr>
          <w:rFonts w:hint="eastAsia"/>
          <w:color w:val="FF0000"/>
        </w:rPr>
        <w:t>根据工程分析，项目废气排放源具体见表5.2-2。</w:t>
      </w:r>
    </w:p>
    <w:p>
      <w:pPr>
        <w:pStyle w:val="400"/>
        <w:ind w:firstLine="420"/>
        <w:rPr>
          <w:color w:val="FF0000"/>
        </w:rPr>
      </w:pPr>
      <w:r>
        <w:rPr>
          <w:rFonts w:hint="eastAsia"/>
          <w:color w:val="FF0000"/>
        </w:rPr>
        <w:t>表5.2-</w:t>
      </w:r>
      <w:r>
        <w:rPr>
          <w:color w:val="FF0000"/>
        </w:rPr>
        <w:t>2</w:t>
      </w:r>
      <w:r>
        <w:rPr>
          <w:rFonts w:hint="eastAsia"/>
          <w:color w:val="FF0000"/>
        </w:rPr>
        <w:t xml:space="preserve">    </w:t>
      </w:r>
      <w:r>
        <w:rPr>
          <w:color w:val="FF0000"/>
        </w:rPr>
        <w:t xml:space="preserve">       </w:t>
      </w:r>
      <w:r>
        <w:rPr>
          <w:rFonts w:hint="eastAsia"/>
          <w:color w:val="FF0000"/>
        </w:rPr>
        <w:t>无组织废气污染源一览表（面源）</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156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rFonts w:hint="eastAsia"/>
                <w:color w:val="FF0000"/>
                <w:sz w:val="21"/>
                <w:szCs w:val="21"/>
              </w:rPr>
              <w:t>污染源名称</w:t>
            </w:r>
          </w:p>
        </w:tc>
        <w:tc>
          <w:tcPr>
            <w:tcW w:w="450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rFonts w:hint="eastAsia"/>
                <w:color w:val="FF0000"/>
                <w:sz w:val="21"/>
                <w:szCs w:val="21"/>
              </w:rPr>
              <w:t>生产区无组织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vMerge w:val="restart"/>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rFonts w:hint="eastAsia"/>
                <w:color w:val="FF0000"/>
                <w:sz w:val="21"/>
                <w:szCs w:val="21"/>
              </w:rPr>
              <w:t>面源中心坐标</w:t>
            </w:r>
            <w:r>
              <w:rPr>
                <w:color w:val="FF0000"/>
                <w:sz w:val="21"/>
                <w:szCs w:val="21"/>
              </w:rPr>
              <w:t>/m</w:t>
            </w:r>
          </w:p>
        </w:tc>
        <w:tc>
          <w:tcPr>
            <w:tcW w:w="156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color w:val="FF0000"/>
                <w:sz w:val="21"/>
                <w:szCs w:val="21"/>
              </w:rPr>
              <w:t>X</w:t>
            </w:r>
          </w:p>
        </w:tc>
        <w:tc>
          <w:tcPr>
            <w:tcW w:w="450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color w:val="FF0000"/>
                <w:sz w:val="21"/>
                <w:szCs w:val="21"/>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color w:val="FF0000"/>
                <w:sz w:val="21"/>
                <w:szCs w:val="21"/>
              </w:rPr>
              <w:t>Y</w:t>
            </w:r>
          </w:p>
        </w:tc>
        <w:tc>
          <w:tcPr>
            <w:tcW w:w="450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rFonts w:hint="eastAsia"/>
                <w:color w:val="FF000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rFonts w:hint="eastAsia"/>
                <w:color w:val="FF0000"/>
                <w:sz w:val="21"/>
                <w:szCs w:val="21"/>
              </w:rPr>
              <w:t>面源中心海拔高度</w:t>
            </w:r>
            <w:r>
              <w:rPr>
                <w:color w:val="FF0000"/>
                <w:sz w:val="21"/>
                <w:szCs w:val="21"/>
              </w:rPr>
              <w:t>/m</w:t>
            </w:r>
          </w:p>
        </w:tc>
        <w:tc>
          <w:tcPr>
            <w:tcW w:w="450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color w:val="FF0000"/>
                <w:sz w:val="21"/>
                <w:szCs w:val="21"/>
              </w:rPr>
              <w:t>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rFonts w:hint="eastAsia"/>
                <w:color w:val="FF0000"/>
                <w:sz w:val="21"/>
                <w:szCs w:val="21"/>
              </w:rPr>
              <w:t>面源长度</w:t>
            </w:r>
            <w:r>
              <w:rPr>
                <w:color w:val="FF0000"/>
                <w:sz w:val="21"/>
                <w:szCs w:val="21"/>
              </w:rPr>
              <w:t>/m</w:t>
            </w:r>
          </w:p>
        </w:tc>
        <w:tc>
          <w:tcPr>
            <w:tcW w:w="450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rFonts w:hint="eastAsia"/>
                <w:color w:val="FF0000"/>
                <w:sz w:val="21"/>
                <w:szCs w:val="21"/>
              </w:rPr>
              <w:t>2</w:t>
            </w:r>
            <w:r>
              <w:rPr>
                <w:color w:val="FF000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rFonts w:hint="eastAsia"/>
                <w:color w:val="FF0000"/>
                <w:sz w:val="21"/>
                <w:szCs w:val="21"/>
              </w:rPr>
              <w:t>面源宽度</w:t>
            </w:r>
            <w:r>
              <w:rPr>
                <w:color w:val="FF0000"/>
                <w:sz w:val="21"/>
                <w:szCs w:val="21"/>
              </w:rPr>
              <w:t>/m</w:t>
            </w:r>
          </w:p>
        </w:tc>
        <w:tc>
          <w:tcPr>
            <w:tcW w:w="450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color w:val="FF000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rFonts w:hint="eastAsia"/>
                <w:color w:val="FF0000"/>
                <w:sz w:val="21"/>
                <w:szCs w:val="21"/>
              </w:rPr>
              <w:t>面源有效排放高度</w:t>
            </w:r>
            <w:r>
              <w:rPr>
                <w:color w:val="FF0000"/>
                <w:sz w:val="21"/>
                <w:szCs w:val="21"/>
              </w:rPr>
              <w:t>/m</w:t>
            </w:r>
          </w:p>
        </w:tc>
        <w:tc>
          <w:tcPr>
            <w:tcW w:w="450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color w:val="FF000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rFonts w:hint="eastAsia"/>
                <w:color w:val="FF0000"/>
                <w:sz w:val="21"/>
                <w:szCs w:val="21"/>
              </w:rPr>
              <w:t>与正北方向夹角</w:t>
            </w:r>
            <w:r>
              <w:rPr>
                <w:color w:val="FF0000"/>
                <w:sz w:val="21"/>
                <w:szCs w:val="21"/>
              </w:rPr>
              <w:t>/°</w:t>
            </w:r>
          </w:p>
        </w:tc>
        <w:tc>
          <w:tcPr>
            <w:tcW w:w="450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color w:val="FF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rFonts w:hint="eastAsia"/>
                <w:color w:val="FF0000"/>
                <w:sz w:val="21"/>
                <w:szCs w:val="21"/>
              </w:rPr>
              <w:t>年排放小时</w:t>
            </w:r>
            <w:r>
              <w:rPr>
                <w:color w:val="FF0000"/>
                <w:sz w:val="21"/>
                <w:szCs w:val="21"/>
              </w:rPr>
              <w:t>/h</w:t>
            </w:r>
          </w:p>
        </w:tc>
        <w:tc>
          <w:tcPr>
            <w:tcW w:w="450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color w:val="FF0000"/>
                <w:sz w:val="21"/>
                <w:szCs w:val="21"/>
              </w:rPr>
              <w:t>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rFonts w:hint="eastAsia"/>
                <w:color w:val="FF0000"/>
                <w:sz w:val="21"/>
                <w:szCs w:val="21"/>
              </w:rPr>
              <w:t>排放工况</w:t>
            </w:r>
          </w:p>
        </w:tc>
        <w:tc>
          <w:tcPr>
            <w:tcW w:w="450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rFonts w:hint="eastAsia"/>
                <w:color w:val="FF0000"/>
                <w:sz w:val="2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rFonts w:hint="eastAsia"/>
                <w:color w:val="FF0000"/>
                <w:sz w:val="21"/>
                <w:szCs w:val="21"/>
              </w:rPr>
              <w:t>污染物排放速率（</w:t>
            </w:r>
            <w:r>
              <w:rPr>
                <w:color w:val="FF0000"/>
                <w:sz w:val="21"/>
                <w:szCs w:val="21"/>
              </w:rPr>
              <w:t>kg/h</w:t>
            </w:r>
            <w:r>
              <w:rPr>
                <w:rFonts w:hint="eastAsia"/>
                <w:color w:val="FF0000"/>
                <w:sz w:val="21"/>
                <w:szCs w:val="21"/>
              </w:rPr>
              <w:t>）</w:t>
            </w:r>
          </w:p>
        </w:tc>
        <w:tc>
          <w:tcPr>
            <w:tcW w:w="156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rFonts w:hint="eastAsia"/>
                <w:color w:val="FF0000"/>
                <w:sz w:val="21"/>
                <w:szCs w:val="21"/>
              </w:rPr>
              <w:t>非甲烷总烃</w:t>
            </w:r>
          </w:p>
        </w:tc>
        <w:tc>
          <w:tcPr>
            <w:tcW w:w="4500"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FF0000"/>
                <w:sz w:val="21"/>
                <w:szCs w:val="21"/>
              </w:rPr>
            </w:pPr>
            <w:r>
              <w:rPr>
                <w:color w:val="FF0000"/>
                <w:sz w:val="21"/>
                <w:szCs w:val="21"/>
              </w:rPr>
              <w:t>0.0035</w:t>
            </w:r>
          </w:p>
        </w:tc>
      </w:tr>
    </w:tbl>
    <w:p>
      <w:pPr>
        <w:pStyle w:val="494"/>
        <w:ind w:firstLine="480"/>
      </w:pPr>
      <w:r>
        <w:rPr>
          <w:rFonts w:hint="eastAsia"/>
        </w:rPr>
        <w:t>（4）估算模型参数</w:t>
      </w:r>
    </w:p>
    <w:p>
      <w:pPr>
        <w:pStyle w:val="494"/>
        <w:ind w:firstLine="480"/>
      </w:pPr>
      <w:r>
        <w:rPr>
          <w:rFonts w:hint="eastAsia"/>
        </w:rPr>
        <w:t>本次评价选用《环境影响评价技术导则</w:t>
      </w:r>
      <w:r>
        <w:t xml:space="preserve"> </w:t>
      </w:r>
      <w:r>
        <w:rPr>
          <w:rFonts w:hint="eastAsia"/>
        </w:rPr>
        <w:t>大气环境》（</w:t>
      </w:r>
      <w:r>
        <w:t>HJ2.2-2018</w:t>
      </w:r>
      <w:r>
        <w:rPr>
          <w:rFonts w:hint="eastAsia"/>
        </w:rPr>
        <w:t>）推荐的AERSCREEN模型，估算模型参数详见表5.2-</w:t>
      </w:r>
      <w:r>
        <w:t>3</w:t>
      </w:r>
      <w:r>
        <w:rPr>
          <w:rFonts w:hint="eastAsia"/>
        </w:rPr>
        <w:t>。</w:t>
      </w:r>
    </w:p>
    <w:p>
      <w:pPr>
        <w:pStyle w:val="400"/>
        <w:ind w:firstLine="420"/>
      </w:pPr>
    </w:p>
    <w:p>
      <w:pPr>
        <w:pStyle w:val="400"/>
        <w:ind w:firstLine="420"/>
      </w:pPr>
      <w:r>
        <w:rPr>
          <w:rFonts w:hint="eastAsia"/>
        </w:rPr>
        <w:t>表5.2-</w:t>
      </w:r>
      <w:r>
        <w:t>3</w:t>
      </w:r>
      <w:r>
        <w:rPr>
          <w:rFonts w:hint="eastAsia"/>
        </w:rPr>
        <w:t xml:space="preserve">                   估算模型参数表</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2409"/>
        <w:gridCol w:w="3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4"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参数</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Merge w:val="restart"/>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城市</w:t>
            </w:r>
            <w:r>
              <w:rPr>
                <w:color w:val="auto"/>
                <w:sz w:val="21"/>
                <w:szCs w:val="21"/>
              </w:rPr>
              <w:t>/</w:t>
            </w:r>
            <w:r>
              <w:rPr>
                <w:rFonts w:hint="eastAsia"/>
                <w:color w:val="auto"/>
                <w:sz w:val="21"/>
                <w:szCs w:val="21"/>
              </w:rPr>
              <w:t>农村选项</w:t>
            </w:r>
          </w:p>
        </w:tc>
        <w:tc>
          <w:tcPr>
            <w:tcW w:w="2409"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城市</w:t>
            </w:r>
            <w:r>
              <w:rPr>
                <w:color w:val="auto"/>
                <w:sz w:val="21"/>
                <w:szCs w:val="21"/>
              </w:rPr>
              <w:t>/</w:t>
            </w:r>
            <w:r>
              <w:rPr>
                <w:rFonts w:hint="eastAsia"/>
                <w:color w:val="auto"/>
                <w:sz w:val="21"/>
                <w:szCs w:val="21"/>
              </w:rPr>
              <w:t>农村</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409"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人口数（城市选项时）</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4"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最高环境温度</w:t>
            </w:r>
            <w:r>
              <w:rPr>
                <w:color w:val="auto"/>
                <w:sz w:val="21"/>
                <w:szCs w:val="21"/>
              </w:rPr>
              <w:t>/</w:t>
            </w:r>
            <w:r>
              <w:rPr>
                <w:rFonts w:hint="eastAsia" w:ascii="宋体" w:hAnsi="宋体" w:cs="宋体"/>
                <w:color w:val="auto"/>
                <w:sz w:val="21"/>
                <w:szCs w:val="21"/>
              </w:rPr>
              <w:t>℃</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4"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最低环境温度</w:t>
            </w:r>
            <w:r>
              <w:rPr>
                <w:color w:val="auto"/>
                <w:sz w:val="21"/>
                <w:szCs w:val="21"/>
              </w:rPr>
              <w:t>/</w:t>
            </w:r>
            <w:r>
              <w:rPr>
                <w:rFonts w:hint="eastAsia" w:ascii="宋体" w:hAnsi="宋体" w:cs="宋体"/>
                <w:color w:val="auto"/>
                <w:sz w:val="21"/>
                <w:szCs w:val="21"/>
              </w:rPr>
              <w:t>℃</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4"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土地利用类型</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沙漠化荒地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4" w:type="dxa"/>
            <w:gridSpan w:val="2"/>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区域湿度条件</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干燥气候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Merge w:val="restart"/>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是否考虑地形</w:t>
            </w:r>
          </w:p>
        </w:tc>
        <w:tc>
          <w:tcPr>
            <w:tcW w:w="2409"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考虑地形</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sym w:font="Times New Roman" w:char="F052"/>
            </w:r>
            <w:r>
              <w:rPr>
                <w:rFonts w:ascii="Segoe UI Symbol" w:hAnsi="Segoe UI Symbol" w:eastAsia="MS Mincho" w:cs="Segoe UI Symbol"/>
                <w:color w:val="auto"/>
                <w:sz w:val="21"/>
                <w:szCs w:val="21"/>
              </w:rPr>
              <w:t>☑</w:t>
            </w:r>
            <w:r>
              <w:rPr>
                <w:rFonts w:hint="eastAsia"/>
                <w:color w:val="auto"/>
                <w:sz w:val="21"/>
                <w:szCs w:val="21"/>
              </w:rPr>
              <w:t>是</w:t>
            </w:r>
            <w:r>
              <w:rPr>
                <w:color w:val="auto"/>
                <w:sz w:val="21"/>
                <w:szCs w:val="21"/>
              </w:rPr>
              <w:t xml:space="preserve">  □</w:t>
            </w:r>
            <w:r>
              <w:rPr>
                <w:rFonts w:hint="eastAsia"/>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409"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地形数据分辨率</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90m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Merge w:val="restart"/>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是否考虑岸线熏烟</w:t>
            </w:r>
          </w:p>
        </w:tc>
        <w:tc>
          <w:tcPr>
            <w:tcW w:w="2409"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考虑岸线熏烟</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 xml:space="preserve">  □</w:t>
            </w:r>
            <w:r>
              <w:rPr>
                <w:rFonts w:hint="eastAsia"/>
                <w:color w:val="auto"/>
                <w:sz w:val="21"/>
                <w:szCs w:val="21"/>
              </w:rPr>
              <w:t>是</w:t>
            </w:r>
            <w:r>
              <w:rPr>
                <w:color w:val="auto"/>
                <w:sz w:val="21"/>
                <w:szCs w:val="21"/>
              </w:rPr>
              <w:t xml:space="preserve">  </w:t>
            </w:r>
            <w:r>
              <w:rPr>
                <w:rFonts w:ascii="Segoe UI Symbol" w:hAnsi="Segoe UI Symbol" w:eastAsia="MS Mincho" w:cs="Segoe UI Symbol"/>
                <w:color w:val="auto"/>
                <w:sz w:val="21"/>
                <w:szCs w:val="21"/>
              </w:rPr>
              <w:t>☑</w:t>
            </w:r>
            <w:r>
              <w:rPr>
                <w:rFonts w:hint="eastAsia"/>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409"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岸线距离</w:t>
            </w:r>
            <w:r>
              <w:rPr>
                <w:color w:val="auto"/>
                <w:sz w:val="21"/>
                <w:szCs w:val="21"/>
              </w:rPr>
              <w:t>/m</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409"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rFonts w:hint="eastAsia"/>
                <w:color w:val="auto"/>
                <w:sz w:val="21"/>
                <w:szCs w:val="21"/>
              </w:rPr>
              <w:t>岸线方向</w:t>
            </w:r>
            <w:r>
              <w:rPr>
                <w:color w:val="auto"/>
                <w:sz w:val="21"/>
                <w:szCs w:val="21"/>
              </w:rPr>
              <w:t>/°</w:t>
            </w:r>
          </w:p>
        </w:tc>
        <w:tc>
          <w:tcPr>
            <w:tcW w:w="3792" w:type="dxa"/>
            <w:tcBorders>
              <w:top w:val="single" w:color="auto" w:sz="4" w:space="0"/>
              <w:left w:val="single" w:color="auto" w:sz="4" w:space="0"/>
              <w:bottom w:val="single" w:color="auto" w:sz="4" w:space="0"/>
              <w:right w:val="single" w:color="auto" w:sz="4" w:space="0"/>
            </w:tcBorders>
            <w:vAlign w:val="center"/>
          </w:tcPr>
          <w:p>
            <w:pPr>
              <w:pStyle w:val="291"/>
              <w:adjustRightInd w:val="0"/>
              <w:snapToGrid w:val="0"/>
              <w:spacing w:before="0" w:after="0"/>
              <w:ind w:left="0" w:right="0"/>
              <w:rPr>
                <w:color w:val="auto"/>
                <w:sz w:val="21"/>
                <w:szCs w:val="21"/>
              </w:rPr>
            </w:pPr>
            <w:r>
              <w:rPr>
                <w:color w:val="auto"/>
                <w:sz w:val="21"/>
                <w:szCs w:val="21"/>
              </w:rPr>
              <w:t>/</w:t>
            </w:r>
          </w:p>
        </w:tc>
      </w:tr>
    </w:tbl>
    <w:p>
      <w:pPr>
        <w:pStyle w:val="494"/>
        <w:ind w:firstLine="480"/>
      </w:pPr>
      <w:r>
        <w:rPr>
          <w:rFonts w:hint="eastAsia"/>
        </w:rPr>
        <w:t>（5）主要污染源估算模型计算结果</w:t>
      </w:r>
    </w:p>
    <w:p>
      <w:pPr>
        <w:pStyle w:val="494"/>
        <w:ind w:firstLine="480"/>
        <w:rPr>
          <w:color w:val="FF0000"/>
        </w:rPr>
      </w:pPr>
      <w:r>
        <w:rPr>
          <w:rFonts w:hint="eastAsia"/>
          <w:color w:val="FF0000"/>
        </w:rPr>
        <w:t>项目主要污染源估算模型计算结果详见表5.2-</w:t>
      </w:r>
      <w:r>
        <w:rPr>
          <w:color w:val="FF0000"/>
        </w:rPr>
        <w:t>4</w:t>
      </w:r>
      <w:r>
        <w:rPr>
          <w:rFonts w:hint="eastAsia"/>
          <w:color w:val="FF0000"/>
        </w:rPr>
        <w:t>。</w:t>
      </w:r>
    </w:p>
    <w:p>
      <w:pPr>
        <w:pStyle w:val="400"/>
        <w:ind w:firstLine="420"/>
        <w:rPr>
          <w:color w:val="FF0000"/>
        </w:rPr>
      </w:pPr>
      <w:r>
        <w:rPr>
          <w:rFonts w:hint="eastAsia"/>
          <w:color w:val="FF0000"/>
        </w:rPr>
        <w:t>表5.2</w:t>
      </w:r>
      <w:r>
        <w:rPr>
          <w:color w:val="FF0000"/>
        </w:rPr>
        <w:t>-4</w:t>
      </w:r>
      <w:r>
        <w:rPr>
          <w:rFonts w:hint="eastAsia"/>
          <w:color w:val="FF0000"/>
        </w:rPr>
        <w:t xml:space="preserve">         </w:t>
      </w:r>
      <w:r>
        <w:rPr>
          <w:color w:val="FF0000"/>
        </w:rPr>
        <w:t xml:space="preserve"> </w:t>
      </w:r>
      <w:r>
        <w:rPr>
          <w:rFonts w:hint="eastAsia"/>
          <w:color w:val="FF0000"/>
          <w:lang w:bidi="en-US"/>
        </w:rPr>
        <w:t>生产区</w:t>
      </w:r>
      <w:r>
        <w:rPr>
          <w:rFonts w:hint="eastAsia"/>
          <w:color w:val="FF0000"/>
        </w:rPr>
        <w:t>无组织废气估算模型计算结果一览表</w:t>
      </w:r>
    </w:p>
    <w:tbl>
      <w:tblPr>
        <w:tblStyle w:val="6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2"/>
        <w:gridCol w:w="2812"/>
        <w:gridCol w:w="2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Merge w:val="restart"/>
            <w:vAlign w:val="center"/>
          </w:tcPr>
          <w:p>
            <w:pPr>
              <w:pStyle w:val="687"/>
              <w:rPr>
                <w:color w:val="FF0000"/>
                <w:sz w:val="21"/>
              </w:rPr>
            </w:pPr>
            <w:r>
              <w:rPr>
                <w:color w:val="FF0000"/>
                <w:sz w:val="21"/>
              </w:rPr>
              <w:t>距厂界距离（m）</w:t>
            </w:r>
          </w:p>
        </w:tc>
        <w:tc>
          <w:tcPr>
            <w:tcW w:w="5624" w:type="dxa"/>
            <w:gridSpan w:val="2"/>
            <w:vAlign w:val="center"/>
          </w:tcPr>
          <w:p>
            <w:pPr>
              <w:pStyle w:val="687"/>
              <w:rPr>
                <w:color w:val="FF0000"/>
                <w:sz w:val="21"/>
                <w:lang w:eastAsia="zh-CN"/>
              </w:rPr>
            </w:pPr>
            <w:r>
              <w:rPr>
                <w:rFonts w:hint="eastAsia"/>
                <w:color w:val="FF0000"/>
                <w:sz w:val="21"/>
                <w:lang w:eastAsia="zh-CN"/>
              </w:rPr>
              <w:t>生产区无组织废气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Merge w:val="continue"/>
            <w:vAlign w:val="center"/>
          </w:tcPr>
          <w:p>
            <w:pPr>
              <w:pStyle w:val="687"/>
              <w:rPr>
                <w:color w:val="FF0000"/>
                <w:sz w:val="21"/>
                <w:lang w:eastAsia="zh-CN"/>
              </w:rPr>
            </w:pPr>
          </w:p>
        </w:tc>
        <w:tc>
          <w:tcPr>
            <w:tcW w:w="5624" w:type="dxa"/>
            <w:gridSpan w:val="2"/>
            <w:vAlign w:val="center"/>
          </w:tcPr>
          <w:p>
            <w:pPr>
              <w:pStyle w:val="687"/>
              <w:rPr>
                <w:color w:val="FF0000"/>
                <w:sz w:val="21"/>
                <w:lang w:eastAsia="zh-CN"/>
              </w:rPr>
            </w:pPr>
            <w:r>
              <w:rPr>
                <w:rFonts w:hint="eastAsia"/>
                <w:color w:val="FF0000"/>
                <w:sz w:val="21"/>
                <w:lang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Merge w:val="continue"/>
            <w:vAlign w:val="center"/>
          </w:tcPr>
          <w:p>
            <w:pPr>
              <w:pStyle w:val="687"/>
              <w:rPr>
                <w:color w:val="FF0000"/>
                <w:sz w:val="21"/>
              </w:rPr>
            </w:pPr>
          </w:p>
        </w:tc>
        <w:tc>
          <w:tcPr>
            <w:tcW w:w="2812" w:type="dxa"/>
            <w:vAlign w:val="center"/>
          </w:tcPr>
          <w:p>
            <w:pPr>
              <w:pStyle w:val="687"/>
              <w:rPr>
                <w:color w:val="FF0000"/>
                <w:sz w:val="21"/>
              </w:rPr>
            </w:pPr>
            <w:r>
              <w:rPr>
                <w:color w:val="FF0000"/>
                <w:sz w:val="21"/>
              </w:rPr>
              <w:t>预测浓度（mg/m</w:t>
            </w:r>
            <w:r>
              <w:rPr>
                <w:color w:val="FF0000"/>
                <w:sz w:val="21"/>
                <w:vertAlign w:val="superscript"/>
              </w:rPr>
              <w:t>3</w:t>
            </w:r>
            <w:r>
              <w:rPr>
                <w:color w:val="FF0000"/>
                <w:sz w:val="21"/>
              </w:rPr>
              <w:t>）</w:t>
            </w:r>
          </w:p>
        </w:tc>
        <w:tc>
          <w:tcPr>
            <w:tcW w:w="2812" w:type="dxa"/>
            <w:vAlign w:val="center"/>
          </w:tcPr>
          <w:p>
            <w:pPr>
              <w:pStyle w:val="687"/>
              <w:rPr>
                <w:color w:val="FF0000"/>
                <w:sz w:val="21"/>
              </w:rPr>
            </w:pPr>
            <w:r>
              <w:rPr>
                <w:color w:val="FF0000"/>
                <w:sz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10</w:t>
            </w:r>
          </w:p>
        </w:tc>
        <w:tc>
          <w:tcPr>
            <w:tcW w:w="2812" w:type="dxa"/>
            <w:vAlign w:val="center"/>
          </w:tcPr>
          <w:p>
            <w:pPr>
              <w:pStyle w:val="687"/>
              <w:rPr>
                <w:color w:val="FF0000"/>
                <w:sz w:val="21"/>
              </w:rPr>
            </w:pPr>
            <w:r>
              <w:rPr>
                <w:rFonts w:hint="eastAsia"/>
                <w:color w:val="FF0000"/>
                <w:sz w:val="20"/>
              </w:rPr>
              <w:t>3.53E-03</w:t>
            </w:r>
          </w:p>
        </w:tc>
        <w:tc>
          <w:tcPr>
            <w:tcW w:w="2812" w:type="dxa"/>
            <w:vAlign w:val="center"/>
          </w:tcPr>
          <w:p>
            <w:pPr>
              <w:pStyle w:val="687"/>
              <w:rPr>
                <w:color w:val="FF0000"/>
                <w:sz w:val="21"/>
              </w:rPr>
            </w:pPr>
            <w:r>
              <w:rPr>
                <w:rFonts w:hint="eastAsia"/>
                <w:color w:val="FF0000"/>
                <w:sz w:val="20"/>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b/>
                <w:bCs/>
                <w:color w:val="FF0000"/>
                <w:sz w:val="21"/>
              </w:rPr>
            </w:pPr>
            <w:r>
              <w:rPr>
                <w:rFonts w:hint="eastAsia"/>
                <w:b/>
                <w:bCs/>
                <w:color w:val="FF0000"/>
                <w:sz w:val="21"/>
              </w:rPr>
              <w:t>25</w:t>
            </w:r>
          </w:p>
        </w:tc>
        <w:tc>
          <w:tcPr>
            <w:tcW w:w="2812" w:type="dxa"/>
            <w:vAlign w:val="center"/>
          </w:tcPr>
          <w:p>
            <w:pPr>
              <w:pStyle w:val="687"/>
              <w:rPr>
                <w:b/>
                <w:bCs/>
                <w:color w:val="FF0000"/>
                <w:sz w:val="21"/>
              </w:rPr>
            </w:pPr>
            <w:r>
              <w:rPr>
                <w:rFonts w:hint="eastAsia"/>
                <w:b/>
                <w:bCs/>
                <w:color w:val="FF0000"/>
                <w:sz w:val="21"/>
              </w:rPr>
              <w:t>4.48E-03</w:t>
            </w:r>
          </w:p>
        </w:tc>
        <w:tc>
          <w:tcPr>
            <w:tcW w:w="2812" w:type="dxa"/>
            <w:vAlign w:val="center"/>
          </w:tcPr>
          <w:p>
            <w:pPr>
              <w:pStyle w:val="687"/>
              <w:rPr>
                <w:b/>
                <w:bCs/>
                <w:color w:val="FF0000"/>
                <w:sz w:val="21"/>
              </w:rPr>
            </w:pPr>
            <w:r>
              <w:rPr>
                <w:rFonts w:hint="eastAsia"/>
                <w:b/>
                <w:bCs/>
                <w:color w:val="FF0000"/>
                <w:sz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50</w:t>
            </w:r>
          </w:p>
        </w:tc>
        <w:tc>
          <w:tcPr>
            <w:tcW w:w="2812" w:type="dxa"/>
            <w:vAlign w:val="center"/>
          </w:tcPr>
          <w:p>
            <w:pPr>
              <w:pStyle w:val="687"/>
              <w:rPr>
                <w:color w:val="FF0000"/>
                <w:sz w:val="21"/>
              </w:rPr>
            </w:pPr>
            <w:r>
              <w:rPr>
                <w:rFonts w:hint="eastAsia"/>
                <w:color w:val="FF0000"/>
                <w:sz w:val="20"/>
              </w:rPr>
              <w:t>3.91E-03</w:t>
            </w:r>
          </w:p>
        </w:tc>
        <w:tc>
          <w:tcPr>
            <w:tcW w:w="2812" w:type="dxa"/>
            <w:vAlign w:val="center"/>
          </w:tcPr>
          <w:p>
            <w:pPr>
              <w:pStyle w:val="687"/>
              <w:rPr>
                <w:color w:val="FF0000"/>
                <w:sz w:val="21"/>
              </w:rPr>
            </w:pPr>
            <w:r>
              <w:rPr>
                <w:rFonts w:hint="eastAsia"/>
                <w:color w:val="FF0000"/>
                <w:sz w:val="20"/>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75</w:t>
            </w:r>
          </w:p>
        </w:tc>
        <w:tc>
          <w:tcPr>
            <w:tcW w:w="2812" w:type="dxa"/>
            <w:vAlign w:val="center"/>
          </w:tcPr>
          <w:p>
            <w:pPr>
              <w:pStyle w:val="687"/>
              <w:rPr>
                <w:color w:val="FF0000"/>
                <w:sz w:val="21"/>
              </w:rPr>
            </w:pPr>
            <w:r>
              <w:rPr>
                <w:rFonts w:hint="eastAsia"/>
                <w:color w:val="FF0000"/>
                <w:sz w:val="20"/>
              </w:rPr>
              <w:t>3.09E-03</w:t>
            </w:r>
          </w:p>
        </w:tc>
        <w:tc>
          <w:tcPr>
            <w:tcW w:w="2812" w:type="dxa"/>
            <w:vAlign w:val="center"/>
          </w:tcPr>
          <w:p>
            <w:pPr>
              <w:pStyle w:val="687"/>
              <w:rPr>
                <w:color w:val="FF0000"/>
                <w:sz w:val="21"/>
              </w:rPr>
            </w:pPr>
            <w:r>
              <w:rPr>
                <w:rFonts w:hint="eastAsia"/>
                <w:color w:val="FF0000"/>
                <w:sz w:val="20"/>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100</w:t>
            </w:r>
          </w:p>
        </w:tc>
        <w:tc>
          <w:tcPr>
            <w:tcW w:w="2812" w:type="dxa"/>
            <w:vAlign w:val="center"/>
          </w:tcPr>
          <w:p>
            <w:pPr>
              <w:pStyle w:val="687"/>
              <w:rPr>
                <w:color w:val="FF0000"/>
                <w:sz w:val="21"/>
              </w:rPr>
            </w:pPr>
            <w:r>
              <w:rPr>
                <w:rFonts w:hint="eastAsia"/>
                <w:color w:val="FF0000"/>
                <w:sz w:val="20"/>
              </w:rPr>
              <w:t>2.45E-03</w:t>
            </w:r>
          </w:p>
        </w:tc>
        <w:tc>
          <w:tcPr>
            <w:tcW w:w="2812" w:type="dxa"/>
            <w:vAlign w:val="center"/>
          </w:tcPr>
          <w:p>
            <w:pPr>
              <w:pStyle w:val="687"/>
              <w:rPr>
                <w:color w:val="FF0000"/>
                <w:sz w:val="21"/>
              </w:rPr>
            </w:pPr>
            <w:r>
              <w:rPr>
                <w:rFonts w:hint="eastAsia"/>
                <w:color w:val="FF0000"/>
                <w:sz w:val="20"/>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b/>
                <w:bCs/>
                <w:color w:val="FF0000"/>
                <w:sz w:val="21"/>
              </w:rPr>
            </w:pPr>
            <w:r>
              <w:rPr>
                <w:rFonts w:hint="eastAsia"/>
                <w:color w:val="FF0000"/>
                <w:sz w:val="21"/>
              </w:rPr>
              <w:t>150</w:t>
            </w:r>
          </w:p>
        </w:tc>
        <w:tc>
          <w:tcPr>
            <w:tcW w:w="2812" w:type="dxa"/>
            <w:vAlign w:val="center"/>
          </w:tcPr>
          <w:p>
            <w:pPr>
              <w:pStyle w:val="687"/>
              <w:rPr>
                <w:b/>
                <w:bCs/>
                <w:color w:val="FF0000"/>
                <w:sz w:val="21"/>
              </w:rPr>
            </w:pPr>
            <w:r>
              <w:rPr>
                <w:rFonts w:hint="eastAsia"/>
                <w:color w:val="FF0000"/>
                <w:sz w:val="20"/>
              </w:rPr>
              <w:t>1.64E-03</w:t>
            </w:r>
          </w:p>
        </w:tc>
        <w:tc>
          <w:tcPr>
            <w:tcW w:w="2812" w:type="dxa"/>
            <w:vAlign w:val="center"/>
          </w:tcPr>
          <w:p>
            <w:pPr>
              <w:pStyle w:val="687"/>
              <w:rPr>
                <w:b/>
                <w:bCs/>
                <w:color w:val="FF0000"/>
                <w:sz w:val="21"/>
              </w:rPr>
            </w:pPr>
            <w:r>
              <w:rPr>
                <w:rFonts w:hint="eastAsia"/>
                <w:color w:val="FF0000"/>
                <w:sz w:val="20"/>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200</w:t>
            </w:r>
          </w:p>
        </w:tc>
        <w:tc>
          <w:tcPr>
            <w:tcW w:w="2812" w:type="dxa"/>
            <w:vAlign w:val="center"/>
          </w:tcPr>
          <w:p>
            <w:pPr>
              <w:pStyle w:val="687"/>
              <w:rPr>
                <w:color w:val="FF0000"/>
                <w:sz w:val="21"/>
              </w:rPr>
            </w:pPr>
            <w:r>
              <w:rPr>
                <w:rFonts w:hint="eastAsia"/>
                <w:color w:val="FF0000"/>
                <w:sz w:val="20"/>
              </w:rPr>
              <w:t>1.18E-03</w:t>
            </w:r>
          </w:p>
        </w:tc>
        <w:tc>
          <w:tcPr>
            <w:tcW w:w="2812" w:type="dxa"/>
            <w:vAlign w:val="center"/>
          </w:tcPr>
          <w:p>
            <w:pPr>
              <w:pStyle w:val="687"/>
              <w:rPr>
                <w:color w:val="FF0000"/>
                <w:sz w:val="21"/>
              </w:rPr>
            </w:pPr>
            <w:r>
              <w:rPr>
                <w:rFonts w:hint="eastAsia"/>
                <w:color w:val="FF0000"/>
                <w:sz w:val="20"/>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250</w:t>
            </w:r>
          </w:p>
        </w:tc>
        <w:tc>
          <w:tcPr>
            <w:tcW w:w="2812" w:type="dxa"/>
            <w:vAlign w:val="center"/>
          </w:tcPr>
          <w:p>
            <w:pPr>
              <w:pStyle w:val="687"/>
              <w:rPr>
                <w:color w:val="FF0000"/>
                <w:sz w:val="21"/>
              </w:rPr>
            </w:pPr>
            <w:r>
              <w:rPr>
                <w:rFonts w:hint="eastAsia"/>
                <w:color w:val="FF0000"/>
                <w:sz w:val="20"/>
              </w:rPr>
              <w:t>9.05E-04</w:t>
            </w:r>
          </w:p>
        </w:tc>
        <w:tc>
          <w:tcPr>
            <w:tcW w:w="2812" w:type="dxa"/>
            <w:vAlign w:val="center"/>
          </w:tcPr>
          <w:p>
            <w:pPr>
              <w:pStyle w:val="687"/>
              <w:rPr>
                <w:color w:val="FF0000"/>
                <w:sz w:val="21"/>
              </w:rPr>
            </w:pPr>
            <w:r>
              <w:rPr>
                <w:rFonts w:hint="eastAsia"/>
                <w:color w:val="FF0000"/>
                <w:sz w:val="20"/>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300</w:t>
            </w:r>
          </w:p>
        </w:tc>
        <w:tc>
          <w:tcPr>
            <w:tcW w:w="2812" w:type="dxa"/>
            <w:vAlign w:val="center"/>
          </w:tcPr>
          <w:p>
            <w:pPr>
              <w:pStyle w:val="687"/>
              <w:rPr>
                <w:color w:val="FF0000"/>
                <w:sz w:val="21"/>
              </w:rPr>
            </w:pPr>
            <w:r>
              <w:rPr>
                <w:rFonts w:hint="eastAsia"/>
                <w:color w:val="FF0000"/>
                <w:sz w:val="20"/>
              </w:rPr>
              <w:t>7.22E-04</w:t>
            </w:r>
          </w:p>
        </w:tc>
        <w:tc>
          <w:tcPr>
            <w:tcW w:w="2812" w:type="dxa"/>
            <w:vAlign w:val="center"/>
          </w:tcPr>
          <w:p>
            <w:pPr>
              <w:pStyle w:val="687"/>
              <w:rPr>
                <w:color w:val="FF0000"/>
                <w:sz w:val="21"/>
              </w:rPr>
            </w:pPr>
            <w:r>
              <w:rPr>
                <w:rFonts w:hint="eastAsia"/>
                <w:color w:val="FF0000"/>
                <w:sz w:val="20"/>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350</w:t>
            </w:r>
          </w:p>
        </w:tc>
        <w:tc>
          <w:tcPr>
            <w:tcW w:w="2812" w:type="dxa"/>
            <w:vAlign w:val="center"/>
          </w:tcPr>
          <w:p>
            <w:pPr>
              <w:pStyle w:val="687"/>
              <w:rPr>
                <w:color w:val="FF0000"/>
                <w:sz w:val="21"/>
              </w:rPr>
            </w:pPr>
            <w:r>
              <w:rPr>
                <w:rFonts w:hint="eastAsia"/>
                <w:color w:val="FF0000"/>
                <w:sz w:val="20"/>
              </w:rPr>
              <w:t>5.96E-04</w:t>
            </w:r>
          </w:p>
        </w:tc>
        <w:tc>
          <w:tcPr>
            <w:tcW w:w="2812" w:type="dxa"/>
            <w:vAlign w:val="center"/>
          </w:tcPr>
          <w:p>
            <w:pPr>
              <w:pStyle w:val="687"/>
              <w:rPr>
                <w:color w:val="FF0000"/>
                <w:sz w:val="21"/>
              </w:rPr>
            </w:pPr>
            <w:r>
              <w:rPr>
                <w:rFonts w:hint="eastAsia"/>
                <w:color w:val="FF0000"/>
                <w:sz w:val="20"/>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400</w:t>
            </w:r>
          </w:p>
        </w:tc>
        <w:tc>
          <w:tcPr>
            <w:tcW w:w="2812" w:type="dxa"/>
            <w:vAlign w:val="center"/>
          </w:tcPr>
          <w:p>
            <w:pPr>
              <w:pStyle w:val="687"/>
              <w:rPr>
                <w:color w:val="FF0000"/>
                <w:sz w:val="21"/>
              </w:rPr>
            </w:pPr>
            <w:r>
              <w:rPr>
                <w:rFonts w:hint="eastAsia"/>
                <w:color w:val="FF0000"/>
                <w:sz w:val="20"/>
              </w:rPr>
              <w:t>5.02E-04</w:t>
            </w:r>
          </w:p>
        </w:tc>
        <w:tc>
          <w:tcPr>
            <w:tcW w:w="2812" w:type="dxa"/>
            <w:vAlign w:val="center"/>
          </w:tcPr>
          <w:p>
            <w:pPr>
              <w:pStyle w:val="687"/>
              <w:rPr>
                <w:color w:val="FF0000"/>
                <w:sz w:val="21"/>
              </w:rPr>
            </w:pPr>
            <w:r>
              <w:rPr>
                <w:rFonts w:hint="eastAsia"/>
                <w:color w:val="FF0000"/>
                <w:sz w:val="20"/>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450</w:t>
            </w:r>
          </w:p>
        </w:tc>
        <w:tc>
          <w:tcPr>
            <w:tcW w:w="2812" w:type="dxa"/>
            <w:vAlign w:val="center"/>
          </w:tcPr>
          <w:p>
            <w:pPr>
              <w:pStyle w:val="687"/>
              <w:rPr>
                <w:color w:val="FF0000"/>
                <w:sz w:val="21"/>
              </w:rPr>
            </w:pPr>
            <w:r>
              <w:rPr>
                <w:rFonts w:hint="eastAsia"/>
                <w:color w:val="FF0000"/>
                <w:sz w:val="20"/>
              </w:rPr>
              <w:t>4.30E-04</w:t>
            </w:r>
          </w:p>
        </w:tc>
        <w:tc>
          <w:tcPr>
            <w:tcW w:w="2812" w:type="dxa"/>
            <w:vAlign w:val="center"/>
          </w:tcPr>
          <w:p>
            <w:pPr>
              <w:pStyle w:val="687"/>
              <w:rPr>
                <w:color w:val="FF0000"/>
                <w:sz w:val="21"/>
              </w:rPr>
            </w:pPr>
            <w:r>
              <w:rPr>
                <w:rFonts w:hint="eastAsia"/>
                <w:color w:val="FF0000"/>
                <w:sz w:val="20"/>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500</w:t>
            </w:r>
          </w:p>
        </w:tc>
        <w:tc>
          <w:tcPr>
            <w:tcW w:w="2812" w:type="dxa"/>
            <w:vAlign w:val="center"/>
          </w:tcPr>
          <w:p>
            <w:pPr>
              <w:pStyle w:val="687"/>
              <w:rPr>
                <w:color w:val="FF0000"/>
                <w:sz w:val="21"/>
              </w:rPr>
            </w:pPr>
            <w:r>
              <w:rPr>
                <w:rFonts w:hint="eastAsia"/>
                <w:color w:val="FF0000"/>
                <w:sz w:val="20"/>
              </w:rPr>
              <w:t>3.75E-04</w:t>
            </w:r>
          </w:p>
        </w:tc>
        <w:tc>
          <w:tcPr>
            <w:tcW w:w="2812" w:type="dxa"/>
            <w:vAlign w:val="center"/>
          </w:tcPr>
          <w:p>
            <w:pPr>
              <w:pStyle w:val="687"/>
              <w:rPr>
                <w:color w:val="FF0000"/>
                <w:sz w:val="21"/>
              </w:rPr>
            </w:pPr>
            <w:r>
              <w:rPr>
                <w:rFonts w:hint="eastAsia"/>
                <w:color w:val="FF0000"/>
                <w:sz w:val="20"/>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600</w:t>
            </w:r>
          </w:p>
        </w:tc>
        <w:tc>
          <w:tcPr>
            <w:tcW w:w="2812" w:type="dxa"/>
            <w:vAlign w:val="center"/>
          </w:tcPr>
          <w:p>
            <w:pPr>
              <w:pStyle w:val="687"/>
              <w:rPr>
                <w:color w:val="FF0000"/>
                <w:sz w:val="21"/>
              </w:rPr>
            </w:pPr>
            <w:r>
              <w:rPr>
                <w:rFonts w:hint="eastAsia"/>
                <w:color w:val="FF0000"/>
                <w:sz w:val="20"/>
              </w:rPr>
              <w:t>2.95E-04</w:t>
            </w:r>
          </w:p>
        </w:tc>
        <w:tc>
          <w:tcPr>
            <w:tcW w:w="2812" w:type="dxa"/>
            <w:vAlign w:val="center"/>
          </w:tcPr>
          <w:p>
            <w:pPr>
              <w:pStyle w:val="687"/>
              <w:rPr>
                <w:color w:val="FF0000"/>
                <w:sz w:val="21"/>
              </w:rPr>
            </w:pPr>
            <w:r>
              <w:rPr>
                <w:rFonts w:hint="eastAsia"/>
                <w:color w:val="FF0000"/>
                <w:sz w:val="20"/>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700</w:t>
            </w:r>
          </w:p>
        </w:tc>
        <w:tc>
          <w:tcPr>
            <w:tcW w:w="2812" w:type="dxa"/>
            <w:vAlign w:val="center"/>
          </w:tcPr>
          <w:p>
            <w:pPr>
              <w:pStyle w:val="687"/>
              <w:rPr>
                <w:color w:val="FF0000"/>
                <w:sz w:val="21"/>
              </w:rPr>
            </w:pPr>
            <w:r>
              <w:rPr>
                <w:rFonts w:hint="eastAsia"/>
                <w:color w:val="FF0000"/>
                <w:sz w:val="20"/>
              </w:rPr>
              <w:t>2.40E-04</w:t>
            </w:r>
          </w:p>
        </w:tc>
        <w:tc>
          <w:tcPr>
            <w:tcW w:w="2812" w:type="dxa"/>
            <w:vAlign w:val="center"/>
          </w:tcPr>
          <w:p>
            <w:pPr>
              <w:pStyle w:val="687"/>
              <w:rPr>
                <w:color w:val="FF0000"/>
                <w:sz w:val="21"/>
              </w:rPr>
            </w:pPr>
            <w:r>
              <w:rPr>
                <w:rFonts w:hint="eastAsia"/>
                <w:color w:val="FF0000"/>
                <w:sz w:val="20"/>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800</w:t>
            </w:r>
          </w:p>
        </w:tc>
        <w:tc>
          <w:tcPr>
            <w:tcW w:w="2812" w:type="dxa"/>
            <w:vAlign w:val="center"/>
          </w:tcPr>
          <w:p>
            <w:pPr>
              <w:pStyle w:val="687"/>
              <w:rPr>
                <w:color w:val="FF0000"/>
                <w:sz w:val="21"/>
              </w:rPr>
            </w:pPr>
            <w:r>
              <w:rPr>
                <w:rFonts w:hint="eastAsia"/>
                <w:color w:val="FF0000"/>
                <w:sz w:val="20"/>
              </w:rPr>
              <w:t>2.01E-04</w:t>
            </w:r>
          </w:p>
        </w:tc>
        <w:tc>
          <w:tcPr>
            <w:tcW w:w="2812" w:type="dxa"/>
            <w:vAlign w:val="center"/>
          </w:tcPr>
          <w:p>
            <w:pPr>
              <w:pStyle w:val="687"/>
              <w:rPr>
                <w:color w:val="FF0000"/>
                <w:sz w:val="21"/>
              </w:rPr>
            </w:pPr>
            <w:r>
              <w:rPr>
                <w:rFonts w:hint="eastAsia"/>
                <w:color w:val="FF0000"/>
                <w:sz w:val="20"/>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900</w:t>
            </w:r>
          </w:p>
        </w:tc>
        <w:tc>
          <w:tcPr>
            <w:tcW w:w="2812" w:type="dxa"/>
            <w:vAlign w:val="center"/>
          </w:tcPr>
          <w:p>
            <w:pPr>
              <w:pStyle w:val="687"/>
              <w:rPr>
                <w:color w:val="FF0000"/>
                <w:sz w:val="21"/>
              </w:rPr>
            </w:pPr>
            <w:r>
              <w:rPr>
                <w:rFonts w:hint="eastAsia"/>
                <w:color w:val="FF0000"/>
                <w:sz w:val="20"/>
              </w:rPr>
              <w:t>1.71E-04</w:t>
            </w:r>
          </w:p>
        </w:tc>
        <w:tc>
          <w:tcPr>
            <w:tcW w:w="2812" w:type="dxa"/>
            <w:vAlign w:val="center"/>
          </w:tcPr>
          <w:p>
            <w:pPr>
              <w:pStyle w:val="687"/>
              <w:rPr>
                <w:color w:val="FF0000"/>
                <w:sz w:val="21"/>
              </w:rPr>
            </w:pPr>
            <w:r>
              <w:rPr>
                <w:rFonts w:hint="eastAsia"/>
                <w:color w:val="FF0000"/>
                <w:sz w:val="20"/>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1000</w:t>
            </w:r>
          </w:p>
        </w:tc>
        <w:tc>
          <w:tcPr>
            <w:tcW w:w="2812" w:type="dxa"/>
            <w:vAlign w:val="center"/>
          </w:tcPr>
          <w:p>
            <w:pPr>
              <w:pStyle w:val="687"/>
              <w:rPr>
                <w:color w:val="FF0000"/>
                <w:sz w:val="21"/>
              </w:rPr>
            </w:pPr>
            <w:r>
              <w:rPr>
                <w:rFonts w:hint="eastAsia"/>
                <w:color w:val="FF0000"/>
                <w:sz w:val="20"/>
              </w:rPr>
              <w:t>1.49E-04</w:t>
            </w:r>
          </w:p>
        </w:tc>
        <w:tc>
          <w:tcPr>
            <w:tcW w:w="2812" w:type="dxa"/>
            <w:vAlign w:val="center"/>
          </w:tcPr>
          <w:p>
            <w:pPr>
              <w:pStyle w:val="687"/>
              <w:rPr>
                <w:color w:val="FF0000"/>
                <w:sz w:val="21"/>
              </w:rPr>
            </w:pPr>
            <w:r>
              <w:rPr>
                <w:rFonts w:hint="eastAsia"/>
                <w:color w:val="FF0000"/>
                <w:sz w:val="20"/>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1100</w:t>
            </w:r>
          </w:p>
        </w:tc>
        <w:tc>
          <w:tcPr>
            <w:tcW w:w="2812" w:type="dxa"/>
            <w:vAlign w:val="center"/>
          </w:tcPr>
          <w:p>
            <w:pPr>
              <w:pStyle w:val="687"/>
              <w:rPr>
                <w:color w:val="FF0000"/>
                <w:sz w:val="21"/>
              </w:rPr>
            </w:pPr>
            <w:r>
              <w:rPr>
                <w:rFonts w:hint="eastAsia"/>
                <w:color w:val="FF0000"/>
                <w:sz w:val="20"/>
              </w:rPr>
              <w:t>1.31E-04</w:t>
            </w:r>
          </w:p>
        </w:tc>
        <w:tc>
          <w:tcPr>
            <w:tcW w:w="2812" w:type="dxa"/>
            <w:vAlign w:val="center"/>
          </w:tcPr>
          <w:p>
            <w:pPr>
              <w:pStyle w:val="687"/>
              <w:rPr>
                <w:color w:val="FF0000"/>
                <w:sz w:val="21"/>
              </w:rPr>
            </w:pPr>
            <w:r>
              <w:rPr>
                <w:rFonts w:hint="eastAsia"/>
                <w:color w:val="FF0000"/>
                <w:sz w:val="20"/>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1200</w:t>
            </w:r>
          </w:p>
        </w:tc>
        <w:tc>
          <w:tcPr>
            <w:tcW w:w="2812" w:type="dxa"/>
            <w:vAlign w:val="center"/>
          </w:tcPr>
          <w:p>
            <w:pPr>
              <w:pStyle w:val="687"/>
              <w:rPr>
                <w:color w:val="FF0000"/>
                <w:sz w:val="21"/>
              </w:rPr>
            </w:pPr>
            <w:r>
              <w:rPr>
                <w:rFonts w:hint="eastAsia"/>
                <w:color w:val="FF0000"/>
                <w:sz w:val="20"/>
              </w:rPr>
              <w:t>1.16E-04</w:t>
            </w:r>
          </w:p>
        </w:tc>
        <w:tc>
          <w:tcPr>
            <w:tcW w:w="2812" w:type="dxa"/>
            <w:vAlign w:val="center"/>
          </w:tcPr>
          <w:p>
            <w:pPr>
              <w:pStyle w:val="687"/>
              <w:rPr>
                <w:color w:val="FF0000"/>
                <w:sz w:val="21"/>
              </w:rPr>
            </w:pPr>
            <w:r>
              <w:rPr>
                <w:rFonts w:hint="eastAsia"/>
                <w:color w:val="FF0000"/>
                <w:sz w:val="20"/>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1300</w:t>
            </w:r>
          </w:p>
        </w:tc>
        <w:tc>
          <w:tcPr>
            <w:tcW w:w="2812" w:type="dxa"/>
            <w:vAlign w:val="center"/>
          </w:tcPr>
          <w:p>
            <w:pPr>
              <w:pStyle w:val="687"/>
              <w:rPr>
                <w:color w:val="FF0000"/>
                <w:sz w:val="21"/>
              </w:rPr>
            </w:pPr>
            <w:r>
              <w:rPr>
                <w:rFonts w:hint="eastAsia"/>
                <w:color w:val="FF0000"/>
                <w:sz w:val="20"/>
              </w:rPr>
              <w:t>1.04E-04</w:t>
            </w:r>
          </w:p>
        </w:tc>
        <w:tc>
          <w:tcPr>
            <w:tcW w:w="2812" w:type="dxa"/>
            <w:vAlign w:val="center"/>
          </w:tcPr>
          <w:p>
            <w:pPr>
              <w:pStyle w:val="687"/>
              <w:rPr>
                <w:color w:val="FF0000"/>
                <w:sz w:val="21"/>
              </w:rPr>
            </w:pPr>
            <w:r>
              <w:rPr>
                <w:rFonts w:hint="eastAsia"/>
                <w:color w:val="FF0000"/>
                <w:sz w:val="20"/>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1400</w:t>
            </w:r>
          </w:p>
        </w:tc>
        <w:tc>
          <w:tcPr>
            <w:tcW w:w="2812" w:type="dxa"/>
            <w:vAlign w:val="center"/>
          </w:tcPr>
          <w:p>
            <w:pPr>
              <w:pStyle w:val="687"/>
              <w:rPr>
                <w:color w:val="FF0000"/>
                <w:sz w:val="21"/>
              </w:rPr>
            </w:pPr>
            <w:r>
              <w:rPr>
                <w:rFonts w:hint="eastAsia"/>
                <w:color w:val="FF0000"/>
                <w:sz w:val="20"/>
              </w:rPr>
              <w:t>9.43E-05</w:t>
            </w:r>
          </w:p>
        </w:tc>
        <w:tc>
          <w:tcPr>
            <w:tcW w:w="2812" w:type="dxa"/>
            <w:vAlign w:val="center"/>
          </w:tcPr>
          <w:p>
            <w:pPr>
              <w:pStyle w:val="687"/>
              <w:rPr>
                <w:color w:val="FF0000"/>
                <w:sz w:val="21"/>
              </w:rPr>
            </w:pPr>
            <w:r>
              <w:rPr>
                <w:rFonts w:hint="eastAsia"/>
                <w:color w:val="FF000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1500</w:t>
            </w:r>
          </w:p>
        </w:tc>
        <w:tc>
          <w:tcPr>
            <w:tcW w:w="2812" w:type="dxa"/>
            <w:vAlign w:val="center"/>
          </w:tcPr>
          <w:p>
            <w:pPr>
              <w:pStyle w:val="687"/>
              <w:rPr>
                <w:color w:val="FF0000"/>
                <w:sz w:val="21"/>
              </w:rPr>
            </w:pPr>
            <w:r>
              <w:rPr>
                <w:rFonts w:hint="eastAsia"/>
                <w:color w:val="FF0000"/>
                <w:sz w:val="20"/>
              </w:rPr>
              <w:t>8.59E-05</w:t>
            </w:r>
          </w:p>
        </w:tc>
        <w:tc>
          <w:tcPr>
            <w:tcW w:w="2812" w:type="dxa"/>
            <w:vAlign w:val="center"/>
          </w:tcPr>
          <w:p>
            <w:pPr>
              <w:pStyle w:val="687"/>
              <w:rPr>
                <w:color w:val="FF0000"/>
                <w:sz w:val="21"/>
              </w:rPr>
            </w:pPr>
            <w:r>
              <w:rPr>
                <w:rFonts w:hint="eastAsia"/>
                <w:color w:val="FF000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1600</w:t>
            </w:r>
          </w:p>
        </w:tc>
        <w:tc>
          <w:tcPr>
            <w:tcW w:w="2812" w:type="dxa"/>
            <w:vAlign w:val="center"/>
          </w:tcPr>
          <w:p>
            <w:pPr>
              <w:pStyle w:val="687"/>
              <w:rPr>
                <w:color w:val="FF0000"/>
                <w:sz w:val="21"/>
              </w:rPr>
            </w:pPr>
            <w:r>
              <w:rPr>
                <w:rFonts w:hint="eastAsia"/>
                <w:color w:val="FF0000"/>
                <w:sz w:val="20"/>
              </w:rPr>
              <w:t>7.87E-05</w:t>
            </w:r>
          </w:p>
        </w:tc>
        <w:tc>
          <w:tcPr>
            <w:tcW w:w="2812" w:type="dxa"/>
            <w:vAlign w:val="center"/>
          </w:tcPr>
          <w:p>
            <w:pPr>
              <w:pStyle w:val="687"/>
              <w:rPr>
                <w:color w:val="FF0000"/>
                <w:sz w:val="21"/>
              </w:rPr>
            </w:pPr>
            <w:r>
              <w:rPr>
                <w:rFonts w:hint="eastAsia"/>
                <w:color w:val="FF000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1700</w:t>
            </w:r>
          </w:p>
        </w:tc>
        <w:tc>
          <w:tcPr>
            <w:tcW w:w="2812" w:type="dxa"/>
            <w:vAlign w:val="center"/>
          </w:tcPr>
          <w:p>
            <w:pPr>
              <w:pStyle w:val="687"/>
              <w:rPr>
                <w:color w:val="FF0000"/>
                <w:sz w:val="21"/>
              </w:rPr>
            </w:pPr>
            <w:r>
              <w:rPr>
                <w:rFonts w:hint="eastAsia"/>
                <w:color w:val="FF0000"/>
                <w:sz w:val="20"/>
              </w:rPr>
              <w:t>7.25E-05</w:t>
            </w:r>
          </w:p>
        </w:tc>
        <w:tc>
          <w:tcPr>
            <w:tcW w:w="2812" w:type="dxa"/>
            <w:vAlign w:val="center"/>
          </w:tcPr>
          <w:p>
            <w:pPr>
              <w:pStyle w:val="687"/>
              <w:rPr>
                <w:color w:val="FF0000"/>
                <w:sz w:val="21"/>
              </w:rPr>
            </w:pPr>
            <w:r>
              <w:rPr>
                <w:rFonts w:hint="eastAsia"/>
                <w:color w:val="FF000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1800</w:t>
            </w:r>
          </w:p>
        </w:tc>
        <w:tc>
          <w:tcPr>
            <w:tcW w:w="2812" w:type="dxa"/>
            <w:vAlign w:val="center"/>
          </w:tcPr>
          <w:p>
            <w:pPr>
              <w:pStyle w:val="687"/>
              <w:rPr>
                <w:color w:val="FF0000"/>
                <w:sz w:val="21"/>
              </w:rPr>
            </w:pPr>
            <w:r>
              <w:rPr>
                <w:rFonts w:hint="eastAsia"/>
                <w:color w:val="FF0000"/>
                <w:sz w:val="20"/>
              </w:rPr>
              <w:t>6.71E-05</w:t>
            </w:r>
          </w:p>
        </w:tc>
        <w:tc>
          <w:tcPr>
            <w:tcW w:w="2812" w:type="dxa"/>
            <w:vAlign w:val="center"/>
          </w:tcPr>
          <w:p>
            <w:pPr>
              <w:pStyle w:val="687"/>
              <w:rPr>
                <w:color w:val="FF0000"/>
                <w:sz w:val="21"/>
              </w:rPr>
            </w:pPr>
            <w:r>
              <w:rPr>
                <w:rFonts w:hint="eastAsia"/>
                <w:color w:val="FF000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1900</w:t>
            </w:r>
          </w:p>
        </w:tc>
        <w:tc>
          <w:tcPr>
            <w:tcW w:w="2812" w:type="dxa"/>
            <w:vAlign w:val="center"/>
          </w:tcPr>
          <w:p>
            <w:pPr>
              <w:pStyle w:val="687"/>
              <w:rPr>
                <w:color w:val="FF0000"/>
                <w:sz w:val="21"/>
              </w:rPr>
            </w:pPr>
            <w:r>
              <w:rPr>
                <w:rFonts w:hint="eastAsia"/>
                <w:color w:val="FF0000"/>
                <w:sz w:val="20"/>
              </w:rPr>
              <w:t>6.23E-05</w:t>
            </w:r>
          </w:p>
        </w:tc>
        <w:tc>
          <w:tcPr>
            <w:tcW w:w="2812" w:type="dxa"/>
            <w:vAlign w:val="center"/>
          </w:tcPr>
          <w:p>
            <w:pPr>
              <w:pStyle w:val="687"/>
              <w:rPr>
                <w:color w:val="FF0000"/>
                <w:sz w:val="21"/>
              </w:rPr>
            </w:pPr>
            <w:r>
              <w:rPr>
                <w:rFonts w:hint="eastAsia"/>
                <w:color w:val="FF000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2000</w:t>
            </w:r>
          </w:p>
        </w:tc>
        <w:tc>
          <w:tcPr>
            <w:tcW w:w="2812" w:type="dxa"/>
            <w:vAlign w:val="center"/>
          </w:tcPr>
          <w:p>
            <w:pPr>
              <w:pStyle w:val="687"/>
              <w:rPr>
                <w:color w:val="FF0000"/>
                <w:sz w:val="21"/>
              </w:rPr>
            </w:pPr>
            <w:r>
              <w:rPr>
                <w:rFonts w:hint="eastAsia"/>
                <w:color w:val="FF0000"/>
                <w:sz w:val="20"/>
              </w:rPr>
              <w:t>5.82E-05</w:t>
            </w:r>
          </w:p>
        </w:tc>
        <w:tc>
          <w:tcPr>
            <w:tcW w:w="2812" w:type="dxa"/>
            <w:vAlign w:val="center"/>
          </w:tcPr>
          <w:p>
            <w:pPr>
              <w:pStyle w:val="687"/>
              <w:rPr>
                <w:color w:val="FF0000"/>
                <w:sz w:val="21"/>
              </w:rPr>
            </w:pPr>
            <w:r>
              <w:rPr>
                <w:rFonts w:hint="eastAsia"/>
                <w:color w:val="FF000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2100</w:t>
            </w:r>
          </w:p>
        </w:tc>
        <w:tc>
          <w:tcPr>
            <w:tcW w:w="2812" w:type="dxa"/>
            <w:vAlign w:val="center"/>
          </w:tcPr>
          <w:p>
            <w:pPr>
              <w:pStyle w:val="687"/>
              <w:rPr>
                <w:color w:val="FF0000"/>
                <w:sz w:val="21"/>
              </w:rPr>
            </w:pPr>
            <w:r>
              <w:rPr>
                <w:rFonts w:hint="eastAsia"/>
                <w:color w:val="FF0000"/>
                <w:sz w:val="20"/>
              </w:rPr>
              <w:t>5.44E-05</w:t>
            </w:r>
          </w:p>
        </w:tc>
        <w:tc>
          <w:tcPr>
            <w:tcW w:w="2812" w:type="dxa"/>
            <w:vAlign w:val="center"/>
          </w:tcPr>
          <w:p>
            <w:pPr>
              <w:pStyle w:val="687"/>
              <w:rPr>
                <w:color w:val="FF0000"/>
                <w:sz w:val="21"/>
              </w:rPr>
            </w:pPr>
            <w:r>
              <w:rPr>
                <w:rFonts w:hint="eastAsia"/>
                <w:color w:val="FF000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2200</w:t>
            </w:r>
          </w:p>
        </w:tc>
        <w:tc>
          <w:tcPr>
            <w:tcW w:w="2812" w:type="dxa"/>
            <w:vAlign w:val="center"/>
          </w:tcPr>
          <w:p>
            <w:pPr>
              <w:pStyle w:val="687"/>
              <w:rPr>
                <w:color w:val="FF0000"/>
                <w:sz w:val="21"/>
              </w:rPr>
            </w:pPr>
            <w:r>
              <w:rPr>
                <w:rFonts w:hint="eastAsia"/>
                <w:color w:val="FF0000"/>
                <w:sz w:val="20"/>
              </w:rPr>
              <w:t>5.11E-05</w:t>
            </w:r>
          </w:p>
        </w:tc>
        <w:tc>
          <w:tcPr>
            <w:tcW w:w="2812" w:type="dxa"/>
            <w:vAlign w:val="center"/>
          </w:tcPr>
          <w:p>
            <w:pPr>
              <w:pStyle w:val="687"/>
              <w:rPr>
                <w:color w:val="FF0000"/>
                <w:sz w:val="21"/>
              </w:rPr>
            </w:pPr>
            <w:r>
              <w:rPr>
                <w:rFonts w:hint="eastAsia"/>
                <w:color w:val="FF000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2300</w:t>
            </w:r>
          </w:p>
        </w:tc>
        <w:tc>
          <w:tcPr>
            <w:tcW w:w="2812" w:type="dxa"/>
            <w:vAlign w:val="center"/>
          </w:tcPr>
          <w:p>
            <w:pPr>
              <w:pStyle w:val="687"/>
              <w:rPr>
                <w:color w:val="FF0000"/>
                <w:sz w:val="21"/>
              </w:rPr>
            </w:pPr>
            <w:r>
              <w:rPr>
                <w:rFonts w:hint="eastAsia"/>
                <w:color w:val="FF0000"/>
                <w:sz w:val="20"/>
              </w:rPr>
              <w:t>4.81E-05</w:t>
            </w:r>
          </w:p>
        </w:tc>
        <w:tc>
          <w:tcPr>
            <w:tcW w:w="2812" w:type="dxa"/>
            <w:vAlign w:val="center"/>
          </w:tcPr>
          <w:p>
            <w:pPr>
              <w:pStyle w:val="687"/>
              <w:rPr>
                <w:color w:val="FF0000"/>
                <w:sz w:val="21"/>
              </w:rPr>
            </w:pPr>
            <w:r>
              <w:rPr>
                <w:rFonts w:hint="eastAsia"/>
                <w:color w:val="FF000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2400</w:t>
            </w:r>
          </w:p>
        </w:tc>
        <w:tc>
          <w:tcPr>
            <w:tcW w:w="2812" w:type="dxa"/>
            <w:vAlign w:val="center"/>
          </w:tcPr>
          <w:p>
            <w:pPr>
              <w:pStyle w:val="687"/>
              <w:rPr>
                <w:color w:val="FF0000"/>
                <w:sz w:val="21"/>
              </w:rPr>
            </w:pPr>
            <w:r>
              <w:rPr>
                <w:rFonts w:hint="eastAsia"/>
                <w:color w:val="FF0000"/>
                <w:sz w:val="20"/>
              </w:rPr>
              <w:t>4.54E-05</w:t>
            </w:r>
          </w:p>
        </w:tc>
        <w:tc>
          <w:tcPr>
            <w:tcW w:w="2812" w:type="dxa"/>
            <w:vAlign w:val="center"/>
          </w:tcPr>
          <w:p>
            <w:pPr>
              <w:pStyle w:val="687"/>
              <w:rPr>
                <w:color w:val="FF0000"/>
                <w:sz w:val="21"/>
              </w:rPr>
            </w:pPr>
            <w:r>
              <w:rPr>
                <w:rFonts w:hint="eastAsia"/>
                <w:color w:val="FF000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2500</w:t>
            </w:r>
          </w:p>
        </w:tc>
        <w:tc>
          <w:tcPr>
            <w:tcW w:w="2812" w:type="dxa"/>
            <w:vAlign w:val="center"/>
          </w:tcPr>
          <w:p>
            <w:pPr>
              <w:pStyle w:val="687"/>
              <w:rPr>
                <w:color w:val="FF0000"/>
                <w:sz w:val="21"/>
              </w:rPr>
            </w:pPr>
            <w:r>
              <w:rPr>
                <w:rFonts w:hint="eastAsia"/>
                <w:color w:val="FF0000"/>
                <w:sz w:val="20"/>
              </w:rPr>
              <w:t>4.30E-05</w:t>
            </w:r>
          </w:p>
        </w:tc>
        <w:tc>
          <w:tcPr>
            <w:tcW w:w="2812" w:type="dxa"/>
            <w:vAlign w:val="center"/>
          </w:tcPr>
          <w:p>
            <w:pPr>
              <w:pStyle w:val="687"/>
              <w:rPr>
                <w:color w:val="FF0000"/>
                <w:sz w:val="21"/>
              </w:rPr>
            </w:pPr>
            <w:r>
              <w:rPr>
                <w:rFonts w:hint="eastAsia"/>
                <w:color w:val="FF000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lang w:eastAsia="zh-CN"/>
              </w:rPr>
            </w:pPr>
            <w:r>
              <w:rPr>
                <w:color w:val="FF0000"/>
                <w:sz w:val="21"/>
                <w:lang w:eastAsia="zh-CN"/>
              </w:rPr>
              <w:t>最大质量浓度及占标率</w:t>
            </w:r>
          </w:p>
        </w:tc>
        <w:tc>
          <w:tcPr>
            <w:tcW w:w="2812" w:type="dxa"/>
            <w:vAlign w:val="center"/>
          </w:tcPr>
          <w:p>
            <w:pPr>
              <w:pStyle w:val="687"/>
              <w:rPr>
                <w:color w:val="FF0000"/>
                <w:sz w:val="21"/>
              </w:rPr>
            </w:pPr>
            <w:r>
              <w:rPr>
                <w:rFonts w:hint="eastAsia"/>
                <w:color w:val="FF0000"/>
                <w:sz w:val="21"/>
              </w:rPr>
              <w:t>4.48E-03</w:t>
            </w:r>
          </w:p>
        </w:tc>
        <w:tc>
          <w:tcPr>
            <w:tcW w:w="2812" w:type="dxa"/>
            <w:vAlign w:val="center"/>
          </w:tcPr>
          <w:p>
            <w:pPr>
              <w:pStyle w:val="687"/>
              <w:rPr>
                <w:color w:val="FF0000"/>
                <w:sz w:val="21"/>
              </w:rPr>
            </w:pPr>
            <w:r>
              <w:rPr>
                <w:rFonts w:hint="eastAsia"/>
                <w:color w:val="FF0000"/>
                <w:sz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color w:val="FF0000"/>
                <w:sz w:val="21"/>
              </w:rPr>
              <w:t>D</w:t>
            </w:r>
            <w:r>
              <w:rPr>
                <w:color w:val="FF0000"/>
                <w:sz w:val="21"/>
                <w:vertAlign w:val="subscript"/>
              </w:rPr>
              <w:t>10%</w:t>
            </w:r>
            <w:r>
              <w:rPr>
                <w:color w:val="FF0000"/>
                <w:sz w:val="21"/>
              </w:rPr>
              <w:t>最远距离（m）</w:t>
            </w:r>
          </w:p>
        </w:tc>
        <w:tc>
          <w:tcPr>
            <w:tcW w:w="5624" w:type="dxa"/>
            <w:gridSpan w:val="2"/>
            <w:vAlign w:val="center"/>
          </w:tcPr>
          <w:p>
            <w:pPr>
              <w:pStyle w:val="687"/>
              <w:rPr>
                <w:color w:val="FF0000"/>
                <w:sz w:val="21"/>
              </w:rPr>
            </w:pPr>
            <w:r>
              <w:rPr>
                <w:color w:val="FF0000"/>
                <w:sz w:val="21"/>
              </w:rPr>
              <w:t>/</w:t>
            </w:r>
          </w:p>
        </w:tc>
      </w:tr>
    </w:tbl>
    <w:p>
      <w:pPr>
        <w:pStyle w:val="494"/>
        <w:ind w:firstLine="480"/>
        <w:rPr>
          <w:color w:val="FF0000"/>
        </w:rPr>
      </w:pPr>
      <w:r>
        <w:rPr>
          <w:rFonts w:hint="eastAsia"/>
          <w:color w:val="FF0000"/>
        </w:rPr>
        <w:t>根据</w:t>
      </w:r>
      <w:r>
        <w:rPr>
          <w:color w:val="FF0000"/>
        </w:rPr>
        <w:t>上</w:t>
      </w:r>
      <w:r>
        <w:rPr>
          <w:rFonts w:hint="eastAsia"/>
          <w:color w:val="FF0000"/>
        </w:rPr>
        <w:t>表</w:t>
      </w:r>
      <w:r>
        <w:rPr>
          <w:color w:val="FF0000"/>
        </w:rPr>
        <w:t>分析可知，</w:t>
      </w:r>
      <w:r>
        <w:rPr>
          <w:rFonts w:hint="eastAsia"/>
          <w:color w:val="FF0000"/>
        </w:rPr>
        <w:t>项目正常运营期间产生的非甲烷总烃最大落地浓度为4</w:t>
      </w:r>
      <w:r>
        <w:rPr>
          <w:color w:val="FF0000"/>
        </w:rPr>
        <w:t>.48E-03</w:t>
      </w:r>
      <w:r>
        <w:rPr>
          <w:rFonts w:hint="eastAsia"/>
          <w:color w:val="FF0000"/>
        </w:rPr>
        <w:t>mg/m</w:t>
      </w:r>
      <w:r>
        <w:rPr>
          <w:rFonts w:hint="eastAsia"/>
          <w:color w:val="FF0000"/>
          <w:vertAlign w:val="superscript"/>
        </w:rPr>
        <w:t>3</w:t>
      </w:r>
      <w:r>
        <w:rPr>
          <w:rFonts w:hint="eastAsia"/>
          <w:color w:val="FF0000"/>
        </w:rPr>
        <w:t>，远小于《大气污染物综合排放标准详解》中的环境管理推荐值要求，对周围环境影响较小。</w:t>
      </w:r>
    </w:p>
    <w:p>
      <w:pPr>
        <w:pStyle w:val="494"/>
        <w:ind w:firstLine="480"/>
        <w:rPr>
          <w:color w:val="FF0000"/>
        </w:rPr>
      </w:pPr>
      <w:r>
        <w:rPr>
          <w:rFonts w:hint="eastAsia"/>
          <w:color w:val="FF0000"/>
        </w:rPr>
        <w:t>3、污染物排放量核算</w:t>
      </w:r>
    </w:p>
    <w:p>
      <w:pPr>
        <w:pStyle w:val="494"/>
        <w:ind w:firstLine="480"/>
        <w:rPr>
          <w:color w:val="FF0000"/>
        </w:rPr>
      </w:pPr>
      <w:r>
        <w:rPr>
          <w:rFonts w:hint="eastAsia"/>
          <w:color w:val="FF0000"/>
        </w:rPr>
        <w:t>项目大气污染物有组织排放量核算详见表5.2-</w:t>
      </w:r>
      <w:r>
        <w:rPr>
          <w:color w:val="FF0000"/>
        </w:rPr>
        <w:t>5</w:t>
      </w:r>
      <w:r>
        <w:rPr>
          <w:rFonts w:hint="eastAsia"/>
          <w:color w:val="FF0000"/>
        </w:rPr>
        <w:t>，项目大气污染物无组织排放量核算详见表5.2</w:t>
      </w:r>
      <w:r>
        <w:rPr>
          <w:color w:val="FF0000"/>
        </w:rPr>
        <w:t>-6</w:t>
      </w:r>
      <w:r>
        <w:rPr>
          <w:rFonts w:hint="eastAsia"/>
          <w:color w:val="FF0000"/>
        </w:rPr>
        <w:t>，项目大气污染物年排放量核算详见表5.2</w:t>
      </w:r>
      <w:r>
        <w:rPr>
          <w:color w:val="FF0000"/>
        </w:rPr>
        <w:t>-7</w:t>
      </w:r>
      <w:r>
        <w:rPr>
          <w:rFonts w:hint="eastAsia"/>
          <w:color w:val="FF0000"/>
        </w:rPr>
        <w:t>。</w:t>
      </w:r>
    </w:p>
    <w:p>
      <w:pPr>
        <w:pStyle w:val="400"/>
        <w:ind w:firstLine="420"/>
        <w:rPr>
          <w:color w:val="FF0000"/>
        </w:rPr>
      </w:pPr>
      <w:r>
        <w:rPr>
          <w:rFonts w:hint="eastAsia"/>
          <w:color w:val="FF0000"/>
        </w:rPr>
        <w:t>表5.2-</w:t>
      </w:r>
      <w:r>
        <w:rPr>
          <w:color w:val="FF0000"/>
        </w:rPr>
        <w:t>5</w:t>
      </w:r>
      <w:r>
        <w:rPr>
          <w:rFonts w:hint="eastAsia"/>
          <w:color w:val="FF0000"/>
        </w:rPr>
        <w:t xml:space="preserve">               大气污染物有组织排放量核算表</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275"/>
        <w:gridCol w:w="1418"/>
        <w:gridCol w:w="1984"/>
        <w:gridCol w:w="1701"/>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dxa"/>
            <w:vAlign w:val="center"/>
          </w:tcPr>
          <w:p>
            <w:pPr>
              <w:pStyle w:val="687"/>
              <w:rPr>
                <w:color w:val="FF0000"/>
                <w:sz w:val="21"/>
              </w:rPr>
            </w:pPr>
            <w:r>
              <w:rPr>
                <w:rFonts w:hint="eastAsia"/>
                <w:color w:val="FF0000"/>
                <w:sz w:val="21"/>
              </w:rPr>
              <w:t>序号</w:t>
            </w:r>
          </w:p>
        </w:tc>
        <w:tc>
          <w:tcPr>
            <w:tcW w:w="1275" w:type="dxa"/>
            <w:vAlign w:val="center"/>
          </w:tcPr>
          <w:p>
            <w:pPr>
              <w:pStyle w:val="687"/>
              <w:rPr>
                <w:color w:val="FF0000"/>
                <w:sz w:val="21"/>
              </w:rPr>
            </w:pPr>
            <w:r>
              <w:rPr>
                <w:rFonts w:hint="eastAsia"/>
                <w:color w:val="FF0000"/>
                <w:sz w:val="21"/>
              </w:rPr>
              <w:t>排放口编号</w:t>
            </w:r>
          </w:p>
        </w:tc>
        <w:tc>
          <w:tcPr>
            <w:tcW w:w="1418" w:type="dxa"/>
            <w:vAlign w:val="center"/>
          </w:tcPr>
          <w:p>
            <w:pPr>
              <w:pStyle w:val="687"/>
              <w:rPr>
                <w:color w:val="FF0000"/>
                <w:sz w:val="21"/>
              </w:rPr>
            </w:pPr>
            <w:r>
              <w:rPr>
                <w:rFonts w:hint="eastAsia"/>
                <w:color w:val="FF0000"/>
                <w:sz w:val="21"/>
              </w:rPr>
              <w:t>污染物</w:t>
            </w:r>
          </w:p>
        </w:tc>
        <w:tc>
          <w:tcPr>
            <w:tcW w:w="1984" w:type="dxa"/>
            <w:vAlign w:val="center"/>
          </w:tcPr>
          <w:p>
            <w:pPr>
              <w:pStyle w:val="687"/>
              <w:rPr>
                <w:color w:val="FF0000"/>
                <w:sz w:val="21"/>
                <w:lang w:eastAsia="zh-CN"/>
              </w:rPr>
            </w:pPr>
            <w:r>
              <w:rPr>
                <w:rFonts w:hint="eastAsia"/>
                <w:color w:val="FF0000"/>
                <w:sz w:val="21"/>
                <w:lang w:eastAsia="zh-CN"/>
              </w:rPr>
              <w:t>核算排放浓度（mg/m</w:t>
            </w:r>
            <w:r>
              <w:rPr>
                <w:rFonts w:hint="eastAsia"/>
                <w:color w:val="FF0000"/>
                <w:sz w:val="21"/>
                <w:vertAlign w:val="superscript"/>
                <w:lang w:eastAsia="zh-CN"/>
              </w:rPr>
              <w:t>3</w:t>
            </w:r>
            <w:r>
              <w:rPr>
                <w:rFonts w:hint="eastAsia"/>
                <w:color w:val="FF0000"/>
                <w:sz w:val="21"/>
                <w:lang w:eastAsia="zh-CN"/>
              </w:rPr>
              <w:t>）</w:t>
            </w:r>
          </w:p>
        </w:tc>
        <w:tc>
          <w:tcPr>
            <w:tcW w:w="1701" w:type="dxa"/>
            <w:vAlign w:val="center"/>
          </w:tcPr>
          <w:p>
            <w:pPr>
              <w:pStyle w:val="687"/>
              <w:rPr>
                <w:color w:val="FF0000"/>
                <w:sz w:val="21"/>
              </w:rPr>
            </w:pPr>
            <w:r>
              <w:rPr>
                <w:rFonts w:hint="eastAsia"/>
                <w:color w:val="FF0000"/>
                <w:sz w:val="21"/>
              </w:rPr>
              <w:t>核算排放速率（kg/h）</w:t>
            </w:r>
          </w:p>
        </w:tc>
        <w:tc>
          <w:tcPr>
            <w:tcW w:w="1524" w:type="dxa"/>
            <w:vAlign w:val="center"/>
          </w:tcPr>
          <w:p>
            <w:pPr>
              <w:pStyle w:val="687"/>
              <w:rPr>
                <w:color w:val="FF0000"/>
                <w:sz w:val="21"/>
              </w:rPr>
            </w:pPr>
            <w:r>
              <w:rPr>
                <w:rFonts w:hint="eastAsia"/>
                <w:color w:val="FF0000"/>
                <w:sz w:val="21"/>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6" w:type="dxa"/>
            <w:gridSpan w:val="6"/>
            <w:vAlign w:val="center"/>
          </w:tcPr>
          <w:p>
            <w:pPr>
              <w:pStyle w:val="687"/>
              <w:rPr>
                <w:color w:val="FF0000"/>
                <w:sz w:val="21"/>
              </w:rPr>
            </w:pPr>
            <w:r>
              <w:rPr>
                <w:rFonts w:hint="eastAsia"/>
                <w:color w:val="FF0000"/>
                <w:sz w:val="21"/>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dxa"/>
            <w:vAlign w:val="center"/>
          </w:tcPr>
          <w:p>
            <w:pPr>
              <w:pStyle w:val="687"/>
              <w:rPr>
                <w:color w:val="FF0000"/>
                <w:sz w:val="21"/>
              </w:rPr>
            </w:pPr>
            <w:r>
              <w:rPr>
                <w:rFonts w:hint="eastAsia"/>
                <w:color w:val="FF0000"/>
                <w:sz w:val="21"/>
              </w:rPr>
              <w:t>/</w:t>
            </w:r>
          </w:p>
        </w:tc>
        <w:tc>
          <w:tcPr>
            <w:tcW w:w="1275" w:type="dxa"/>
            <w:vAlign w:val="center"/>
          </w:tcPr>
          <w:p>
            <w:pPr>
              <w:pStyle w:val="687"/>
              <w:rPr>
                <w:color w:val="FF0000"/>
                <w:sz w:val="21"/>
              </w:rPr>
            </w:pPr>
            <w:r>
              <w:rPr>
                <w:rFonts w:hint="eastAsia"/>
                <w:color w:val="FF0000"/>
                <w:sz w:val="21"/>
              </w:rPr>
              <w:t>/</w:t>
            </w:r>
          </w:p>
        </w:tc>
        <w:tc>
          <w:tcPr>
            <w:tcW w:w="1418" w:type="dxa"/>
            <w:vAlign w:val="center"/>
          </w:tcPr>
          <w:p>
            <w:pPr>
              <w:pStyle w:val="687"/>
              <w:rPr>
                <w:color w:val="FF0000"/>
                <w:sz w:val="21"/>
              </w:rPr>
            </w:pPr>
            <w:r>
              <w:rPr>
                <w:rFonts w:hint="eastAsia"/>
                <w:color w:val="FF0000"/>
                <w:sz w:val="21"/>
              </w:rPr>
              <w:t>/</w:t>
            </w:r>
          </w:p>
        </w:tc>
        <w:tc>
          <w:tcPr>
            <w:tcW w:w="1984" w:type="dxa"/>
            <w:vAlign w:val="center"/>
          </w:tcPr>
          <w:p>
            <w:pPr>
              <w:pStyle w:val="687"/>
              <w:rPr>
                <w:color w:val="FF0000"/>
                <w:sz w:val="21"/>
              </w:rPr>
            </w:pPr>
            <w:r>
              <w:rPr>
                <w:rFonts w:hint="eastAsia"/>
                <w:color w:val="FF0000"/>
                <w:sz w:val="21"/>
              </w:rPr>
              <w:t>/</w:t>
            </w:r>
          </w:p>
        </w:tc>
        <w:tc>
          <w:tcPr>
            <w:tcW w:w="1701" w:type="dxa"/>
            <w:vAlign w:val="center"/>
          </w:tcPr>
          <w:p>
            <w:pPr>
              <w:pStyle w:val="687"/>
              <w:rPr>
                <w:color w:val="FF0000"/>
                <w:sz w:val="21"/>
              </w:rPr>
            </w:pPr>
            <w:r>
              <w:rPr>
                <w:rFonts w:hint="eastAsia"/>
                <w:color w:val="FF0000"/>
                <w:sz w:val="21"/>
              </w:rPr>
              <w:t>/</w:t>
            </w:r>
          </w:p>
        </w:tc>
        <w:tc>
          <w:tcPr>
            <w:tcW w:w="1524" w:type="dxa"/>
            <w:vAlign w:val="center"/>
          </w:tcPr>
          <w:p>
            <w:pPr>
              <w:pStyle w:val="687"/>
              <w:rPr>
                <w:color w:val="FF0000"/>
                <w:sz w:val="21"/>
              </w:rPr>
            </w:pPr>
            <w:r>
              <w:rPr>
                <w:rFonts w:hint="eastAsia"/>
                <w:color w:val="FF000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gridSpan w:val="2"/>
            <w:vMerge w:val="restart"/>
            <w:vAlign w:val="center"/>
          </w:tcPr>
          <w:p>
            <w:pPr>
              <w:pStyle w:val="687"/>
              <w:rPr>
                <w:color w:val="FF0000"/>
                <w:sz w:val="21"/>
              </w:rPr>
            </w:pPr>
            <w:r>
              <w:rPr>
                <w:rFonts w:hint="eastAsia"/>
                <w:color w:val="FF0000"/>
                <w:sz w:val="21"/>
              </w:rPr>
              <w:t>主要排放口合计</w:t>
            </w:r>
          </w:p>
        </w:tc>
        <w:tc>
          <w:tcPr>
            <w:tcW w:w="5103" w:type="dxa"/>
            <w:gridSpan w:val="3"/>
            <w:vAlign w:val="center"/>
          </w:tcPr>
          <w:p>
            <w:pPr>
              <w:pStyle w:val="687"/>
              <w:rPr>
                <w:color w:val="FF0000"/>
                <w:sz w:val="21"/>
              </w:rPr>
            </w:pPr>
            <w:r>
              <w:rPr>
                <w:rFonts w:hint="eastAsia"/>
                <w:color w:val="FF0000"/>
                <w:sz w:val="21"/>
              </w:rPr>
              <w:t>SO</w:t>
            </w:r>
            <w:r>
              <w:rPr>
                <w:rFonts w:hint="eastAsia"/>
                <w:color w:val="FF0000"/>
                <w:sz w:val="21"/>
                <w:vertAlign w:val="subscript"/>
              </w:rPr>
              <w:t>2</w:t>
            </w:r>
          </w:p>
        </w:tc>
        <w:tc>
          <w:tcPr>
            <w:tcW w:w="1524" w:type="dxa"/>
            <w:vAlign w:val="center"/>
          </w:tcPr>
          <w:p>
            <w:pPr>
              <w:pStyle w:val="687"/>
              <w:rPr>
                <w:color w:val="FF0000"/>
                <w:sz w:val="21"/>
              </w:rPr>
            </w:pPr>
            <w:r>
              <w:rPr>
                <w:rFonts w:hint="eastAsia"/>
                <w:color w:val="FF0000"/>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gridSpan w:val="2"/>
            <w:vMerge w:val="continue"/>
            <w:vAlign w:val="center"/>
          </w:tcPr>
          <w:p>
            <w:pPr>
              <w:pStyle w:val="687"/>
              <w:rPr>
                <w:color w:val="FF0000"/>
                <w:sz w:val="21"/>
              </w:rPr>
            </w:pPr>
          </w:p>
        </w:tc>
        <w:tc>
          <w:tcPr>
            <w:tcW w:w="5103" w:type="dxa"/>
            <w:gridSpan w:val="3"/>
            <w:vAlign w:val="center"/>
          </w:tcPr>
          <w:p>
            <w:pPr>
              <w:pStyle w:val="687"/>
              <w:rPr>
                <w:color w:val="FF0000"/>
                <w:sz w:val="21"/>
              </w:rPr>
            </w:pPr>
            <w:r>
              <w:rPr>
                <w:rFonts w:hint="eastAsia"/>
                <w:color w:val="FF0000"/>
                <w:sz w:val="21"/>
              </w:rPr>
              <w:t>NOx</w:t>
            </w:r>
          </w:p>
        </w:tc>
        <w:tc>
          <w:tcPr>
            <w:tcW w:w="1524" w:type="dxa"/>
            <w:vAlign w:val="center"/>
          </w:tcPr>
          <w:p>
            <w:pPr>
              <w:pStyle w:val="687"/>
              <w:rPr>
                <w:color w:val="FF0000"/>
                <w:sz w:val="21"/>
              </w:rPr>
            </w:pPr>
            <w:r>
              <w:rPr>
                <w:rFonts w:hint="eastAsia"/>
                <w:color w:val="FF0000"/>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gridSpan w:val="2"/>
            <w:vMerge w:val="continue"/>
            <w:vAlign w:val="center"/>
          </w:tcPr>
          <w:p>
            <w:pPr>
              <w:pStyle w:val="687"/>
              <w:rPr>
                <w:color w:val="FF0000"/>
                <w:sz w:val="21"/>
              </w:rPr>
            </w:pPr>
          </w:p>
        </w:tc>
        <w:tc>
          <w:tcPr>
            <w:tcW w:w="5103" w:type="dxa"/>
            <w:gridSpan w:val="3"/>
            <w:vAlign w:val="center"/>
          </w:tcPr>
          <w:p>
            <w:pPr>
              <w:pStyle w:val="687"/>
              <w:rPr>
                <w:color w:val="FF0000"/>
                <w:sz w:val="21"/>
              </w:rPr>
            </w:pPr>
            <w:r>
              <w:rPr>
                <w:rFonts w:hint="eastAsia"/>
                <w:color w:val="FF0000"/>
                <w:sz w:val="21"/>
              </w:rPr>
              <w:t>颗粒物</w:t>
            </w:r>
          </w:p>
        </w:tc>
        <w:tc>
          <w:tcPr>
            <w:tcW w:w="1524" w:type="dxa"/>
            <w:vAlign w:val="center"/>
          </w:tcPr>
          <w:p>
            <w:pPr>
              <w:pStyle w:val="687"/>
              <w:rPr>
                <w:color w:val="FF0000"/>
                <w:sz w:val="21"/>
              </w:rPr>
            </w:pPr>
            <w:r>
              <w:rPr>
                <w:rFonts w:hint="eastAsia"/>
                <w:color w:val="FF0000"/>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gridSpan w:val="2"/>
            <w:vMerge w:val="continue"/>
            <w:vAlign w:val="center"/>
          </w:tcPr>
          <w:p>
            <w:pPr>
              <w:pStyle w:val="687"/>
              <w:rPr>
                <w:color w:val="FF0000"/>
                <w:sz w:val="21"/>
              </w:rPr>
            </w:pPr>
          </w:p>
        </w:tc>
        <w:tc>
          <w:tcPr>
            <w:tcW w:w="5103" w:type="dxa"/>
            <w:gridSpan w:val="3"/>
            <w:vAlign w:val="center"/>
          </w:tcPr>
          <w:p>
            <w:pPr>
              <w:pStyle w:val="687"/>
              <w:rPr>
                <w:color w:val="FF0000"/>
                <w:sz w:val="21"/>
              </w:rPr>
            </w:pPr>
            <w:r>
              <w:rPr>
                <w:rFonts w:hint="eastAsia"/>
                <w:color w:val="FF0000"/>
                <w:sz w:val="21"/>
              </w:rPr>
              <w:t>VOCs</w:t>
            </w:r>
          </w:p>
        </w:tc>
        <w:tc>
          <w:tcPr>
            <w:tcW w:w="1524" w:type="dxa"/>
            <w:vAlign w:val="center"/>
          </w:tcPr>
          <w:p>
            <w:pPr>
              <w:pStyle w:val="687"/>
              <w:rPr>
                <w:color w:val="FF0000"/>
                <w:sz w:val="21"/>
              </w:rPr>
            </w:pPr>
            <w:r>
              <w:rPr>
                <w:rFonts w:hint="eastAsia"/>
                <w:color w:val="FF0000"/>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6" w:type="dxa"/>
            <w:gridSpan w:val="6"/>
            <w:vAlign w:val="center"/>
          </w:tcPr>
          <w:p>
            <w:pPr>
              <w:pStyle w:val="687"/>
              <w:rPr>
                <w:color w:val="FF0000"/>
                <w:sz w:val="21"/>
              </w:rPr>
            </w:pPr>
            <w:r>
              <w:rPr>
                <w:rFonts w:hint="eastAsia"/>
                <w:color w:val="FF0000"/>
                <w:sz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dxa"/>
            <w:vAlign w:val="center"/>
          </w:tcPr>
          <w:p>
            <w:pPr>
              <w:pStyle w:val="687"/>
              <w:rPr>
                <w:color w:val="FF0000"/>
                <w:sz w:val="21"/>
              </w:rPr>
            </w:pPr>
            <w:r>
              <w:rPr>
                <w:rFonts w:hint="eastAsia"/>
                <w:color w:val="FF0000"/>
                <w:sz w:val="21"/>
              </w:rPr>
              <w:t>/</w:t>
            </w:r>
          </w:p>
        </w:tc>
        <w:tc>
          <w:tcPr>
            <w:tcW w:w="1275" w:type="dxa"/>
            <w:vAlign w:val="center"/>
          </w:tcPr>
          <w:p>
            <w:pPr>
              <w:pStyle w:val="687"/>
              <w:rPr>
                <w:color w:val="FF0000"/>
                <w:sz w:val="21"/>
                <w:lang w:eastAsia="zh-CN"/>
              </w:rPr>
            </w:pPr>
            <w:r>
              <w:rPr>
                <w:rFonts w:hint="eastAsia"/>
                <w:color w:val="FF0000"/>
                <w:sz w:val="21"/>
              </w:rPr>
              <w:t>/</w:t>
            </w:r>
          </w:p>
        </w:tc>
        <w:tc>
          <w:tcPr>
            <w:tcW w:w="1418" w:type="dxa"/>
            <w:vAlign w:val="center"/>
          </w:tcPr>
          <w:p>
            <w:pPr>
              <w:pStyle w:val="687"/>
              <w:rPr>
                <w:color w:val="FF0000"/>
                <w:sz w:val="21"/>
                <w:lang w:eastAsia="zh-CN"/>
              </w:rPr>
            </w:pPr>
            <w:r>
              <w:rPr>
                <w:rFonts w:hint="eastAsia"/>
                <w:color w:val="FF0000"/>
                <w:sz w:val="21"/>
              </w:rPr>
              <w:t>/</w:t>
            </w:r>
          </w:p>
        </w:tc>
        <w:tc>
          <w:tcPr>
            <w:tcW w:w="1984" w:type="dxa"/>
            <w:vAlign w:val="center"/>
          </w:tcPr>
          <w:p>
            <w:pPr>
              <w:pStyle w:val="687"/>
              <w:rPr>
                <w:color w:val="FF0000"/>
                <w:sz w:val="21"/>
                <w:szCs w:val="22"/>
              </w:rPr>
            </w:pPr>
            <w:r>
              <w:rPr>
                <w:rFonts w:hint="eastAsia"/>
                <w:color w:val="FF0000"/>
                <w:sz w:val="21"/>
              </w:rPr>
              <w:t>/</w:t>
            </w:r>
          </w:p>
        </w:tc>
        <w:tc>
          <w:tcPr>
            <w:tcW w:w="1701" w:type="dxa"/>
            <w:vAlign w:val="center"/>
          </w:tcPr>
          <w:p>
            <w:pPr>
              <w:pStyle w:val="687"/>
              <w:rPr>
                <w:color w:val="FF0000"/>
                <w:sz w:val="21"/>
                <w:szCs w:val="22"/>
              </w:rPr>
            </w:pPr>
            <w:r>
              <w:rPr>
                <w:rFonts w:hint="eastAsia"/>
                <w:color w:val="FF0000"/>
                <w:sz w:val="21"/>
              </w:rPr>
              <w:t>/</w:t>
            </w:r>
          </w:p>
        </w:tc>
        <w:tc>
          <w:tcPr>
            <w:tcW w:w="1524" w:type="dxa"/>
            <w:vAlign w:val="center"/>
          </w:tcPr>
          <w:p>
            <w:pPr>
              <w:pStyle w:val="687"/>
              <w:rPr>
                <w:color w:val="FF0000"/>
                <w:sz w:val="21"/>
                <w:szCs w:val="22"/>
              </w:rPr>
            </w:pPr>
            <w:r>
              <w:rPr>
                <w:rFonts w:hint="eastAsia"/>
                <w:color w:val="FF000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gridSpan w:val="2"/>
            <w:vAlign w:val="center"/>
          </w:tcPr>
          <w:p>
            <w:pPr>
              <w:pStyle w:val="687"/>
              <w:rPr>
                <w:color w:val="FF0000"/>
                <w:sz w:val="21"/>
              </w:rPr>
            </w:pPr>
            <w:r>
              <w:rPr>
                <w:rFonts w:hint="eastAsia"/>
                <w:color w:val="FF0000"/>
                <w:sz w:val="21"/>
              </w:rPr>
              <w:t>一般排放口合计</w:t>
            </w:r>
          </w:p>
        </w:tc>
        <w:tc>
          <w:tcPr>
            <w:tcW w:w="5103" w:type="dxa"/>
            <w:gridSpan w:val="3"/>
            <w:vAlign w:val="center"/>
          </w:tcPr>
          <w:p>
            <w:pPr>
              <w:pStyle w:val="687"/>
              <w:rPr>
                <w:color w:val="FF0000"/>
                <w:sz w:val="21"/>
              </w:rPr>
            </w:pPr>
            <w:r>
              <w:rPr>
                <w:color w:val="FF0000"/>
                <w:sz w:val="21"/>
                <w:lang w:eastAsia="zh-CN"/>
              </w:rPr>
              <w:t>/</w:t>
            </w:r>
          </w:p>
        </w:tc>
        <w:tc>
          <w:tcPr>
            <w:tcW w:w="1524" w:type="dxa"/>
            <w:vAlign w:val="center"/>
          </w:tcPr>
          <w:p>
            <w:pPr>
              <w:pStyle w:val="687"/>
              <w:rPr>
                <w:color w:val="FF0000"/>
                <w:sz w:val="21"/>
                <w:lang w:eastAsia="zh-CN"/>
              </w:rPr>
            </w:pPr>
            <w:r>
              <w:rPr>
                <w:rFonts w:hint="eastAsia"/>
                <w:color w:val="FF0000"/>
                <w:sz w:val="21"/>
                <w:lang w:eastAsia="zh-CN"/>
              </w:rPr>
              <w:t>0</w:t>
            </w:r>
          </w:p>
        </w:tc>
      </w:tr>
    </w:tbl>
    <w:p>
      <w:pPr>
        <w:pStyle w:val="400"/>
        <w:ind w:firstLine="420"/>
        <w:rPr>
          <w:color w:val="FF0000"/>
        </w:rPr>
      </w:pPr>
      <w:r>
        <w:rPr>
          <w:rFonts w:hint="eastAsia"/>
          <w:color w:val="FF0000"/>
        </w:rPr>
        <w:t>表5.2</w:t>
      </w:r>
      <w:r>
        <w:rPr>
          <w:color w:val="FF0000"/>
        </w:rPr>
        <w:t>-6</w:t>
      </w:r>
      <w:r>
        <w:rPr>
          <w:rFonts w:hint="eastAsia"/>
          <w:color w:val="FF0000"/>
        </w:rPr>
        <w:t xml:space="preserve">            大气污染物无组织排放量核算表</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855"/>
        <w:gridCol w:w="1134"/>
        <w:gridCol w:w="851"/>
        <w:gridCol w:w="141"/>
        <w:gridCol w:w="1418"/>
        <w:gridCol w:w="1417"/>
        <w:gridCol w:w="1134"/>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9" w:type="dxa"/>
            <w:vMerge w:val="restart"/>
            <w:vAlign w:val="center"/>
          </w:tcPr>
          <w:p>
            <w:pPr>
              <w:pStyle w:val="687"/>
              <w:rPr>
                <w:color w:val="FF0000"/>
                <w:sz w:val="21"/>
              </w:rPr>
            </w:pPr>
            <w:r>
              <w:rPr>
                <w:rFonts w:hint="eastAsia"/>
                <w:color w:val="FF0000"/>
                <w:sz w:val="21"/>
              </w:rPr>
              <w:t>序号</w:t>
            </w:r>
          </w:p>
        </w:tc>
        <w:tc>
          <w:tcPr>
            <w:tcW w:w="855" w:type="dxa"/>
            <w:vMerge w:val="restart"/>
            <w:vAlign w:val="center"/>
          </w:tcPr>
          <w:p>
            <w:pPr>
              <w:pStyle w:val="687"/>
              <w:rPr>
                <w:color w:val="FF0000"/>
                <w:sz w:val="21"/>
              </w:rPr>
            </w:pPr>
            <w:r>
              <w:rPr>
                <w:rFonts w:hint="eastAsia"/>
                <w:color w:val="FF0000"/>
                <w:sz w:val="21"/>
              </w:rPr>
              <w:t>排放口编号</w:t>
            </w:r>
          </w:p>
        </w:tc>
        <w:tc>
          <w:tcPr>
            <w:tcW w:w="1134" w:type="dxa"/>
            <w:vMerge w:val="restart"/>
            <w:vAlign w:val="center"/>
          </w:tcPr>
          <w:p>
            <w:pPr>
              <w:pStyle w:val="687"/>
              <w:rPr>
                <w:color w:val="FF0000"/>
                <w:sz w:val="21"/>
              </w:rPr>
            </w:pPr>
            <w:r>
              <w:rPr>
                <w:rFonts w:hint="eastAsia"/>
                <w:color w:val="FF0000"/>
                <w:sz w:val="21"/>
              </w:rPr>
              <w:t>产污环节</w:t>
            </w:r>
          </w:p>
        </w:tc>
        <w:tc>
          <w:tcPr>
            <w:tcW w:w="851" w:type="dxa"/>
            <w:vMerge w:val="restart"/>
            <w:vAlign w:val="center"/>
          </w:tcPr>
          <w:p>
            <w:pPr>
              <w:pStyle w:val="687"/>
              <w:rPr>
                <w:color w:val="FF0000"/>
                <w:sz w:val="21"/>
              </w:rPr>
            </w:pPr>
            <w:r>
              <w:rPr>
                <w:rFonts w:hint="eastAsia"/>
                <w:color w:val="FF0000"/>
                <w:sz w:val="21"/>
              </w:rPr>
              <w:t>污染物</w:t>
            </w:r>
          </w:p>
        </w:tc>
        <w:tc>
          <w:tcPr>
            <w:tcW w:w="1559" w:type="dxa"/>
            <w:gridSpan w:val="2"/>
            <w:vMerge w:val="restart"/>
            <w:vAlign w:val="center"/>
          </w:tcPr>
          <w:p>
            <w:pPr>
              <w:pStyle w:val="687"/>
              <w:rPr>
                <w:color w:val="FF0000"/>
                <w:sz w:val="21"/>
              </w:rPr>
            </w:pPr>
            <w:r>
              <w:rPr>
                <w:rFonts w:hint="eastAsia"/>
                <w:color w:val="FF0000"/>
                <w:sz w:val="21"/>
              </w:rPr>
              <w:t>主要防</w:t>
            </w:r>
          </w:p>
          <w:p>
            <w:pPr>
              <w:pStyle w:val="687"/>
              <w:rPr>
                <w:color w:val="FF0000"/>
                <w:sz w:val="21"/>
              </w:rPr>
            </w:pPr>
            <w:r>
              <w:rPr>
                <w:rFonts w:hint="eastAsia"/>
                <w:color w:val="FF0000"/>
                <w:sz w:val="21"/>
              </w:rPr>
              <w:t>治措施</w:t>
            </w:r>
          </w:p>
        </w:tc>
        <w:tc>
          <w:tcPr>
            <w:tcW w:w="2551" w:type="dxa"/>
            <w:gridSpan w:val="2"/>
            <w:vAlign w:val="center"/>
          </w:tcPr>
          <w:p>
            <w:pPr>
              <w:pStyle w:val="687"/>
              <w:rPr>
                <w:color w:val="FF0000"/>
                <w:sz w:val="21"/>
                <w:lang w:eastAsia="zh-CN"/>
              </w:rPr>
            </w:pPr>
            <w:r>
              <w:rPr>
                <w:rFonts w:hint="eastAsia"/>
                <w:color w:val="FF0000"/>
                <w:sz w:val="21"/>
                <w:lang w:eastAsia="zh-CN"/>
              </w:rPr>
              <w:t>国家或地方污染物排放标准</w:t>
            </w:r>
          </w:p>
        </w:tc>
        <w:tc>
          <w:tcPr>
            <w:tcW w:w="957" w:type="dxa"/>
            <w:vMerge w:val="restart"/>
            <w:vAlign w:val="center"/>
          </w:tcPr>
          <w:p>
            <w:pPr>
              <w:pStyle w:val="687"/>
              <w:rPr>
                <w:color w:val="FF0000"/>
                <w:sz w:val="21"/>
              </w:rPr>
            </w:pPr>
            <w:r>
              <w:rPr>
                <w:rFonts w:hint="eastAsia"/>
                <w:color w:val="FF0000"/>
                <w:sz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9" w:type="dxa"/>
            <w:vMerge w:val="continue"/>
            <w:vAlign w:val="center"/>
          </w:tcPr>
          <w:p>
            <w:pPr>
              <w:pStyle w:val="687"/>
              <w:rPr>
                <w:color w:val="FF0000"/>
                <w:sz w:val="21"/>
              </w:rPr>
            </w:pPr>
          </w:p>
        </w:tc>
        <w:tc>
          <w:tcPr>
            <w:tcW w:w="855" w:type="dxa"/>
            <w:vMerge w:val="continue"/>
            <w:vAlign w:val="center"/>
          </w:tcPr>
          <w:p>
            <w:pPr>
              <w:pStyle w:val="687"/>
              <w:rPr>
                <w:color w:val="FF0000"/>
                <w:sz w:val="21"/>
              </w:rPr>
            </w:pPr>
          </w:p>
        </w:tc>
        <w:tc>
          <w:tcPr>
            <w:tcW w:w="1134" w:type="dxa"/>
            <w:vMerge w:val="continue"/>
            <w:vAlign w:val="center"/>
          </w:tcPr>
          <w:p>
            <w:pPr>
              <w:pStyle w:val="687"/>
              <w:rPr>
                <w:color w:val="FF0000"/>
                <w:sz w:val="21"/>
              </w:rPr>
            </w:pPr>
          </w:p>
        </w:tc>
        <w:tc>
          <w:tcPr>
            <w:tcW w:w="851" w:type="dxa"/>
            <w:vMerge w:val="continue"/>
            <w:vAlign w:val="center"/>
          </w:tcPr>
          <w:p>
            <w:pPr>
              <w:pStyle w:val="687"/>
              <w:rPr>
                <w:color w:val="FF0000"/>
                <w:sz w:val="21"/>
              </w:rPr>
            </w:pPr>
          </w:p>
        </w:tc>
        <w:tc>
          <w:tcPr>
            <w:tcW w:w="1559" w:type="dxa"/>
            <w:gridSpan w:val="2"/>
            <w:vMerge w:val="continue"/>
            <w:vAlign w:val="center"/>
          </w:tcPr>
          <w:p>
            <w:pPr>
              <w:pStyle w:val="687"/>
              <w:rPr>
                <w:color w:val="FF0000"/>
                <w:sz w:val="21"/>
              </w:rPr>
            </w:pPr>
          </w:p>
        </w:tc>
        <w:tc>
          <w:tcPr>
            <w:tcW w:w="1417" w:type="dxa"/>
            <w:vAlign w:val="center"/>
          </w:tcPr>
          <w:p>
            <w:pPr>
              <w:pStyle w:val="687"/>
              <w:rPr>
                <w:color w:val="FF0000"/>
                <w:sz w:val="21"/>
              </w:rPr>
            </w:pPr>
            <w:r>
              <w:rPr>
                <w:rFonts w:hint="eastAsia"/>
                <w:color w:val="FF0000"/>
                <w:sz w:val="21"/>
              </w:rPr>
              <w:t>标准名称</w:t>
            </w:r>
          </w:p>
        </w:tc>
        <w:tc>
          <w:tcPr>
            <w:tcW w:w="1134" w:type="dxa"/>
            <w:vAlign w:val="center"/>
          </w:tcPr>
          <w:p>
            <w:pPr>
              <w:pStyle w:val="687"/>
              <w:rPr>
                <w:color w:val="FF0000"/>
                <w:sz w:val="21"/>
              </w:rPr>
            </w:pPr>
            <w:r>
              <w:rPr>
                <w:rFonts w:hint="eastAsia"/>
                <w:color w:val="FF0000"/>
                <w:sz w:val="21"/>
              </w:rPr>
              <w:t>浓度限值（mg/m</w:t>
            </w:r>
            <w:r>
              <w:rPr>
                <w:rFonts w:hint="eastAsia"/>
                <w:color w:val="FF0000"/>
                <w:sz w:val="21"/>
                <w:vertAlign w:val="superscript"/>
              </w:rPr>
              <w:t>3</w:t>
            </w:r>
            <w:r>
              <w:rPr>
                <w:rFonts w:hint="eastAsia"/>
                <w:color w:val="FF0000"/>
                <w:sz w:val="21"/>
              </w:rPr>
              <w:t>）</w:t>
            </w:r>
          </w:p>
        </w:tc>
        <w:tc>
          <w:tcPr>
            <w:tcW w:w="957" w:type="dxa"/>
            <w:vMerge w:val="continue"/>
            <w:vAlign w:val="center"/>
          </w:tcPr>
          <w:p>
            <w:pPr>
              <w:pStyle w:val="687"/>
              <w:rPr>
                <w:color w:val="FF000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9" w:type="dxa"/>
            <w:vAlign w:val="center"/>
          </w:tcPr>
          <w:p>
            <w:pPr>
              <w:pStyle w:val="687"/>
              <w:rPr>
                <w:color w:val="FF0000"/>
                <w:sz w:val="21"/>
              </w:rPr>
            </w:pPr>
            <w:r>
              <w:rPr>
                <w:rFonts w:hint="eastAsia"/>
                <w:color w:val="FF0000"/>
                <w:sz w:val="21"/>
              </w:rPr>
              <w:t>1</w:t>
            </w:r>
          </w:p>
        </w:tc>
        <w:tc>
          <w:tcPr>
            <w:tcW w:w="855" w:type="dxa"/>
            <w:vAlign w:val="center"/>
          </w:tcPr>
          <w:p>
            <w:pPr>
              <w:pStyle w:val="687"/>
              <w:rPr>
                <w:color w:val="FF0000"/>
                <w:sz w:val="21"/>
                <w:lang w:eastAsia="zh-CN"/>
              </w:rPr>
            </w:pPr>
            <w:r>
              <w:rPr>
                <w:rFonts w:hint="eastAsia"/>
                <w:color w:val="FF0000"/>
                <w:sz w:val="21"/>
                <w:lang w:eastAsia="zh-CN"/>
              </w:rPr>
              <w:t>/</w:t>
            </w:r>
          </w:p>
        </w:tc>
        <w:tc>
          <w:tcPr>
            <w:tcW w:w="1134" w:type="dxa"/>
            <w:vAlign w:val="center"/>
          </w:tcPr>
          <w:p>
            <w:pPr>
              <w:pStyle w:val="687"/>
              <w:rPr>
                <w:color w:val="FF0000"/>
                <w:sz w:val="21"/>
                <w:lang w:eastAsia="zh-CN"/>
              </w:rPr>
            </w:pPr>
            <w:r>
              <w:rPr>
                <w:rFonts w:hint="eastAsia"/>
                <w:color w:val="FF0000"/>
                <w:sz w:val="20"/>
              </w:rPr>
              <w:t>生产区</w:t>
            </w:r>
          </w:p>
        </w:tc>
        <w:tc>
          <w:tcPr>
            <w:tcW w:w="851" w:type="dxa"/>
            <w:vAlign w:val="center"/>
          </w:tcPr>
          <w:p>
            <w:pPr>
              <w:pStyle w:val="687"/>
              <w:rPr>
                <w:color w:val="FF0000"/>
                <w:sz w:val="21"/>
                <w:lang w:eastAsia="zh-CN"/>
              </w:rPr>
            </w:pPr>
            <w:r>
              <w:rPr>
                <w:rFonts w:hint="eastAsia"/>
                <w:color w:val="FF0000"/>
                <w:sz w:val="20"/>
              </w:rPr>
              <w:t>非甲烷总烃</w:t>
            </w:r>
          </w:p>
        </w:tc>
        <w:tc>
          <w:tcPr>
            <w:tcW w:w="1559" w:type="dxa"/>
            <w:gridSpan w:val="2"/>
            <w:vAlign w:val="center"/>
          </w:tcPr>
          <w:p>
            <w:pPr>
              <w:pStyle w:val="687"/>
              <w:rPr>
                <w:color w:val="FF0000"/>
                <w:sz w:val="21"/>
                <w:lang w:eastAsia="zh-CN"/>
              </w:rPr>
            </w:pPr>
            <w:r>
              <w:rPr>
                <w:rFonts w:hint="eastAsia"/>
                <w:bCs/>
                <w:color w:val="FF0000"/>
                <w:sz w:val="20"/>
              </w:rPr>
              <w:t>加强设备检修及管理</w:t>
            </w:r>
          </w:p>
        </w:tc>
        <w:tc>
          <w:tcPr>
            <w:tcW w:w="1417" w:type="dxa"/>
            <w:vAlign w:val="center"/>
          </w:tcPr>
          <w:p>
            <w:pPr>
              <w:pStyle w:val="687"/>
              <w:rPr>
                <w:color w:val="FF0000"/>
                <w:sz w:val="21"/>
                <w:lang w:eastAsia="zh-CN"/>
              </w:rPr>
            </w:pPr>
            <w:r>
              <w:rPr>
                <w:rFonts w:hint="eastAsia"/>
                <w:color w:val="FF0000"/>
                <w:sz w:val="20"/>
                <w:lang w:eastAsia="zh-CN"/>
              </w:rPr>
              <w:t>《陆上石油天然气开采工业大气污染物排放标准》（</w:t>
            </w:r>
            <w:r>
              <w:rPr>
                <w:color w:val="FF0000"/>
                <w:sz w:val="20"/>
                <w:lang w:eastAsia="zh-CN"/>
              </w:rPr>
              <w:t>GB39728-2020</w:t>
            </w:r>
            <w:r>
              <w:rPr>
                <w:rFonts w:hint="eastAsia"/>
                <w:color w:val="FF0000"/>
                <w:sz w:val="20"/>
                <w:lang w:eastAsia="zh-CN"/>
              </w:rPr>
              <w:t>）</w:t>
            </w:r>
          </w:p>
        </w:tc>
        <w:tc>
          <w:tcPr>
            <w:tcW w:w="1134" w:type="dxa"/>
            <w:vAlign w:val="center"/>
          </w:tcPr>
          <w:p>
            <w:pPr>
              <w:pStyle w:val="687"/>
              <w:rPr>
                <w:color w:val="FF0000"/>
                <w:sz w:val="21"/>
                <w:lang w:eastAsia="zh-CN"/>
              </w:rPr>
            </w:pPr>
            <w:r>
              <w:rPr>
                <w:color w:val="FF0000"/>
                <w:sz w:val="20"/>
              </w:rPr>
              <w:t>4.0</w:t>
            </w:r>
          </w:p>
        </w:tc>
        <w:tc>
          <w:tcPr>
            <w:tcW w:w="957" w:type="dxa"/>
            <w:vAlign w:val="center"/>
          </w:tcPr>
          <w:p>
            <w:pPr>
              <w:pStyle w:val="687"/>
              <w:rPr>
                <w:color w:val="FF0000"/>
                <w:sz w:val="21"/>
                <w:lang w:eastAsia="zh-CN"/>
              </w:rPr>
            </w:pPr>
            <w:r>
              <w:rPr>
                <w:rFonts w:hint="eastAsia"/>
                <w:color w:val="FF0000"/>
                <w:sz w:val="21"/>
                <w:lang w:eastAsia="zh-CN"/>
              </w:rPr>
              <w:t>0</w:t>
            </w:r>
            <w:r>
              <w:rPr>
                <w:color w:val="FF0000"/>
                <w:sz w:val="21"/>
                <w:lang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6" w:type="dxa"/>
            <w:gridSpan w:val="9"/>
            <w:vAlign w:val="center"/>
          </w:tcPr>
          <w:p>
            <w:pPr>
              <w:pStyle w:val="687"/>
              <w:rPr>
                <w:color w:val="FF0000"/>
                <w:sz w:val="21"/>
              </w:rPr>
            </w:pPr>
            <w:r>
              <w:rPr>
                <w:rFonts w:hint="eastAsia"/>
                <w:color w:val="FF0000"/>
                <w:sz w:val="21"/>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10" w:type="dxa"/>
            <w:gridSpan w:val="5"/>
            <w:vAlign w:val="center"/>
          </w:tcPr>
          <w:p>
            <w:pPr>
              <w:pStyle w:val="687"/>
              <w:rPr>
                <w:color w:val="FF0000"/>
                <w:sz w:val="20"/>
                <w:lang w:eastAsia="zh-CN"/>
              </w:rPr>
            </w:pPr>
            <w:r>
              <w:rPr>
                <w:rFonts w:hint="eastAsia"/>
                <w:color w:val="FF0000"/>
                <w:sz w:val="20"/>
                <w:lang w:eastAsia="zh-CN"/>
              </w:rPr>
              <w:t>无组织排放合计</w:t>
            </w:r>
          </w:p>
        </w:tc>
        <w:tc>
          <w:tcPr>
            <w:tcW w:w="3969" w:type="dxa"/>
            <w:gridSpan w:val="3"/>
            <w:vAlign w:val="center"/>
          </w:tcPr>
          <w:p>
            <w:pPr>
              <w:pStyle w:val="687"/>
              <w:rPr>
                <w:color w:val="FF0000"/>
                <w:sz w:val="20"/>
              </w:rPr>
            </w:pPr>
            <w:r>
              <w:rPr>
                <w:rFonts w:hint="eastAsia"/>
                <w:color w:val="FF0000"/>
                <w:sz w:val="21"/>
                <w:lang w:eastAsia="zh-CN"/>
              </w:rPr>
              <w:t>非甲烷总烃</w:t>
            </w:r>
          </w:p>
        </w:tc>
        <w:tc>
          <w:tcPr>
            <w:tcW w:w="957" w:type="dxa"/>
            <w:vAlign w:val="center"/>
          </w:tcPr>
          <w:p>
            <w:pPr>
              <w:pStyle w:val="687"/>
              <w:rPr>
                <w:color w:val="FF0000"/>
                <w:sz w:val="20"/>
                <w:lang w:eastAsia="zh-CN"/>
              </w:rPr>
            </w:pPr>
          </w:p>
        </w:tc>
      </w:tr>
    </w:tbl>
    <w:p>
      <w:pPr>
        <w:pStyle w:val="400"/>
        <w:ind w:firstLine="420"/>
        <w:rPr>
          <w:color w:val="FF0000"/>
        </w:rPr>
      </w:pPr>
      <w:r>
        <w:rPr>
          <w:rFonts w:hint="eastAsia"/>
          <w:color w:val="FF0000"/>
        </w:rPr>
        <w:t>表5.2-</w:t>
      </w:r>
      <w:r>
        <w:rPr>
          <w:color w:val="FF0000"/>
        </w:rPr>
        <w:t>7</w:t>
      </w:r>
      <w:r>
        <w:rPr>
          <w:rFonts w:hint="eastAsia"/>
          <w:color w:val="FF0000"/>
        </w:rPr>
        <w:t xml:space="preserve">                大气污染物年排放量核算表</w:t>
      </w:r>
    </w:p>
    <w:tbl>
      <w:tblPr>
        <w:tblStyle w:val="6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2"/>
        <w:gridCol w:w="2812"/>
        <w:gridCol w:w="2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1"/>
              </w:rPr>
            </w:pPr>
            <w:r>
              <w:rPr>
                <w:rFonts w:hint="eastAsia"/>
                <w:color w:val="FF0000"/>
                <w:sz w:val="21"/>
              </w:rPr>
              <w:t>序号</w:t>
            </w:r>
          </w:p>
        </w:tc>
        <w:tc>
          <w:tcPr>
            <w:tcW w:w="2812" w:type="dxa"/>
            <w:vAlign w:val="center"/>
          </w:tcPr>
          <w:p>
            <w:pPr>
              <w:pStyle w:val="687"/>
              <w:rPr>
                <w:color w:val="FF0000"/>
                <w:sz w:val="21"/>
              </w:rPr>
            </w:pPr>
            <w:r>
              <w:rPr>
                <w:rFonts w:hint="eastAsia"/>
                <w:color w:val="FF0000"/>
                <w:sz w:val="21"/>
              </w:rPr>
              <w:t>污染物</w:t>
            </w:r>
          </w:p>
        </w:tc>
        <w:tc>
          <w:tcPr>
            <w:tcW w:w="2812" w:type="dxa"/>
            <w:vAlign w:val="center"/>
          </w:tcPr>
          <w:p>
            <w:pPr>
              <w:pStyle w:val="687"/>
              <w:rPr>
                <w:color w:val="FF0000"/>
                <w:sz w:val="21"/>
              </w:rPr>
            </w:pPr>
            <w:r>
              <w:rPr>
                <w:rFonts w:hint="eastAsia"/>
                <w:color w:val="FF0000"/>
                <w:sz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2" w:type="dxa"/>
            <w:vAlign w:val="center"/>
          </w:tcPr>
          <w:p>
            <w:pPr>
              <w:pStyle w:val="687"/>
              <w:rPr>
                <w:color w:val="FF0000"/>
                <w:sz w:val="20"/>
                <w:lang w:eastAsia="zh-CN"/>
              </w:rPr>
            </w:pPr>
            <w:r>
              <w:rPr>
                <w:color w:val="FF0000"/>
                <w:sz w:val="20"/>
                <w:lang w:eastAsia="zh-CN"/>
              </w:rPr>
              <w:t>1</w:t>
            </w:r>
          </w:p>
        </w:tc>
        <w:tc>
          <w:tcPr>
            <w:tcW w:w="2812" w:type="dxa"/>
            <w:vAlign w:val="center"/>
          </w:tcPr>
          <w:p>
            <w:pPr>
              <w:pStyle w:val="687"/>
              <w:rPr>
                <w:color w:val="FF0000"/>
                <w:sz w:val="20"/>
              </w:rPr>
            </w:pPr>
            <w:r>
              <w:rPr>
                <w:rFonts w:hint="eastAsia"/>
                <w:color w:val="FF0000"/>
                <w:sz w:val="21"/>
                <w:lang w:eastAsia="zh-CN"/>
              </w:rPr>
              <w:t>非甲烷总烃</w:t>
            </w:r>
          </w:p>
        </w:tc>
        <w:tc>
          <w:tcPr>
            <w:tcW w:w="2812" w:type="dxa"/>
            <w:vAlign w:val="center"/>
          </w:tcPr>
          <w:p>
            <w:pPr>
              <w:pStyle w:val="687"/>
              <w:rPr>
                <w:color w:val="FF0000"/>
                <w:sz w:val="20"/>
                <w:lang w:eastAsia="zh-CN"/>
              </w:rPr>
            </w:pPr>
            <w:r>
              <w:rPr>
                <w:rFonts w:hint="eastAsia"/>
                <w:color w:val="FF0000"/>
                <w:sz w:val="20"/>
                <w:lang w:eastAsia="zh-CN"/>
              </w:rPr>
              <w:t>0</w:t>
            </w:r>
            <w:r>
              <w:rPr>
                <w:color w:val="FF0000"/>
                <w:sz w:val="20"/>
                <w:lang w:eastAsia="zh-CN"/>
              </w:rPr>
              <w:t>.028</w:t>
            </w:r>
          </w:p>
        </w:tc>
      </w:tr>
    </w:tbl>
    <w:p>
      <w:pPr>
        <w:pStyle w:val="494"/>
        <w:ind w:firstLine="480"/>
      </w:pPr>
      <w:r>
        <w:rPr>
          <w:rFonts w:hint="eastAsia"/>
        </w:rPr>
        <w:t>4、大气环境影响评价自查表</w:t>
      </w:r>
    </w:p>
    <w:p>
      <w:pPr>
        <w:pStyle w:val="494"/>
        <w:ind w:firstLine="480"/>
      </w:pPr>
      <w:r>
        <w:rPr>
          <w:rFonts w:hint="eastAsia"/>
        </w:rPr>
        <w:t>建设项目大气环境影响评价自查表详见表5.2</w:t>
      </w:r>
      <w:r>
        <w:t>-8</w:t>
      </w:r>
      <w:r>
        <w:rPr>
          <w:rFonts w:hint="eastAsia"/>
        </w:rPr>
        <w:t>。</w:t>
      </w:r>
    </w:p>
    <w:p>
      <w:pPr>
        <w:pStyle w:val="400"/>
        <w:ind w:firstLine="420"/>
      </w:pPr>
      <w:r>
        <w:rPr>
          <w:rFonts w:hint="eastAsia"/>
        </w:rPr>
        <w:t>表5.2</w:t>
      </w:r>
      <w:r>
        <w:t>-8</w:t>
      </w:r>
      <w:r>
        <w:rPr>
          <w:rFonts w:hint="eastAsia"/>
        </w:rPr>
        <w:t xml:space="preserve">              建设项目大气环境影响评价自查表</w:t>
      </w:r>
    </w:p>
    <w:tbl>
      <w:tblPr>
        <w:tblStyle w:val="55"/>
        <w:tblW w:w="9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9"/>
        <w:gridCol w:w="1770"/>
        <w:gridCol w:w="1024"/>
        <w:gridCol w:w="394"/>
        <w:gridCol w:w="120"/>
        <w:gridCol w:w="274"/>
        <w:gridCol w:w="133"/>
        <w:gridCol w:w="123"/>
        <w:gridCol w:w="591"/>
        <w:gridCol w:w="402"/>
        <w:gridCol w:w="111"/>
        <w:gridCol w:w="203"/>
        <w:gridCol w:w="776"/>
        <w:gridCol w:w="191"/>
        <w:gridCol w:w="651"/>
        <w:gridCol w:w="366"/>
        <w:gridCol w:w="81"/>
        <w:gridCol w:w="512"/>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99" w:type="dxa"/>
            <w:gridSpan w:val="2"/>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等线"/>
                <w:szCs w:val="21"/>
              </w:rPr>
            </w:pPr>
            <w:bookmarkStart w:id="352" w:name="_Toc107500392"/>
            <w:r>
              <w:rPr>
                <w:rFonts w:hint="eastAsia" w:ascii="Times New Roman" w:hAnsi="Times New Roman" w:eastAsia="宋体"/>
                <w:szCs w:val="21"/>
              </w:rPr>
              <w:t>工作内容</w:t>
            </w:r>
          </w:p>
        </w:tc>
        <w:tc>
          <w:tcPr>
            <w:tcW w:w="6711" w:type="dxa"/>
            <w:gridSpan w:val="17"/>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9" w:type="dxa"/>
            <w:vMerge w:val="restart"/>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评价等级与范围</w:t>
            </w:r>
          </w:p>
        </w:tc>
        <w:tc>
          <w:tcPr>
            <w:tcW w:w="1770"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评价等级</w:t>
            </w:r>
          </w:p>
        </w:tc>
        <w:tc>
          <w:tcPr>
            <w:tcW w:w="2659" w:type="dxa"/>
            <w:gridSpan w:val="7"/>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一级</w:t>
            </w:r>
            <w:r>
              <w:rPr>
                <w:rFonts w:ascii="Times New Roman" w:hAnsi="Times New Roman"/>
                <w:szCs w:val="21"/>
              </w:rPr>
              <w:t>□</w:t>
            </w:r>
          </w:p>
        </w:tc>
        <w:tc>
          <w:tcPr>
            <w:tcW w:w="2334" w:type="dxa"/>
            <w:gridSpan w:val="6"/>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宋体"/>
                <w:szCs w:val="21"/>
              </w:rPr>
            </w:pPr>
            <w:r>
              <w:rPr>
                <w:rFonts w:hint="eastAsia" w:ascii="Times New Roman" w:hAnsi="Times New Roman" w:eastAsia="宋体"/>
                <w:szCs w:val="21"/>
              </w:rPr>
              <w:t>二级</w:t>
            </w:r>
            <w:r>
              <w:rPr>
                <w:rFonts w:ascii="Times New Roman" w:hAnsi="Times New Roman"/>
                <w:szCs w:val="21"/>
              </w:rPr>
              <w:t>□</w:t>
            </w:r>
          </w:p>
        </w:tc>
        <w:tc>
          <w:tcPr>
            <w:tcW w:w="1718" w:type="dxa"/>
            <w:gridSpan w:val="4"/>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等线"/>
                <w:szCs w:val="21"/>
              </w:rPr>
            </w:pPr>
            <w:r>
              <w:rPr>
                <w:rFonts w:hint="eastAsia" w:ascii="Times New Roman" w:hAnsi="Times New Roman" w:eastAsia="宋体"/>
                <w:szCs w:val="21"/>
              </w:rPr>
              <w:t>三级</w:t>
            </w:r>
            <w:r>
              <w:rPr>
                <w:rFonts w:ascii="Segoe UI Symbol" w:hAnsi="Segoe UI Symbol" w:eastAsia="MS Mincho" w:cs="Segoe UI Symbo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等线"/>
                <w:szCs w:val="21"/>
                <w:lang w:eastAsia="en-US"/>
              </w:rPr>
            </w:pPr>
          </w:p>
        </w:tc>
        <w:tc>
          <w:tcPr>
            <w:tcW w:w="1770"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评价范围</w:t>
            </w:r>
          </w:p>
        </w:tc>
        <w:tc>
          <w:tcPr>
            <w:tcW w:w="2659" w:type="dxa"/>
            <w:gridSpan w:val="7"/>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边长</w:t>
            </w:r>
            <w:r>
              <w:rPr>
                <w:rFonts w:ascii="Times New Roman" w:hAnsi="Times New Roman" w:eastAsia="Times New Roman"/>
                <w:szCs w:val="21"/>
              </w:rPr>
              <w:t>=50km</w:t>
            </w:r>
            <w:r>
              <w:rPr>
                <w:rFonts w:ascii="Times New Roman" w:hAnsi="Times New Roman"/>
                <w:szCs w:val="21"/>
              </w:rPr>
              <w:t>□</w:t>
            </w:r>
          </w:p>
        </w:tc>
        <w:tc>
          <w:tcPr>
            <w:tcW w:w="2334" w:type="dxa"/>
            <w:gridSpan w:val="6"/>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边长</w:t>
            </w:r>
            <w:r>
              <w:rPr>
                <w:rFonts w:ascii="Times New Roman" w:hAnsi="Times New Roman"/>
                <w:szCs w:val="21"/>
              </w:rPr>
              <w:t xml:space="preserve"> </w:t>
            </w:r>
            <w:r>
              <w:rPr>
                <w:rFonts w:ascii="Times New Roman" w:hAnsi="Times New Roman" w:eastAsia="Times New Roman"/>
                <w:szCs w:val="21"/>
              </w:rPr>
              <w:t>5</w:t>
            </w:r>
            <w:r>
              <w:rPr>
                <w:rFonts w:hint="eastAsia" w:ascii="Times New Roman" w:hAnsi="Times New Roman" w:eastAsia="宋体"/>
                <w:szCs w:val="21"/>
              </w:rPr>
              <w:t>～</w:t>
            </w:r>
            <w:r>
              <w:rPr>
                <w:rFonts w:ascii="Times New Roman" w:hAnsi="Times New Roman" w:eastAsia="Times New Roman"/>
                <w:szCs w:val="21"/>
              </w:rPr>
              <w:t>50km</w:t>
            </w:r>
            <w:r>
              <w:rPr>
                <w:rFonts w:ascii="Times New Roman" w:hAnsi="Times New Roman"/>
                <w:szCs w:val="21"/>
              </w:rPr>
              <w:t>□</w:t>
            </w:r>
          </w:p>
        </w:tc>
        <w:tc>
          <w:tcPr>
            <w:tcW w:w="1718" w:type="dxa"/>
            <w:gridSpan w:val="4"/>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宋体"/>
                <w:szCs w:val="21"/>
              </w:rPr>
            </w:pPr>
            <w:r>
              <w:rPr>
                <w:rFonts w:hint="eastAsia" w:ascii="Times New Roman" w:hAnsi="Times New Roman" w:eastAsia="宋体"/>
                <w:szCs w:val="21"/>
              </w:rPr>
              <w:t>边长</w:t>
            </w:r>
            <w:r>
              <w:rPr>
                <w:rFonts w:ascii="Times New Roman" w:hAnsi="Times New Roman" w:eastAsia="Times New Roman"/>
                <w:szCs w:val="21"/>
              </w:rPr>
              <w:t>=5 km</w:t>
            </w: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9" w:type="dxa"/>
            <w:vMerge w:val="restart"/>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等线"/>
                <w:szCs w:val="21"/>
              </w:rPr>
            </w:pPr>
            <w:r>
              <w:rPr>
                <w:rFonts w:hint="eastAsia" w:ascii="Times New Roman" w:hAnsi="Times New Roman" w:eastAsia="宋体"/>
                <w:szCs w:val="21"/>
              </w:rPr>
              <w:t>评价因子</w:t>
            </w:r>
          </w:p>
        </w:tc>
        <w:tc>
          <w:tcPr>
            <w:tcW w:w="1770"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ascii="Times New Roman" w:hAnsi="Times New Roman" w:eastAsia="Times New Roman"/>
                <w:position w:val="1"/>
                <w:szCs w:val="21"/>
              </w:rPr>
              <w:t>SO</w:t>
            </w:r>
            <w:r>
              <w:rPr>
                <w:rFonts w:ascii="Times New Roman" w:hAnsi="Times New Roman" w:eastAsia="Times New Roman"/>
                <w:szCs w:val="21"/>
                <w:vertAlign w:val="subscript"/>
              </w:rPr>
              <w:t>2</w:t>
            </w:r>
            <w:r>
              <w:rPr>
                <w:rFonts w:ascii="Times New Roman" w:hAnsi="Times New Roman" w:eastAsia="Times New Roman"/>
                <w:szCs w:val="21"/>
              </w:rPr>
              <w:t xml:space="preserve"> </w:t>
            </w:r>
            <w:r>
              <w:rPr>
                <w:rFonts w:ascii="Times New Roman" w:hAnsi="Times New Roman" w:eastAsia="Times New Roman"/>
                <w:position w:val="1"/>
                <w:szCs w:val="21"/>
              </w:rPr>
              <w:t>+NO</w:t>
            </w:r>
            <w:r>
              <w:rPr>
                <w:rFonts w:ascii="Times New Roman" w:hAnsi="Times New Roman" w:eastAsia="Times New Roman"/>
                <w:i/>
                <w:szCs w:val="21"/>
              </w:rPr>
              <w:t xml:space="preserve">x </w:t>
            </w:r>
            <w:r>
              <w:rPr>
                <w:rFonts w:hint="eastAsia" w:ascii="Times New Roman" w:hAnsi="Times New Roman" w:eastAsia="宋体"/>
                <w:position w:val="1"/>
                <w:szCs w:val="21"/>
              </w:rPr>
              <w:t>排放量</w:t>
            </w:r>
          </w:p>
        </w:tc>
        <w:tc>
          <w:tcPr>
            <w:tcW w:w="1418" w:type="dxa"/>
            <w:gridSpan w:val="2"/>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宋体"/>
                <w:szCs w:val="21"/>
              </w:rPr>
            </w:pPr>
            <w:r>
              <w:rPr>
                <w:rFonts w:ascii="Times New Roman" w:hAnsi="Times New Roman" w:eastAsia="宋体"/>
                <w:szCs w:val="21"/>
              </w:rPr>
              <w:t>≥</w:t>
            </w:r>
            <w:r>
              <w:rPr>
                <w:rFonts w:ascii="Times New Roman" w:hAnsi="Times New Roman"/>
                <w:szCs w:val="21"/>
              </w:rPr>
              <w:t xml:space="preserve"> 2000t/a</w:t>
            </w:r>
            <w:r>
              <w:rPr>
                <w:rFonts w:ascii="Times New Roman" w:hAnsi="Times New Roman" w:eastAsia="宋体"/>
                <w:szCs w:val="21"/>
              </w:rPr>
              <w:t>□</w:t>
            </w:r>
          </w:p>
        </w:tc>
        <w:tc>
          <w:tcPr>
            <w:tcW w:w="3575" w:type="dxa"/>
            <w:gridSpan w:val="11"/>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等线"/>
                <w:szCs w:val="21"/>
              </w:rPr>
            </w:pPr>
            <w:r>
              <w:rPr>
                <w:rFonts w:ascii="Times New Roman" w:hAnsi="Times New Roman"/>
                <w:szCs w:val="21"/>
              </w:rPr>
              <w:t>500 ~ 2000t/a□</w:t>
            </w:r>
          </w:p>
        </w:tc>
        <w:tc>
          <w:tcPr>
            <w:tcW w:w="1718" w:type="dxa"/>
            <w:gridSpan w:val="4"/>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宋体"/>
                <w:szCs w:val="21"/>
              </w:rPr>
            </w:pPr>
            <w:r>
              <w:rPr>
                <w:rFonts w:hint="eastAsia" w:ascii="Times New Roman" w:hAnsi="Times New Roman" w:eastAsia="宋体"/>
                <w:szCs w:val="21"/>
              </w:rPr>
              <w:t>＜</w:t>
            </w:r>
            <w:r>
              <w:rPr>
                <w:rFonts w:ascii="Times New Roman" w:hAnsi="Times New Roman" w:eastAsia="Times New Roman"/>
                <w:szCs w:val="21"/>
              </w:rPr>
              <w:t>500 t/a</w:t>
            </w:r>
            <w:r>
              <w:rPr>
                <w:rFonts w:ascii="Segoe UI Symbol" w:hAnsi="Segoe UI Symbol" w:eastAsia="MS Mincho" w:cs="Segoe UI Symbo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等线"/>
                <w:szCs w:val="21"/>
                <w:lang w:eastAsia="en-US"/>
              </w:rPr>
            </w:pPr>
          </w:p>
        </w:tc>
        <w:tc>
          <w:tcPr>
            <w:tcW w:w="1770"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134"/>
              <w:jc w:val="center"/>
              <w:rPr>
                <w:rFonts w:ascii="Times New Roman" w:hAnsi="Times New Roman" w:eastAsia="等线"/>
                <w:szCs w:val="21"/>
              </w:rPr>
            </w:pPr>
            <w:r>
              <w:rPr>
                <w:rFonts w:hint="eastAsia" w:ascii="Times New Roman" w:hAnsi="Times New Roman" w:eastAsia="宋体"/>
                <w:szCs w:val="21"/>
              </w:rPr>
              <w:t>评价因子</w:t>
            </w:r>
          </w:p>
        </w:tc>
        <w:tc>
          <w:tcPr>
            <w:tcW w:w="3375" w:type="dxa"/>
            <w:gridSpan w:val="10"/>
            <w:tcBorders>
              <w:top w:val="single" w:color="auto" w:sz="4" w:space="0"/>
              <w:left w:val="single" w:color="auto" w:sz="4" w:space="0"/>
              <w:bottom w:val="single" w:color="auto" w:sz="4" w:space="0"/>
              <w:right w:val="single" w:color="auto" w:sz="4" w:space="0"/>
            </w:tcBorders>
            <w:vAlign w:val="center"/>
          </w:tcPr>
          <w:p>
            <w:pPr>
              <w:pStyle w:val="668"/>
              <w:tabs>
                <w:tab w:val="left" w:pos="3078"/>
              </w:tabs>
              <w:autoSpaceDE w:val="0"/>
              <w:autoSpaceDN w:val="0"/>
              <w:spacing w:before="2"/>
              <w:jc w:val="center"/>
              <w:rPr>
                <w:rFonts w:ascii="Times New Roman" w:hAnsi="Times New Roman" w:eastAsia="Times New Roman"/>
                <w:szCs w:val="21"/>
              </w:rPr>
            </w:pPr>
            <w:r>
              <w:rPr>
                <w:rFonts w:hint="eastAsia" w:ascii="Times New Roman" w:hAnsi="Times New Roman" w:eastAsia="宋体"/>
                <w:szCs w:val="21"/>
              </w:rPr>
              <w:t>基本污染物</w:t>
            </w:r>
            <w:r>
              <w:rPr>
                <w:rFonts w:ascii="Times New Roman" w:hAnsi="Times New Roman" w:eastAsia="Times New Roman"/>
                <w:szCs w:val="21"/>
              </w:rPr>
              <w:t>(</w:t>
            </w:r>
            <w:r>
              <w:rPr>
                <w:rFonts w:ascii="Times New Roman" w:hAnsi="Times New Roman" w:eastAsia="宋体"/>
                <w:szCs w:val="21"/>
              </w:rPr>
              <w:t>PM</w:t>
            </w:r>
            <w:r>
              <w:rPr>
                <w:rFonts w:ascii="Times New Roman" w:hAnsi="Times New Roman" w:eastAsia="宋体"/>
                <w:szCs w:val="21"/>
                <w:vertAlign w:val="subscript"/>
              </w:rPr>
              <w:t>10</w:t>
            </w:r>
            <w:r>
              <w:rPr>
                <w:rFonts w:hint="eastAsia" w:ascii="Times New Roman" w:hAnsi="Times New Roman" w:eastAsia="宋体"/>
                <w:szCs w:val="21"/>
              </w:rPr>
              <w:t>、</w:t>
            </w:r>
            <w:r>
              <w:rPr>
                <w:rFonts w:ascii="Times New Roman" w:hAnsi="Times New Roman" w:eastAsia="宋体"/>
                <w:szCs w:val="21"/>
              </w:rPr>
              <w:t>PM</w:t>
            </w:r>
            <w:r>
              <w:rPr>
                <w:rFonts w:ascii="Times New Roman" w:hAnsi="Times New Roman" w:eastAsia="宋体"/>
                <w:szCs w:val="21"/>
                <w:vertAlign w:val="subscript"/>
              </w:rPr>
              <w:t>2.5</w:t>
            </w:r>
            <w:r>
              <w:rPr>
                <w:rFonts w:hint="eastAsia" w:ascii="Times New Roman" w:hAnsi="Times New Roman" w:eastAsia="宋体"/>
                <w:szCs w:val="21"/>
              </w:rPr>
              <w:t>、</w:t>
            </w:r>
            <w:r>
              <w:rPr>
                <w:rFonts w:ascii="Times New Roman" w:hAnsi="Times New Roman" w:eastAsia="宋体"/>
                <w:szCs w:val="21"/>
              </w:rPr>
              <w:t>SO</w:t>
            </w:r>
            <w:r>
              <w:rPr>
                <w:rFonts w:ascii="Times New Roman" w:hAnsi="Times New Roman" w:eastAsia="宋体"/>
                <w:szCs w:val="21"/>
                <w:vertAlign w:val="subscript"/>
              </w:rPr>
              <w:t>2</w:t>
            </w:r>
            <w:r>
              <w:rPr>
                <w:rFonts w:hint="eastAsia" w:ascii="Times New Roman" w:hAnsi="Times New Roman" w:eastAsia="宋体"/>
                <w:szCs w:val="21"/>
              </w:rPr>
              <w:t>、</w:t>
            </w:r>
            <w:r>
              <w:rPr>
                <w:rFonts w:ascii="Times New Roman" w:hAnsi="Times New Roman" w:eastAsia="宋体"/>
                <w:szCs w:val="21"/>
              </w:rPr>
              <w:t>NO</w:t>
            </w:r>
            <w:r>
              <w:rPr>
                <w:rFonts w:ascii="Times New Roman" w:hAnsi="Times New Roman" w:eastAsia="宋体"/>
                <w:szCs w:val="21"/>
                <w:vertAlign w:val="subscript"/>
              </w:rPr>
              <w:t>2</w:t>
            </w:r>
            <w:r>
              <w:rPr>
                <w:rFonts w:hint="eastAsia" w:ascii="Times New Roman" w:hAnsi="Times New Roman" w:eastAsia="宋体"/>
                <w:szCs w:val="21"/>
              </w:rPr>
              <w:t>、</w:t>
            </w:r>
            <w:r>
              <w:rPr>
                <w:rFonts w:ascii="Times New Roman" w:hAnsi="Times New Roman" w:eastAsia="宋体"/>
                <w:szCs w:val="21"/>
              </w:rPr>
              <w:t>CO</w:t>
            </w:r>
            <w:r>
              <w:rPr>
                <w:rFonts w:hint="eastAsia" w:ascii="Times New Roman" w:hAnsi="Times New Roman" w:eastAsia="宋体"/>
                <w:szCs w:val="21"/>
              </w:rPr>
              <w:t>、</w:t>
            </w:r>
            <w:r>
              <w:rPr>
                <w:rFonts w:ascii="Times New Roman" w:hAnsi="Times New Roman" w:eastAsia="宋体"/>
                <w:szCs w:val="21"/>
              </w:rPr>
              <w:t>O</w:t>
            </w:r>
            <w:r>
              <w:rPr>
                <w:rFonts w:ascii="Times New Roman" w:hAnsi="Times New Roman" w:eastAsia="宋体"/>
                <w:szCs w:val="21"/>
                <w:vertAlign w:val="subscript"/>
              </w:rPr>
              <w:t xml:space="preserve">3 </w:t>
            </w:r>
            <w:r>
              <w:rPr>
                <w:rFonts w:ascii="Times New Roman" w:hAnsi="Times New Roman" w:eastAsia="Times New Roman"/>
                <w:szCs w:val="21"/>
              </w:rPr>
              <w:t>)</w:t>
            </w:r>
          </w:p>
          <w:p>
            <w:pPr>
              <w:pStyle w:val="668"/>
              <w:tabs>
                <w:tab w:val="left" w:pos="3078"/>
              </w:tabs>
              <w:autoSpaceDE w:val="0"/>
              <w:autoSpaceDN w:val="0"/>
              <w:jc w:val="center"/>
              <w:rPr>
                <w:rFonts w:ascii="Times New Roman" w:hAnsi="Times New Roman" w:eastAsia="Times New Roman"/>
                <w:szCs w:val="21"/>
                <w:lang w:val="en-GB"/>
              </w:rPr>
            </w:pPr>
            <w:r>
              <w:rPr>
                <w:rFonts w:hint="eastAsia" w:ascii="Times New Roman" w:hAnsi="Times New Roman" w:eastAsia="宋体"/>
                <w:szCs w:val="21"/>
              </w:rPr>
              <w:t>其他污染物</w:t>
            </w:r>
            <w:r>
              <w:rPr>
                <w:rFonts w:ascii="Times New Roman" w:hAnsi="Times New Roman"/>
                <w:szCs w:val="21"/>
                <w:lang w:val="en-GB"/>
              </w:rPr>
              <w:t xml:space="preserve"> </w:t>
            </w:r>
            <w:r>
              <w:rPr>
                <w:rFonts w:ascii="Times New Roman" w:hAnsi="Times New Roman"/>
                <w:spacing w:val="10"/>
                <w:szCs w:val="21"/>
                <w:lang w:val="en-GB"/>
              </w:rPr>
              <w:t xml:space="preserve"> </w:t>
            </w:r>
            <w:r>
              <w:rPr>
                <w:rFonts w:ascii="Times New Roman" w:hAnsi="Times New Roman" w:eastAsia="Times New Roman"/>
                <w:szCs w:val="21"/>
                <w:lang w:val="en-GB"/>
              </w:rPr>
              <w:t>(</w:t>
            </w:r>
            <w:r>
              <w:rPr>
                <w:rFonts w:hint="eastAsia" w:ascii="Times New Roman" w:hAnsi="Times New Roman" w:eastAsia="宋体"/>
                <w:szCs w:val="21"/>
              </w:rPr>
              <w:t>非甲烷总烃</w:t>
            </w:r>
            <w:r>
              <w:rPr>
                <w:rFonts w:ascii="Times New Roman" w:hAnsi="Times New Roman" w:eastAsia="Times New Roman"/>
                <w:szCs w:val="21"/>
                <w:lang w:val="en-GB"/>
              </w:rPr>
              <w:t>)</w:t>
            </w:r>
          </w:p>
        </w:tc>
        <w:tc>
          <w:tcPr>
            <w:tcW w:w="3336" w:type="dxa"/>
            <w:gridSpan w:val="7"/>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1"/>
              <w:jc w:val="center"/>
              <w:rPr>
                <w:rFonts w:ascii="Times New Roman" w:hAnsi="Times New Roman" w:eastAsia="等线"/>
                <w:szCs w:val="21"/>
                <w:lang w:val="en-GB" w:eastAsia="en-US"/>
              </w:rPr>
            </w:pPr>
            <w:r>
              <w:rPr>
                <w:rFonts w:hint="eastAsia" w:ascii="Times New Roman" w:hAnsi="Times New Roman" w:eastAsia="宋体"/>
                <w:position w:val="1"/>
                <w:szCs w:val="21"/>
              </w:rPr>
              <w:t>包括二次</w:t>
            </w:r>
            <w:r>
              <w:rPr>
                <w:rFonts w:ascii="Times New Roman" w:hAnsi="Times New Roman"/>
                <w:position w:val="1"/>
                <w:szCs w:val="21"/>
                <w:lang w:val="en-GB"/>
              </w:rPr>
              <w:t xml:space="preserve"> </w:t>
            </w:r>
            <w:r>
              <w:rPr>
                <w:rFonts w:ascii="Times New Roman" w:hAnsi="Times New Roman" w:eastAsia="Times New Roman"/>
                <w:position w:val="1"/>
                <w:szCs w:val="21"/>
                <w:lang w:val="en-GB"/>
              </w:rPr>
              <w:t>PM</w:t>
            </w:r>
            <w:r>
              <w:rPr>
                <w:rFonts w:ascii="Times New Roman" w:hAnsi="Times New Roman" w:eastAsia="Times New Roman"/>
                <w:szCs w:val="21"/>
                <w:vertAlign w:val="subscript"/>
                <w:lang w:val="en-GB"/>
              </w:rPr>
              <w:t>2.5</w:t>
            </w:r>
            <w:r>
              <w:rPr>
                <w:rFonts w:ascii="Times New Roman" w:hAnsi="Times New Roman"/>
                <w:position w:val="1"/>
                <w:szCs w:val="21"/>
                <w:lang w:val="en-GB"/>
              </w:rPr>
              <w:t>□</w:t>
            </w:r>
          </w:p>
          <w:p>
            <w:pPr>
              <w:pStyle w:val="668"/>
              <w:autoSpaceDE w:val="0"/>
              <w:autoSpaceDN w:val="0"/>
              <w:jc w:val="center"/>
              <w:rPr>
                <w:rFonts w:ascii="Times New Roman" w:hAnsi="Times New Roman" w:eastAsia="宋体"/>
                <w:szCs w:val="21"/>
                <w:lang w:val="en-GB"/>
              </w:rPr>
            </w:pPr>
            <w:r>
              <w:rPr>
                <w:rFonts w:hint="eastAsia" w:ascii="Times New Roman" w:hAnsi="Times New Roman" w:eastAsia="宋体"/>
                <w:position w:val="1"/>
                <w:szCs w:val="21"/>
              </w:rPr>
              <w:t>不包括二次</w:t>
            </w:r>
            <w:r>
              <w:rPr>
                <w:rFonts w:ascii="Times New Roman" w:hAnsi="Times New Roman"/>
                <w:position w:val="1"/>
                <w:szCs w:val="21"/>
                <w:lang w:val="en-GB"/>
              </w:rPr>
              <w:t xml:space="preserve"> </w:t>
            </w:r>
            <w:r>
              <w:rPr>
                <w:rFonts w:ascii="Times New Roman" w:hAnsi="Times New Roman" w:eastAsia="Times New Roman"/>
                <w:position w:val="1"/>
                <w:szCs w:val="21"/>
                <w:lang w:val="en-GB"/>
              </w:rPr>
              <w:t>PM</w:t>
            </w:r>
            <w:r>
              <w:rPr>
                <w:rFonts w:ascii="Times New Roman" w:hAnsi="Times New Roman" w:eastAsia="Times New Roman"/>
                <w:szCs w:val="21"/>
                <w:vertAlign w:val="subscript"/>
                <w:lang w:val="en-GB"/>
              </w:rPr>
              <w:t>2.5</w:t>
            </w:r>
            <w:r>
              <w:rPr>
                <w:rFonts w:ascii="Segoe UI Symbol" w:hAnsi="Segoe UI Symbol" w:eastAsia="MS Mincho" w:cs="Segoe UI Symbol"/>
                <w:position w:val="1"/>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9"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等线"/>
                <w:szCs w:val="21"/>
                <w:lang w:val="en-US"/>
              </w:rPr>
            </w:pPr>
            <w:r>
              <w:rPr>
                <w:rFonts w:hint="eastAsia" w:ascii="Times New Roman" w:hAnsi="Times New Roman" w:eastAsia="宋体"/>
                <w:szCs w:val="21"/>
              </w:rPr>
              <w:t>评价标准</w:t>
            </w:r>
          </w:p>
        </w:tc>
        <w:tc>
          <w:tcPr>
            <w:tcW w:w="1770"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评价标准</w:t>
            </w:r>
          </w:p>
        </w:tc>
        <w:tc>
          <w:tcPr>
            <w:tcW w:w="2068" w:type="dxa"/>
            <w:gridSpan w:val="6"/>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宋体"/>
                <w:szCs w:val="21"/>
              </w:rPr>
            </w:pPr>
            <w:r>
              <w:rPr>
                <w:rFonts w:hint="eastAsia" w:ascii="Times New Roman" w:hAnsi="Times New Roman" w:eastAsia="宋体"/>
                <w:szCs w:val="21"/>
              </w:rPr>
              <w:t>国家标准</w:t>
            </w:r>
            <w:r>
              <w:rPr>
                <w:rFonts w:ascii="Segoe UI Symbol" w:hAnsi="Segoe UI Symbol" w:eastAsia="MS Mincho" w:cs="Segoe UI Symbol"/>
                <w:szCs w:val="21"/>
              </w:rPr>
              <w:t>☑</w:t>
            </w:r>
          </w:p>
        </w:tc>
        <w:tc>
          <w:tcPr>
            <w:tcW w:w="1307" w:type="dxa"/>
            <w:gridSpan w:val="4"/>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宋体"/>
                <w:szCs w:val="21"/>
              </w:rPr>
            </w:pPr>
            <w:r>
              <w:rPr>
                <w:rFonts w:hint="eastAsia" w:ascii="Times New Roman" w:hAnsi="Times New Roman" w:eastAsia="宋体"/>
                <w:szCs w:val="21"/>
              </w:rPr>
              <w:t>地方标准</w:t>
            </w:r>
            <w:r>
              <w:rPr>
                <w:rFonts w:ascii="Times New Roman" w:hAnsi="Times New Roman"/>
                <w:szCs w:val="21"/>
              </w:rPr>
              <w:t xml:space="preserve"> </w:t>
            </w:r>
            <w:r>
              <w:rPr>
                <w:rFonts w:ascii="Times New Roman" w:hAnsi="Times New Roman" w:eastAsia="宋体"/>
                <w:szCs w:val="21"/>
              </w:rPr>
              <w:t>□</w:t>
            </w:r>
          </w:p>
        </w:tc>
        <w:tc>
          <w:tcPr>
            <w:tcW w:w="2065" w:type="dxa"/>
            <w:gridSpan w:val="5"/>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宋体"/>
                <w:szCs w:val="21"/>
              </w:rPr>
            </w:pPr>
            <w:r>
              <w:rPr>
                <w:rFonts w:hint="eastAsia" w:ascii="Times New Roman" w:hAnsi="Times New Roman" w:eastAsia="宋体"/>
                <w:szCs w:val="21"/>
              </w:rPr>
              <w:t>附</w:t>
            </w:r>
            <w:r>
              <w:rPr>
                <w:rFonts w:ascii="Times New Roman" w:hAnsi="Times New Roman"/>
                <w:szCs w:val="21"/>
              </w:rPr>
              <w:t xml:space="preserve"> </w:t>
            </w:r>
            <w:r>
              <w:rPr>
                <w:rFonts w:hint="eastAsia" w:ascii="Times New Roman" w:hAnsi="Times New Roman" w:eastAsia="宋体"/>
                <w:szCs w:val="21"/>
              </w:rPr>
              <w:t>录</w:t>
            </w:r>
            <w:r>
              <w:rPr>
                <w:rFonts w:ascii="Times New Roman" w:hAnsi="Times New Roman"/>
                <w:szCs w:val="21"/>
              </w:rPr>
              <w:t xml:space="preserve"> </w:t>
            </w:r>
            <w:r>
              <w:rPr>
                <w:rFonts w:ascii="Times New Roman" w:hAnsi="Times New Roman" w:eastAsia="Times New Roman"/>
                <w:szCs w:val="21"/>
              </w:rPr>
              <w:t xml:space="preserve">D </w:t>
            </w:r>
            <w:r>
              <w:rPr>
                <w:rFonts w:ascii="Times New Roman" w:hAnsi="Times New Roman" w:eastAsia="宋体"/>
                <w:szCs w:val="21"/>
              </w:rPr>
              <w:t>□</w:t>
            </w:r>
          </w:p>
        </w:tc>
        <w:tc>
          <w:tcPr>
            <w:tcW w:w="1271" w:type="dxa"/>
            <w:gridSpan w:val="2"/>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宋体"/>
                <w:szCs w:val="21"/>
              </w:rPr>
            </w:pPr>
            <w:r>
              <w:rPr>
                <w:rFonts w:hint="eastAsia" w:ascii="Times New Roman" w:hAnsi="Times New Roman" w:eastAsia="宋体"/>
                <w:szCs w:val="21"/>
              </w:rPr>
              <w:t>其他标准</w:t>
            </w:r>
            <w:r>
              <w:rPr>
                <w:rFonts w:ascii="Segoe UI Symbol" w:hAnsi="Segoe UI Symbol" w:eastAsia="MS Mincho" w:cs="Segoe UI Symbol"/>
                <w:szCs w:val="21"/>
              </w:rPr>
              <w:t>☑</w:t>
            </w:r>
            <w:r>
              <w:rPr>
                <w:rFonts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9" w:type="dxa"/>
            <w:vMerge w:val="restart"/>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等线"/>
                <w:szCs w:val="21"/>
              </w:rPr>
            </w:pPr>
            <w:r>
              <w:rPr>
                <w:rFonts w:hint="eastAsia" w:ascii="Times New Roman" w:hAnsi="Times New Roman" w:eastAsia="宋体"/>
                <w:szCs w:val="21"/>
              </w:rPr>
              <w:t>现状评价</w:t>
            </w:r>
          </w:p>
        </w:tc>
        <w:tc>
          <w:tcPr>
            <w:tcW w:w="1770"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环境功能区</w:t>
            </w:r>
          </w:p>
        </w:tc>
        <w:tc>
          <w:tcPr>
            <w:tcW w:w="2659" w:type="dxa"/>
            <w:gridSpan w:val="7"/>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一类区</w:t>
            </w:r>
            <w:r>
              <w:rPr>
                <w:rFonts w:ascii="Times New Roman" w:hAnsi="Times New Roman"/>
                <w:szCs w:val="21"/>
              </w:rPr>
              <w:t>□</w:t>
            </w:r>
          </w:p>
        </w:tc>
        <w:tc>
          <w:tcPr>
            <w:tcW w:w="2334" w:type="dxa"/>
            <w:gridSpan w:val="6"/>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宋体"/>
                <w:szCs w:val="21"/>
              </w:rPr>
            </w:pPr>
            <w:r>
              <w:rPr>
                <w:rFonts w:hint="eastAsia" w:ascii="Times New Roman" w:hAnsi="Times New Roman" w:eastAsia="宋体"/>
                <w:szCs w:val="21"/>
              </w:rPr>
              <w:t>二类区</w:t>
            </w:r>
            <w:r>
              <w:rPr>
                <w:rFonts w:ascii="Segoe UI Symbol" w:hAnsi="Segoe UI Symbol" w:eastAsia="MS Mincho" w:cs="Segoe UI Symbol"/>
                <w:szCs w:val="21"/>
              </w:rPr>
              <w:t>☑</w:t>
            </w:r>
          </w:p>
        </w:tc>
        <w:tc>
          <w:tcPr>
            <w:tcW w:w="1718" w:type="dxa"/>
            <w:gridSpan w:val="4"/>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等线"/>
                <w:szCs w:val="21"/>
              </w:rPr>
            </w:pPr>
            <w:r>
              <w:rPr>
                <w:rFonts w:hint="eastAsia" w:ascii="Times New Roman" w:hAnsi="Times New Roman" w:eastAsia="宋体"/>
                <w:szCs w:val="21"/>
              </w:rPr>
              <w:t>一类区和二类区</w:t>
            </w: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等线"/>
                <w:szCs w:val="21"/>
                <w:lang w:eastAsia="en-US"/>
              </w:rPr>
            </w:pPr>
          </w:p>
        </w:tc>
        <w:tc>
          <w:tcPr>
            <w:tcW w:w="1770"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评价基准年</w:t>
            </w:r>
          </w:p>
        </w:tc>
        <w:tc>
          <w:tcPr>
            <w:tcW w:w="6711" w:type="dxa"/>
            <w:gridSpan w:val="17"/>
            <w:tcBorders>
              <w:top w:val="single" w:color="auto" w:sz="4" w:space="0"/>
              <w:left w:val="single" w:color="auto" w:sz="4" w:space="0"/>
              <w:bottom w:val="single" w:color="auto" w:sz="4" w:space="0"/>
              <w:right w:val="single" w:color="auto" w:sz="4" w:space="0"/>
            </w:tcBorders>
            <w:vAlign w:val="center"/>
          </w:tcPr>
          <w:p>
            <w:pPr>
              <w:pStyle w:val="668"/>
              <w:tabs>
                <w:tab w:val="left" w:pos="658"/>
              </w:tabs>
              <w:autoSpaceDE w:val="0"/>
              <w:autoSpaceDN w:val="0"/>
              <w:jc w:val="center"/>
              <w:rPr>
                <w:rFonts w:ascii="Times New Roman" w:hAnsi="Times New Roman"/>
                <w:szCs w:val="21"/>
              </w:rPr>
            </w:pPr>
            <w:r>
              <w:rPr>
                <w:rFonts w:hint="eastAsia" w:ascii="Times New Roman" w:hAnsi="Times New Roman" w:eastAsia="宋体"/>
                <w:szCs w:val="21"/>
              </w:rPr>
              <w:t>（</w:t>
            </w:r>
            <w:r>
              <w:rPr>
                <w:rFonts w:ascii="Times New Roman" w:hAnsi="Times New Roman" w:eastAsia="宋体"/>
                <w:szCs w:val="21"/>
              </w:rPr>
              <w:t>2022</w:t>
            </w:r>
            <w:r>
              <w:rPr>
                <w:rFonts w:hint="eastAsia" w:ascii="Times New Roman" w:hAnsi="Times New Roman" w:eastAsia="宋体"/>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等线"/>
                <w:szCs w:val="21"/>
                <w:lang w:eastAsia="en-US"/>
              </w:rPr>
            </w:pPr>
          </w:p>
        </w:tc>
        <w:tc>
          <w:tcPr>
            <w:tcW w:w="1770"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环境空气质量</w:t>
            </w:r>
          </w:p>
          <w:p>
            <w:pPr>
              <w:pStyle w:val="668"/>
              <w:autoSpaceDE w:val="0"/>
              <w:autoSpaceDN w:val="0"/>
              <w:jc w:val="center"/>
              <w:rPr>
                <w:rFonts w:ascii="Times New Roman" w:hAnsi="Times New Roman"/>
                <w:szCs w:val="21"/>
              </w:rPr>
            </w:pPr>
            <w:r>
              <w:rPr>
                <w:rFonts w:hint="eastAsia" w:ascii="Times New Roman" w:hAnsi="Times New Roman" w:eastAsia="宋体"/>
                <w:szCs w:val="21"/>
              </w:rPr>
              <w:t>现状调查数据来源</w:t>
            </w:r>
          </w:p>
        </w:tc>
        <w:tc>
          <w:tcPr>
            <w:tcW w:w="2659" w:type="dxa"/>
            <w:gridSpan w:val="7"/>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71"/>
              <w:jc w:val="center"/>
              <w:rPr>
                <w:rFonts w:ascii="Times New Roman" w:hAnsi="Times New Roman"/>
                <w:szCs w:val="21"/>
                <w:lang w:eastAsia="en-US"/>
              </w:rPr>
            </w:pPr>
            <w:r>
              <w:rPr>
                <w:rFonts w:hint="eastAsia" w:ascii="Times New Roman" w:hAnsi="Times New Roman" w:eastAsia="宋体"/>
                <w:szCs w:val="21"/>
              </w:rPr>
              <w:t>长期例行监测数据</w:t>
            </w:r>
            <w:r>
              <w:rPr>
                <w:rFonts w:ascii="Times New Roman" w:hAnsi="Times New Roman"/>
                <w:szCs w:val="21"/>
              </w:rPr>
              <w:t>□</w:t>
            </w:r>
          </w:p>
        </w:tc>
        <w:tc>
          <w:tcPr>
            <w:tcW w:w="2334" w:type="dxa"/>
            <w:gridSpan w:val="6"/>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71"/>
              <w:jc w:val="center"/>
              <w:rPr>
                <w:rFonts w:ascii="Times New Roman" w:hAnsi="Times New Roman" w:eastAsia="宋体"/>
                <w:szCs w:val="21"/>
              </w:rPr>
            </w:pPr>
            <w:r>
              <w:rPr>
                <w:rFonts w:hint="eastAsia" w:ascii="Times New Roman" w:hAnsi="Times New Roman" w:eastAsia="宋体"/>
                <w:szCs w:val="21"/>
              </w:rPr>
              <w:t>主管部门发布的数据</w:t>
            </w:r>
            <w:r>
              <w:rPr>
                <w:rFonts w:ascii="Segoe UI Symbol" w:hAnsi="Segoe UI Symbol" w:eastAsia="MS Mincho" w:cs="Segoe UI Symbol"/>
                <w:szCs w:val="21"/>
              </w:rPr>
              <w:t>☑</w:t>
            </w:r>
          </w:p>
        </w:tc>
        <w:tc>
          <w:tcPr>
            <w:tcW w:w="1718" w:type="dxa"/>
            <w:gridSpan w:val="4"/>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71"/>
              <w:jc w:val="center"/>
              <w:rPr>
                <w:rFonts w:ascii="Times New Roman" w:hAnsi="Times New Roman" w:eastAsia="宋体"/>
                <w:szCs w:val="21"/>
              </w:rPr>
            </w:pPr>
            <w:r>
              <w:rPr>
                <w:rFonts w:hint="eastAsia" w:ascii="Times New Roman" w:hAnsi="Times New Roman" w:eastAsia="宋体"/>
                <w:szCs w:val="21"/>
              </w:rPr>
              <w:t>现状补充监测</w:t>
            </w:r>
            <w:r>
              <w:rPr>
                <w:rFonts w:ascii="Segoe UI Symbol" w:hAnsi="Segoe UI Symbol" w:eastAsia="MS Mincho" w:cs="Segoe UI Symbo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等线"/>
                <w:szCs w:val="21"/>
                <w:lang w:eastAsia="en-US"/>
              </w:rPr>
            </w:pPr>
          </w:p>
        </w:tc>
        <w:tc>
          <w:tcPr>
            <w:tcW w:w="1770"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等线"/>
                <w:szCs w:val="21"/>
              </w:rPr>
            </w:pPr>
            <w:r>
              <w:rPr>
                <w:rFonts w:hint="eastAsia" w:ascii="Times New Roman" w:hAnsi="Times New Roman" w:eastAsia="宋体"/>
                <w:szCs w:val="21"/>
              </w:rPr>
              <w:t>现状评价</w:t>
            </w:r>
          </w:p>
        </w:tc>
        <w:tc>
          <w:tcPr>
            <w:tcW w:w="3375" w:type="dxa"/>
            <w:gridSpan w:val="10"/>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达标区</w:t>
            </w:r>
            <w:r>
              <w:rPr>
                <w:rFonts w:ascii="Times New Roman" w:hAnsi="Times New Roman" w:eastAsia="宋体"/>
                <w:szCs w:val="21"/>
              </w:rPr>
              <w:t>□</w:t>
            </w:r>
          </w:p>
        </w:tc>
        <w:tc>
          <w:tcPr>
            <w:tcW w:w="3336" w:type="dxa"/>
            <w:gridSpan w:val="7"/>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宋体"/>
                <w:szCs w:val="21"/>
              </w:rPr>
            </w:pPr>
            <w:r>
              <w:rPr>
                <w:rFonts w:hint="eastAsia" w:ascii="Times New Roman" w:hAnsi="Times New Roman" w:eastAsia="宋体"/>
                <w:szCs w:val="21"/>
              </w:rPr>
              <w:t>不达标区</w:t>
            </w:r>
            <w:r>
              <w:rPr>
                <w:rFonts w:ascii="Segoe UI Symbol" w:hAnsi="Segoe UI Symbol" w:eastAsia="MS Mincho" w:cs="Segoe UI Symbo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9"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154"/>
              <w:jc w:val="center"/>
              <w:rPr>
                <w:rFonts w:ascii="Times New Roman" w:hAnsi="Times New Roman" w:eastAsia="等线"/>
                <w:szCs w:val="21"/>
              </w:rPr>
            </w:pPr>
            <w:r>
              <w:rPr>
                <w:rFonts w:hint="eastAsia" w:ascii="Times New Roman" w:hAnsi="Times New Roman" w:eastAsia="宋体"/>
                <w:szCs w:val="21"/>
              </w:rPr>
              <w:t>污染源调查</w:t>
            </w:r>
          </w:p>
        </w:tc>
        <w:tc>
          <w:tcPr>
            <w:tcW w:w="1770"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调查内容</w:t>
            </w:r>
          </w:p>
        </w:tc>
        <w:tc>
          <w:tcPr>
            <w:tcW w:w="2068" w:type="dxa"/>
            <w:gridSpan w:val="6"/>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宋体"/>
                <w:szCs w:val="21"/>
              </w:rPr>
            </w:pPr>
            <w:r>
              <w:rPr>
                <w:rFonts w:hint="eastAsia" w:ascii="Times New Roman" w:hAnsi="Times New Roman" w:eastAsia="宋体"/>
                <w:szCs w:val="21"/>
              </w:rPr>
              <w:t>本项目正常排放源</w:t>
            </w:r>
            <w:r>
              <w:rPr>
                <w:rFonts w:ascii="Times New Roman" w:hAnsi="Times New Roman"/>
                <w:szCs w:val="21"/>
              </w:rPr>
              <w:t xml:space="preserve">  </w:t>
            </w:r>
            <w:r>
              <w:rPr>
                <w:rFonts w:ascii="Segoe UI Symbol" w:hAnsi="Segoe UI Symbol" w:eastAsia="MS Mincho" w:cs="Segoe UI Symbol"/>
                <w:szCs w:val="21"/>
              </w:rPr>
              <w:t>☑</w:t>
            </w:r>
          </w:p>
          <w:p>
            <w:pPr>
              <w:pStyle w:val="668"/>
              <w:autoSpaceDE w:val="0"/>
              <w:autoSpaceDN w:val="0"/>
              <w:jc w:val="center"/>
              <w:rPr>
                <w:rFonts w:ascii="Times New Roman" w:hAnsi="Times New Roman" w:eastAsia="宋体"/>
                <w:szCs w:val="21"/>
              </w:rPr>
            </w:pPr>
            <w:r>
              <w:rPr>
                <w:rFonts w:hint="eastAsia" w:ascii="Times New Roman" w:hAnsi="Times New Roman" w:eastAsia="宋体"/>
                <w:szCs w:val="21"/>
              </w:rPr>
              <w:t>本项目非正常排放源</w:t>
            </w:r>
            <w:r>
              <w:rPr>
                <w:rFonts w:ascii="Times New Roman" w:hAnsi="Times New Roman"/>
                <w:szCs w:val="21"/>
              </w:rPr>
              <w:t xml:space="preserve">  </w:t>
            </w:r>
            <w:r>
              <w:rPr>
                <w:rFonts w:ascii="Times New Roman" w:hAnsi="Times New Roman" w:eastAsia="宋体"/>
                <w:szCs w:val="21"/>
              </w:rPr>
              <w:t>□</w:t>
            </w:r>
          </w:p>
          <w:p>
            <w:pPr>
              <w:pStyle w:val="668"/>
              <w:autoSpaceDE w:val="0"/>
              <w:autoSpaceDN w:val="0"/>
              <w:jc w:val="center"/>
              <w:rPr>
                <w:rFonts w:ascii="Times New Roman" w:hAnsi="Times New Roman" w:eastAsia="宋体"/>
                <w:szCs w:val="21"/>
                <w:lang w:eastAsia="en-US"/>
              </w:rPr>
            </w:pPr>
            <w:r>
              <w:rPr>
                <w:rFonts w:hint="eastAsia" w:ascii="Times New Roman" w:hAnsi="Times New Roman" w:eastAsia="宋体"/>
                <w:szCs w:val="21"/>
              </w:rPr>
              <w:t>现有污染源</w:t>
            </w:r>
            <w:r>
              <w:rPr>
                <w:rFonts w:ascii="Times New Roman" w:hAnsi="Times New Roman"/>
                <w:szCs w:val="21"/>
              </w:rPr>
              <w:t xml:space="preserve">  </w:t>
            </w:r>
            <w:r>
              <w:rPr>
                <w:rFonts w:ascii="Times New Roman" w:hAnsi="Times New Roman" w:eastAsia="宋体"/>
                <w:szCs w:val="21"/>
              </w:rPr>
              <w:t>□</w:t>
            </w:r>
          </w:p>
        </w:tc>
        <w:tc>
          <w:tcPr>
            <w:tcW w:w="1307" w:type="dxa"/>
            <w:gridSpan w:val="4"/>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宋体"/>
                <w:szCs w:val="21"/>
              </w:rPr>
            </w:pPr>
            <w:r>
              <w:rPr>
                <w:rFonts w:hint="eastAsia" w:ascii="Times New Roman" w:hAnsi="Times New Roman" w:eastAsia="宋体"/>
                <w:szCs w:val="21"/>
              </w:rPr>
              <w:t>拟替代的污染源</w:t>
            </w:r>
            <w:r>
              <w:rPr>
                <w:rFonts w:ascii="Times New Roman" w:hAnsi="Times New Roman" w:eastAsia="宋体"/>
                <w:szCs w:val="21"/>
              </w:rPr>
              <w:t>□</w:t>
            </w:r>
          </w:p>
        </w:tc>
        <w:tc>
          <w:tcPr>
            <w:tcW w:w="2065" w:type="dxa"/>
            <w:gridSpan w:val="5"/>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154"/>
              <w:jc w:val="center"/>
              <w:rPr>
                <w:rFonts w:ascii="Times New Roman" w:hAnsi="Times New Roman" w:eastAsia="等线"/>
                <w:szCs w:val="21"/>
              </w:rPr>
            </w:pPr>
            <w:r>
              <w:rPr>
                <w:rFonts w:hint="eastAsia" w:ascii="Times New Roman" w:hAnsi="Times New Roman" w:eastAsia="宋体"/>
                <w:szCs w:val="21"/>
              </w:rPr>
              <w:t>其他在建、拟建项目污染源</w:t>
            </w:r>
            <w:r>
              <w:rPr>
                <w:rFonts w:ascii="Times New Roman" w:hAnsi="Times New Roman"/>
                <w:szCs w:val="21"/>
              </w:rPr>
              <w:t>□</w:t>
            </w:r>
          </w:p>
        </w:tc>
        <w:tc>
          <w:tcPr>
            <w:tcW w:w="1271" w:type="dxa"/>
            <w:gridSpan w:val="2"/>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lang w:eastAsia="en-US"/>
              </w:rPr>
            </w:pPr>
            <w:r>
              <w:rPr>
                <w:rFonts w:hint="eastAsia" w:ascii="Times New Roman" w:hAnsi="Times New Roman" w:eastAsia="宋体"/>
                <w:szCs w:val="21"/>
              </w:rPr>
              <w:t>区域污染源</w:t>
            </w: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9" w:type="dxa"/>
            <w:vMerge w:val="restart"/>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大气环境影响预测与</w:t>
            </w:r>
          </w:p>
          <w:p>
            <w:pPr>
              <w:pStyle w:val="668"/>
              <w:autoSpaceDE w:val="0"/>
              <w:autoSpaceDN w:val="0"/>
              <w:jc w:val="center"/>
              <w:rPr>
                <w:rFonts w:ascii="Times New Roman" w:hAnsi="Times New Roman"/>
                <w:szCs w:val="21"/>
              </w:rPr>
            </w:pPr>
            <w:r>
              <w:rPr>
                <w:rFonts w:hint="eastAsia" w:ascii="Times New Roman" w:hAnsi="Times New Roman" w:eastAsia="宋体"/>
                <w:szCs w:val="21"/>
              </w:rPr>
              <w:t>评价</w:t>
            </w:r>
          </w:p>
        </w:tc>
        <w:tc>
          <w:tcPr>
            <w:tcW w:w="1770"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69"/>
              <w:jc w:val="center"/>
              <w:rPr>
                <w:rFonts w:ascii="Times New Roman" w:hAnsi="Times New Roman"/>
                <w:szCs w:val="21"/>
                <w:lang w:eastAsia="en-US"/>
              </w:rPr>
            </w:pPr>
            <w:r>
              <w:rPr>
                <w:rFonts w:hint="eastAsia" w:ascii="Times New Roman" w:hAnsi="Times New Roman" w:eastAsia="宋体"/>
                <w:szCs w:val="21"/>
              </w:rPr>
              <w:t>预测模型</w:t>
            </w:r>
          </w:p>
        </w:tc>
        <w:tc>
          <w:tcPr>
            <w:tcW w:w="1024"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52"/>
              <w:jc w:val="center"/>
              <w:rPr>
                <w:rFonts w:ascii="Times New Roman" w:hAnsi="Times New Roman"/>
                <w:szCs w:val="21"/>
              </w:rPr>
            </w:pPr>
            <w:r>
              <w:rPr>
                <w:rFonts w:ascii="Times New Roman" w:hAnsi="Times New Roman"/>
                <w:szCs w:val="21"/>
              </w:rPr>
              <w:t>AERMOD</w:t>
            </w:r>
          </w:p>
          <w:p>
            <w:pPr>
              <w:pStyle w:val="668"/>
              <w:autoSpaceDE w:val="0"/>
              <w:autoSpaceDN w:val="0"/>
              <w:jc w:val="center"/>
              <w:rPr>
                <w:rFonts w:ascii="Times New Roman" w:hAnsi="Times New Roman"/>
                <w:szCs w:val="21"/>
              </w:rPr>
            </w:pPr>
            <w:r>
              <w:rPr>
                <w:rFonts w:ascii="Times New Roman" w:hAnsi="Times New Roman"/>
                <w:szCs w:val="21"/>
              </w:rPr>
              <w:t>□</w:t>
            </w:r>
          </w:p>
        </w:tc>
        <w:tc>
          <w:tcPr>
            <w:tcW w:w="921" w:type="dxa"/>
            <w:gridSpan w:val="4"/>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52"/>
              <w:jc w:val="center"/>
              <w:rPr>
                <w:rFonts w:ascii="Times New Roman" w:hAnsi="Times New Roman"/>
                <w:szCs w:val="21"/>
              </w:rPr>
            </w:pPr>
            <w:r>
              <w:rPr>
                <w:rFonts w:ascii="Times New Roman" w:hAnsi="Times New Roman"/>
                <w:szCs w:val="21"/>
              </w:rPr>
              <w:t>ADMS</w:t>
            </w:r>
          </w:p>
          <w:p>
            <w:pPr>
              <w:pStyle w:val="668"/>
              <w:autoSpaceDE w:val="0"/>
              <w:autoSpaceDN w:val="0"/>
              <w:jc w:val="center"/>
              <w:rPr>
                <w:rFonts w:ascii="Times New Roman" w:hAnsi="Times New Roman"/>
                <w:szCs w:val="21"/>
              </w:rPr>
            </w:pPr>
            <w:r>
              <w:rPr>
                <w:rFonts w:ascii="Times New Roman" w:hAnsi="Times New Roman"/>
                <w:szCs w:val="21"/>
              </w:rPr>
              <w:t>□</w:t>
            </w:r>
          </w:p>
        </w:tc>
        <w:tc>
          <w:tcPr>
            <w:tcW w:w="1116" w:type="dxa"/>
            <w:gridSpan w:val="3"/>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52"/>
              <w:jc w:val="center"/>
              <w:rPr>
                <w:rFonts w:ascii="Times New Roman" w:hAnsi="Times New Roman"/>
                <w:szCs w:val="21"/>
              </w:rPr>
            </w:pPr>
            <w:r>
              <w:rPr>
                <w:rFonts w:ascii="Times New Roman" w:hAnsi="Times New Roman"/>
                <w:szCs w:val="21"/>
              </w:rPr>
              <w:t>AUSTAL2000</w:t>
            </w:r>
          </w:p>
          <w:p>
            <w:pPr>
              <w:pStyle w:val="668"/>
              <w:autoSpaceDE w:val="0"/>
              <w:autoSpaceDN w:val="0"/>
              <w:jc w:val="center"/>
              <w:rPr>
                <w:rFonts w:ascii="Times New Roman" w:hAnsi="Times New Roman"/>
                <w:szCs w:val="21"/>
              </w:rPr>
            </w:pPr>
            <w:r>
              <w:rPr>
                <w:rFonts w:ascii="Times New Roman" w:hAnsi="Times New Roman"/>
                <w:szCs w:val="21"/>
              </w:rPr>
              <w:t>□</w:t>
            </w:r>
          </w:p>
        </w:tc>
        <w:tc>
          <w:tcPr>
            <w:tcW w:w="1090" w:type="dxa"/>
            <w:gridSpan w:val="3"/>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52"/>
              <w:jc w:val="center"/>
              <w:rPr>
                <w:rFonts w:ascii="Times New Roman" w:hAnsi="Times New Roman"/>
                <w:szCs w:val="21"/>
              </w:rPr>
            </w:pPr>
            <w:r>
              <w:rPr>
                <w:rFonts w:ascii="Times New Roman" w:hAnsi="Times New Roman"/>
                <w:szCs w:val="21"/>
              </w:rPr>
              <w:t>EDMS/AEDT</w:t>
            </w:r>
          </w:p>
          <w:p>
            <w:pPr>
              <w:pStyle w:val="668"/>
              <w:autoSpaceDE w:val="0"/>
              <w:autoSpaceDN w:val="0"/>
              <w:jc w:val="center"/>
              <w:rPr>
                <w:rFonts w:ascii="Times New Roman" w:hAnsi="Times New Roman"/>
                <w:szCs w:val="21"/>
              </w:rPr>
            </w:pPr>
            <w:r>
              <w:rPr>
                <w:rFonts w:ascii="Times New Roman" w:hAnsi="Times New Roman"/>
                <w:szCs w:val="21"/>
              </w:rPr>
              <w:t>□</w:t>
            </w:r>
          </w:p>
        </w:tc>
        <w:tc>
          <w:tcPr>
            <w:tcW w:w="842" w:type="dxa"/>
            <w:gridSpan w:val="2"/>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52"/>
              <w:jc w:val="center"/>
              <w:rPr>
                <w:rFonts w:ascii="Times New Roman" w:hAnsi="Times New Roman"/>
                <w:szCs w:val="21"/>
              </w:rPr>
            </w:pPr>
            <w:r>
              <w:rPr>
                <w:rFonts w:ascii="Times New Roman" w:hAnsi="Times New Roman"/>
                <w:szCs w:val="21"/>
              </w:rPr>
              <w:t>CALPUFF</w:t>
            </w:r>
          </w:p>
          <w:p>
            <w:pPr>
              <w:pStyle w:val="668"/>
              <w:autoSpaceDE w:val="0"/>
              <w:autoSpaceDN w:val="0"/>
              <w:jc w:val="center"/>
              <w:rPr>
                <w:rFonts w:ascii="Times New Roman" w:hAnsi="Times New Roman"/>
                <w:szCs w:val="21"/>
              </w:rPr>
            </w:pPr>
            <w:r>
              <w:rPr>
                <w:rFonts w:ascii="Times New Roman" w:hAnsi="Times New Roman"/>
                <w:szCs w:val="21"/>
              </w:rPr>
              <w:t>□</w:t>
            </w:r>
          </w:p>
        </w:tc>
        <w:tc>
          <w:tcPr>
            <w:tcW w:w="959" w:type="dxa"/>
            <w:gridSpan w:val="3"/>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网格模型</w:t>
            </w:r>
          </w:p>
          <w:p>
            <w:pPr>
              <w:pStyle w:val="668"/>
              <w:autoSpaceDE w:val="0"/>
              <w:autoSpaceDN w:val="0"/>
              <w:jc w:val="center"/>
              <w:rPr>
                <w:rFonts w:ascii="Times New Roman" w:hAnsi="Times New Roman"/>
                <w:szCs w:val="21"/>
              </w:rPr>
            </w:pPr>
            <w:r>
              <w:rPr>
                <w:rFonts w:ascii="Times New Roman" w:hAnsi="Times New Roman"/>
                <w:szCs w:val="21"/>
              </w:rPr>
              <w:t>□</w:t>
            </w:r>
          </w:p>
        </w:tc>
        <w:tc>
          <w:tcPr>
            <w:tcW w:w="759"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其他</w:t>
            </w:r>
          </w:p>
          <w:p>
            <w:pPr>
              <w:pStyle w:val="668"/>
              <w:autoSpaceDE w:val="0"/>
              <w:autoSpaceDN w:val="0"/>
              <w:jc w:val="center"/>
              <w:rPr>
                <w:rFonts w:ascii="Times New Roman" w:hAnsi="Times New Roman" w:eastAsia="宋体"/>
                <w:szCs w:val="21"/>
              </w:rPr>
            </w:pPr>
            <w:r>
              <w:rPr>
                <w:rFonts w:ascii="Times New Roman" w:hAnsi="Times New Roman" w:eastAsia="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等线"/>
                <w:szCs w:val="21"/>
              </w:rPr>
            </w:pPr>
          </w:p>
        </w:tc>
        <w:tc>
          <w:tcPr>
            <w:tcW w:w="1770"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等线"/>
                <w:szCs w:val="21"/>
              </w:rPr>
            </w:pPr>
            <w:r>
              <w:rPr>
                <w:rFonts w:hint="eastAsia" w:ascii="Times New Roman" w:hAnsi="Times New Roman" w:eastAsia="宋体"/>
                <w:szCs w:val="21"/>
              </w:rPr>
              <w:t>预测范围</w:t>
            </w:r>
          </w:p>
        </w:tc>
        <w:tc>
          <w:tcPr>
            <w:tcW w:w="1945" w:type="dxa"/>
            <w:gridSpan w:val="5"/>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边长</w:t>
            </w:r>
            <w:r>
              <w:rPr>
                <w:rFonts w:ascii="Times New Roman" w:hAnsi="Times New Roman" w:eastAsia="宋体"/>
                <w:szCs w:val="21"/>
              </w:rPr>
              <w:t>≥</w:t>
            </w:r>
            <w:r>
              <w:rPr>
                <w:rFonts w:ascii="Times New Roman" w:hAnsi="Times New Roman"/>
                <w:szCs w:val="21"/>
              </w:rPr>
              <w:t xml:space="preserve"> </w:t>
            </w:r>
            <w:r>
              <w:rPr>
                <w:rFonts w:ascii="Times New Roman" w:hAnsi="Times New Roman" w:eastAsia="Times New Roman"/>
                <w:szCs w:val="21"/>
              </w:rPr>
              <w:t>50km</w:t>
            </w:r>
            <w:r>
              <w:rPr>
                <w:rFonts w:ascii="Times New Roman" w:hAnsi="Times New Roman"/>
                <w:szCs w:val="21"/>
              </w:rPr>
              <w:t>□</w:t>
            </w:r>
          </w:p>
        </w:tc>
        <w:tc>
          <w:tcPr>
            <w:tcW w:w="3048" w:type="dxa"/>
            <w:gridSpan w:val="8"/>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边</w:t>
            </w:r>
            <w:r>
              <w:rPr>
                <w:rFonts w:ascii="Times New Roman" w:hAnsi="Times New Roman"/>
                <w:szCs w:val="21"/>
              </w:rPr>
              <w:t xml:space="preserve"> </w:t>
            </w:r>
            <w:r>
              <w:rPr>
                <w:rFonts w:hint="eastAsia" w:ascii="Times New Roman" w:hAnsi="Times New Roman" w:eastAsia="宋体"/>
                <w:szCs w:val="21"/>
              </w:rPr>
              <w:t>长</w:t>
            </w:r>
            <w:r>
              <w:rPr>
                <w:rFonts w:ascii="Times New Roman" w:hAnsi="Times New Roman"/>
                <w:szCs w:val="21"/>
              </w:rPr>
              <w:t xml:space="preserve"> </w:t>
            </w:r>
            <w:r>
              <w:rPr>
                <w:rFonts w:ascii="Times New Roman" w:hAnsi="Times New Roman" w:eastAsia="Times New Roman"/>
                <w:szCs w:val="21"/>
              </w:rPr>
              <w:t>5</w:t>
            </w:r>
            <w:r>
              <w:rPr>
                <w:rFonts w:hint="eastAsia" w:ascii="Times New Roman" w:hAnsi="Times New Roman" w:eastAsia="宋体"/>
                <w:szCs w:val="21"/>
              </w:rPr>
              <w:t>～</w:t>
            </w:r>
            <w:r>
              <w:rPr>
                <w:rFonts w:ascii="Times New Roman" w:hAnsi="Times New Roman" w:eastAsia="Times New Roman"/>
                <w:szCs w:val="21"/>
              </w:rPr>
              <w:t xml:space="preserve">50km </w:t>
            </w:r>
            <w:r>
              <w:rPr>
                <w:rFonts w:ascii="Times New Roman" w:hAnsi="Times New Roman"/>
                <w:szCs w:val="21"/>
              </w:rPr>
              <w:t>□</w:t>
            </w:r>
          </w:p>
        </w:tc>
        <w:tc>
          <w:tcPr>
            <w:tcW w:w="1718" w:type="dxa"/>
            <w:gridSpan w:val="4"/>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边</w:t>
            </w:r>
            <w:r>
              <w:rPr>
                <w:rFonts w:ascii="Times New Roman" w:hAnsi="Times New Roman"/>
                <w:szCs w:val="21"/>
              </w:rPr>
              <w:t xml:space="preserve"> </w:t>
            </w:r>
            <w:r>
              <w:rPr>
                <w:rFonts w:hint="eastAsia" w:ascii="Times New Roman" w:hAnsi="Times New Roman" w:eastAsia="宋体"/>
                <w:szCs w:val="21"/>
              </w:rPr>
              <w:t>长</w:t>
            </w:r>
            <w:r>
              <w:rPr>
                <w:rFonts w:ascii="Times New Roman" w:hAnsi="Times New Roman"/>
                <w:szCs w:val="21"/>
              </w:rPr>
              <w:t xml:space="preserve"> </w:t>
            </w:r>
            <w:r>
              <w:rPr>
                <w:rFonts w:ascii="Times New Roman" w:hAnsi="Times New Roman" w:eastAsia="Times New Roman"/>
                <w:szCs w:val="21"/>
              </w:rPr>
              <w:t xml:space="preserve">= 5 km </w:t>
            </w: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等线"/>
                <w:szCs w:val="21"/>
              </w:rPr>
            </w:pPr>
          </w:p>
        </w:tc>
        <w:tc>
          <w:tcPr>
            <w:tcW w:w="1770"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72"/>
              <w:jc w:val="center"/>
              <w:rPr>
                <w:rFonts w:ascii="Times New Roman" w:hAnsi="Times New Roman"/>
                <w:szCs w:val="21"/>
              </w:rPr>
            </w:pPr>
            <w:r>
              <w:rPr>
                <w:rFonts w:hint="eastAsia" w:ascii="Times New Roman" w:hAnsi="Times New Roman" w:eastAsia="宋体"/>
                <w:szCs w:val="21"/>
              </w:rPr>
              <w:t>预测因子</w:t>
            </w:r>
          </w:p>
        </w:tc>
        <w:tc>
          <w:tcPr>
            <w:tcW w:w="3375" w:type="dxa"/>
            <w:gridSpan w:val="10"/>
            <w:tcBorders>
              <w:top w:val="single" w:color="auto" w:sz="4" w:space="0"/>
              <w:left w:val="single" w:color="auto" w:sz="4" w:space="0"/>
              <w:bottom w:val="single" w:color="auto" w:sz="4" w:space="0"/>
              <w:right w:val="single" w:color="auto" w:sz="4" w:space="0"/>
            </w:tcBorders>
            <w:vAlign w:val="center"/>
          </w:tcPr>
          <w:p>
            <w:pPr>
              <w:pStyle w:val="668"/>
              <w:tabs>
                <w:tab w:val="left" w:pos="2989"/>
              </w:tabs>
              <w:autoSpaceDE w:val="0"/>
              <w:autoSpaceDN w:val="0"/>
              <w:spacing w:before="72"/>
              <w:jc w:val="center"/>
              <w:rPr>
                <w:rFonts w:ascii="Times New Roman" w:hAnsi="Times New Roman" w:eastAsia="Times New Roman"/>
                <w:szCs w:val="21"/>
              </w:rPr>
            </w:pPr>
            <w:r>
              <w:rPr>
                <w:rFonts w:hint="eastAsia" w:ascii="Times New Roman" w:hAnsi="Times New Roman" w:eastAsia="宋体"/>
                <w:szCs w:val="21"/>
              </w:rPr>
              <w:t>预测因子</w:t>
            </w:r>
            <w:r>
              <w:rPr>
                <w:rFonts w:ascii="Times New Roman" w:hAnsi="Times New Roman" w:eastAsia="Times New Roman"/>
                <w:szCs w:val="21"/>
              </w:rPr>
              <w:t>(</w:t>
            </w:r>
            <w:r>
              <w:rPr>
                <w:rFonts w:ascii="Times New Roman" w:hAnsi="Times New Roman" w:eastAsia="Times New Roman"/>
                <w:szCs w:val="21"/>
              </w:rPr>
              <w:tab/>
            </w:r>
            <w:r>
              <w:rPr>
                <w:rFonts w:ascii="Times New Roman" w:hAnsi="Times New Roman" w:eastAsia="Times New Roman"/>
                <w:szCs w:val="21"/>
              </w:rPr>
              <w:t>)</w:t>
            </w:r>
          </w:p>
        </w:tc>
        <w:tc>
          <w:tcPr>
            <w:tcW w:w="3336" w:type="dxa"/>
            <w:gridSpan w:val="7"/>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等线"/>
                <w:szCs w:val="21"/>
              </w:rPr>
            </w:pPr>
            <w:r>
              <w:rPr>
                <w:rFonts w:hint="eastAsia" w:ascii="Times New Roman" w:hAnsi="Times New Roman" w:eastAsia="宋体"/>
                <w:position w:val="1"/>
                <w:szCs w:val="21"/>
              </w:rPr>
              <w:t>包括二次</w:t>
            </w:r>
            <w:r>
              <w:rPr>
                <w:rFonts w:ascii="Times New Roman" w:hAnsi="Times New Roman"/>
                <w:position w:val="1"/>
                <w:szCs w:val="21"/>
              </w:rPr>
              <w:t xml:space="preserve"> </w:t>
            </w:r>
            <w:r>
              <w:rPr>
                <w:rFonts w:ascii="Times New Roman" w:hAnsi="Times New Roman" w:eastAsia="Times New Roman"/>
                <w:position w:val="1"/>
                <w:szCs w:val="21"/>
              </w:rPr>
              <w:t>PM</w:t>
            </w:r>
            <w:r>
              <w:rPr>
                <w:rFonts w:ascii="Times New Roman" w:hAnsi="Times New Roman" w:eastAsia="Times New Roman"/>
                <w:szCs w:val="21"/>
              </w:rPr>
              <w:t>2.5</w:t>
            </w:r>
            <w:r>
              <w:rPr>
                <w:rFonts w:ascii="Times New Roman" w:hAnsi="Times New Roman" w:eastAsia="Times New Roman"/>
                <w:spacing w:val="14"/>
                <w:szCs w:val="21"/>
              </w:rPr>
              <w:t xml:space="preserve">  </w:t>
            </w:r>
            <w:r>
              <w:rPr>
                <w:rFonts w:ascii="Times New Roman" w:hAnsi="Times New Roman"/>
                <w:position w:val="1"/>
                <w:szCs w:val="21"/>
              </w:rPr>
              <w:t>□</w:t>
            </w:r>
          </w:p>
          <w:p>
            <w:pPr>
              <w:pStyle w:val="668"/>
              <w:autoSpaceDE w:val="0"/>
              <w:autoSpaceDN w:val="0"/>
              <w:jc w:val="center"/>
              <w:rPr>
                <w:rFonts w:ascii="Times New Roman" w:hAnsi="Times New Roman"/>
                <w:szCs w:val="21"/>
              </w:rPr>
            </w:pPr>
            <w:r>
              <w:rPr>
                <w:rFonts w:hint="eastAsia" w:ascii="Times New Roman" w:hAnsi="Times New Roman" w:eastAsia="宋体"/>
                <w:position w:val="1"/>
                <w:szCs w:val="21"/>
              </w:rPr>
              <w:t>不包括二次</w:t>
            </w:r>
            <w:r>
              <w:rPr>
                <w:rFonts w:ascii="Times New Roman" w:hAnsi="Times New Roman"/>
                <w:position w:val="1"/>
                <w:szCs w:val="21"/>
              </w:rPr>
              <w:t xml:space="preserve"> </w:t>
            </w:r>
            <w:r>
              <w:rPr>
                <w:rFonts w:ascii="Times New Roman" w:hAnsi="Times New Roman" w:eastAsia="Times New Roman"/>
                <w:position w:val="1"/>
                <w:szCs w:val="21"/>
              </w:rPr>
              <w:t>PM</w:t>
            </w:r>
            <w:r>
              <w:rPr>
                <w:rFonts w:ascii="Times New Roman" w:hAnsi="Times New Roman" w:eastAsia="Times New Roman"/>
                <w:szCs w:val="21"/>
              </w:rPr>
              <w:t>2.5</w:t>
            </w:r>
            <w:r>
              <w:rPr>
                <w:rFonts w:ascii="Times New Roman" w:hAnsi="Times New Roman" w:eastAsia="Times New Roman"/>
                <w:spacing w:val="14"/>
                <w:szCs w:val="21"/>
              </w:rPr>
              <w:t xml:space="preserve">  </w:t>
            </w:r>
            <w:r>
              <w:rPr>
                <w:rFonts w:ascii="Times New Roman" w:hAnsi="Times New Roman"/>
                <w:position w:val="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等线"/>
                <w:szCs w:val="21"/>
              </w:rPr>
            </w:pPr>
          </w:p>
        </w:tc>
        <w:tc>
          <w:tcPr>
            <w:tcW w:w="1770"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正常排放短期浓度</w:t>
            </w:r>
          </w:p>
          <w:p>
            <w:pPr>
              <w:pStyle w:val="668"/>
              <w:autoSpaceDE w:val="0"/>
              <w:autoSpaceDN w:val="0"/>
              <w:jc w:val="center"/>
              <w:rPr>
                <w:rFonts w:ascii="Times New Roman" w:hAnsi="Times New Roman"/>
                <w:szCs w:val="21"/>
              </w:rPr>
            </w:pPr>
            <w:r>
              <w:rPr>
                <w:rFonts w:hint="eastAsia" w:ascii="Times New Roman" w:hAnsi="Times New Roman" w:eastAsia="宋体"/>
                <w:szCs w:val="21"/>
              </w:rPr>
              <w:t>贡献值</w:t>
            </w:r>
          </w:p>
        </w:tc>
        <w:tc>
          <w:tcPr>
            <w:tcW w:w="3375" w:type="dxa"/>
            <w:gridSpan w:val="10"/>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35"/>
              <w:jc w:val="center"/>
              <w:rPr>
                <w:rFonts w:ascii="Times New Roman" w:hAnsi="Times New Roman"/>
                <w:szCs w:val="21"/>
              </w:rPr>
            </w:pPr>
            <w:r>
              <w:rPr>
                <w:rFonts w:ascii="Times New Roman" w:hAnsi="Times New Roman" w:eastAsia="宋体"/>
                <w:szCs w:val="21"/>
              </w:rPr>
              <w:t>C</w:t>
            </w:r>
            <w:r>
              <w:rPr>
                <w:rFonts w:hint="eastAsia" w:ascii="Times New Roman" w:hAnsi="Times New Roman" w:eastAsia="宋体"/>
                <w:position w:val="-5"/>
                <w:szCs w:val="21"/>
              </w:rPr>
              <w:t>本项目</w:t>
            </w:r>
            <w:r>
              <w:rPr>
                <w:rFonts w:hint="eastAsia" w:ascii="Times New Roman" w:hAnsi="Times New Roman" w:eastAsia="宋体"/>
                <w:szCs w:val="21"/>
              </w:rPr>
              <w:t>最大占标率</w:t>
            </w:r>
            <w:r>
              <w:rPr>
                <w:rFonts w:ascii="Times New Roman" w:hAnsi="Times New Roman"/>
                <w:szCs w:val="21"/>
              </w:rPr>
              <w:t>≤</w:t>
            </w:r>
            <w:r>
              <w:rPr>
                <w:rFonts w:ascii="Times New Roman" w:hAnsi="Times New Roman" w:eastAsia="Times New Roman"/>
                <w:szCs w:val="21"/>
              </w:rPr>
              <w:t>100%</w:t>
            </w:r>
            <w:r>
              <w:rPr>
                <w:rFonts w:ascii="Times New Roman" w:hAnsi="Times New Roman"/>
                <w:szCs w:val="21"/>
              </w:rPr>
              <w:t>□</w:t>
            </w:r>
          </w:p>
        </w:tc>
        <w:tc>
          <w:tcPr>
            <w:tcW w:w="3336" w:type="dxa"/>
            <w:gridSpan w:val="7"/>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35"/>
              <w:jc w:val="center"/>
              <w:rPr>
                <w:rFonts w:ascii="Times New Roman" w:hAnsi="Times New Roman"/>
                <w:szCs w:val="21"/>
              </w:rPr>
            </w:pPr>
            <w:r>
              <w:rPr>
                <w:rFonts w:ascii="Times New Roman" w:hAnsi="Times New Roman" w:eastAsia="宋体"/>
                <w:szCs w:val="21"/>
              </w:rPr>
              <w:t>C</w:t>
            </w:r>
            <w:r>
              <w:rPr>
                <w:rFonts w:hint="eastAsia" w:ascii="Times New Roman" w:hAnsi="Times New Roman" w:eastAsia="宋体"/>
                <w:position w:val="-5"/>
                <w:szCs w:val="21"/>
              </w:rPr>
              <w:t>本项目</w:t>
            </w:r>
            <w:r>
              <w:rPr>
                <w:rFonts w:hint="eastAsia" w:ascii="Times New Roman" w:hAnsi="Times New Roman" w:eastAsia="宋体"/>
                <w:szCs w:val="21"/>
              </w:rPr>
              <w:t>最大占标率＞</w:t>
            </w:r>
            <w:r>
              <w:rPr>
                <w:rFonts w:ascii="Times New Roman" w:hAnsi="Times New Roman" w:eastAsia="Times New Roman"/>
                <w:szCs w:val="21"/>
              </w:rPr>
              <w:t xml:space="preserve">100% </w:t>
            </w: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等线"/>
                <w:szCs w:val="21"/>
              </w:rPr>
            </w:pPr>
          </w:p>
        </w:tc>
        <w:tc>
          <w:tcPr>
            <w:tcW w:w="1770" w:type="dxa"/>
            <w:vMerge w:val="restart"/>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正常排放年均浓度贡献值</w:t>
            </w:r>
          </w:p>
        </w:tc>
        <w:tc>
          <w:tcPr>
            <w:tcW w:w="1024"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55"/>
              <w:jc w:val="center"/>
              <w:rPr>
                <w:rFonts w:ascii="Times New Roman" w:hAnsi="Times New Roman"/>
                <w:szCs w:val="21"/>
                <w:lang w:eastAsia="en-US"/>
              </w:rPr>
            </w:pPr>
            <w:r>
              <w:rPr>
                <w:rFonts w:hint="eastAsia" w:ascii="Times New Roman" w:hAnsi="Times New Roman" w:eastAsia="宋体"/>
                <w:szCs w:val="21"/>
              </w:rPr>
              <w:t>一类区</w:t>
            </w:r>
          </w:p>
        </w:tc>
        <w:tc>
          <w:tcPr>
            <w:tcW w:w="2351" w:type="dxa"/>
            <w:gridSpan w:val="9"/>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19"/>
              <w:jc w:val="center"/>
              <w:rPr>
                <w:rFonts w:ascii="Times New Roman" w:hAnsi="Times New Roman"/>
                <w:szCs w:val="21"/>
              </w:rPr>
            </w:pPr>
            <w:r>
              <w:rPr>
                <w:rFonts w:ascii="Times New Roman" w:hAnsi="Times New Roman" w:eastAsia="宋体"/>
                <w:szCs w:val="21"/>
              </w:rPr>
              <w:t>C</w:t>
            </w:r>
            <w:r>
              <w:rPr>
                <w:rFonts w:hint="eastAsia" w:ascii="Times New Roman" w:hAnsi="Times New Roman" w:eastAsia="宋体"/>
                <w:position w:val="-5"/>
                <w:szCs w:val="21"/>
              </w:rPr>
              <w:t>本项目</w:t>
            </w:r>
            <w:r>
              <w:rPr>
                <w:rFonts w:hint="eastAsia" w:ascii="Times New Roman" w:hAnsi="Times New Roman" w:eastAsia="宋体"/>
                <w:szCs w:val="21"/>
              </w:rPr>
              <w:t>最大占标率</w:t>
            </w:r>
            <w:r>
              <w:rPr>
                <w:rFonts w:ascii="Times New Roman" w:hAnsi="Times New Roman"/>
                <w:szCs w:val="21"/>
              </w:rPr>
              <w:t>≤</w:t>
            </w:r>
            <w:r>
              <w:rPr>
                <w:rFonts w:ascii="Times New Roman" w:hAnsi="Times New Roman" w:eastAsia="Times New Roman"/>
                <w:szCs w:val="21"/>
              </w:rPr>
              <w:t>10%</w:t>
            </w:r>
            <w:r>
              <w:rPr>
                <w:rFonts w:ascii="Times New Roman" w:hAnsi="Times New Roman"/>
                <w:szCs w:val="21"/>
              </w:rPr>
              <w:t>□</w:t>
            </w:r>
          </w:p>
        </w:tc>
        <w:tc>
          <w:tcPr>
            <w:tcW w:w="3336" w:type="dxa"/>
            <w:gridSpan w:val="7"/>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19"/>
              <w:jc w:val="center"/>
              <w:rPr>
                <w:rFonts w:ascii="Times New Roman" w:hAnsi="Times New Roman"/>
                <w:szCs w:val="21"/>
              </w:rPr>
            </w:pPr>
            <w:r>
              <w:rPr>
                <w:rFonts w:ascii="Times New Roman" w:hAnsi="Times New Roman" w:eastAsia="宋体"/>
                <w:szCs w:val="21"/>
              </w:rPr>
              <w:t>C</w:t>
            </w:r>
            <w:r>
              <w:rPr>
                <w:rFonts w:hint="eastAsia" w:ascii="Times New Roman" w:hAnsi="Times New Roman" w:eastAsia="宋体"/>
                <w:position w:val="-5"/>
                <w:szCs w:val="21"/>
              </w:rPr>
              <w:t>本项目</w:t>
            </w:r>
            <w:r>
              <w:rPr>
                <w:rFonts w:hint="eastAsia" w:ascii="Times New Roman" w:hAnsi="Times New Roman" w:eastAsia="宋体"/>
                <w:szCs w:val="21"/>
              </w:rPr>
              <w:t>最大标率＞</w:t>
            </w:r>
            <w:r>
              <w:rPr>
                <w:rFonts w:ascii="Times New Roman" w:hAnsi="Times New Roman" w:eastAsia="Times New Roman"/>
                <w:szCs w:val="21"/>
              </w:rPr>
              <w:t xml:space="preserve">10% </w:t>
            </w: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等线"/>
                <w:szCs w:val="21"/>
              </w:rPr>
            </w:pPr>
          </w:p>
        </w:tc>
        <w:tc>
          <w:tcPr>
            <w:tcW w:w="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等线"/>
                <w:szCs w:val="21"/>
              </w:rPr>
            </w:pPr>
          </w:p>
        </w:tc>
        <w:tc>
          <w:tcPr>
            <w:tcW w:w="1024"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16"/>
              <w:jc w:val="center"/>
              <w:rPr>
                <w:rFonts w:ascii="Times New Roman" w:hAnsi="Times New Roman"/>
                <w:szCs w:val="21"/>
                <w:lang w:eastAsia="en-US"/>
              </w:rPr>
            </w:pPr>
            <w:r>
              <w:rPr>
                <w:rFonts w:hint="eastAsia" w:ascii="Times New Roman" w:hAnsi="Times New Roman" w:eastAsia="宋体"/>
                <w:szCs w:val="21"/>
              </w:rPr>
              <w:t>二类区</w:t>
            </w:r>
          </w:p>
        </w:tc>
        <w:tc>
          <w:tcPr>
            <w:tcW w:w="2351" w:type="dxa"/>
            <w:gridSpan w:val="9"/>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ascii="Times New Roman" w:hAnsi="Times New Roman" w:eastAsia="宋体"/>
                <w:szCs w:val="21"/>
              </w:rPr>
              <w:t>C</w:t>
            </w:r>
            <w:r>
              <w:rPr>
                <w:rFonts w:hint="eastAsia" w:ascii="Times New Roman" w:hAnsi="Times New Roman" w:eastAsia="宋体"/>
                <w:position w:val="-5"/>
                <w:szCs w:val="21"/>
              </w:rPr>
              <w:t>本项目</w:t>
            </w:r>
            <w:r>
              <w:rPr>
                <w:rFonts w:hint="eastAsia" w:ascii="Times New Roman" w:hAnsi="Times New Roman" w:eastAsia="宋体"/>
                <w:szCs w:val="21"/>
              </w:rPr>
              <w:t>最大占标率</w:t>
            </w:r>
            <w:r>
              <w:rPr>
                <w:rFonts w:ascii="Times New Roman" w:hAnsi="Times New Roman"/>
                <w:szCs w:val="21"/>
              </w:rPr>
              <w:t>≤</w:t>
            </w:r>
            <w:r>
              <w:rPr>
                <w:rFonts w:ascii="Times New Roman" w:hAnsi="Times New Roman" w:eastAsia="Times New Roman"/>
                <w:szCs w:val="21"/>
              </w:rPr>
              <w:t>30%</w:t>
            </w:r>
            <w:r>
              <w:rPr>
                <w:rFonts w:ascii="Times New Roman" w:hAnsi="Times New Roman"/>
                <w:szCs w:val="21"/>
              </w:rPr>
              <w:t>□</w:t>
            </w:r>
          </w:p>
        </w:tc>
        <w:tc>
          <w:tcPr>
            <w:tcW w:w="3336" w:type="dxa"/>
            <w:gridSpan w:val="7"/>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ascii="Times New Roman" w:hAnsi="Times New Roman" w:eastAsia="宋体"/>
                <w:szCs w:val="21"/>
              </w:rPr>
              <w:t>C</w:t>
            </w:r>
            <w:r>
              <w:rPr>
                <w:rFonts w:hint="eastAsia" w:ascii="Times New Roman" w:hAnsi="Times New Roman" w:eastAsia="宋体"/>
                <w:position w:val="-5"/>
                <w:szCs w:val="21"/>
              </w:rPr>
              <w:t>本项目</w:t>
            </w:r>
            <w:r>
              <w:rPr>
                <w:rFonts w:hint="eastAsia" w:ascii="Times New Roman" w:hAnsi="Times New Roman" w:eastAsia="宋体"/>
                <w:szCs w:val="21"/>
              </w:rPr>
              <w:t>最大标率＞</w:t>
            </w:r>
            <w:r>
              <w:rPr>
                <w:rFonts w:ascii="Times New Roman" w:hAnsi="Times New Roman" w:eastAsia="Times New Roman"/>
                <w:szCs w:val="21"/>
              </w:rPr>
              <w:t xml:space="preserve">30% </w:t>
            </w: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等线"/>
                <w:szCs w:val="21"/>
              </w:rPr>
            </w:pPr>
          </w:p>
        </w:tc>
        <w:tc>
          <w:tcPr>
            <w:tcW w:w="1770"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非正常排放</w:t>
            </w:r>
            <w:r>
              <w:rPr>
                <w:rFonts w:ascii="Times New Roman" w:hAnsi="Times New Roman"/>
                <w:szCs w:val="21"/>
              </w:rPr>
              <w:t xml:space="preserve"> </w:t>
            </w:r>
            <w:r>
              <w:rPr>
                <w:rFonts w:ascii="Times New Roman" w:hAnsi="Times New Roman" w:eastAsia="Times New Roman"/>
                <w:szCs w:val="21"/>
              </w:rPr>
              <w:t xml:space="preserve">1h </w:t>
            </w:r>
            <w:r>
              <w:rPr>
                <w:rFonts w:hint="eastAsia" w:ascii="Times New Roman" w:hAnsi="Times New Roman" w:eastAsia="宋体"/>
                <w:szCs w:val="21"/>
              </w:rPr>
              <w:t>浓度</w:t>
            </w:r>
          </w:p>
          <w:p>
            <w:pPr>
              <w:pStyle w:val="668"/>
              <w:autoSpaceDE w:val="0"/>
              <w:autoSpaceDN w:val="0"/>
              <w:jc w:val="center"/>
              <w:rPr>
                <w:rFonts w:ascii="Times New Roman" w:hAnsi="Times New Roman"/>
                <w:szCs w:val="21"/>
              </w:rPr>
            </w:pPr>
            <w:r>
              <w:rPr>
                <w:rFonts w:hint="eastAsia" w:ascii="Times New Roman" w:hAnsi="Times New Roman" w:eastAsia="宋体"/>
                <w:szCs w:val="21"/>
              </w:rPr>
              <w:t>贡献值</w:t>
            </w:r>
          </w:p>
        </w:tc>
        <w:tc>
          <w:tcPr>
            <w:tcW w:w="1538" w:type="dxa"/>
            <w:gridSpan w:val="3"/>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非正常持续时长</w:t>
            </w:r>
          </w:p>
          <w:p>
            <w:pPr>
              <w:pStyle w:val="668"/>
              <w:autoSpaceDE w:val="0"/>
              <w:autoSpaceDN w:val="0"/>
              <w:jc w:val="center"/>
              <w:rPr>
                <w:rFonts w:ascii="Times New Roman" w:hAnsi="Times New Roman" w:eastAsia="Times New Roman"/>
                <w:szCs w:val="21"/>
              </w:rPr>
            </w:pPr>
            <w:r>
              <w:rPr>
                <w:rFonts w:hint="eastAsia" w:ascii="Times New Roman" w:hAnsi="Times New Roman" w:eastAsia="宋体"/>
                <w:szCs w:val="21"/>
              </w:rPr>
              <w:t>（</w:t>
            </w:r>
            <w:r>
              <w:rPr>
                <w:rFonts w:ascii="Times New Roman" w:hAnsi="Times New Roman"/>
                <w:szCs w:val="21"/>
              </w:rPr>
              <w:t xml:space="preserve"> </w:t>
            </w:r>
            <w:r>
              <w:rPr>
                <w:rFonts w:hint="eastAsia" w:ascii="Times New Roman" w:hAnsi="Times New Roman" w:eastAsia="宋体"/>
                <w:szCs w:val="21"/>
              </w:rPr>
              <w:t>）</w:t>
            </w:r>
            <w:r>
              <w:rPr>
                <w:rFonts w:ascii="Times New Roman" w:hAnsi="Times New Roman" w:eastAsia="Times New Roman"/>
                <w:szCs w:val="21"/>
              </w:rPr>
              <w:t>h</w:t>
            </w:r>
          </w:p>
        </w:tc>
        <w:tc>
          <w:tcPr>
            <w:tcW w:w="2804" w:type="dxa"/>
            <w:gridSpan w:val="9"/>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33"/>
              <w:jc w:val="center"/>
              <w:rPr>
                <w:rFonts w:ascii="Times New Roman" w:hAnsi="Times New Roman" w:eastAsia="等线"/>
                <w:szCs w:val="21"/>
                <w:lang w:eastAsia="en-US"/>
              </w:rPr>
            </w:pPr>
            <w:r>
              <w:rPr>
                <w:rFonts w:ascii="Times New Roman" w:hAnsi="Times New Roman" w:eastAsia="宋体"/>
                <w:szCs w:val="21"/>
              </w:rPr>
              <w:t>C</w:t>
            </w:r>
            <w:r>
              <w:rPr>
                <w:rFonts w:hint="eastAsia" w:ascii="Times New Roman" w:hAnsi="Times New Roman" w:eastAsia="宋体"/>
                <w:position w:val="-5"/>
                <w:szCs w:val="21"/>
              </w:rPr>
              <w:t>非正常</w:t>
            </w:r>
            <w:r>
              <w:rPr>
                <w:rFonts w:hint="eastAsia" w:ascii="Times New Roman" w:hAnsi="Times New Roman" w:eastAsia="宋体"/>
                <w:szCs w:val="21"/>
              </w:rPr>
              <w:t>占标率</w:t>
            </w:r>
            <w:r>
              <w:rPr>
                <w:rFonts w:ascii="Times New Roman" w:hAnsi="Times New Roman"/>
                <w:szCs w:val="21"/>
              </w:rPr>
              <w:t>≤</w:t>
            </w:r>
            <w:r>
              <w:rPr>
                <w:rFonts w:ascii="Times New Roman" w:hAnsi="Times New Roman" w:eastAsia="Times New Roman"/>
                <w:szCs w:val="21"/>
              </w:rPr>
              <w:t xml:space="preserve">100% </w:t>
            </w:r>
            <w:r>
              <w:rPr>
                <w:rFonts w:ascii="Times New Roman" w:hAnsi="Times New Roman"/>
                <w:szCs w:val="21"/>
              </w:rPr>
              <w:t>□</w:t>
            </w:r>
          </w:p>
        </w:tc>
        <w:tc>
          <w:tcPr>
            <w:tcW w:w="2369" w:type="dxa"/>
            <w:gridSpan w:val="5"/>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33"/>
              <w:jc w:val="center"/>
              <w:rPr>
                <w:rFonts w:ascii="Times New Roman" w:hAnsi="Times New Roman"/>
                <w:szCs w:val="21"/>
              </w:rPr>
            </w:pPr>
            <w:r>
              <w:rPr>
                <w:rFonts w:ascii="Times New Roman" w:hAnsi="Times New Roman" w:eastAsia="宋体"/>
                <w:szCs w:val="21"/>
              </w:rPr>
              <w:t>C</w:t>
            </w:r>
            <w:r>
              <w:rPr>
                <w:rFonts w:hint="eastAsia" w:ascii="Times New Roman" w:hAnsi="Times New Roman" w:eastAsia="宋体"/>
                <w:position w:val="-5"/>
                <w:szCs w:val="21"/>
              </w:rPr>
              <w:t>非正常</w:t>
            </w:r>
            <w:r>
              <w:rPr>
                <w:rFonts w:hint="eastAsia" w:ascii="Times New Roman" w:hAnsi="Times New Roman" w:eastAsia="宋体"/>
                <w:szCs w:val="21"/>
              </w:rPr>
              <w:t>占标率＞</w:t>
            </w:r>
            <w:r>
              <w:rPr>
                <w:rFonts w:ascii="Times New Roman" w:hAnsi="Times New Roman" w:eastAsia="Times New Roman"/>
                <w:szCs w:val="21"/>
              </w:rPr>
              <w:t>100%</w:t>
            </w: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等线"/>
                <w:szCs w:val="21"/>
              </w:rPr>
            </w:pPr>
          </w:p>
        </w:tc>
        <w:tc>
          <w:tcPr>
            <w:tcW w:w="1770"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77"/>
              <w:jc w:val="center"/>
              <w:rPr>
                <w:rFonts w:ascii="Times New Roman" w:hAnsi="Times New Roman"/>
                <w:szCs w:val="21"/>
              </w:rPr>
            </w:pPr>
            <w:r>
              <w:rPr>
                <w:rFonts w:hint="eastAsia" w:ascii="Times New Roman" w:hAnsi="Times New Roman" w:eastAsia="宋体"/>
                <w:szCs w:val="21"/>
              </w:rPr>
              <w:t>保证率日平均浓度和年平均浓度叠加值</w:t>
            </w:r>
          </w:p>
        </w:tc>
        <w:tc>
          <w:tcPr>
            <w:tcW w:w="3172" w:type="dxa"/>
            <w:gridSpan w:val="9"/>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86"/>
              <w:jc w:val="center"/>
              <w:rPr>
                <w:rFonts w:ascii="Times New Roman" w:hAnsi="Times New Roman"/>
                <w:szCs w:val="21"/>
                <w:lang w:eastAsia="en-US"/>
              </w:rPr>
            </w:pPr>
            <w:r>
              <w:rPr>
                <w:rFonts w:ascii="Times New Roman" w:hAnsi="Times New Roman" w:eastAsia="宋体"/>
                <w:szCs w:val="21"/>
              </w:rPr>
              <w:t>C</w:t>
            </w:r>
            <w:r>
              <w:rPr>
                <w:rFonts w:hint="eastAsia" w:ascii="Times New Roman" w:hAnsi="Times New Roman" w:eastAsia="宋体"/>
                <w:position w:val="-5"/>
                <w:szCs w:val="21"/>
              </w:rPr>
              <w:t>叠加</w:t>
            </w:r>
            <w:r>
              <w:rPr>
                <w:rFonts w:hint="eastAsia" w:ascii="Times New Roman" w:hAnsi="Times New Roman" w:eastAsia="宋体"/>
                <w:szCs w:val="21"/>
              </w:rPr>
              <w:t>达标</w:t>
            </w:r>
            <w:r>
              <w:rPr>
                <w:rFonts w:ascii="Times New Roman" w:hAnsi="Times New Roman"/>
                <w:szCs w:val="21"/>
              </w:rPr>
              <w:t xml:space="preserve">  □</w:t>
            </w:r>
          </w:p>
        </w:tc>
        <w:tc>
          <w:tcPr>
            <w:tcW w:w="3539" w:type="dxa"/>
            <w:gridSpan w:val="8"/>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86"/>
              <w:jc w:val="center"/>
              <w:rPr>
                <w:rFonts w:ascii="Times New Roman" w:hAnsi="Times New Roman"/>
                <w:szCs w:val="21"/>
              </w:rPr>
            </w:pPr>
            <w:r>
              <w:rPr>
                <w:rFonts w:ascii="Times New Roman" w:hAnsi="Times New Roman" w:eastAsia="宋体"/>
                <w:szCs w:val="21"/>
              </w:rPr>
              <w:t>C</w:t>
            </w:r>
            <w:r>
              <w:rPr>
                <w:rFonts w:hint="eastAsia" w:ascii="Times New Roman" w:hAnsi="Times New Roman" w:eastAsia="宋体"/>
                <w:position w:val="-5"/>
                <w:szCs w:val="21"/>
              </w:rPr>
              <w:t>叠加</w:t>
            </w:r>
            <w:r>
              <w:rPr>
                <w:rFonts w:hint="eastAsia" w:ascii="Times New Roman" w:hAnsi="Times New Roman" w:eastAsia="宋体"/>
                <w:szCs w:val="21"/>
              </w:rPr>
              <w:t>不达标</w:t>
            </w:r>
            <w:r>
              <w:rPr>
                <w:rFonts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等线"/>
                <w:szCs w:val="21"/>
              </w:rPr>
            </w:pPr>
          </w:p>
        </w:tc>
        <w:tc>
          <w:tcPr>
            <w:tcW w:w="1770"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区域环境质量的整体</w:t>
            </w:r>
          </w:p>
          <w:p>
            <w:pPr>
              <w:pStyle w:val="668"/>
              <w:autoSpaceDE w:val="0"/>
              <w:autoSpaceDN w:val="0"/>
              <w:jc w:val="center"/>
              <w:rPr>
                <w:rFonts w:ascii="Times New Roman" w:hAnsi="Times New Roman"/>
                <w:szCs w:val="21"/>
              </w:rPr>
            </w:pPr>
            <w:r>
              <w:rPr>
                <w:rFonts w:hint="eastAsia" w:ascii="Times New Roman" w:hAnsi="Times New Roman" w:eastAsia="宋体"/>
                <w:szCs w:val="21"/>
              </w:rPr>
              <w:t>变化情况</w:t>
            </w:r>
          </w:p>
        </w:tc>
        <w:tc>
          <w:tcPr>
            <w:tcW w:w="3172" w:type="dxa"/>
            <w:gridSpan w:val="9"/>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71"/>
              <w:jc w:val="center"/>
              <w:rPr>
                <w:rFonts w:ascii="Times New Roman" w:hAnsi="Times New Roman"/>
                <w:szCs w:val="21"/>
                <w:lang w:eastAsia="en-US"/>
              </w:rPr>
            </w:pPr>
            <w:r>
              <w:rPr>
                <w:rFonts w:ascii="Times New Roman" w:hAnsi="Times New Roman"/>
                <w:i/>
                <w:szCs w:val="21"/>
              </w:rPr>
              <w:t xml:space="preserve">k  </w:t>
            </w:r>
            <w:r>
              <w:rPr>
                <w:rFonts w:ascii="Times New Roman" w:hAnsi="Times New Roman"/>
                <w:szCs w:val="21"/>
              </w:rPr>
              <w:t>≤-20% □</w:t>
            </w:r>
          </w:p>
        </w:tc>
        <w:tc>
          <w:tcPr>
            <w:tcW w:w="3539" w:type="dxa"/>
            <w:gridSpan w:val="8"/>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71"/>
              <w:jc w:val="center"/>
              <w:rPr>
                <w:rFonts w:ascii="Times New Roman" w:hAnsi="Times New Roman"/>
                <w:szCs w:val="21"/>
              </w:rPr>
            </w:pPr>
            <w:r>
              <w:rPr>
                <w:rFonts w:ascii="Times New Roman" w:hAnsi="Times New Roman" w:eastAsia="Times New Roman"/>
                <w:i/>
                <w:szCs w:val="21"/>
              </w:rPr>
              <w:t xml:space="preserve">k  </w:t>
            </w:r>
            <w:r>
              <w:rPr>
                <w:rFonts w:hint="eastAsia" w:ascii="Times New Roman" w:hAnsi="Times New Roman" w:eastAsia="宋体"/>
                <w:szCs w:val="21"/>
              </w:rPr>
              <w:t>＞</w:t>
            </w:r>
            <w:r>
              <w:rPr>
                <w:rFonts w:ascii="Times New Roman" w:hAnsi="Times New Roman" w:eastAsia="Times New Roman"/>
                <w:szCs w:val="21"/>
              </w:rPr>
              <w:t xml:space="preserve">-20% </w:t>
            </w: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9" w:type="dxa"/>
            <w:vMerge w:val="restart"/>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环境监测</w:t>
            </w:r>
          </w:p>
          <w:p>
            <w:pPr>
              <w:pStyle w:val="668"/>
              <w:autoSpaceDE w:val="0"/>
              <w:autoSpaceDN w:val="0"/>
              <w:jc w:val="center"/>
              <w:rPr>
                <w:rFonts w:ascii="Times New Roman" w:hAnsi="Times New Roman"/>
                <w:szCs w:val="21"/>
              </w:rPr>
            </w:pPr>
            <w:r>
              <w:rPr>
                <w:rFonts w:hint="eastAsia" w:ascii="Times New Roman" w:hAnsi="Times New Roman" w:eastAsia="宋体"/>
                <w:szCs w:val="21"/>
              </w:rPr>
              <w:t>计划</w:t>
            </w:r>
          </w:p>
        </w:tc>
        <w:tc>
          <w:tcPr>
            <w:tcW w:w="1770"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71"/>
              <w:jc w:val="center"/>
              <w:rPr>
                <w:rFonts w:ascii="Times New Roman" w:hAnsi="Times New Roman"/>
                <w:szCs w:val="21"/>
              </w:rPr>
            </w:pPr>
            <w:r>
              <w:rPr>
                <w:rFonts w:hint="eastAsia" w:ascii="Times New Roman" w:hAnsi="Times New Roman" w:eastAsia="宋体"/>
                <w:szCs w:val="21"/>
              </w:rPr>
              <w:t>污染源监测</w:t>
            </w:r>
          </w:p>
        </w:tc>
        <w:tc>
          <w:tcPr>
            <w:tcW w:w="3172" w:type="dxa"/>
            <w:gridSpan w:val="9"/>
            <w:tcBorders>
              <w:top w:val="single" w:color="auto" w:sz="4" w:space="0"/>
              <w:left w:val="single" w:color="auto" w:sz="4" w:space="0"/>
              <w:bottom w:val="single" w:color="auto" w:sz="4" w:space="0"/>
              <w:right w:val="single" w:color="auto" w:sz="4" w:space="0"/>
            </w:tcBorders>
            <w:vAlign w:val="center"/>
          </w:tcPr>
          <w:p>
            <w:pPr>
              <w:pStyle w:val="668"/>
              <w:tabs>
                <w:tab w:val="left" w:pos="2466"/>
              </w:tabs>
              <w:autoSpaceDE w:val="0"/>
              <w:autoSpaceDN w:val="0"/>
              <w:spacing w:before="71"/>
              <w:jc w:val="center"/>
              <w:rPr>
                <w:rFonts w:ascii="Times New Roman" w:hAnsi="Times New Roman"/>
                <w:szCs w:val="21"/>
              </w:rPr>
            </w:pPr>
            <w:r>
              <w:rPr>
                <w:rFonts w:hint="eastAsia" w:ascii="Times New Roman" w:hAnsi="Times New Roman" w:eastAsia="宋体"/>
                <w:szCs w:val="21"/>
              </w:rPr>
              <w:t>监测因子</w:t>
            </w:r>
            <w:r>
              <w:rPr>
                <w:rFonts w:hint="eastAsia" w:ascii="Times New Roman" w:hAnsi="Times New Roman" w:eastAsia="宋体"/>
                <w:spacing w:val="-92"/>
                <w:szCs w:val="21"/>
              </w:rPr>
              <w:t>：</w:t>
            </w:r>
            <w:r>
              <w:rPr>
                <w:rFonts w:hint="eastAsia" w:ascii="Times New Roman" w:hAnsi="Times New Roman" w:eastAsia="宋体"/>
                <w:szCs w:val="21"/>
              </w:rPr>
              <w:t>（</w:t>
            </w:r>
            <w:r>
              <w:rPr>
                <w:rFonts w:ascii="Times New Roman" w:hAnsi="Times New Roman" w:eastAsia="宋体"/>
                <w:szCs w:val="21"/>
              </w:rPr>
              <w:t xml:space="preserve">  </w:t>
            </w:r>
            <w:r>
              <w:rPr>
                <w:rFonts w:hint="eastAsia" w:ascii="Times New Roman" w:hAnsi="Times New Roman" w:eastAsia="宋体"/>
                <w:szCs w:val="21"/>
              </w:rPr>
              <w:t>）</w:t>
            </w:r>
          </w:p>
        </w:tc>
        <w:tc>
          <w:tcPr>
            <w:tcW w:w="2268" w:type="dxa"/>
            <w:gridSpan w:val="6"/>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宋体"/>
                <w:szCs w:val="21"/>
              </w:rPr>
            </w:pPr>
            <w:r>
              <w:rPr>
                <w:rFonts w:hint="eastAsia" w:ascii="Times New Roman" w:hAnsi="Times New Roman" w:eastAsia="宋体"/>
                <w:szCs w:val="21"/>
              </w:rPr>
              <w:t>有组织废气监测</w:t>
            </w:r>
            <w:r>
              <w:rPr>
                <w:rFonts w:ascii="Times New Roman" w:hAnsi="Times New Roman"/>
                <w:szCs w:val="21"/>
              </w:rPr>
              <w:t xml:space="preserve">  □</w:t>
            </w:r>
          </w:p>
          <w:p>
            <w:pPr>
              <w:pStyle w:val="668"/>
              <w:autoSpaceDE w:val="0"/>
              <w:autoSpaceDN w:val="0"/>
              <w:jc w:val="center"/>
              <w:rPr>
                <w:rFonts w:ascii="Times New Roman" w:hAnsi="Times New Roman" w:eastAsia="宋体"/>
                <w:szCs w:val="21"/>
              </w:rPr>
            </w:pPr>
            <w:r>
              <w:rPr>
                <w:rFonts w:hint="eastAsia" w:ascii="Times New Roman" w:hAnsi="Times New Roman" w:eastAsia="宋体"/>
                <w:szCs w:val="21"/>
              </w:rPr>
              <w:t>无组织废气监测</w:t>
            </w:r>
            <w:r>
              <w:rPr>
                <w:rFonts w:ascii="Times New Roman" w:hAnsi="Times New Roman"/>
                <w:szCs w:val="21"/>
              </w:rPr>
              <w:t xml:space="preserve">  </w:t>
            </w:r>
            <w:r>
              <w:rPr>
                <w:rFonts w:ascii="Segoe UI Symbol" w:hAnsi="Segoe UI Symbol" w:eastAsia="MS Mincho" w:cs="Segoe UI Symbol"/>
                <w:szCs w:val="21"/>
              </w:rPr>
              <w:t>☑</w:t>
            </w:r>
          </w:p>
        </w:tc>
        <w:tc>
          <w:tcPr>
            <w:tcW w:w="1271" w:type="dxa"/>
            <w:gridSpan w:val="2"/>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71"/>
              <w:jc w:val="center"/>
              <w:rPr>
                <w:rFonts w:ascii="Times New Roman" w:hAnsi="Times New Roman" w:eastAsia="等线"/>
                <w:szCs w:val="21"/>
                <w:lang w:eastAsia="en-US"/>
              </w:rPr>
            </w:pPr>
            <w:r>
              <w:rPr>
                <w:rFonts w:hint="eastAsia" w:ascii="Times New Roman" w:hAnsi="Times New Roman" w:eastAsia="宋体"/>
                <w:szCs w:val="21"/>
              </w:rPr>
              <w:t>无监测</w:t>
            </w: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等线"/>
                <w:szCs w:val="21"/>
                <w:lang w:eastAsia="en-US"/>
              </w:rPr>
            </w:pPr>
          </w:p>
        </w:tc>
        <w:tc>
          <w:tcPr>
            <w:tcW w:w="1770"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环境质量监测</w:t>
            </w:r>
          </w:p>
        </w:tc>
        <w:tc>
          <w:tcPr>
            <w:tcW w:w="3172" w:type="dxa"/>
            <w:gridSpan w:val="9"/>
            <w:tcBorders>
              <w:top w:val="single" w:color="auto" w:sz="4" w:space="0"/>
              <w:left w:val="single" w:color="auto" w:sz="4" w:space="0"/>
              <w:bottom w:val="single" w:color="auto" w:sz="4" w:space="0"/>
              <w:right w:val="single" w:color="auto" w:sz="4" w:space="0"/>
            </w:tcBorders>
            <w:vAlign w:val="center"/>
          </w:tcPr>
          <w:p>
            <w:pPr>
              <w:pStyle w:val="668"/>
              <w:tabs>
                <w:tab w:val="left" w:pos="2466"/>
              </w:tabs>
              <w:autoSpaceDE w:val="0"/>
              <w:autoSpaceDN w:val="0"/>
              <w:jc w:val="center"/>
              <w:rPr>
                <w:rFonts w:ascii="Times New Roman" w:hAnsi="Times New Roman"/>
                <w:szCs w:val="21"/>
              </w:rPr>
            </w:pPr>
            <w:r>
              <w:rPr>
                <w:rFonts w:hint="eastAsia" w:ascii="Times New Roman" w:hAnsi="Times New Roman" w:eastAsia="宋体"/>
                <w:szCs w:val="21"/>
              </w:rPr>
              <w:t>监测因子</w:t>
            </w:r>
            <w:r>
              <w:rPr>
                <w:rFonts w:hint="eastAsia" w:ascii="Times New Roman" w:hAnsi="Times New Roman" w:eastAsia="宋体"/>
                <w:spacing w:val="-92"/>
                <w:szCs w:val="21"/>
              </w:rPr>
              <w:t>：</w:t>
            </w:r>
            <w:r>
              <w:rPr>
                <w:rFonts w:hint="eastAsia" w:ascii="Times New Roman" w:hAnsi="Times New Roman" w:eastAsia="宋体"/>
                <w:szCs w:val="21"/>
              </w:rPr>
              <w:t>（</w:t>
            </w:r>
            <w:r>
              <w:rPr>
                <w:rFonts w:ascii="Times New Roman" w:hAnsi="Times New Roman" w:eastAsia="宋体"/>
                <w:szCs w:val="21"/>
              </w:rPr>
              <w:t xml:space="preserve">  </w:t>
            </w:r>
            <w:r>
              <w:rPr>
                <w:rFonts w:hint="eastAsia" w:ascii="Times New Roman" w:hAnsi="Times New Roman" w:eastAsia="宋体"/>
                <w:szCs w:val="21"/>
              </w:rPr>
              <w:t>）</w:t>
            </w:r>
          </w:p>
        </w:tc>
        <w:tc>
          <w:tcPr>
            <w:tcW w:w="2268" w:type="dxa"/>
            <w:gridSpan w:val="6"/>
            <w:tcBorders>
              <w:top w:val="single" w:color="auto" w:sz="4" w:space="0"/>
              <w:left w:val="single" w:color="auto" w:sz="4" w:space="0"/>
              <w:bottom w:val="single" w:color="auto" w:sz="4" w:space="0"/>
              <w:right w:val="single" w:color="auto" w:sz="4" w:space="0"/>
            </w:tcBorders>
            <w:vAlign w:val="center"/>
          </w:tcPr>
          <w:p>
            <w:pPr>
              <w:pStyle w:val="668"/>
              <w:tabs>
                <w:tab w:val="left" w:pos="1928"/>
              </w:tabs>
              <w:autoSpaceDE w:val="0"/>
              <w:autoSpaceDN w:val="0"/>
              <w:jc w:val="center"/>
              <w:rPr>
                <w:rFonts w:ascii="Times New Roman" w:hAnsi="Times New Roman"/>
                <w:szCs w:val="21"/>
              </w:rPr>
            </w:pPr>
            <w:r>
              <w:rPr>
                <w:rFonts w:hint="eastAsia" w:ascii="Times New Roman" w:hAnsi="Times New Roman" w:eastAsia="宋体"/>
                <w:szCs w:val="21"/>
              </w:rPr>
              <w:t>监测点位数（</w:t>
            </w:r>
            <w:r>
              <w:rPr>
                <w:rFonts w:ascii="Times New Roman" w:hAnsi="Times New Roman" w:eastAsia="宋体"/>
                <w:szCs w:val="21"/>
              </w:rPr>
              <w:t xml:space="preserve">  </w:t>
            </w:r>
            <w:r>
              <w:rPr>
                <w:rFonts w:hint="eastAsia" w:ascii="Times New Roman" w:hAnsi="Times New Roman" w:eastAsia="宋体"/>
                <w:szCs w:val="21"/>
              </w:rPr>
              <w:t>）</w:t>
            </w:r>
          </w:p>
        </w:tc>
        <w:tc>
          <w:tcPr>
            <w:tcW w:w="1271" w:type="dxa"/>
            <w:gridSpan w:val="2"/>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szCs w:val="21"/>
              </w:rPr>
            </w:pPr>
            <w:r>
              <w:rPr>
                <w:rFonts w:hint="eastAsia" w:ascii="Times New Roman" w:hAnsi="Times New Roman" w:eastAsia="宋体"/>
                <w:szCs w:val="21"/>
              </w:rPr>
              <w:t>无监测</w:t>
            </w:r>
            <w:r>
              <w:rPr>
                <w:rFonts w:ascii="Segoe UI Symbol" w:hAnsi="Segoe UI Symbol" w:eastAsia="MS Mincho" w:cs="Segoe UI Symbo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9" w:type="dxa"/>
            <w:vMerge w:val="restart"/>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1"/>
              <w:jc w:val="center"/>
              <w:rPr>
                <w:rFonts w:ascii="Times New Roman" w:hAnsi="Times New Roman"/>
                <w:szCs w:val="21"/>
              </w:rPr>
            </w:pPr>
            <w:r>
              <w:rPr>
                <w:rFonts w:hint="eastAsia" w:ascii="Times New Roman" w:hAnsi="Times New Roman" w:eastAsia="宋体"/>
                <w:szCs w:val="21"/>
              </w:rPr>
              <w:t>评价结论</w:t>
            </w:r>
          </w:p>
        </w:tc>
        <w:tc>
          <w:tcPr>
            <w:tcW w:w="1770"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7"/>
              <w:jc w:val="center"/>
              <w:rPr>
                <w:rFonts w:ascii="Times New Roman" w:hAnsi="Times New Roman"/>
                <w:szCs w:val="21"/>
              </w:rPr>
            </w:pPr>
            <w:r>
              <w:rPr>
                <w:rFonts w:hint="eastAsia" w:ascii="Times New Roman" w:hAnsi="Times New Roman" w:eastAsia="宋体"/>
                <w:szCs w:val="21"/>
              </w:rPr>
              <w:t>环境影响</w:t>
            </w:r>
          </w:p>
        </w:tc>
        <w:tc>
          <w:tcPr>
            <w:tcW w:w="6711" w:type="dxa"/>
            <w:gridSpan w:val="17"/>
            <w:tcBorders>
              <w:top w:val="single" w:color="auto" w:sz="4" w:space="0"/>
              <w:left w:val="single" w:color="auto" w:sz="4" w:space="0"/>
              <w:bottom w:val="single" w:color="auto" w:sz="4" w:space="0"/>
              <w:right w:val="single" w:color="auto" w:sz="4" w:space="0"/>
            </w:tcBorders>
            <w:vAlign w:val="center"/>
          </w:tcPr>
          <w:p>
            <w:pPr>
              <w:pStyle w:val="668"/>
              <w:tabs>
                <w:tab w:val="left" w:pos="3582"/>
              </w:tabs>
              <w:autoSpaceDE w:val="0"/>
              <w:autoSpaceDN w:val="0"/>
              <w:spacing w:before="7"/>
              <w:jc w:val="center"/>
              <w:rPr>
                <w:rFonts w:ascii="Times New Roman" w:hAnsi="Times New Roman"/>
                <w:szCs w:val="21"/>
              </w:rPr>
            </w:pPr>
            <w:r>
              <w:rPr>
                <w:rFonts w:hint="eastAsia" w:ascii="Times New Roman" w:hAnsi="Times New Roman" w:eastAsia="宋体"/>
                <w:szCs w:val="21"/>
              </w:rPr>
              <w:t>可以接受</w:t>
            </w:r>
            <w:r>
              <w:rPr>
                <w:rFonts w:ascii="Times New Roman" w:hAnsi="Times New Roman"/>
                <w:szCs w:val="21"/>
              </w:rPr>
              <w:t xml:space="preserve"> </w:t>
            </w:r>
            <w:r>
              <w:rPr>
                <w:rFonts w:ascii="Times New Roman" w:hAnsi="Times New Roman"/>
                <w:spacing w:val="10"/>
                <w:szCs w:val="21"/>
              </w:rPr>
              <w:t xml:space="preserve"> </w:t>
            </w:r>
            <w:r>
              <w:rPr>
                <w:rFonts w:ascii="Segoe UI Symbol" w:hAnsi="Segoe UI Symbol" w:eastAsia="MS Mincho" w:cs="Segoe UI Symbol"/>
                <w:szCs w:val="21"/>
              </w:rPr>
              <w:t>☑</w:t>
            </w:r>
            <w:r>
              <w:rPr>
                <w:rFonts w:ascii="Times New Roman" w:hAnsi="Times New Roman"/>
                <w:szCs w:val="21"/>
              </w:rPr>
              <w:tab/>
            </w:r>
            <w:r>
              <w:rPr>
                <w:rFonts w:hint="eastAsia" w:ascii="Times New Roman" w:hAnsi="Times New Roman" w:eastAsia="宋体"/>
                <w:szCs w:val="21"/>
              </w:rPr>
              <w:t>不可以</w:t>
            </w:r>
            <w:r>
              <w:rPr>
                <w:rFonts w:hint="eastAsia" w:ascii="Times New Roman" w:hAnsi="Times New Roman" w:eastAsia="宋体"/>
                <w:spacing w:val="-3"/>
                <w:szCs w:val="21"/>
              </w:rPr>
              <w:t>接</w:t>
            </w:r>
            <w:r>
              <w:rPr>
                <w:rFonts w:hint="eastAsia" w:ascii="Times New Roman" w:hAnsi="Times New Roman" w:eastAsia="宋体"/>
                <w:szCs w:val="21"/>
              </w:rPr>
              <w:t>受</w:t>
            </w:r>
            <w:r>
              <w:rPr>
                <w:rFonts w:ascii="Times New Roman" w:hAnsi="Times New Roman"/>
                <w:spacing w:val="11"/>
                <w:szCs w:val="21"/>
              </w:rPr>
              <w:t xml:space="preserve"> </w:t>
            </w: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等线"/>
                <w:szCs w:val="21"/>
              </w:rPr>
            </w:pPr>
          </w:p>
        </w:tc>
        <w:tc>
          <w:tcPr>
            <w:tcW w:w="1770"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spacing w:before="9"/>
              <w:jc w:val="center"/>
              <w:rPr>
                <w:rFonts w:ascii="Times New Roman" w:hAnsi="Times New Roman"/>
                <w:szCs w:val="21"/>
              </w:rPr>
            </w:pPr>
            <w:r>
              <w:rPr>
                <w:rFonts w:hint="eastAsia" w:ascii="Times New Roman" w:hAnsi="Times New Roman" w:eastAsia="宋体"/>
                <w:szCs w:val="21"/>
              </w:rPr>
              <w:t>大气环境防护距离</w:t>
            </w:r>
          </w:p>
        </w:tc>
        <w:tc>
          <w:tcPr>
            <w:tcW w:w="6711" w:type="dxa"/>
            <w:gridSpan w:val="17"/>
            <w:tcBorders>
              <w:top w:val="single" w:color="auto" w:sz="4" w:space="0"/>
              <w:left w:val="single" w:color="auto" w:sz="4" w:space="0"/>
              <w:bottom w:val="single" w:color="auto" w:sz="4" w:space="0"/>
              <w:right w:val="single" w:color="auto" w:sz="4" w:space="0"/>
            </w:tcBorders>
            <w:vAlign w:val="center"/>
          </w:tcPr>
          <w:p>
            <w:pPr>
              <w:pStyle w:val="668"/>
              <w:tabs>
                <w:tab w:val="left" w:pos="2840"/>
                <w:tab w:val="left" w:pos="4367"/>
              </w:tabs>
              <w:autoSpaceDE w:val="0"/>
              <w:autoSpaceDN w:val="0"/>
              <w:spacing w:before="9"/>
              <w:jc w:val="center"/>
              <w:rPr>
                <w:rFonts w:ascii="Times New Roman" w:hAnsi="Times New Roman" w:eastAsia="Times New Roman"/>
                <w:szCs w:val="21"/>
              </w:rPr>
            </w:pPr>
            <w:r>
              <w:rPr>
                <w:rFonts w:hint="eastAsia" w:ascii="Times New Roman" w:hAnsi="Times New Roman" w:eastAsia="宋体"/>
                <w:szCs w:val="21"/>
              </w:rPr>
              <w:t>距（</w:t>
            </w:r>
            <w:r>
              <w:rPr>
                <w:rFonts w:ascii="Times New Roman" w:hAnsi="Times New Roman"/>
                <w:szCs w:val="21"/>
              </w:rPr>
              <w:tab/>
            </w:r>
            <w:r>
              <w:rPr>
                <w:rFonts w:hint="eastAsia" w:ascii="Times New Roman" w:hAnsi="Times New Roman" w:eastAsia="宋体"/>
                <w:szCs w:val="21"/>
              </w:rPr>
              <w:t>）厂界最远（</w:t>
            </w:r>
            <w:r>
              <w:rPr>
                <w:rFonts w:ascii="Times New Roman" w:hAnsi="Times New Roman"/>
                <w:szCs w:val="21"/>
              </w:rPr>
              <w:tab/>
            </w:r>
            <w:r>
              <w:rPr>
                <w:rFonts w:hint="eastAsia" w:ascii="Times New Roman" w:hAnsi="Times New Roman" w:eastAsia="宋体"/>
                <w:szCs w:val="21"/>
              </w:rPr>
              <w:t>）</w:t>
            </w:r>
            <w:r>
              <w:rPr>
                <w:rFonts w:ascii="Times New Roman" w:hAnsi="Times New Roman" w:eastAsia="Times New Roman"/>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等线"/>
                <w:szCs w:val="21"/>
              </w:rPr>
            </w:pPr>
          </w:p>
        </w:tc>
        <w:tc>
          <w:tcPr>
            <w:tcW w:w="1770" w:type="dxa"/>
            <w:tcBorders>
              <w:top w:val="single" w:color="auto" w:sz="4" w:space="0"/>
              <w:left w:val="single" w:color="auto" w:sz="4" w:space="0"/>
              <w:bottom w:val="single" w:color="auto" w:sz="4" w:space="0"/>
              <w:right w:val="single" w:color="auto" w:sz="4" w:space="0"/>
            </w:tcBorders>
            <w:vAlign w:val="center"/>
          </w:tcPr>
          <w:p>
            <w:pPr>
              <w:pStyle w:val="668"/>
              <w:autoSpaceDE w:val="0"/>
              <w:autoSpaceDN w:val="0"/>
              <w:jc w:val="center"/>
              <w:rPr>
                <w:rFonts w:ascii="Times New Roman" w:hAnsi="Times New Roman" w:eastAsia="等线"/>
                <w:szCs w:val="21"/>
                <w:lang w:eastAsia="en-US"/>
              </w:rPr>
            </w:pPr>
            <w:r>
              <w:rPr>
                <w:rFonts w:hint="eastAsia" w:ascii="Times New Roman" w:hAnsi="Times New Roman" w:eastAsia="宋体"/>
                <w:szCs w:val="21"/>
              </w:rPr>
              <w:t>污染源年排放量</w:t>
            </w:r>
          </w:p>
        </w:tc>
        <w:tc>
          <w:tcPr>
            <w:tcW w:w="1812" w:type="dxa"/>
            <w:gridSpan w:val="4"/>
            <w:tcBorders>
              <w:top w:val="single" w:color="auto" w:sz="4" w:space="0"/>
              <w:left w:val="single" w:color="auto" w:sz="4" w:space="0"/>
              <w:bottom w:val="single" w:color="auto" w:sz="4" w:space="0"/>
              <w:right w:val="single" w:color="auto" w:sz="4" w:space="0"/>
            </w:tcBorders>
            <w:vAlign w:val="center"/>
          </w:tcPr>
          <w:p>
            <w:pPr>
              <w:pStyle w:val="668"/>
              <w:tabs>
                <w:tab w:val="left" w:pos="1129"/>
              </w:tabs>
              <w:autoSpaceDE w:val="0"/>
              <w:autoSpaceDN w:val="0"/>
              <w:jc w:val="center"/>
              <w:rPr>
                <w:rFonts w:ascii="Times New Roman" w:hAnsi="Times New Roman" w:eastAsia="Times New Roman"/>
                <w:szCs w:val="21"/>
              </w:rPr>
            </w:pPr>
            <w:r>
              <w:rPr>
                <w:rFonts w:ascii="Times New Roman" w:hAnsi="Times New Roman" w:eastAsia="Times New Roman"/>
                <w:position w:val="1"/>
                <w:szCs w:val="21"/>
              </w:rPr>
              <w:t>SO</w:t>
            </w:r>
            <w:r>
              <w:rPr>
                <w:rFonts w:ascii="Times New Roman" w:hAnsi="Times New Roman" w:eastAsia="Times New Roman"/>
                <w:szCs w:val="21"/>
                <w:vertAlign w:val="subscript"/>
              </w:rPr>
              <w:t>2</w:t>
            </w:r>
            <w:r>
              <w:rPr>
                <w:rFonts w:ascii="Times New Roman" w:hAnsi="Times New Roman" w:eastAsia="Times New Roman"/>
                <w:position w:val="1"/>
                <w:szCs w:val="21"/>
              </w:rPr>
              <w:t>:</w:t>
            </w:r>
            <w:r>
              <w:rPr>
                <w:rFonts w:hint="eastAsia" w:ascii="Times New Roman" w:hAnsi="Times New Roman" w:eastAsia="宋体"/>
                <w:position w:val="1"/>
                <w:szCs w:val="21"/>
              </w:rPr>
              <w:t>（</w:t>
            </w:r>
            <w:r>
              <w:rPr>
                <w:rFonts w:ascii="Times New Roman" w:hAnsi="Times New Roman" w:eastAsia="宋体"/>
                <w:position w:val="1"/>
                <w:szCs w:val="21"/>
              </w:rPr>
              <w:t>/</w:t>
            </w:r>
            <w:r>
              <w:rPr>
                <w:rFonts w:hint="eastAsia" w:ascii="Times New Roman" w:hAnsi="Times New Roman" w:eastAsia="宋体"/>
                <w:position w:val="1"/>
                <w:szCs w:val="21"/>
              </w:rPr>
              <w:t>）</w:t>
            </w:r>
            <w:r>
              <w:rPr>
                <w:rFonts w:ascii="Times New Roman" w:hAnsi="Times New Roman" w:eastAsia="Times New Roman"/>
                <w:position w:val="1"/>
                <w:szCs w:val="21"/>
              </w:rPr>
              <w:t>t/a</w:t>
            </w:r>
          </w:p>
        </w:tc>
        <w:tc>
          <w:tcPr>
            <w:tcW w:w="1563" w:type="dxa"/>
            <w:gridSpan w:val="6"/>
            <w:tcBorders>
              <w:top w:val="single" w:color="auto" w:sz="4" w:space="0"/>
              <w:left w:val="single" w:color="auto" w:sz="4" w:space="0"/>
              <w:bottom w:val="single" w:color="auto" w:sz="4" w:space="0"/>
              <w:right w:val="single" w:color="auto" w:sz="4" w:space="0"/>
            </w:tcBorders>
            <w:vAlign w:val="center"/>
          </w:tcPr>
          <w:p>
            <w:pPr>
              <w:pStyle w:val="668"/>
              <w:tabs>
                <w:tab w:val="left" w:pos="1181"/>
              </w:tabs>
              <w:autoSpaceDE w:val="0"/>
              <w:autoSpaceDN w:val="0"/>
              <w:jc w:val="center"/>
              <w:rPr>
                <w:rFonts w:ascii="Times New Roman" w:hAnsi="Times New Roman" w:eastAsia="Times New Roman"/>
                <w:szCs w:val="21"/>
              </w:rPr>
            </w:pPr>
            <w:r>
              <w:rPr>
                <w:rFonts w:ascii="Times New Roman" w:hAnsi="Times New Roman" w:eastAsia="Times New Roman"/>
                <w:position w:val="1"/>
                <w:szCs w:val="21"/>
              </w:rPr>
              <w:t>NO</w:t>
            </w:r>
            <w:r>
              <w:rPr>
                <w:rFonts w:ascii="Times New Roman" w:hAnsi="Times New Roman" w:eastAsia="Times New Roman"/>
                <w:szCs w:val="21"/>
              </w:rPr>
              <w:t>x</w:t>
            </w:r>
            <w:r>
              <w:rPr>
                <w:rFonts w:ascii="Times New Roman" w:hAnsi="Times New Roman" w:eastAsia="Times New Roman"/>
                <w:position w:val="1"/>
                <w:szCs w:val="21"/>
              </w:rPr>
              <w:t>:</w:t>
            </w:r>
            <w:r>
              <w:rPr>
                <w:rFonts w:hint="eastAsia" w:ascii="Times New Roman" w:hAnsi="Times New Roman" w:eastAsia="宋体"/>
                <w:position w:val="1"/>
                <w:szCs w:val="21"/>
              </w:rPr>
              <w:t>（/）</w:t>
            </w:r>
            <w:r>
              <w:rPr>
                <w:rFonts w:ascii="Times New Roman" w:hAnsi="Times New Roman" w:eastAsia="Times New Roman"/>
                <w:position w:val="1"/>
                <w:szCs w:val="21"/>
              </w:rPr>
              <w:t>t/a</w:t>
            </w:r>
          </w:p>
        </w:tc>
        <w:tc>
          <w:tcPr>
            <w:tcW w:w="1984" w:type="dxa"/>
            <w:gridSpan w:val="4"/>
            <w:tcBorders>
              <w:top w:val="single" w:color="auto" w:sz="4" w:space="0"/>
              <w:left w:val="single" w:color="auto" w:sz="4" w:space="0"/>
              <w:bottom w:val="single" w:color="auto" w:sz="4" w:space="0"/>
              <w:right w:val="single" w:color="auto" w:sz="4" w:space="0"/>
            </w:tcBorders>
            <w:vAlign w:val="center"/>
          </w:tcPr>
          <w:p>
            <w:pPr>
              <w:pStyle w:val="668"/>
              <w:tabs>
                <w:tab w:val="left" w:pos="1081"/>
              </w:tabs>
              <w:autoSpaceDE w:val="0"/>
              <w:autoSpaceDN w:val="0"/>
              <w:jc w:val="center"/>
              <w:rPr>
                <w:rFonts w:ascii="Times New Roman" w:hAnsi="Times New Roman" w:eastAsia="Times New Roman"/>
                <w:szCs w:val="21"/>
              </w:rPr>
            </w:pPr>
            <w:r>
              <w:rPr>
                <w:rFonts w:hint="eastAsia" w:ascii="Times New Roman" w:hAnsi="Times New Roman" w:eastAsia="宋体"/>
                <w:szCs w:val="21"/>
              </w:rPr>
              <w:t>颗粒物</w:t>
            </w:r>
            <w:r>
              <w:rPr>
                <w:rFonts w:ascii="Times New Roman" w:hAnsi="Times New Roman" w:eastAsia="Times New Roman"/>
                <w:szCs w:val="21"/>
              </w:rPr>
              <w:t>:</w:t>
            </w:r>
            <w:r>
              <w:rPr>
                <w:rFonts w:hint="eastAsia" w:ascii="Times New Roman" w:hAnsi="Times New Roman" w:eastAsia="宋体"/>
                <w:szCs w:val="21"/>
              </w:rPr>
              <w:t>（</w:t>
            </w:r>
            <w:r>
              <w:rPr>
                <w:rFonts w:ascii="Times New Roman" w:hAnsi="Times New Roman" w:eastAsia="宋体"/>
                <w:szCs w:val="21"/>
              </w:rPr>
              <w:t>/</w:t>
            </w:r>
            <w:r>
              <w:rPr>
                <w:rFonts w:hint="eastAsia" w:ascii="Times New Roman" w:hAnsi="Times New Roman" w:eastAsia="宋体"/>
                <w:szCs w:val="21"/>
              </w:rPr>
              <w:t>）</w:t>
            </w:r>
            <w:r>
              <w:rPr>
                <w:rFonts w:ascii="Times New Roman" w:hAnsi="Times New Roman" w:eastAsia="Times New Roman"/>
                <w:szCs w:val="21"/>
              </w:rPr>
              <w:t>t/a</w:t>
            </w:r>
          </w:p>
        </w:tc>
        <w:tc>
          <w:tcPr>
            <w:tcW w:w="1352" w:type="dxa"/>
            <w:gridSpan w:val="3"/>
            <w:tcBorders>
              <w:top w:val="single" w:color="auto" w:sz="4" w:space="0"/>
              <w:left w:val="single" w:color="auto" w:sz="4" w:space="0"/>
              <w:bottom w:val="single" w:color="auto" w:sz="4" w:space="0"/>
              <w:right w:val="single" w:color="auto" w:sz="4" w:space="0"/>
            </w:tcBorders>
            <w:vAlign w:val="center"/>
          </w:tcPr>
          <w:p>
            <w:pPr>
              <w:pStyle w:val="668"/>
              <w:tabs>
                <w:tab w:val="left" w:pos="1039"/>
              </w:tabs>
              <w:autoSpaceDE w:val="0"/>
              <w:autoSpaceDN w:val="0"/>
              <w:jc w:val="center"/>
              <w:rPr>
                <w:rFonts w:ascii="Times New Roman" w:hAnsi="Times New Roman" w:eastAsia="Times New Roman"/>
                <w:szCs w:val="21"/>
              </w:rPr>
            </w:pPr>
            <w:r>
              <w:rPr>
                <w:rFonts w:ascii="Times New Roman" w:hAnsi="Times New Roman" w:eastAsia="Times New Roman"/>
                <w:position w:val="1"/>
                <w:szCs w:val="21"/>
              </w:rPr>
              <w:t>VOC</w:t>
            </w:r>
            <w:r>
              <w:rPr>
                <w:rFonts w:ascii="Times New Roman" w:hAnsi="Times New Roman" w:eastAsia="Times New Roman"/>
                <w:szCs w:val="21"/>
              </w:rPr>
              <w:t>s</w:t>
            </w:r>
            <w:r>
              <w:rPr>
                <w:rFonts w:ascii="Times New Roman" w:hAnsi="Times New Roman" w:eastAsia="Times New Roman"/>
                <w:position w:val="1"/>
                <w:szCs w:val="21"/>
              </w:rPr>
              <w:t>:</w:t>
            </w:r>
            <w:r>
              <w:rPr>
                <w:rFonts w:hint="eastAsia" w:ascii="Times New Roman" w:hAnsi="Times New Roman" w:eastAsia="宋体"/>
                <w:position w:val="1"/>
                <w:szCs w:val="21"/>
              </w:rPr>
              <w:t>（</w:t>
            </w:r>
            <w:r>
              <w:rPr>
                <w:rFonts w:ascii="Times New Roman" w:hAnsi="Times New Roman" w:eastAsia="宋体"/>
                <w:position w:val="1"/>
                <w:szCs w:val="21"/>
              </w:rPr>
              <w:t>0.028</w:t>
            </w:r>
            <w:r>
              <w:rPr>
                <w:rFonts w:hint="eastAsia" w:ascii="Times New Roman" w:hAnsi="Times New Roman" w:eastAsia="宋体"/>
                <w:position w:val="1"/>
                <w:szCs w:val="21"/>
              </w:rPr>
              <w:t>）</w:t>
            </w:r>
            <w:r>
              <w:rPr>
                <w:rFonts w:ascii="Times New Roman" w:hAnsi="Times New Roman" w:eastAsia="Times New Roman"/>
                <w:position w:val="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10" w:type="dxa"/>
            <w:gridSpan w:val="19"/>
            <w:tcBorders>
              <w:top w:val="single" w:color="auto" w:sz="4" w:space="0"/>
              <w:left w:val="single" w:color="auto" w:sz="4" w:space="0"/>
              <w:bottom w:val="single" w:color="auto" w:sz="4" w:space="0"/>
              <w:right w:val="single" w:color="auto" w:sz="4" w:space="0"/>
            </w:tcBorders>
            <w:vAlign w:val="center"/>
          </w:tcPr>
          <w:p>
            <w:pPr>
              <w:pStyle w:val="668"/>
              <w:tabs>
                <w:tab w:val="left" w:pos="3439"/>
              </w:tabs>
              <w:autoSpaceDE w:val="0"/>
              <w:autoSpaceDN w:val="0"/>
              <w:spacing w:before="14"/>
              <w:jc w:val="left"/>
              <w:rPr>
                <w:rFonts w:ascii="Times New Roman" w:hAnsi="Times New Roman" w:eastAsia="等线"/>
                <w:szCs w:val="21"/>
              </w:rPr>
            </w:pPr>
            <w:r>
              <w:rPr>
                <w:rFonts w:hint="eastAsia" w:ascii="Times New Roman" w:hAnsi="Times New Roman" w:eastAsia="宋体"/>
                <w:szCs w:val="21"/>
              </w:rPr>
              <w:t>注</w:t>
            </w:r>
            <w:r>
              <w:rPr>
                <w:rFonts w:hint="eastAsia" w:ascii="Times New Roman" w:hAnsi="Times New Roman" w:eastAsia="宋体"/>
                <w:spacing w:val="-92"/>
                <w:szCs w:val="21"/>
              </w:rPr>
              <w:t>：</w:t>
            </w:r>
            <w:r>
              <w:rPr>
                <w:rFonts w:ascii="Times New Roman" w:hAnsi="Times New Roman"/>
                <w:w w:val="210"/>
                <w:szCs w:val="21"/>
              </w:rPr>
              <w:t>“</w:t>
            </w:r>
            <w:r>
              <w:rPr>
                <w:rFonts w:ascii="Times New Roman" w:hAnsi="Times New Roman"/>
                <w:spacing w:val="2"/>
                <w:szCs w:val="21"/>
              </w:rPr>
              <w:t>□</w:t>
            </w:r>
            <w:r>
              <w:rPr>
                <w:rFonts w:ascii="Times New Roman" w:hAnsi="Times New Roman"/>
                <w:w w:val="210"/>
                <w:szCs w:val="21"/>
              </w:rPr>
              <w:t>”</w:t>
            </w:r>
            <w:r>
              <w:rPr>
                <w:rFonts w:ascii="Times New Roman" w:hAnsi="Times New Roman"/>
                <w:szCs w:val="21"/>
              </w:rPr>
              <w:t xml:space="preserve"> </w:t>
            </w:r>
            <w:r>
              <w:rPr>
                <w:rFonts w:ascii="Times New Roman" w:hAnsi="Times New Roman"/>
                <w:spacing w:val="10"/>
                <w:szCs w:val="21"/>
              </w:rPr>
              <w:t xml:space="preserve"> </w:t>
            </w:r>
            <w:r>
              <w:rPr>
                <w:rFonts w:hint="eastAsia" w:ascii="Times New Roman" w:hAnsi="Times New Roman" w:eastAsia="宋体"/>
                <w:szCs w:val="21"/>
              </w:rPr>
              <w:t>为勾选项</w:t>
            </w:r>
            <w:r>
              <w:rPr>
                <w:rFonts w:ascii="Times New Roman" w:hAnsi="Times New Roman"/>
                <w:szCs w:val="21"/>
              </w:rPr>
              <w:t xml:space="preserve"> </w:t>
            </w:r>
            <w:r>
              <w:rPr>
                <w:rFonts w:ascii="Times New Roman" w:hAnsi="Times New Roman"/>
                <w:spacing w:val="10"/>
                <w:szCs w:val="21"/>
              </w:rPr>
              <w:t xml:space="preserve"> </w:t>
            </w:r>
            <w:r>
              <w:rPr>
                <w:rFonts w:hint="eastAsia" w:ascii="Times New Roman" w:hAnsi="Times New Roman" w:eastAsia="宋体"/>
                <w:szCs w:val="21"/>
              </w:rPr>
              <w:t>，填</w:t>
            </w:r>
            <w:r>
              <w:rPr>
                <w:rFonts w:ascii="Times New Roman" w:hAnsi="Times New Roman"/>
                <w:w w:val="135"/>
                <w:szCs w:val="21"/>
              </w:rPr>
              <w:t>“</w:t>
            </w:r>
            <w:r>
              <w:rPr>
                <w:rFonts w:ascii="Times New Roman" w:hAnsi="Times New Roman" w:eastAsia="宋体"/>
                <w:spacing w:val="-3"/>
                <w:w w:val="135"/>
                <w:szCs w:val="21"/>
              </w:rPr>
              <w:t>√</w:t>
            </w:r>
            <w:r>
              <w:rPr>
                <w:rFonts w:ascii="Times New Roman" w:hAnsi="Times New Roman"/>
                <w:w w:val="210"/>
                <w:szCs w:val="21"/>
              </w:rPr>
              <w:t>”</w:t>
            </w:r>
            <w:r>
              <w:rPr>
                <w:rFonts w:ascii="Times New Roman" w:hAnsi="Times New Roman"/>
                <w:szCs w:val="21"/>
              </w:rPr>
              <w:t xml:space="preserve"> </w:t>
            </w:r>
            <w:r>
              <w:rPr>
                <w:rFonts w:ascii="Times New Roman" w:hAnsi="Times New Roman"/>
                <w:spacing w:val="11"/>
                <w:szCs w:val="21"/>
              </w:rPr>
              <w:t xml:space="preserve"> </w:t>
            </w:r>
            <w:r>
              <w:rPr>
                <w:rFonts w:hint="eastAsia" w:ascii="Times New Roman" w:hAnsi="Times New Roman" w:eastAsia="宋体"/>
                <w:szCs w:val="21"/>
              </w:rPr>
              <w:t>；</w:t>
            </w:r>
            <w:r>
              <w:rPr>
                <w:rFonts w:ascii="Times New Roman" w:hAnsi="Times New Roman" w:eastAsia="Times New Roman"/>
                <w:spacing w:val="-1"/>
                <w:szCs w:val="21"/>
              </w:rPr>
              <w:t>“</w:t>
            </w:r>
            <w:r>
              <w:rPr>
                <w:rFonts w:hint="eastAsia" w:ascii="Times New Roman" w:hAnsi="Times New Roman" w:eastAsia="宋体"/>
                <w:szCs w:val="21"/>
              </w:rPr>
              <w:t>（</w:t>
            </w:r>
            <w:r>
              <w:rPr>
                <w:rFonts w:ascii="Times New Roman" w:hAnsi="Times New Roman"/>
                <w:szCs w:val="21"/>
              </w:rPr>
              <w:tab/>
            </w:r>
            <w:r>
              <w:rPr>
                <w:rFonts w:hint="eastAsia" w:ascii="Times New Roman" w:hAnsi="Times New Roman" w:eastAsia="宋体"/>
                <w:szCs w:val="21"/>
              </w:rPr>
              <w:t>）</w:t>
            </w:r>
            <w:r>
              <w:rPr>
                <w:rFonts w:ascii="Times New Roman" w:hAnsi="Times New Roman" w:eastAsia="Times New Roman"/>
                <w:szCs w:val="21"/>
              </w:rPr>
              <w:t xml:space="preserve">”  </w:t>
            </w:r>
            <w:r>
              <w:rPr>
                <w:rFonts w:hint="eastAsia" w:ascii="Times New Roman" w:hAnsi="Times New Roman" w:eastAsia="宋体"/>
                <w:szCs w:val="21"/>
              </w:rPr>
              <w:t>为内容填写项</w:t>
            </w:r>
          </w:p>
        </w:tc>
      </w:tr>
    </w:tbl>
    <w:p>
      <w:pPr>
        <w:pStyle w:val="5"/>
        <w:spacing w:before="120" w:after="120"/>
        <w:rPr>
          <w:spacing w:val="0"/>
        </w:rPr>
      </w:pPr>
      <w:bookmarkStart w:id="353" w:name="_Toc145580428"/>
      <w:r>
        <w:rPr>
          <w:rFonts w:hint="eastAsia"/>
          <w:spacing w:val="0"/>
        </w:rPr>
        <w:t>5.2.2运营期水环境影响分析</w:t>
      </w:r>
      <w:bookmarkEnd w:id="352"/>
      <w:bookmarkEnd w:id="353"/>
    </w:p>
    <w:p>
      <w:pPr>
        <w:pStyle w:val="7"/>
        <w:rPr>
          <w:spacing w:val="0"/>
        </w:rPr>
      </w:pPr>
      <w:r>
        <w:rPr>
          <w:rFonts w:hint="eastAsia"/>
          <w:spacing w:val="0"/>
        </w:rPr>
        <w:t>5.2.2.1地表水环境影响分析</w:t>
      </w:r>
    </w:p>
    <w:p>
      <w:pPr>
        <w:pStyle w:val="494"/>
        <w:ind w:firstLine="480"/>
      </w:pPr>
      <w:r>
        <w:rPr>
          <w:rFonts w:hint="eastAsia"/>
        </w:rPr>
        <w:t>（</w:t>
      </w:r>
      <w:r>
        <w:t>1</w:t>
      </w:r>
      <w:r>
        <w:rPr>
          <w:rFonts w:hint="eastAsia"/>
        </w:rPr>
        <w:t>）生活污水</w:t>
      </w:r>
    </w:p>
    <w:p>
      <w:pPr>
        <w:pStyle w:val="494"/>
        <w:ind w:firstLine="480"/>
      </w:pPr>
      <w:r>
        <w:rPr>
          <w:rFonts w:hint="eastAsia"/>
        </w:rPr>
        <w:t>本项目运营期无新增生活污水。</w:t>
      </w:r>
    </w:p>
    <w:p>
      <w:pPr>
        <w:pStyle w:val="494"/>
        <w:ind w:firstLine="480"/>
      </w:pPr>
      <w:r>
        <w:rPr>
          <w:rFonts w:hint="eastAsia"/>
        </w:rPr>
        <w:t>（</w:t>
      </w:r>
      <w:r>
        <w:t>2</w:t>
      </w:r>
      <w:r>
        <w:rPr>
          <w:rFonts w:hint="eastAsia"/>
        </w:rPr>
        <w:t>）生产废水</w:t>
      </w:r>
    </w:p>
    <w:p>
      <w:pPr>
        <w:pStyle w:val="494"/>
        <w:ind w:firstLine="480"/>
      </w:pPr>
      <w:r>
        <w:rPr>
          <w:rFonts w:hint="eastAsia"/>
        </w:rPr>
        <w:t>项目生产废水主要为三相分离器中产生的含油污水、缓冲罐废水、干燥塔分子筛再生过程中脱离出的废水，根据工程分析计算，生产废水产生量为</w:t>
      </w:r>
      <w:r>
        <w:t>60m</w:t>
      </w:r>
      <w:r>
        <w:rPr>
          <w:vertAlign w:val="superscript"/>
        </w:rPr>
        <w:t>3</w:t>
      </w:r>
      <w:r>
        <w:t>/d</w:t>
      </w:r>
      <w:r>
        <w:rPr>
          <w:rFonts w:hint="eastAsia"/>
        </w:rPr>
        <w:t>，项目厂区设置有一座</w:t>
      </w:r>
      <w:r>
        <w:t>54m</w:t>
      </w:r>
      <w:r>
        <w:rPr>
          <w:vertAlign w:val="superscript"/>
        </w:rPr>
        <w:t>3</w:t>
      </w:r>
      <w:r>
        <w:rPr>
          <w:rFonts w:hint="eastAsia"/>
        </w:rPr>
        <w:t>排污罐，生产废水全部排入罐中，定期由罐车拉运至春风一号联合站处理达标后进行回注处置（约一天拉运2次）。</w:t>
      </w:r>
    </w:p>
    <w:p>
      <w:pPr>
        <w:pStyle w:val="494"/>
        <w:ind w:firstLine="480"/>
      </w:pPr>
      <w:r>
        <w:rPr>
          <w:rFonts w:hint="eastAsia"/>
        </w:rPr>
        <w:t>（</w:t>
      </w:r>
      <w:r>
        <w:t>3</w:t>
      </w:r>
      <w:r>
        <w:rPr>
          <w:rFonts w:hint="eastAsia"/>
        </w:rPr>
        <w:t>）小结</w:t>
      </w:r>
    </w:p>
    <w:p>
      <w:pPr>
        <w:pStyle w:val="494"/>
        <w:ind w:firstLine="480"/>
      </w:pPr>
      <w:r>
        <w:rPr>
          <w:rFonts w:hint="eastAsia"/>
        </w:rPr>
        <w:t>综上所述，项目产生的各类废水均得到合理处置，不会对项目区地表水造成影响。</w:t>
      </w:r>
    </w:p>
    <w:p>
      <w:pPr>
        <w:pStyle w:val="7"/>
        <w:rPr>
          <w:spacing w:val="0"/>
        </w:rPr>
      </w:pPr>
      <w:r>
        <w:rPr>
          <w:rFonts w:hint="eastAsia"/>
          <w:spacing w:val="0"/>
        </w:rPr>
        <w:t>5.2.2.2地下水环境影响分析</w:t>
      </w:r>
    </w:p>
    <w:p>
      <w:pPr>
        <w:pStyle w:val="494"/>
        <w:ind w:firstLine="480"/>
      </w:pPr>
      <w:r>
        <w:t>（1）地下水赋存和含水层特征</w:t>
      </w:r>
    </w:p>
    <w:p>
      <w:pPr>
        <w:pStyle w:val="494"/>
        <w:ind w:firstLine="480"/>
      </w:pPr>
      <w:r>
        <w:rPr>
          <w:rFonts w:hint="eastAsia" w:ascii="宋体" w:hAnsi="宋体" w:cs="宋体"/>
        </w:rPr>
        <w:t>①</w:t>
      </w:r>
      <w:r>
        <w:t>潜水埋藏与分布</w:t>
      </w:r>
    </w:p>
    <w:p>
      <w:pPr>
        <w:pStyle w:val="494"/>
        <w:ind w:firstLine="480"/>
      </w:pPr>
      <w:r>
        <w:t>阜康市山前砾质平原区以扇形相连分布于海拔高程 650~800 m一带。这里冬季寒冷，夏季干旱炎热，年平均降水量约200~250 mm，蒸发量约2000~ 2300 mm，降水中只有形成雨洪及春季冰雪融水，对地下水才有一定的补给意义。但是该带河床、渠系分布纵横，形成较优越的地表水转化补给条件。因此，地表水是丰富的地下水渗漏补给来源。</w:t>
      </w:r>
    </w:p>
    <w:p>
      <w:pPr>
        <w:pStyle w:val="494"/>
        <w:ind w:firstLine="480"/>
      </w:pPr>
      <w:r>
        <w:t>由于从第四纪以来长期处于沉降阶段，此区堆积了较厚的冰水相及冲洪积相松散堆积物，在山前呈扇形分布。堆积物后缘为卵砾石粗粒相，前缘为中粒相的砂砾石，砾间孔隙大，是赋存地下水的良好场所，有优越渗漏补给条件，成为储存潜水的地区。</w:t>
      </w:r>
    </w:p>
    <w:p>
      <w:pPr>
        <w:pStyle w:val="494"/>
        <w:ind w:firstLine="480"/>
      </w:pPr>
      <w:r>
        <w:t>山前砾质平原区含水层岩性及厚度的垂向变化，主要受构造影响。如西部三工河、四工河洪积扇轴部及两侧第四系含水层厚度均大于 200 m，而扇间含水层厚度则较薄，含水层颗粒相对较细，且粗细交错层次较复杂，所以两处潜水埋藏深度及富水程度均有差异。</w:t>
      </w:r>
    </w:p>
    <w:p>
      <w:pPr>
        <w:pStyle w:val="494"/>
        <w:ind w:firstLine="480"/>
      </w:pPr>
      <w:r>
        <w:t>地下水埋藏深度与各洪积扇地貌形态紧密相关。在扇后缘埋深大于 100 m或 50~100m，向前缘渐变为50~30m，即由深藏带过渡到浅藏带。潜水含水层的特征为：由于分选性不同，垂向上部含水层富水性、给水能力优于下部；东部甘河子、白杨河流域，含水层厚度大于西部三、四工河、水磨河流域。</w:t>
      </w:r>
    </w:p>
    <w:p>
      <w:pPr>
        <w:pStyle w:val="494"/>
        <w:ind w:firstLine="480"/>
      </w:pPr>
      <w:r>
        <w:rPr>
          <w:rFonts w:hint="eastAsia" w:ascii="宋体" w:hAnsi="宋体" w:cs="宋体"/>
        </w:rPr>
        <w:t>②</w:t>
      </w:r>
      <w:r>
        <w:t>承压水埋藏与分布</w:t>
      </w:r>
    </w:p>
    <w:p>
      <w:pPr>
        <w:pStyle w:val="494"/>
        <w:ind w:firstLine="480"/>
      </w:pPr>
      <w:r>
        <w:t>承压水主要分布在冲洪积扇缘以北的广大平原区内。其含水岩组一般由砾砂过渡为粗砂、细砂、粉细砂。在洪积扇前缘带附近，含水层岩性多为砾卵石、砂砾石及中粗砂。在 200m以上深度内多具有两个含水岩组，其上部为潜水，下部为承压水。扇缘以北12~15km，含水层岩性多为砂砾石及中粗砂，含水层厚度相对变薄，层次增多。在200m以上深度内一般有3~4个含水岩组，其表层含水岩组多为潜水或弱承压水，下部为承压自流水。扇缘以北15km以外北部沙漠边缘一带，含水层岩性均为粉细砂层，最大厚度可达 130m 左右。由于地层沉积环境及补给条件不同，其含水层的分布及水文地质特征存在一定的差异。</w:t>
      </w:r>
    </w:p>
    <w:p>
      <w:pPr>
        <w:pStyle w:val="494"/>
        <w:ind w:firstLine="480"/>
      </w:pPr>
      <w:r>
        <w:t>（2）地下水补径排条件</w:t>
      </w:r>
    </w:p>
    <w:p>
      <w:pPr>
        <w:pStyle w:val="494"/>
        <w:ind w:firstLine="480"/>
      </w:pPr>
      <w:r>
        <w:rPr>
          <w:rFonts w:hint="eastAsia" w:ascii="宋体" w:hAnsi="宋体" w:cs="宋体"/>
        </w:rPr>
        <w:t>①</w:t>
      </w:r>
      <w:r>
        <w:t>补给</w:t>
      </w:r>
    </w:p>
    <w:p>
      <w:pPr>
        <w:pStyle w:val="494"/>
        <w:ind w:firstLine="480"/>
      </w:pPr>
      <w:r>
        <w:t>南部海拔3000m以上的高山带年平均降水量为700~800mm，为现代冰川极发达区，孕育着大小冰川54条，是阜康市各河流的发源地。出山口各河系经戈壁砾石带垂直渗透补给及河床潜水的侧向补给，每年春季冰雪消融水及大于10mm的次降雨量形成的洪水补给，河床内均覆盖有薄层的冰水相卵砾石层及较为发育的基岩裂隙，为地下水的补给创造了良好的条件。地下水补给主要有上游侧向补给和过洪时河渠地表水的入渗补给，其次还有降水入渗补给，水库、渠道渗漏补给，以及工业用水、城镇居民用水入渗。</w:t>
      </w:r>
    </w:p>
    <w:p>
      <w:pPr>
        <w:pStyle w:val="494"/>
        <w:ind w:firstLine="480"/>
      </w:pPr>
      <w:r>
        <w:rPr>
          <w:rFonts w:hint="eastAsia" w:ascii="宋体" w:hAnsi="宋体" w:cs="宋体"/>
        </w:rPr>
        <w:t>②</w:t>
      </w:r>
      <w:r>
        <w:t>径流</w:t>
      </w:r>
    </w:p>
    <w:p>
      <w:pPr>
        <w:pStyle w:val="494"/>
        <w:ind w:firstLine="480"/>
      </w:pPr>
      <w:r>
        <w:t>阜康市第四纪松散堆积物巨厚，孔隙十分发育，地下水的补给条件十分优越。阜康市平原区山前地下水径流方向大体由南向北径流，溢出带以北受地下水开采以及地形影响，地下水总体向北运动，滋泥泉子镇以北区域地下水向北东运动；土墩子农场、六运湖农场以北区域地下水向北西运动，黄土梁子以北地下水则向北东径流。</w:t>
      </w:r>
    </w:p>
    <w:p>
      <w:pPr>
        <w:pStyle w:val="494"/>
        <w:ind w:firstLine="480"/>
      </w:pPr>
      <w:r>
        <w:rPr>
          <w:rFonts w:hint="eastAsia" w:ascii="宋体" w:hAnsi="宋体" w:cs="宋体"/>
        </w:rPr>
        <w:t>③</w:t>
      </w:r>
      <w:r>
        <w:t>排泄</w:t>
      </w:r>
    </w:p>
    <w:p>
      <w:pPr>
        <w:pStyle w:val="494"/>
        <w:ind w:firstLine="480"/>
      </w:pPr>
      <w:r>
        <w:t>研究区为广大冲积、洪积细土平原区，气候干燥，植被稀疏。在水资源未大量利用前，地下水排泄途径以强烈的蒸发和植被的蒸腾作用为主，随着区域水资源利用的大幅提高，地下水位大幅下降，主要通过地下水开采为主，其次是少量（埋深＜6.0m）区域的潜水蒸发及侧向排泄，主要发生在下游渔尔沟、黄土梁、大泉、小泉及林泉三、四队、兵团222团一带。</w:t>
      </w:r>
    </w:p>
    <w:p>
      <w:pPr>
        <w:pStyle w:val="494"/>
        <w:ind w:firstLine="480"/>
      </w:pPr>
      <w:r>
        <w:t>（3）地下水动态</w:t>
      </w:r>
    </w:p>
    <w:p>
      <w:pPr>
        <w:pStyle w:val="494"/>
        <w:ind w:firstLine="480"/>
      </w:pPr>
      <w:r>
        <w:rPr>
          <w:rFonts w:hint="eastAsia" w:ascii="宋体" w:hAnsi="宋体" w:cs="宋体"/>
        </w:rPr>
        <w:t>①</w:t>
      </w:r>
      <w:r>
        <w:t>年内动态变化</w:t>
      </w:r>
    </w:p>
    <w:p>
      <w:pPr>
        <w:pStyle w:val="494"/>
        <w:ind w:firstLine="480"/>
        <w:rPr>
          <w:lang w:bidi="en-US"/>
        </w:rPr>
      </w:pPr>
      <w:r>
        <w:t>阜康市地下水位年内变化趋势和年内地下水开采量变化有关。以 2015年潜 11 监测井为例，3~7月份因地下水集中开采，地下水位持续下降，8~12月，1~2月地下水位略有回升。</w:t>
      </w:r>
    </w:p>
    <w:p>
      <w:pPr>
        <w:pStyle w:val="494"/>
        <w:ind w:firstLine="480"/>
        <w:rPr>
          <w:lang w:bidi="en-US"/>
        </w:rPr>
      </w:pPr>
      <w:r>
        <w:rPr>
          <w:rFonts w:hint="eastAsia" w:ascii="宋体" w:hAnsi="宋体" w:cs="宋体"/>
          <w:lang w:bidi="en-US"/>
        </w:rPr>
        <w:t>②</w:t>
      </w:r>
      <w:r>
        <w:rPr>
          <w:lang w:bidi="en-US"/>
        </w:rPr>
        <w:t>年际动态变化</w:t>
      </w:r>
    </w:p>
    <w:p>
      <w:pPr>
        <w:pStyle w:val="494"/>
        <w:ind w:firstLine="480"/>
        <w:rPr>
          <w:lang w:bidi="en-US"/>
        </w:rPr>
      </w:pPr>
      <w:r>
        <w:rPr>
          <w:lang w:bidi="en-US"/>
        </w:rPr>
        <w:t>阜康市地下水年均利用量已达 2.27×10</w:t>
      </w:r>
      <w:r>
        <w:rPr>
          <w:vertAlign w:val="superscript"/>
          <w:lang w:bidi="en-US"/>
        </w:rPr>
        <w:t>8</w:t>
      </w:r>
      <w:r>
        <w:rPr>
          <w:lang w:bidi="en-US"/>
        </w:rPr>
        <w:t>m³，地下水占总排泄量的 89.4%。显然阜康市平原区地下水位动态主要受机井开采影响较大，地下水动态为人工开采型。根据阜康市平原区地下水动态监测资料，计算 2006年~2015年监测井地下水位年平均变化速率，其中有两个观测井埋深年均变化率处于微弱上升区（0.06m~0.07 m/a），主要在阜康市西北部的二二二团（三工河流域）；其他监测井均处于下降状态。阜康市辖区山前中部一线地下水埋深年变化速率相对较大，地下水年变化速率高值区处于九运街镇，潜 13 长观井地下水埋深年均下降速率为 2.2m/a，上户沟乡潜 30 长观井的年均下降速率为1.14 m/a，0.5~1.0m/a的下降区域处于山前平原中部，大体呈东西向分布，至滋泥泉子镇东；0.0~0.5m/a 的下降区域处于中西部和东部向北延伸至北部沙漠边缘。</w:t>
      </w:r>
    </w:p>
    <w:p>
      <w:pPr>
        <w:pStyle w:val="494"/>
        <w:ind w:firstLine="480"/>
        <w:rPr>
          <w:lang w:bidi="en-US"/>
        </w:rPr>
      </w:pPr>
      <w:r>
        <w:rPr>
          <w:lang w:bidi="en-US"/>
        </w:rPr>
        <w:t>（4）地下水化学特征</w:t>
      </w:r>
    </w:p>
    <w:p>
      <w:pPr>
        <w:pStyle w:val="494"/>
        <w:ind w:firstLine="480"/>
        <w:rPr>
          <w:lang w:bidi="en-US"/>
        </w:rPr>
      </w:pPr>
      <w:r>
        <w:rPr>
          <w:lang w:bidi="en-US"/>
        </w:rPr>
        <w:t>根据 2006~2015年阜康市监测资料，地下水矿化度&lt;500mg/L的监测井数占比较大，大部分属低矿化度地下水（≤1500mg/L）。阜康市地下水监测井矿化度≤1000mg/L 的监测井数比例由2006年的 86.4%上升到 2015 年的 93.1%，监测区地下水质矿化度呈下降趋势。阜康市大部监测井地下水矿化度近十年变化较为稳定，略有减小趋势；有 2 眼监测井地下水矿化度趋于增大，主要是六运湖农场四队井水矿化度由2006年的472.9mg/L递增到1131mg/L；水磨沟老场部井地下水矿化度由 2006 年的665.6mg/L 递增到 1573mg/L。</w:t>
      </w:r>
    </w:p>
    <w:p>
      <w:pPr>
        <w:pStyle w:val="494"/>
        <w:ind w:firstLine="480"/>
        <w:rPr>
          <w:b/>
          <w:lang w:bidi="en-US"/>
        </w:rPr>
      </w:pPr>
      <w:r>
        <w:rPr>
          <w:lang w:bidi="en-US"/>
        </w:rPr>
        <w:t>（5）评价区水文地质概况</w:t>
      </w:r>
    </w:p>
    <w:p>
      <w:pPr>
        <w:pStyle w:val="494"/>
        <w:ind w:firstLine="480"/>
        <w:rPr>
          <w:lang w:bidi="en-US"/>
        </w:rPr>
      </w:pPr>
      <w:r>
        <w:rPr>
          <w:lang w:bidi="en-US"/>
        </w:rPr>
        <w:t>评价区内分布有潜水和承压水多个含水层，含水层岩性以中砂、细砂、粉砂为主，潜水埋藏深度15m。潜水含水层厚度在评价区南部绿洲区为40~60m，向北至项目区所在沙漠，含水层厚度逐渐变薄以至消失，富水性由南向北逐渐变弱。</w:t>
      </w:r>
    </w:p>
    <w:p>
      <w:pPr>
        <w:pStyle w:val="494"/>
        <w:ind w:firstLine="480"/>
        <w:rPr>
          <w:lang w:bidi="en-US"/>
        </w:rPr>
      </w:pPr>
      <w:r>
        <w:rPr>
          <w:lang w:bidi="en-US"/>
        </w:rPr>
        <w:t>评价区地下水主要接受大气降水及南部平原区的侧向径流补给，以人工开采及向下游的侧向径流方式排泄为主。地下水总的径流方向为由南向北。区内地下水径流条件差，潜水埋藏相对较浅，地下水蒸发浓缩作用强，氯化钠含量高，在地下水处于滞留状态温度不断増高的情况下，产生脱碳酸作用，使水中SO</w:t>
      </w:r>
      <w:r>
        <w:rPr>
          <w:vertAlign w:val="subscript"/>
          <w:lang w:bidi="en-US"/>
        </w:rPr>
        <w:t>4</w:t>
      </w:r>
      <w:r>
        <w:rPr>
          <w:vertAlign w:val="superscript"/>
          <w:lang w:bidi="en-US"/>
        </w:rPr>
        <w:t>2-</w:t>
      </w:r>
      <w:r>
        <w:rPr>
          <w:lang w:bidi="en-US"/>
        </w:rPr>
        <w:t>相应増加，因而潜水多为高矿化的咸水，盐水和卤水，水化学类型较为复杂，主要为SO</w:t>
      </w:r>
      <w:r>
        <w:rPr>
          <w:vertAlign w:val="subscript"/>
          <w:lang w:bidi="en-US"/>
        </w:rPr>
        <w:t>4</w:t>
      </w:r>
      <w:r>
        <w:rPr>
          <w:vertAlign w:val="superscript"/>
          <w:lang w:bidi="en-US"/>
        </w:rPr>
        <w:t>2-</w:t>
      </w:r>
      <w:r>
        <w:rPr>
          <w:lang w:bidi="en-US"/>
        </w:rPr>
        <w:t>-Cl</w:t>
      </w:r>
      <w:r>
        <w:rPr>
          <w:vertAlign w:val="superscript"/>
          <w:lang w:bidi="en-US"/>
        </w:rPr>
        <w:t>-</w:t>
      </w:r>
      <w:r>
        <w:rPr>
          <w:lang w:bidi="en-US"/>
        </w:rPr>
        <w:t>-Na</w:t>
      </w:r>
      <w:r>
        <w:rPr>
          <w:vertAlign w:val="superscript"/>
          <w:lang w:bidi="en-US"/>
        </w:rPr>
        <w:t>+</w:t>
      </w:r>
      <w:r>
        <w:rPr>
          <w:lang w:bidi="en-US"/>
        </w:rPr>
        <w:t>-Ca</w:t>
      </w:r>
      <w:r>
        <w:rPr>
          <w:vertAlign w:val="superscript"/>
          <w:lang w:bidi="en-US"/>
        </w:rPr>
        <w:t>2+</w:t>
      </w:r>
      <w:r>
        <w:rPr>
          <w:lang w:bidi="en-US"/>
        </w:rPr>
        <w:t>型，并向Cl</w:t>
      </w:r>
      <w:r>
        <w:rPr>
          <w:vertAlign w:val="superscript"/>
          <w:lang w:bidi="en-US"/>
        </w:rPr>
        <w:t>-</w:t>
      </w:r>
      <w:r>
        <w:rPr>
          <w:lang w:bidi="en-US"/>
        </w:rPr>
        <w:t>-SO</w:t>
      </w:r>
      <w:r>
        <w:rPr>
          <w:vertAlign w:val="subscript"/>
          <w:lang w:bidi="en-US"/>
        </w:rPr>
        <w:t>4</w:t>
      </w:r>
      <w:r>
        <w:rPr>
          <w:vertAlign w:val="superscript"/>
          <w:lang w:bidi="en-US"/>
        </w:rPr>
        <w:t>2-</w:t>
      </w:r>
      <w:r>
        <w:rPr>
          <w:lang w:bidi="en-US"/>
        </w:rPr>
        <w:t>-Na</w:t>
      </w:r>
      <w:r>
        <w:rPr>
          <w:vertAlign w:val="superscript"/>
          <w:lang w:bidi="en-US"/>
        </w:rPr>
        <w:t>+</w:t>
      </w:r>
      <w:r>
        <w:rPr>
          <w:lang w:bidi="en-US"/>
        </w:rPr>
        <w:t>和Cl</w:t>
      </w:r>
      <w:r>
        <w:rPr>
          <w:vertAlign w:val="superscript"/>
          <w:lang w:bidi="en-US"/>
        </w:rPr>
        <w:t>-</w:t>
      </w:r>
      <w:r>
        <w:rPr>
          <w:lang w:bidi="en-US"/>
        </w:rPr>
        <w:t>-Na</w:t>
      </w:r>
      <w:r>
        <w:rPr>
          <w:vertAlign w:val="superscript"/>
          <w:lang w:bidi="en-US"/>
        </w:rPr>
        <w:t>+</w:t>
      </w:r>
      <w:r>
        <w:rPr>
          <w:lang w:bidi="en-US"/>
        </w:rPr>
        <w:t>型水发展。</w:t>
      </w:r>
    </w:p>
    <w:p>
      <w:pPr>
        <w:pStyle w:val="494"/>
        <w:ind w:firstLine="480"/>
      </w:pPr>
      <w:r>
        <w:t>（6）正常工况下地下水影响分析</w:t>
      </w:r>
    </w:p>
    <w:p>
      <w:pPr>
        <w:pStyle w:val="494"/>
        <w:ind w:firstLine="480"/>
      </w:pPr>
      <w:r>
        <w:t>1）主要污染源</w:t>
      </w:r>
    </w:p>
    <w:p>
      <w:pPr>
        <w:pStyle w:val="494"/>
        <w:ind w:firstLine="480"/>
      </w:pPr>
      <w:r>
        <w:t>本项目对地下水的主要污染源为项目排污罐及危废暂存间泄漏对地下水的影响等。</w:t>
      </w:r>
    </w:p>
    <w:p>
      <w:pPr>
        <w:pStyle w:val="494"/>
        <w:ind w:firstLine="480"/>
      </w:pPr>
      <w:r>
        <w:t>2）主要污染途径</w:t>
      </w:r>
    </w:p>
    <w:p>
      <w:pPr>
        <w:pStyle w:val="494"/>
        <w:ind w:firstLine="480"/>
      </w:pPr>
      <w:r>
        <w:t>根据地下水地质条件、地下水补给、径流条件和排洪特点，分析本项目废水排放情况，可能造成的地下水污染途径有以下几种途径：</w:t>
      </w:r>
    </w:p>
    <w:p>
      <w:pPr>
        <w:pStyle w:val="494"/>
        <w:ind w:firstLine="480"/>
      </w:pPr>
      <w:r>
        <w:rPr>
          <w:rFonts w:hint="eastAsia" w:ascii="宋体" w:hAnsi="宋体" w:cs="宋体"/>
        </w:rPr>
        <w:t>①</w:t>
      </w:r>
      <w:r>
        <w:t>项目排污罐发生破损，造成生产废水泄漏下渗；</w:t>
      </w:r>
    </w:p>
    <w:p>
      <w:pPr>
        <w:pStyle w:val="494"/>
        <w:ind w:firstLine="480"/>
      </w:pPr>
      <w:r>
        <w:rPr>
          <w:rFonts w:hint="eastAsia" w:ascii="宋体" w:hAnsi="宋体" w:cs="宋体"/>
        </w:rPr>
        <w:t>②</w:t>
      </w:r>
      <w:r>
        <w:t>危险废物暂存间危废储存期间遇水浇淋，形成浇淋液下渗等。</w:t>
      </w:r>
    </w:p>
    <w:p>
      <w:pPr>
        <w:pStyle w:val="494"/>
        <w:ind w:firstLine="480"/>
      </w:pPr>
      <w:r>
        <w:rPr>
          <w:rFonts w:hint="eastAsia" w:ascii="宋体" w:hAnsi="宋体" w:cs="宋体"/>
        </w:rPr>
        <w:t>③</w:t>
      </w:r>
      <w:r>
        <w:t>对浅层地下水的污染影响</w:t>
      </w:r>
    </w:p>
    <w:p>
      <w:pPr>
        <w:pStyle w:val="494"/>
        <w:ind w:firstLine="480"/>
      </w:pPr>
      <w:r>
        <w:t>正常情况下，对地下水的污染主要是由于污染物迁移穿过包气带进入含水层造成。拟建项目所在区域地质渗透率较大，若项目排污罐、危废暂存间等发生泄漏，污染物泄漏下渗穿过包气带进入浅层地下水，将对浅层地下水产生污染影响。</w:t>
      </w:r>
    </w:p>
    <w:p>
      <w:pPr>
        <w:pStyle w:val="494"/>
        <w:ind w:firstLine="480"/>
      </w:pPr>
      <w:r>
        <w:rPr>
          <w:rFonts w:hint="eastAsia" w:ascii="宋体" w:hAnsi="宋体" w:cs="宋体"/>
        </w:rPr>
        <w:t>④</w:t>
      </w:r>
      <w:r>
        <w:t>对深层地下水的污染影响</w:t>
      </w:r>
    </w:p>
    <w:p>
      <w:pPr>
        <w:pStyle w:val="494"/>
        <w:ind w:firstLine="480"/>
      </w:pPr>
      <w:r>
        <w:t>判断深层地下水是否会受到污染影响，通常分析深层地下水含水层上覆地层的防污性能和有无与浅层地下水的水力联系。本项目污染物主要为烃类，泄漏后，直接进入土壤，经土壤迁徙进入深层地下水，由于污染物量少，经土壤吸附分解后深层地下水受下渗污水的污染影响较小。</w:t>
      </w:r>
    </w:p>
    <w:p>
      <w:pPr>
        <w:pStyle w:val="494"/>
        <w:ind w:firstLine="480"/>
      </w:pPr>
      <w:r>
        <w:t>3）地下水影响分析</w:t>
      </w:r>
    </w:p>
    <w:p>
      <w:pPr>
        <w:pStyle w:val="494"/>
        <w:ind w:firstLine="480"/>
      </w:pPr>
      <w:r>
        <w:t>本项目排污罐、危险废物暂存间等</w:t>
      </w:r>
      <w:r>
        <w:rPr>
          <w:rFonts w:hint="eastAsia"/>
        </w:rPr>
        <w:t>采取</w:t>
      </w:r>
      <w:r>
        <w:t>防渗</w:t>
      </w:r>
      <w:r>
        <w:rPr>
          <w:rFonts w:hint="eastAsia"/>
        </w:rPr>
        <w:t>措施，</w:t>
      </w:r>
      <w:r>
        <w:t>满足《危险废物贮存污染控制标准》的要求。在防渗系统正常运行的情况下，本项目生产废水及渗滤液向地下渗透将得到很好的控制，不会对地下水质量造成影响。按照《环境影响评价技术导则 地下水环境》（HJ610-2016）要求：“9.4.2已依据GB16889、GB18597、GB18598、GB18599、GB/T50934设计地下水污染防渗措施的建设项目，可不进行正常状况情景下的预测。”</w:t>
      </w:r>
    </w:p>
    <w:p>
      <w:pPr>
        <w:pStyle w:val="494"/>
        <w:ind w:firstLine="480"/>
      </w:pPr>
      <w:r>
        <w:t>在正常状况下，本项目场地地下水包气带及地下水污染可能性较小。</w:t>
      </w:r>
    </w:p>
    <w:p>
      <w:pPr>
        <w:pStyle w:val="494"/>
        <w:ind w:firstLine="480"/>
      </w:pPr>
      <w:r>
        <w:t>（7）非正常工况地下水环境影响分析</w:t>
      </w:r>
    </w:p>
    <w:p>
      <w:pPr>
        <w:pStyle w:val="494"/>
        <w:ind w:firstLine="480"/>
      </w:pPr>
      <w:r>
        <w:t>项目排污罐或危废暂存间在事故状态发生泄漏时会对项目区地下水环境造成一定影响，根据分析，本项目所处理的天然气为油田伴生气，废水中主要污染物为有机污染物等，根据工程分析，污染物产生量较少，根据类比《准中董701井区产能建设工程环境影响报告书》中有机污染物泄漏后对地下水环境的影响预测分析，污染物泄漏后经土壤吸附对地下水环境的影响较小，本项目污染物量较小，若事故状态发生泄漏对地下水环境的影响不大。</w:t>
      </w:r>
    </w:p>
    <w:p>
      <w:pPr>
        <w:pStyle w:val="494"/>
        <w:ind w:firstLine="480"/>
      </w:pPr>
      <w:r>
        <w:t>（8）地下水污染防治措施</w:t>
      </w:r>
    </w:p>
    <w:p>
      <w:pPr>
        <w:pStyle w:val="494"/>
        <w:ind w:firstLine="480"/>
      </w:pPr>
      <w:r>
        <w:t>本项目严格按照国家相关规范要求，对生产区、罐区设施采取相应的防渗措施，以防止和降低污染物的跑、冒、滴、漏，将污染物泄漏的环境风险事故降低到最低程度。</w:t>
      </w:r>
    </w:p>
    <w:p>
      <w:pPr>
        <w:pStyle w:val="494"/>
        <w:ind w:firstLine="480"/>
      </w:pPr>
      <w:r>
        <w:t>根据《环境影响评价技术导则 地下水环境》（HJ610-2016）要求，将地下水污染防渗分区分为三个级别：重点防渗区、一般防渗区、简单防渗区，防渗分区判定如下。</w:t>
      </w:r>
    </w:p>
    <w:p>
      <w:pPr>
        <w:pStyle w:val="672"/>
        <w:rPr>
          <w:color w:val="auto"/>
        </w:rPr>
      </w:pPr>
      <w:r>
        <w:rPr>
          <w:color w:val="auto"/>
        </w:rPr>
        <w:t>表5.2-17                   污染控制难易程度分级参照表</w:t>
      </w:r>
    </w:p>
    <w:tbl>
      <w:tblPr>
        <w:tblStyle w:val="55"/>
        <w:tblW w:w="8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8"/>
        <w:gridCol w:w="6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029" w:type="dxa"/>
            <w:tcBorders>
              <w:top w:val="single" w:color="auto" w:sz="4" w:space="0"/>
              <w:left w:val="single" w:color="auto" w:sz="4" w:space="0"/>
              <w:bottom w:val="single" w:color="auto" w:sz="4" w:space="0"/>
              <w:right w:val="single" w:color="auto" w:sz="4" w:space="0"/>
            </w:tcBorders>
            <w:vAlign w:val="center"/>
          </w:tcPr>
          <w:p>
            <w:pPr>
              <w:pStyle w:val="670"/>
            </w:pPr>
            <w:r>
              <w:t>污染控制难易程度</w:t>
            </w:r>
          </w:p>
        </w:tc>
        <w:tc>
          <w:tcPr>
            <w:tcW w:w="6407" w:type="dxa"/>
            <w:tcBorders>
              <w:top w:val="single" w:color="auto" w:sz="4" w:space="0"/>
              <w:left w:val="single" w:color="auto" w:sz="4" w:space="0"/>
              <w:bottom w:val="single" w:color="auto" w:sz="4" w:space="0"/>
              <w:right w:val="single" w:color="auto" w:sz="4" w:space="0"/>
            </w:tcBorders>
            <w:vAlign w:val="center"/>
          </w:tcPr>
          <w:p>
            <w:pPr>
              <w:pStyle w:val="670"/>
            </w:pPr>
            <w:r>
              <w:t>污染物类型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9" w:type="dxa"/>
            <w:tcBorders>
              <w:top w:val="single" w:color="auto" w:sz="4" w:space="0"/>
              <w:left w:val="single" w:color="auto" w:sz="4" w:space="0"/>
              <w:bottom w:val="single" w:color="auto" w:sz="4" w:space="0"/>
              <w:right w:val="single" w:color="auto" w:sz="4" w:space="0"/>
            </w:tcBorders>
            <w:vAlign w:val="center"/>
          </w:tcPr>
          <w:p>
            <w:pPr>
              <w:pStyle w:val="670"/>
            </w:pPr>
            <w:r>
              <w:t>难</w:t>
            </w:r>
          </w:p>
        </w:tc>
        <w:tc>
          <w:tcPr>
            <w:tcW w:w="6407"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对地下水环境有污染的物料或污染物泄漏后，不能及时发现和处理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9" w:type="dxa"/>
            <w:tcBorders>
              <w:top w:val="single" w:color="auto" w:sz="4" w:space="0"/>
              <w:left w:val="single" w:color="auto" w:sz="4" w:space="0"/>
              <w:bottom w:val="single" w:color="auto" w:sz="4" w:space="0"/>
              <w:right w:val="single" w:color="auto" w:sz="4" w:space="0"/>
            </w:tcBorders>
            <w:vAlign w:val="center"/>
          </w:tcPr>
          <w:p>
            <w:pPr>
              <w:pStyle w:val="670"/>
            </w:pPr>
            <w:r>
              <w:t>易</w:t>
            </w:r>
          </w:p>
        </w:tc>
        <w:tc>
          <w:tcPr>
            <w:tcW w:w="6407"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对地下水环境有污染的物料或污染物泄漏后，可及时发现和处理</w:t>
            </w:r>
          </w:p>
        </w:tc>
      </w:tr>
    </w:tbl>
    <w:p>
      <w:pPr>
        <w:pStyle w:val="672"/>
        <w:spacing w:before="120"/>
        <w:rPr>
          <w:color w:val="auto"/>
        </w:rPr>
      </w:pPr>
      <w:r>
        <w:rPr>
          <w:color w:val="auto"/>
        </w:rPr>
        <w:t>表</w:t>
      </w:r>
      <w:r>
        <w:rPr>
          <w:rStyle w:val="681"/>
          <w:color w:val="auto"/>
        </w:rPr>
        <w:t>5.2</w:t>
      </w:r>
      <w:r>
        <w:rPr>
          <w:color w:val="auto"/>
        </w:rPr>
        <w:t>-18                天然包气带防污性能分级参照表</w:t>
      </w:r>
    </w:p>
    <w:tbl>
      <w:tblPr>
        <w:tblStyle w:val="55"/>
        <w:tblW w:w="8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7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pPr>
              <w:pStyle w:val="670"/>
            </w:pPr>
            <w:r>
              <w:t>分级</w:t>
            </w:r>
          </w:p>
        </w:tc>
        <w:tc>
          <w:tcPr>
            <w:tcW w:w="7787" w:type="dxa"/>
            <w:vAlign w:val="center"/>
          </w:tcPr>
          <w:p>
            <w:pPr>
              <w:pStyle w:val="670"/>
              <w:rPr>
                <w:lang w:eastAsia="zh-CN"/>
              </w:rPr>
            </w:pPr>
            <w:r>
              <w:rPr>
                <w:lang w:eastAsia="zh-CN"/>
              </w:rPr>
              <w:t>包气带岩土的渗透性能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pPr>
              <w:pStyle w:val="670"/>
            </w:pPr>
            <w:r>
              <w:t>强</w:t>
            </w:r>
          </w:p>
        </w:tc>
        <w:tc>
          <w:tcPr>
            <w:tcW w:w="7787" w:type="dxa"/>
            <w:vAlign w:val="center"/>
          </w:tcPr>
          <w:p>
            <w:pPr>
              <w:pStyle w:val="670"/>
              <w:rPr>
                <w:lang w:eastAsia="zh-CN"/>
              </w:rPr>
            </w:pPr>
            <w:r>
              <w:rPr>
                <w:lang w:eastAsia="zh-CN"/>
              </w:rPr>
              <w:t>岩（土）层单层厚度Mb≥1.0m，渗透系数K≤1X10</w:t>
            </w:r>
            <w:r>
              <w:rPr>
                <w:vertAlign w:val="superscript"/>
                <w:lang w:eastAsia="zh-CN"/>
              </w:rPr>
              <w:t>-6</w:t>
            </w:r>
            <w:r>
              <w:rPr>
                <w:lang w:eastAsia="zh-CN"/>
              </w:rP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pPr>
              <w:pStyle w:val="670"/>
            </w:pPr>
            <w:r>
              <w:t>中</w:t>
            </w:r>
          </w:p>
        </w:tc>
        <w:tc>
          <w:tcPr>
            <w:tcW w:w="7787" w:type="dxa"/>
            <w:vAlign w:val="center"/>
          </w:tcPr>
          <w:p>
            <w:pPr>
              <w:pStyle w:val="670"/>
              <w:rPr>
                <w:lang w:eastAsia="zh-CN"/>
              </w:rPr>
            </w:pPr>
            <w:r>
              <w:rPr>
                <w:lang w:eastAsia="zh-CN"/>
              </w:rPr>
              <w:t>岩（土）层单层厚度0.5m≤Mb＜1.0m，渗透系数K≤1×10</w:t>
            </w:r>
            <w:r>
              <w:rPr>
                <w:vertAlign w:val="superscript"/>
                <w:lang w:eastAsia="zh-CN"/>
              </w:rPr>
              <w:t>-6</w:t>
            </w:r>
            <w:r>
              <w:rPr>
                <w:lang w:eastAsia="zh-CN"/>
              </w:rPr>
              <w:t>cm/s，且分布连续、稳定</w:t>
            </w:r>
          </w:p>
          <w:p>
            <w:pPr>
              <w:pStyle w:val="670"/>
              <w:rPr>
                <w:lang w:eastAsia="zh-CN"/>
              </w:rPr>
            </w:pPr>
            <w:r>
              <w:rPr>
                <w:lang w:eastAsia="zh-CN"/>
              </w:rPr>
              <w:t>岩（土）层单层厚度Mb≥1.0m，渗透系数1×10</w:t>
            </w:r>
            <w:r>
              <w:rPr>
                <w:vertAlign w:val="superscript"/>
                <w:lang w:eastAsia="zh-CN"/>
              </w:rPr>
              <w:t>-6</w:t>
            </w:r>
            <w:r>
              <w:rPr>
                <w:lang w:eastAsia="zh-CN"/>
              </w:rPr>
              <w:t>cm/s＜K≤1×10</w:t>
            </w:r>
            <w:r>
              <w:rPr>
                <w:vertAlign w:val="superscript"/>
                <w:lang w:eastAsia="zh-CN"/>
              </w:rPr>
              <w:t>-4</w:t>
            </w:r>
            <w:r>
              <w:rPr>
                <w:lang w:eastAsia="zh-CN"/>
              </w:rP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pPr>
              <w:pStyle w:val="670"/>
            </w:pPr>
            <w:r>
              <w:t>弱</w:t>
            </w:r>
          </w:p>
        </w:tc>
        <w:tc>
          <w:tcPr>
            <w:tcW w:w="7787" w:type="dxa"/>
            <w:vAlign w:val="center"/>
          </w:tcPr>
          <w:p>
            <w:pPr>
              <w:pStyle w:val="670"/>
              <w:rPr>
                <w:lang w:eastAsia="zh-CN"/>
              </w:rPr>
            </w:pPr>
            <w:r>
              <w:rPr>
                <w:lang w:eastAsia="zh-CN"/>
              </w:rPr>
              <w:t>岩（土）层不满足上述“强”和“中”条件</w:t>
            </w:r>
          </w:p>
        </w:tc>
      </w:tr>
    </w:tbl>
    <w:p>
      <w:pPr>
        <w:pStyle w:val="672"/>
        <w:spacing w:before="120"/>
        <w:rPr>
          <w:color w:val="auto"/>
        </w:rPr>
      </w:pPr>
      <w:r>
        <w:rPr>
          <w:color w:val="auto"/>
        </w:rPr>
        <w:t>表</w:t>
      </w:r>
      <w:r>
        <w:rPr>
          <w:rStyle w:val="681"/>
          <w:color w:val="auto"/>
        </w:rPr>
        <w:t>5.2</w:t>
      </w:r>
      <w:r>
        <w:rPr>
          <w:color w:val="auto"/>
        </w:rPr>
        <w:t>-19                  地下水污染防渗分区参照表</w:t>
      </w:r>
    </w:p>
    <w:tbl>
      <w:tblPr>
        <w:tblStyle w:val="55"/>
        <w:tblW w:w="8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427"/>
        <w:gridCol w:w="1299"/>
        <w:gridCol w:w="1686"/>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97" w:type="dxa"/>
            <w:tcBorders>
              <w:top w:val="single" w:color="auto" w:sz="4" w:space="0"/>
              <w:left w:val="single" w:color="auto" w:sz="4" w:space="0"/>
              <w:bottom w:val="single" w:color="auto" w:sz="4" w:space="0"/>
              <w:right w:val="single" w:color="auto" w:sz="4" w:space="0"/>
            </w:tcBorders>
            <w:vAlign w:val="center"/>
          </w:tcPr>
          <w:p>
            <w:pPr>
              <w:pStyle w:val="670"/>
            </w:pPr>
            <w:r>
              <w:t>防渗分区</w:t>
            </w:r>
          </w:p>
        </w:tc>
        <w:tc>
          <w:tcPr>
            <w:tcW w:w="1427" w:type="dxa"/>
            <w:tcBorders>
              <w:top w:val="single" w:color="auto" w:sz="4" w:space="0"/>
              <w:left w:val="single" w:color="auto" w:sz="4" w:space="0"/>
              <w:bottom w:val="single" w:color="auto" w:sz="4" w:space="0"/>
              <w:right w:val="single" w:color="auto" w:sz="4" w:space="0"/>
            </w:tcBorders>
            <w:vAlign w:val="center"/>
          </w:tcPr>
          <w:p>
            <w:pPr>
              <w:pStyle w:val="670"/>
            </w:pPr>
            <w:r>
              <w:t>天然包气带防污性能</w:t>
            </w:r>
          </w:p>
        </w:tc>
        <w:tc>
          <w:tcPr>
            <w:tcW w:w="1299" w:type="dxa"/>
            <w:tcBorders>
              <w:top w:val="single" w:color="auto" w:sz="4" w:space="0"/>
              <w:left w:val="single" w:color="auto" w:sz="4" w:space="0"/>
              <w:bottom w:val="single" w:color="auto" w:sz="4" w:space="0"/>
              <w:right w:val="single" w:color="auto" w:sz="4" w:space="0"/>
            </w:tcBorders>
            <w:vAlign w:val="center"/>
          </w:tcPr>
          <w:p>
            <w:pPr>
              <w:pStyle w:val="670"/>
            </w:pPr>
            <w:r>
              <w:t>污染控制难易程度</w:t>
            </w:r>
          </w:p>
        </w:tc>
        <w:tc>
          <w:tcPr>
            <w:tcW w:w="1686" w:type="dxa"/>
            <w:tcBorders>
              <w:top w:val="single" w:color="auto" w:sz="4" w:space="0"/>
              <w:left w:val="single" w:color="auto" w:sz="4" w:space="0"/>
              <w:bottom w:val="single" w:color="auto" w:sz="4" w:space="0"/>
              <w:right w:val="single" w:color="auto" w:sz="4" w:space="0"/>
            </w:tcBorders>
            <w:vAlign w:val="center"/>
          </w:tcPr>
          <w:p>
            <w:pPr>
              <w:pStyle w:val="670"/>
            </w:pPr>
            <w:r>
              <w:t>污染物类型</w:t>
            </w:r>
          </w:p>
        </w:tc>
        <w:tc>
          <w:tcPr>
            <w:tcW w:w="2621" w:type="dxa"/>
            <w:tcBorders>
              <w:top w:val="single" w:color="auto" w:sz="4" w:space="0"/>
              <w:left w:val="single" w:color="auto" w:sz="4" w:space="0"/>
              <w:bottom w:val="single" w:color="auto" w:sz="4" w:space="0"/>
              <w:right w:val="single" w:color="auto" w:sz="4" w:space="0"/>
            </w:tcBorders>
            <w:vAlign w:val="center"/>
          </w:tcPr>
          <w:p>
            <w:pPr>
              <w:pStyle w:val="670"/>
            </w:pPr>
            <w: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7" w:type="dxa"/>
            <w:vMerge w:val="restart"/>
            <w:tcBorders>
              <w:top w:val="single" w:color="auto" w:sz="4" w:space="0"/>
              <w:left w:val="single" w:color="auto" w:sz="4" w:space="0"/>
              <w:bottom w:val="single" w:color="auto" w:sz="4" w:space="0"/>
              <w:right w:val="single" w:color="auto" w:sz="4" w:space="0"/>
            </w:tcBorders>
            <w:vAlign w:val="center"/>
          </w:tcPr>
          <w:p>
            <w:pPr>
              <w:pStyle w:val="670"/>
            </w:pPr>
            <w:r>
              <w:t>重点防渗区</w:t>
            </w:r>
          </w:p>
        </w:tc>
        <w:tc>
          <w:tcPr>
            <w:tcW w:w="1427" w:type="dxa"/>
            <w:tcBorders>
              <w:top w:val="single" w:color="auto" w:sz="4" w:space="0"/>
              <w:left w:val="single" w:color="auto" w:sz="4" w:space="0"/>
              <w:bottom w:val="single" w:color="auto" w:sz="4" w:space="0"/>
              <w:right w:val="single" w:color="auto" w:sz="4" w:space="0"/>
            </w:tcBorders>
            <w:vAlign w:val="center"/>
          </w:tcPr>
          <w:p>
            <w:pPr>
              <w:pStyle w:val="670"/>
            </w:pPr>
            <w:r>
              <w:t>弱</w:t>
            </w:r>
          </w:p>
        </w:tc>
        <w:tc>
          <w:tcPr>
            <w:tcW w:w="1299" w:type="dxa"/>
            <w:tcBorders>
              <w:top w:val="single" w:color="auto" w:sz="4" w:space="0"/>
              <w:left w:val="single" w:color="auto" w:sz="4" w:space="0"/>
              <w:bottom w:val="single" w:color="auto" w:sz="4" w:space="0"/>
              <w:right w:val="single" w:color="auto" w:sz="4" w:space="0"/>
            </w:tcBorders>
            <w:vAlign w:val="center"/>
          </w:tcPr>
          <w:p>
            <w:pPr>
              <w:pStyle w:val="670"/>
            </w:pPr>
            <w:r>
              <w:t>难</w:t>
            </w:r>
          </w:p>
        </w:tc>
        <w:tc>
          <w:tcPr>
            <w:tcW w:w="1686" w:type="dxa"/>
            <w:vMerge w:val="restar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重金属、持久性有机物污染物</w:t>
            </w:r>
          </w:p>
        </w:tc>
        <w:tc>
          <w:tcPr>
            <w:tcW w:w="2621" w:type="dxa"/>
            <w:vMerge w:val="restar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val="zh-CN" w:eastAsia="zh-CN"/>
              </w:rPr>
              <w:t>等效黏土防渗层Mb≥</w:t>
            </w:r>
            <w:r>
              <w:rPr>
                <w:lang w:eastAsia="zh-CN"/>
              </w:rPr>
              <w:t>6.0</w:t>
            </w:r>
            <w:r>
              <w:rPr>
                <w:lang w:val="zh-CN" w:eastAsia="zh-CN"/>
              </w:rPr>
              <w:t>m，K&lt;1×10</w:t>
            </w:r>
            <w:r>
              <w:rPr>
                <w:vertAlign w:val="superscript"/>
                <w:lang w:val="zh-CN" w:eastAsia="zh-CN"/>
              </w:rPr>
              <w:t>-7</w:t>
            </w:r>
            <w:r>
              <w:rPr>
                <w:lang w:val="zh-CN" w:eastAsia="zh-CN"/>
              </w:rPr>
              <w:t>cm/s，或参照GB</w:t>
            </w:r>
            <w:r>
              <w:rPr>
                <w:lang w:eastAsia="zh-CN"/>
              </w:rPr>
              <w:t>18598</w:t>
            </w:r>
            <w:r>
              <w:rPr>
                <w:lang w:val="zh-CN" w:eastAsia="zh-CN"/>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c>
          <w:tcPr>
            <w:tcW w:w="1427" w:type="dxa"/>
            <w:tcBorders>
              <w:top w:val="single" w:color="auto" w:sz="4" w:space="0"/>
              <w:left w:val="single" w:color="auto" w:sz="4" w:space="0"/>
              <w:bottom w:val="single" w:color="auto" w:sz="4" w:space="0"/>
              <w:right w:val="single" w:color="auto" w:sz="4" w:space="0"/>
            </w:tcBorders>
            <w:vAlign w:val="center"/>
          </w:tcPr>
          <w:p>
            <w:pPr>
              <w:pStyle w:val="670"/>
            </w:pPr>
            <w:r>
              <w:t>中-强</w:t>
            </w:r>
          </w:p>
        </w:tc>
        <w:tc>
          <w:tcPr>
            <w:tcW w:w="1299" w:type="dxa"/>
            <w:tcBorders>
              <w:top w:val="single" w:color="auto" w:sz="4" w:space="0"/>
              <w:left w:val="single" w:color="auto" w:sz="4" w:space="0"/>
              <w:bottom w:val="single" w:color="auto" w:sz="4" w:space="0"/>
              <w:right w:val="single" w:color="auto" w:sz="4" w:space="0"/>
            </w:tcBorders>
            <w:vAlign w:val="center"/>
          </w:tcPr>
          <w:p>
            <w:pPr>
              <w:pStyle w:val="670"/>
            </w:pPr>
            <w:r>
              <w:t>难</w:t>
            </w:r>
          </w:p>
        </w:tc>
        <w:tc>
          <w:tcPr>
            <w:tcW w:w="168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c>
          <w:tcPr>
            <w:tcW w:w="26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427" w:type="dxa"/>
            <w:tcBorders>
              <w:top w:val="single" w:color="auto" w:sz="4" w:space="0"/>
              <w:left w:val="single" w:color="auto" w:sz="4" w:space="0"/>
              <w:bottom w:val="single" w:color="auto" w:sz="4" w:space="0"/>
              <w:right w:val="single" w:color="auto" w:sz="4" w:space="0"/>
            </w:tcBorders>
            <w:vAlign w:val="center"/>
          </w:tcPr>
          <w:p>
            <w:pPr>
              <w:pStyle w:val="670"/>
            </w:pPr>
            <w:r>
              <w:t>弱</w:t>
            </w:r>
          </w:p>
        </w:tc>
        <w:tc>
          <w:tcPr>
            <w:tcW w:w="1299" w:type="dxa"/>
            <w:tcBorders>
              <w:top w:val="single" w:color="auto" w:sz="4" w:space="0"/>
              <w:left w:val="single" w:color="auto" w:sz="4" w:space="0"/>
              <w:bottom w:val="single" w:color="auto" w:sz="4" w:space="0"/>
              <w:right w:val="single" w:color="auto" w:sz="4" w:space="0"/>
            </w:tcBorders>
            <w:vAlign w:val="center"/>
          </w:tcPr>
          <w:p>
            <w:pPr>
              <w:pStyle w:val="670"/>
            </w:pPr>
            <w:r>
              <w:t>易</w:t>
            </w:r>
          </w:p>
        </w:tc>
        <w:tc>
          <w:tcPr>
            <w:tcW w:w="168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c>
          <w:tcPr>
            <w:tcW w:w="26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7" w:type="dxa"/>
            <w:vMerge w:val="restart"/>
            <w:tcBorders>
              <w:top w:val="single" w:color="auto" w:sz="4" w:space="0"/>
              <w:left w:val="single" w:color="auto" w:sz="4" w:space="0"/>
              <w:bottom w:val="single" w:color="auto" w:sz="4" w:space="0"/>
              <w:right w:val="single" w:color="auto" w:sz="4" w:space="0"/>
            </w:tcBorders>
            <w:vAlign w:val="center"/>
          </w:tcPr>
          <w:p>
            <w:pPr>
              <w:pStyle w:val="670"/>
            </w:pPr>
            <w:r>
              <w:t>一般防渗区</w:t>
            </w:r>
          </w:p>
        </w:tc>
        <w:tc>
          <w:tcPr>
            <w:tcW w:w="1427" w:type="dxa"/>
            <w:tcBorders>
              <w:top w:val="single" w:color="auto" w:sz="4" w:space="0"/>
              <w:left w:val="single" w:color="auto" w:sz="4" w:space="0"/>
              <w:bottom w:val="single" w:color="auto" w:sz="4" w:space="0"/>
              <w:right w:val="single" w:color="auto" w:sz="4" w:space="0"/>
            </w:tcBorders>
            <w:vAlign w:val="center"/>
          </w:tcPr>
          <w:p>
            <w:pPr>
              <w:pStyle w:val="670"/>
            </w:pPr>
            <w:r>
              <w:t>弱</w:t>
            </w:r>
          </w:p>
        </w:tc>
        <w:tc>
          <w:tcPr>
            <w:tcW w:w="1299" w:type="dxa"/>
            <w:tcBorders>
              <w:top w:val="single" w:color="auto" w:sz="4" w:space="0"/>
              <w:left w:val="single" w:color="auto" w:sz="4" w:space="0"/>
              <w:bottom w:val="single" w:color="auto" w:sz="4" w:space="0"/>
              <w:right w:val="single" w:color="auto" w:sz="4" w:space="0"/>
            </w:tcBorders>
            <w:vAlign w:val="center"/>
          </w:tcPr>
          <w:p>
            <w:pPr>
              <w:pStyle w:val="670"/>
            </w:pPr>
            <w:r>
              <w:t>易-难</w:t>
            </w:r>
          </w:p>
        </w:tc>
        <w:tc>
          <w:tcPr>
            <w:tcW w:w="1686" w:type="dxa"/>
            <w:vMerge w:val="restart"/>
            <w:tcBorders>
              <w:top w:val="single" w:color="auto" w:sz="4" w:space="0"/>
              <w:left w:val="single" w:color="auto" w:sz="4" w:space="0"/>
              <w:bottom w:val="single" w:color="auto" w:sz="4" w:space="0"/>
              <w:right w:val="single" w:color="auto" w:sz="4" w:space="0"/>
            </w:tcBorders>
            <w:vAlign w:val="center"/>
          </w:tcPr>
          <w:p>
            <w:pPr>
              <w:pStyle w:val="670"/>
            </w:pPr>
            <w:r>
              <w:t>其他类型</w:t>
            </w:r>
          </w:p>
        </w:tc>
        <w:tc>
          <w:tcPr>
            <w:tcW w:w="2621" w:type="dxa"/>
            <w:vMerge w:val="restar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val="zh-CN" w:eastAsia="zh-CN"/>
              </w:rPr>
              <w:t>等效黏土防渗层Mb&gt;1.5m，K&lt;1×10</w:t>
            </w:r>
            <w:r>
              <w:rPr>
                <w:vertAlign w:val="superscript"/>
                <w:lang w:val="zh-CN" w:eastAsia="zh-CN"/>
              </w:rPr>
              <w:t>-7</w:t>
            </w:r>
            <w:r>
              <w:rPr>
                <w:lang w:val="zh-CN" w:eastAsia="zh-CN"/>
              </w:rPr>
              <w:t>cm/s，或参照GB16889执行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c>
          <w:tcPr>
            <w:tcW w:w="1427" w:type="dxa"/>
            <w:tcBorders>
              <w:top w:val="single" w:color="auto" w:sz="4" w:space="0"/>
              <w:left w:val="single" w:color="auto" w:sz="4" w:space="0"/>
              <w:bottom w:val="single" w:color="auto" w:sz="4" w:space="0"/>
              <w:right w:val="single" w:color="auto" w:sz="4" w:space="0"/>
            </w:tcBorders>
            <w:vAlign w:val="center"/>
          </w:tcPr>
          <w:p>
            <w:pPr>
              <w:pStyle w:val="670"/>
            </w:pPr>
            <w:r>
              <w:t>中-强</w:t>
            </w:r>
          </w:p>
        </w:tc>
        <w:tc>
          <w:tcPr>
            <w:tcW w:w="1299" w:type="dxa"/>
            <w:tcBorders>
              <w:top w:val="single" w:color="auto" w:sz="4" w:space="0"/>
              <w:left w:val="single" w:color="auto" w:sz="4" w:space="0"/>
              <w:bottom w:val="single" w:color="auto" w:sz="4" w:space="0"/>
              <w:right w:val="single" w:color="auto" w:sz="4" w:space="0"/>
            </w:tcBorders>
            <w:vAlign w:val="center"/>
          </w:tcPr>
          <w:p>
            <w:pPr>
              <w:pStyle w:val="670"/>
            </w:pPr>
            <w:r>
              <w:t>难</w:t>
            </w:r>
          </w:p>
        </w:tc>
        <w:tc>
          <w:tcPr>
            <w:tcW w:w="168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26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427" w:type="dxa"/>
            <w:tcBorders>
              <w:top w:val="single" w:color="auto" w:sz="4" w:space="0"/>
              <w:left w:val="single" w:color="auto" w:sz="4" w:space="0"/>
              <w:bottom w:val="single" w:color="auto" w:sz="4" w:space="0"/>
              <w:right w:val="single" w:color="auto" w:sz="4" w:space="0"/>
            </w:tcBorders>
            <w:vAlign w:val="center"/>
          </w:tcPr>
          <w:p>
            <w:pPr>
              <w:pStyle w:val="670"/>
            </w:pPr>
            <w:r>
              <w:t>中</w:t>
            </w:r>
          </w:p>
        </w:tc>
        <w:tc>
          <w:tcPr>
            <w:tcW w:w="1299" w:type="dxa"/>
            <w:tcBorders>
              <w:top w:val="single" w:color="auto" w:sz="4" w:space="0"/>
              <w:left w:val="single" w:color="auto" w:sz="4" w:space="0"/>
              <w:bottom w:val="single" w:color="auto" w:sz="4" w:space="0"/>
              <w:right w:val="single" w:color="auto" w:sz="4" w:space="0"/>
            </w:tcBorders>
            <w:vAlign w:val="center"/>
          </w:tcPr>
          <w:p>
            <w:pPr>
              <w:pStyle w:val="670"/>
            </w:pPr>
            <w:r>
              <w:t>易</w:t>
            </w:r>
          </w:p>
        </w:tc>
        <w:tc>
          <w:tcPr>
            <w:tcW w:w="1686" w:type="dxa"/>
            <w:vMerge w:val="restar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重金属、持久性有机物污染物</w:t>
            </w:r>
          </w:p>
        </w:tc>
        <w:tc>
          <w:tcPr>
            <w:tcW w:w="26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c>
          <w:tcPr>
            <w:tcW w:w="1427" w:type="dxa"/>
            <w:tcBorders>
              <w:top w:val="single" w:color="auto" w:sz="4" w:space="0"/>
              <w:left w:val="single" w:color="auto" w:sz="4" w:space="0"/>
              <w:bottom w:val="single" w:color="auto" w:sz="4" w:space="0"/>
              <w:right w:val="single" w:color="auto" w:sz="4" w:space="0"/>
            </w:tcBorders>
            <w:vAlign w:val="center"/>
          </w:tcPr>
          <w:p>
            <w:pPr>
              <w:pStyle w:val="670"/>
            </w:pPr>
            <w:r>
              <w:t>强</w:t>
            </w:r>
          </w:p>
        </w:tc>
        <w:tc>
          <w:tcPr>
            <w:tcW w:w="1299" w:type="dxa"/>
            <w:tcBorders>
              <w:top w:val="single" w:color="auto" w:sz="4" w:space="0"/>
              <w:left w:val="single" w:color="auto" w:sz="4" w:space="0"/>
              <w:bottom w:val="single" w:color="auto" w:sz="4" w:space="0"/>
              <w:right w:val="single" w:color="auto" w:sz="4" w:space="0"/>
            </w:tcBorders>
            <w:vAlign w:val="center"/>
          </w:tcPr>
          <w:p>
            <w:pPr>
              <w:pStyle w:val="670"/>
            </w:pPr>
            <w:r>
              <w:t>易</w:t>
            </w:r>
          </w:p>
        </w:tc>
        <w:tc>
          <w:tcPr>
            <w:tcW w:w="168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c>
          <w:tcPr>
            <w:tcW w:w="26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7" w:type="dxa"/>
            <w:tcBorders>
              <w:top w:val="single" w:color="auto" w:sz="4" w:space="0"/>
              <w:left w:val="single" w:color="auto" w:sz="4" w:space="0"/>
              <w:bottom w:val="single" w:color="auto" w:sz="4" w:space="0"/>
              <w:right w:val="single" w:color="auto" w:sz="4" w:space="0"/>
            </w:tcBorders>
            <w:vAlign w:val="center"/>
          </w:tcPr>
          <w:p>
            <w:pPr>
              <w:pStyle w:val="670"/>
            </w:pPr>
            <w:r>
              <w:t>简单防渗区</w:t>
            </w:r>
          </w:p>
        </w:tc>
        <w:tc>
          <w:tcPr>
            <w:tcW w:w="1427" w:type="dxa"/>
            <w:tcBorders>
              <w:top w:val="single" w:color="auto" w:sz="4" w:space="0"/>
              <w:left w:val="single" w:color="auto" w:sz="4" w:space="0"/>
              <w:bottom w:val="single" w:color="auto" w:sz="4" w:space="0"/>
              <w:right w:val="single" w:color="auto" w:sz="4" w:space="0"/>
            </w:tcBorders>
            <w:vAlign w:val="center"/>
          </w:tcPr>
          <w:p>
            <w:pPr>
              <w:pStyle w:val="670"/>
            </w:pPr>
            <w:r>
              <w:t>中-强</w:t>
            </w:r>
          </w:p>
        </w:tc>
        <w:tc>
          <w:tcPr>
            <w:tcW w:w="1299" w:type="dxa"/>
            <w:tcBorders>
              <w:top w:val="single" w:color="auto" w:sz="4" w:space="0"/>
              <w:left w:val="single" w:color="auto" w:sz="4" w:space="0"/>
              <w:bottom w:val="single" w:color="auto" w:sz="4" w:space="0"/>
              <w:right w:val="single" w:color="auto" w:sz="4" w:space="0"/>
            </w:tcBorders>
            <w:vAlign w:val="center"/>
          </w:tcPr>
          <w:p>
            <w:pPr>
              <w:pStyle w:val="670"/>
            </w:pPr>
            <w:r>
              <w:t>易</w:t>
            </w:r>
          </w:p>
        </w:tc>
        <w:tc>
          <w:tcPr>
            <w:tcW w:w="1686" w:type="dxa"/>
            <w:tcBorders>
              <w:top w:val="single" w:color="auto" w:sz="4" w:space="0"/>
              <w:left w:val="single" w:color="auto" w:sz="4" w:space="0"/>
              <w:bottom w:val="single" w:color="auto" w:sz="4" w:space="0"/>
              <w:right w:val="single" w:color="auto" w:sz="4" w:space="0"/>
            </w:tcBorders>
            <w:vAlign w:val="center"/>
          </w:tcPr>
          <w:p>
            <w:pPr>
              <w:pStyle w:val="670"/>
            </w:pPr>
            <w:r>
              <w:t>其他类型</w:t>
            </w:r>
          </w:p>
        </w:tc>
        <w:tc>
          <w:tcPr>
            <w:tcW w:w="2621" w:type="dxa"/>
            <w:tcBorders>
              <w:top w:val="single" w:color="auto" w:sz="4" w:space="0"/>
              <w:left w:val="single" w:color="auto" w:sz="4" w:space="0"/>
              <w:bottom w:val="single" w:color="auto" w:sz="4" w:space="0"/>
              <w:right w:val="single" w:color="auto" w:sz="4" w:space="0"/>
            </w:tcBorders>
            <w:vAlign w:val="center"/>
          </w:tcPr>
          <w:p>
            <w:pPr>
              <w:pStyle w:val="670"/>
            </w:pPr>
            <w:r>
              <w:t>一般地面硬化</w:t>
            </w:r>
          </w:p>
        </w:tc>
      </w:tr>
    </w:tbl>
    <w:p>
      <w:pPr>
        <w:pStyle w:val="694"/>
        <w:ind w:firstLine="480"/>
        <w:rPr>
          <w:rFonts w:ascii="Times New Roman" w:hAnsi="Times New Roman" w:eastAsia="宋体" w:cs="Times New Roman"/>
          <w:kern w:val="28"/>
        </w:rPr>
      </w:pPr>
      <w:r>
        <w:rPr>
          <w:rFonts w:ascii="Times New Roman" w:hAnsi="Times New Roman" w:cs="Times New Roman"/>
          <w:kern w:val="28"/>
        </w:rPr>
        <w:t>结合项目特点，项目防渗工程分为一般防渗区和简单防渗区、重点防渗区，分区防渗要求见表</w:t>
      </w:r>
      <w:r>
        <w:rPr>
          <w:rStyle w:val="681"/>
          <w:color w:val="auto"/>
        </w:rPr>
        <w:t>5.2</w:t>
      </w:r>
      <w:r>
        <w:rPr>
          <w:rFonts w:ascii="Times New Roman" w:hAnsi="Times New Roman" w:cs="Times New Roman"/>
          <w:kern w:val="28"/>
        </w:rPr>
        <w:t>-20。</w:t>
      </w:r>
    </w:p>
    <w:p>
      <w:pPr>
        <w:pStyle w:val="672"/>
        <w:rPr>
          <w:color w:val="auto"/>
        </w:rPr>
      </w:pPr>
      <w:r>
        <w:rPr>
          <w:color w:val="auto"/>
        </w:rPr>
        <w:t>表</w:t>
      </w:r>
      <w:r>
        <w:rPr>
          <w:rStyle w:val="681"/>
          <w:color w:val="auto"/>
        </w:rPr>
        <w:t>5.2</w:t>
      </w:r>
      <w:r>
        <w:rPr>
          <w:color w:val="auto"/>
        </w:rPr>
        <w:t xml:space="preserve">-20                   拟建项目分区防渗要求表            </w:t>
      </w:r>
    </w:p>
    <w:tbl>
      <w:tblPr>
        <w:tblStyle w:val="55"/>
        <w:tblW w:w="8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9"/>
        <w:gridCol w:w="2086"/>
        <w:gridCol w:w="4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79" w:type="dxa"/>
            <w:tcBorders>
              <w:top w:val="single" w:color="auto" w:sz="4" w:space="0"/>
              <w:left w:val="single" w:color="auto" w:sz="4" w:space="0"/>
              <w:bottom w:val="single" w:color="auto" w:sz="4" w:space="0"/>
              <w:right w:val="single" w:color="auto" w:sz="4" w:space="0"/>
            </w:tcBorders>
            <w:vAlign w:val="center"/>
          </w:tcPr>
          <w:p>
            <w:pPr>
              <w:pStyle w:val="670"/>
            </w:pPr>
            <w:r>
              <w:t>主要环节</w:t>
            </w:r>
          </w:p>
        </w:tc>
        <w:tc>
          <w:tcPr>
            <w:tcW w:w="2086" w:type="dxa"/>
            <w:tcBorders>
              <w:top w:val="single" w:color="auto" w:sz="4" w:space="0"/>
              <w:left w:val="single" w:color="auto" w:sz="4" w:space="0"/>
              <w:bottom w:val="single" w:color="auto" w:sz="4" w:space="0"/>
              <w:right w:val="single" w:color="auto" w:sz="4" w:space="0"/>
            </w:tcBorders>
            <w:vAlign w:val="center"/>
          </w:tcPr>
          <w:p>
            <w:pPr>
              <w:pStyle w:val="670"/>
            </w:pPr>
            <w:r>
              <w:t>防渗级别</w:t>
            </w:r>
          </w:p>
        </w:tc>
        <w:tc>
          <w:tcPr>
            <w:tcW w:w="4465" w:type="dxa"/>
            <w:tcBorders>
              <w:top w:val="single" w:color="auto" w:sz="4" w:space="0"/>
              <w:left w:val="single" w:color="auto" w:sz="4" w:space="0"/>
              <w:bottom w:val="single" w:color="auto" w:sz="4" w:space="0"/>
              <w:right w:val="single" w:color="auto" w:sz="4" w:space="0"/>
            </w:tcBorders>
            <w:vAlign w:val="center"/>
          </w:tcPr>
          <w:p>
            <w:pPr>
              <w:pStyle w:val="670"/>
            </w:pPr>
            <w: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79" w:type="dxa"/>
            <w:tcBorders>
              <w:top w:val="single" w:color="auto" w:sz="4" w:space="0"/>
              <w:left w:val="single" w:color="auto" w:sz="4" w:space="0"/>
              <w:bottom w:val="single" w:color="auto" w:sz="4" w:space="0"/>
              <w:right w:val="single" w:color="auto" w:sz="4" w:space="0"/>
            </w:tcBorders>
            <w:vAlign w:val="center"/>
          </w:tcPr>
          <w:p>
            <w:pPr>
              <w:pStyle w:val="670"/>
            </w:pPr>
            <w:r>
              <w:t>危废暂存间</w:t>
            </w:r>
          </w:p>
        </w:tc>
        <w:tc>
          <w:tcPr>
            <w:tcW w:w="2086" w:type="dxa"/>
            <w:tcBorders>
              <w:top w:val="single" w:color="auto" w:sz="4" w:space="0"/>
              <w:left w:val="single" w:color="auto" w:sz="4" w:space="0"/>
              <w:bottom w:val="single" w:color="auto" w:sz="4" w:space="0"/>
              <w:right w:val="single" w:color="auto" w:sz="4" w:space="0"/>
            </w:tcBorders>
            <w:vAlign w:val="center"/>
          </w:tcPr>
          <w:p>
            <w:pPr>
              <w:pStyle w:val="670"/>
            </w:pPr>
            <w:r>
              <w:t>重点防渗区</w:t>
            </w:r>
          </w:p>
        </w:tc>
        <w:tc>
          <w:tcPr>
            <w:tcW w:w="4465" w:type="dxa"/>
            <w:vMerge w:val="restar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rFonts w:hint="eastAsia" w:ascii="宋体" w:hAnsi="宋体" w:cs="宋体"/>
                <w:lang w:eastAsia="zh-CN"/>
              </w:rPr>
              <w:t>①</w:t>
            </w:r>
            <w:r>
              <w:rPr>
                <w:lang w:eastAsia="zh-CN"/>
              </w:rPr>
              <w:t>各单元防渗工程的设计使用年限不低于构筑物的设计使用年限。</w:t>
            </w:r>
            <w:r>
              <w:rPr>
                <w:rFonts w:hint="eastAsia" w:ascii="宋体" w:hAnsi="宋体" w:cs="宋体"/>
                <w:lang w:eastAsia="zh-CN"/>
              </w:rPr>
              <w:t>②</w:t>
            </w:r>
            <w:r>
              <w:rPr>
                <w:lang w:eastAsia="zh-CN"/>
              </w:rPr>
              <w:t>防渗性能不低于6.0m厚，渗透系数为1.0×10</w:t>
            </w:r>
            <w:r>
              <w:rPr>
                <w:vertAlign w:val="superscript"/>
                <w:lang w:eastAsia="zh-CN"/>
              </w:rPr>
              <w:t>-7</w:t>
            </w:r>
            <w:r>
              <w:rPr>
                <w:lang w:eastAsia="zh-CN"/>
              </w:rPr>
              <w:t>cm/s的黏土层的防渗性能。</w:t>
            </w:r>
            <w:r>
              <w:rPr>
                <w:rFonts w:hint="eastAsia" w:ascii="宋体" w:hAnsi="宋体" w:cs="宋体"/>
                <w:lang w:eastAsia="zh-CN"/>
              </w:rPr>
              <w:t>③</w:t>
            </w:r>
            <w:r>
              <w:rPr>
                <w:lang w:eastAsia="zh-CN"/>
              </w:rPr>
              <w:t>地面防渗方案可采用、混凝土防渗、HDPE 膜防渗和钠基膨润土防水毯防渗层，防渗性能满足</w:t>
            </w:r>
            <w:r>
              <w:rPr>
                <w:rFonts w:hint="eastAsia" w:ascii="宋体" w:hAnsi="宋体" w:cs="宋体"/>
                <w:lang w:eastAsia="zh-CN"/>
              </w:rPr>
              <w:t>②</w:t>
            </w:r>
            <w:r>
              <w:rPr>
                <w:lang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79" w:type="dxa"/>
            <w:tcBorders>
              <w:top w:val="single" w:color="auto" w:sz="4" w:space="0"/>
              <w:left w:val="single" w:color="auto" w:sz="4" w:space="0"/>
              <w:bottom w:val="single" w:color="auto" w:sz="4" w:space="0"/>
              <w:right w:val="single" w:color="auto" w:sz="4" w:space="0"/>
            </w:tcBorders>
            <w:vAlign w:val="center"/>
          </w:tcPr>
          <w:p>
            <w:pPr>
              <w:pStyle w:val="670"/>
            </w:pPr>
            <w:r>
              <w:t>排污罐</w:t>
            </w:r>
          </w:p>
        </w:tc>
        <w:tc>
          <w:tcPr>
            <w:tcW w:w="2086" w:type="dxa"/>
            <w:tcBorders>
              <w:top w:val="single" w:color="auto" w:sz="4" w:space="0"/>
              <w:left w:val="single" w:color="auto" w:sz="4" w:space="0"/>
              <w:bottom w:val="single" w:color="auto" w:sz="4" w:space="0"/>
              <w:right w:val="single" w:color="auto" w:sz="4" w:space="0"/>
            </w:tcBorders>
            <w:vAlign w:val="center"/>
          </w:tcPr>
          <w:p>
            <w:pPr>
              <w:pStyle w:val="670"/>
            </w:pPr>
            <w:r>
              <w:t>重点防渗区</w:t>
            </w:r>
          </w:p>
        </w:tc>
        <w:tc>
          <w:tcPr>
            <w:tcW w:w="44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79" w:type="dxa"/>
            <w:tcBorders>
              <w:top w:val="single" w:color="auto" w:sz="4" w:space="0"/>
              <w:left w:val="single" w:color="auto" w:sz="4" w:space="0"/>
              <w:bottom w:val="single" w:color="auto" w:sz="4" w:space="0"/>
              <w:right w:val="single" w:color="auto" w:sz="4" w:space="0"/>
            </w:tcBorders>
            <w:vAlign w:val="center"/>
          </w:tcPr>
          <w:p>
            <w:pPr>
              <w:pStyle w:val="670"/>
            </w:pPr>
            <w:r>
              <w:t>生产区</w:t>
            </w:r>
          </w:p>
        </w:tc>
        <w:tc>
          <w:tcPr>
            <w:tcW w:w="2086" w:type="dxa"/>
            <w:tcBorders>
              <w:top w:val="single" w:color="auto" w:sz="4" w:space="0"/>
              <w:left w:val="single" w:color="auto" w:sz="4" w:space="0"/>
              <w:bottom w:val="single" w:color="auto" w:sz="4" w:space="0"/>
              <w:right w:val="single" w:color="auto" w:sz="4" w:space="0"/>
            </w:tcBorders>
            <w:vAlign w:val="center"/>
          </w:tcPr>
          <w:p>
            <w:pPr>
              <w:pStyle w:val="670"/>
            </w:pPr>
            <w:r>
              <w:t>一般防渗区</w:t>
            </w:r>
          </w:p>
        </w:tc>
        <w:tc>
          <w:tcPr>
            <w:tcW w:w="4465"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防渗性能不低于1.5m厚，渗透系数为1.0×10</w:t>
            </w:r>
            <w:r>
              <w:rPr>
                <w:vertAlign w:val="superscript"/>
                <w:lang w:eastAsia="zh-CN"/>
              </w:rPr>
              <w:t>-7</w:t>
            </w:r>
            <w:r>
              <w:rPr>
                <w:lang w:eastAsia="zh-CN"/>
              </w:rPr>
              <w:t>cm/s的黏土层的防渗性能。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79" w:type="dxa"/>
            <w:tcBorders>
              <w:top w:val="single" w:color="auto" w:sz="4" w:space="0"/>
              <w:left w:val="single" w:color="auto" w:sz="4" w:space="0"/>
              <w:bottom w:val="single" w:color="auto" w:sz="4" w:space="0"/>
              <w:right w:val="single" w:color="auto" w:sz="4" w:space="0"/>
            </w:tcBorders>
            <w:vAlign w:val="center"/>
          </w:tcPr>
          <w:p>
            <w:pPr>
              <w:pStyle w:val="670"/>
            </w:pPr>
            <w:r>
              <w:t>化粪池</w:t>
            </w:r>
          </w:p>
        </w:tc>
        <w:tc>
          <w:tcPr>
            <w:tcW w:w="2086" w:type="dxa"/>
            <w:tcBorders>
              <w:top w:val="single" w:color="auto" w:sz="4" w:space="0"/>
              <w:left w:val="single" w:color="auto" w:sz="4" w:space="0"/>
              <w:bottom w:val="single" w:color="auto" w:sz="4" w:space="0"/>
              <w:right w:val="single" w:color="auto" w:sz="4" w:space="0"/>
            </w:tcBorders>
            <w:vAlign w:val="center"/>
          </w:tcPr>
          <w:p>
            <w:pPr>
              <w:pStyle w:val="670"/>
            </w:pPr>
            <w:r>
              <w:t>一般防渗区</w:t>
            </w:r>
          </w:p>
        </w:tc>
        <w:tc>
          <w:tcPr>
            <w:tcW w:w="4465"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防渗性能不低于1.5m厚，渗透系数为1.0×10</w:t>
            </w:r>
            <w:r>
              <w:rPr>
                <w:vertAlign w:val="superscript"/>
                <w:lang w:eastAsia="zh-CN"/>
              </w:rPr>
              <w:t>-7</w:t>
            </w:r>
            <w:r>
              <w:rPr>
                <w:lang w:eastAsia="zh-CN"/>
              </w:rPr>
              <w:t>cm/s的黏土层的防渗性能。</w:t>
            </w:r>
          </w:p>
        </w:tc>
      </w:tr>
    </w:tbl>
    <w:p>
      <w:pPr>
        <w:pStyle w:val="494"/>
        <w:ind w:firstLine="480"/>
      </w:pPr>
      <w:r>
        <w:t>1）重点防渗区防渗措施</w:t>
      </w:r>
    </w:p>
    <w:p>
      <w:pPr>
        <w:pStyle w:val="494"/>
        <w:ind w:firstLine="480"/>
      </w:pPr>
      <w:r>
        <w:t>项目危废暂存间和排污罐在施工阶段对基础层进行防渗处理，采用符合要求的天然基础层或人工合成衬里材料（HDPE膜），防渗层防渗性能不能低于6m厚，渗透系数≤10</w:t>
      </w:r>
      <w:r>
        <w:rPr>
          <w:vertAlign w:val="superscript"/>
        </w:rPr>
        <w:t>-7</w:t>
      </w:r>
      <w:r>
        <w:t>cm/s的防渗性能，防止渗滤液泄漏污染地下水</w:t>
      </w:r>
      <w:r>
        <w:rPr>
          <w:rFonts w:hint="eastAsia"/>
        </w:rPr>
        <w:t>，满足</w:t>
      </w:r>
      <w:r>
        <w:t>《危险废物贮存污染物控制标准》（GB18598-2023）</w:t>
      </w:r>
      <w:r>
        <w:rPr>
          <w:rFonts w:hint="eastAsia"/>
        </w:rPr>
        <w:t>中要求</w:t>
      </w:r>
      <w:r>
        <w:t>。</w:t>
      </w:r>
    </w:p>
    <w:p>
      <w:pPr>
        <w:pStyle w:val="494"/>
        <w:ind w:firstLine="480"/>
      </w:pPr>
      <w:r>
        <w:t>2）一般防渗区防渗措施</w:t>
      </w:r>
    </w:p>
    <w:p>
      <w:pPr>
        <w:pStyle w:val="494"/>
        <w:ind w:firstLine="480"/>
      </w:pPr>
      <w:r>
        <w:t>项目生产区、生活污水化粪池在施工阶段对基础层进行防渗处理，具体要求依据</w:t>
      </w:r>
      <w:r>
        <w:rPr>
          <w:bCs/>
        </w:rPr>
        <w:t>《一般工业固体废物贮存和填埋污染控制标准》（GB18599-2020）</w:t>
      </w:r>
      <w:r>
        <w:t>进行实施。构筑物除需做基础防渗处理外，应根据生产过程中接触到的物料腐蚀性情况根据要求采取相应的防腐蚀处理措施。采取防渗措施后的基础层等效黏土防渗层Mb≥1.5m，k≤10</w:t>
      </w:r>
      <w:r>
        <w:rPr>
          <w:vertAlign w:val="superscript"/>
        </w:rPr>
        <w:t>-7</w:t>
      </w:r>
      <w:r>
        <w:t xml:space="preserve">cm/s。  </w:t>
      </w:r>
    </w:p>
    <w:p>
      <w:pPr>
        <w:pStyle w:val="494"/>
        <w:ind w:firstLine="480"/>
      </w:pPr>
      <w:r>
        <w:t>3）管理措施</w:t>
      </w:r>
    </w:p>
    <w:p>
      <w:pPr>
        <w:pStyle w:val="494"/>
        <w:ind w:firstLine="480"/>
      </w:pPr>
      <w:r>
        <w:t>项目运行后，配备专兼职技术人员，加强地下水环境管理及巡查，定期对排污罐、危废暂存间、化粪池等环节进行检漏工作，确保各防渗漏措施运行的长期性、稳定性和可靠性。</w:t>
      </w:r>
    </w:p>
    <w:p>
      <w:pPr>
        <w:pStyle w:val="494"/>
        <w:ind w:firstLine="480"/>
      </w:pPr>
      <w:r>
        <w:rPr>
          <w:rFonts w:hint="eastAsia"/>
        </w:rPr>
        <w:t>4）根据</w:t>
      </w:r>
      <w:r>
        <w:t>《环境影响评价技术导则 地下水环境》（HJ610-2016）</w:t>
      </w:r>
      <w:r>
        <w:rPr>
          <w:rFonts w:hint="eastAsia"/>
        </w:rPr>
        <w:t>要求，在厂址下游方向设置一口跟踪监控井，定期对项目区地下水质进行跟踪监测。</w:t>
      </w:r>
    </w:p>
    <w:p>
      <w:pPr>
        <w:pStyle w:val="494"/>
        <w:ind w:firstLine="480"/>
      </w:pPr>
      <w:r>
        <w:t>3、小结</w:t>
      </w:r>
    </w:p>
    <w:p>
      <w:pPr>
        <w:pStyle w:val="494"/>
        <w:ind w:firstLine="480"/>
      </w:pPr>
      <w:r>
        <w:t>综上所述，通过认真落实并且严格执行本次环评提出的上述废（污）水防治措施后，本项目运营期间产生废（污）水对项目区及周边区域水环境产生影响较小。</w:t>
      </w:r>
    </w:p>
    <w:p>
      <w:pPr>
        <w:pStyle w:val="5"/>
        <w:spacing w:before="120" w:after="120"/>
        <w:rPr>
          <w:spacing w:val="0"/>
        </w:rPr>
      </w:pPr>
      <w:bookmarkStart w:id="354" w:name="_Toc107500393"/>
      <w:bookmarkStart w:id="355" w:name="_Toc145580429"/>
      <w:r>
        <w:rPr>
          <w:rFonts w:hint="eastAsia"/>
          <w:spacing w:val="0"/>
        </w:rPr>
        <w:t>5.2.3运营期声环境影响预测与分析评价</w:t>
      </w:r>
      <w:bookmarkEnd w:id="354"/>
      <w:bookmarkEnd w:id="355"/>
    </w:p>
    <w:p>
      <w:pPr>
        <w:pStyle w:val="694"/>
        <w:spacing w:line="460" w:lineRule="exact"/>
        <w:ind w:firstLine="480"/>
        <w:rPr>
          <w:rFonts w:ascii="Times New Roman" w:hAnsi="Times New Roman" w:eastAsia="宋体" w:cs="Times New Roman"/>
          <w:kern w:val="28"/>
        </w:rPr>
      </w:pPr>
      <w:r>
        <w:rPr>
          <w:rFonts w:ascii="Times New Roman" w:hAnsi="Times New Roman" w:eastAsia="宋体" w:cs="Times New Roman"/>
          <w:kern w:val="28"/>
        </w:rPr>
        <w:t>1、噪声声源及源强分析</w:t>
      </w:r>
    </w:p>
    <w:p>
      <w:pPr>
        <w:pStyle w:val="694"/>
        <w:spacing w:line="460" w:lineRule="exact"/>
        <w:ind w:firstLine="480"/>
        <w:rPr>
          <w:rFonts w:ascii="Times New Roman" w:hAnsi="Times New Roman" w:eastAsia="宋体" w:cs="Times New Roman"/>
          <w:kern w:val="28"/>
        </w:rPr>
      </w:pPr>
      <w:r>
        <w:rPr>
          <w:rFonts w:ascii="Times New Roman" w:hAnsi="Times New Roman" w:cs="Times New Roman"/>
          <w:kern w:val="28"/>
        </w:rPr>
        <w:t>项目在运营期间噪声主要来源于各类设备运行噪声</w:t>
      </w:r>
      <w:r>
        <w:rPr>
          <w:rFonts w:ascii="Times New Roman" w:hAnsi="Times New Roman" w:eastAsia="宋体" w:cs="Times New Roman"/>
          <w:kern w:val="28"/>
        </w:rPr>
        <w:t>等，大部分噪声设备均置于室内</w:t>
      </w:r>
      <w:r>
        <w:rPr>
          <w:rFonts w:hint="eastAsia" w:ascii="Times New Roman" w:hAnsi="Times New Roman" w:eastAsia="宋体" w:cs="Times New Roman"/>
          <w:kern w:val="28"/>
        </w:rPr>
        <w:t>，具体噪声源信息见表</w:t>
      </w:r>
      <w:r>
        <w:rPr>
          <w:rFonts w:ascii="Times New Roman" w:hAnsi="Times New Roman" w:eastAsia="宋体" w:cs="Times New Roman"/>
          <w:kern w:val="28"/>
        </w:rPr>
        <w:t>3.6.2.3</w:t>
      </w:r>
      <w:r>
        <w:rPr>
          <w:rFonts w:hint="eastAsia" w:ascii="Times New Roman" w:hAnsi="Times New Roman" w:eastAsia="宋体" w:cs="Times New Roman"/>
          <w:kern w:val="28"/>
        </w:rPr>
        <w:t>-</w:t>
      </w:r>
      <w:r>
        <w:rPr>
          <w:rFonts w:ascii="Times New Roman" w:hAnsi="Times New Roman" w:eastAsia="宋体" w:cs="Times New Roman"/>
          <w:kern w:val="28"/>
        </w:rPr>
        <w:t>1</w:t>
      </w:r>
      <w:r>
        <w:rPr>
          <w:rFonts w:hint="eastAsia" w:ascii="Times New Roman" w:hAnsi="Times New Roman" w:eastAsia="宋体" w:cs="Times New Roman"/>
          <w:kern w:val="28"/>
        </w:rPr>
        <w:t>、表</w:t>
      </w:r>
      <w:r>
        <w:rPr>
          <w:rFonts w:ascii="Times New Roman" w:hAnsi="Times New Roman" w:eastAsia="宋体" w:cs="Times New Roman"/>
          <w:kern w:val="28"/>
        </w:rPr>
        <w:t>3.6.2.3-2。</w:t>
      </w:r>
    </w:p>
    <w:p>
      <w:pPr>
        <w:pStyle w:val="694"/>
        <w:spacing w:line="460" w:lineRule="exact"/>
        <w:ind w:firstLine="480"/>
        <w:rPr>
          <w:rFonts w:ascii="Times New Roman" w:hAnsi="Times New Roman" w:cs="Times New Roman"/>
        </w:rPr>
      </w:pPr>
      <w:r>
        <w:rPr>
          <w:rFonts w:ascii="Times New Roman" w:hAnsi="Times New Roman" w:cs="Times New Roman"/>
        </w:rPr>
        <w:t>2、噪声环境影响预测与分析评价</w:t>
      </w:r>
    </w:p>
    <w:p>
      <w:pPr>
        <w:pStyle w:val="694"/>
        <w:spacing w:line="460" w:lineRule="exact"/>
        <w:ind w:firstLine="480"/>
        <w:rPr>
          <w:rFonts w:ascii="Times New Roman" w:hAnsi="Times New Roman" w:cs="Times New Roman"/>
        </w:rPr>
      </w:pPr>
      <w:r>
        <w:rPr>
          <w:rFonts w:ascii="Times New Roman" w:hAnsi="Times New Roman" w:cs="Times New Roman"/>
        </w:rPr>
        <w:t>（1）预测模式选择</w:t>
      </w:r>
    </w:p>
    <w:p>
      <w:pPr>
        <w:pStyle w:val="694"/>
        <w:spacing w:line="460" w:lineRule="exact"/>
        <w:ind w:firstLine="480"/>
        <w:rPr>
          <w:rFonts w:ascii="Times New Roman" w:hAnsi="Times New Roman" w:cs="Times New Roman"/>
          <w:kern w:val="0"/>
        </w:rPr>
      </w:pPr>
      <w:r>
        <w:rPr>
          <w:rFonts w:ascii="Times New Roman" w:hAnsi="Times New Roman" w:cs="Times New Roman"/>
        </w:rPr>
        <w:t>根据《环境影响评价技术导则</w:t>
      </w:r>
      <w:r>
        <w:rPr>
          <w:rFonts w:hint="eastAsia" w:ascii="Times New Roman" w:hAnsi="Times New Roman" w:cs="Times New Roman"/>
        </w:rPr>
        <w:t xml:space="preserve"> </w:t>
      </w:r>
      <w:r>
        <w:rPr>
          <w:rFonts w:ascii="Times New Roman" w:hAnsi="Times New Roman" w:cs="Times New Roman"/>
        </w:rPr>
        <w:t>声环境》（HJ 2.4-2021），</w:t>
      </w:r>
      <w:r>
        <w:rPr>
          <w:rFonts w:ascii="Times New Roman" w:hAnsi="Times New Roman" w:cs="Times New Roman"/>
          <w:kern w:val="0"/>
        </w:rPr>
        <w:t>中的工业噪声预测模式。</w:t>
      </w:r>
    </w:p>
    <w:p>
      <w:pPr>
        <w:pStyle w:val="694"/>
        <w:spacing w:line="460" w:lineRule="exact"/>
        <w:ind w:firstLine="480"/>
        <w:rPr>
          <w:rFonts w:ascii="Times New Roman" w:hAnsi="Times New Roman" w:cs="Times New Roman"/>
          <w:kern w:val="0"/>
        </w:rPr>
      </w:pPr>
      <w:r>
        <w:rPr>
          <w:rFonts w:ascii="Times New Roman" w:hAnsi="Times New Roman" w:cs="Times New Roman"/>
          <w:kern w:val="0"/>
        </w:rPr>
        <w:t>计算某个室外声源在预测点产生的倍频带声压级：</w:t>
      </w:r>
    </w:p>
    <w:p>
      <w:pPr>
        <w:pStyle w:val="694"/>
        <w:spacing w:line="240" w:lineRule="auto"/>
        <w:ind w:firstLine="0" w:firstLineChars="0"/>
        <w:jc w:val="center"/>
        <w:rPr>
          <w:rFonts w:cs="Times New Roman"/>
          <w:kern w:val="0"/>
        </w:rPr>
      </w:pPr>
      <w:r>
        <w:rPr>
          <w:rFonts w:cs="Times New Roman"/>
          <w:kern w:val="0"/>
        </w:rPr>
        <w:drawing>
          <wp:inline distT="0" distB="0" distL="114300" distR="114300">
            <wp:extent cx="2287270" cy="409575"/>
            <wp:effectExtent l="0" t="0" r="17780" b="8255"/>
            <wp:docPr id="7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8"/>
                    <pic:cNvPicPr>
                      <a:picLocks noChangeAspect="1"/>
                    </pic:cNvPicPr>
                  </pic:nvPicPr>
                  <pic:blipFill>
                    <a:blip r:embed="rId25"/>
                    <a:stretch>
                      <a:fillRect/>
                    </a:stretch>
                  </pic:blipFill>
                  <pic:spPr>
                    <a:xfrm>
                      <a:off x="0" y="0"/>
                      <a:ext cx="2287270" cy="409575"/>
                    </a:xfrm>
                    <a:prstGeom prst="rect">
                      <a:avLst/>
                    </a:prstGeom>
                    <a:noFill/>
                    <a:ln>
                      <a:noFill/>
                    </a:ln>
                  </pic:spPr>
                </pic:pic>
              </a:graphicData>
            </a:graphic>
          </wp:inline>
        </w:drawing>
      </w:r>
    </w:p>
    <w:p>
      <w:pPr>
        <w:widowControl/>
        <w:ind w:firstLine="480"/>
        <w:rPr>
          <w:kern w:val="0"/>
          <w:sz w:val="24"/>
        </w:rPr>
      </w:pPr>
      <w:r>
        <w:rPr>
          <w:kern w:val="0"/>
          <w:sz w:val="24"/>
        </w:rPr>
        <w:t>式中：</w:t>
      </w:r>
      <w:r>
        <w:rPr>
          <w:kern w:val="0"/>
          <w:sz w:val="24"/>
        </w:rPr>
        <w:drawing>
          <wp:inline distT="0" distB="0" distL="114300" distR="114300">
            <wp:extent cx="428625" cy="228600"/>
            <wp:effectExtent l="0" t="0" r="8890" b="0"/>
            <wp:docPr id="7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9"/>
                    <pic:cNvPicPr>
                      <a:picLocks noChangeAspect="1"/>
                    </pic:cNvPicPr>
                  </pic:nvPicPr>
                  <pic:blipFill>
                    <a:blip r:embed="rId26"/>
                    <a:stretch>
                      <a:fillRect/>
                    </a:stretch>
                  </pic:blipFill>
                  <pic:spPr>
                    <a:xfrm>
                      <a:off x="0" y="0"/>
                      <a:ext cx="428625" cy="228600"/>
                    </a:xfrm>
                    <a:prstGeom prst="rect">
                      <a:avLst/>
                    </a:prstGeom>
                    <a:noFill/>
                    <a:ln>
                      <a:noFill/>
                    </a:ln>
                  </pic:spPr>
                </pic:pic>
              </a:graphicData>
            </a:graphic>
          </wp:inline>
        </w:drawing>
      </w:r>
      <w:r>
        <w:rPr>
          <w:kern w:val="0"/>
          <w:sz w:val="24"/>
        </w:rPr>
        <w:t>—点声源在预测点产生的倍频带声压级，dB；</w:t>
      </w:r>
    </w:p>
    <w:p>
      <w:pPr>
        <w:widowControl/>
        <w:ind w:firstLine="1200" w:firstLineChars="500"/>
        <w:rPr>
          <w:kern w:val="0"/>
          <w:sz w:val="24"/>
        </w:rPr>
      </w:pPr>
      <w:r>
        <w:rPr>
          <w:kern w:val="0"/>
          <w:sz w:val="24"/>
        </w:rPr>
        <w:drawing>
          <wp:inline distT="0" distB="0" distL="114300" distR="114300">
            <wp:extent cx="485775" cy="228600"/>
            <wp:effectExtent l="0" t="0" r="8890" b="0"/>
            <wp:docPr id="7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0"/>
                    <pic:cNvPicPr>
                      <a:picLocks noChangeAspect="1"/>
                    </pic:cNvPicPr>
                  </pic:nvPicPr>
                  <pic:blipFill>
                    <a:blip r:embed="rId27"/>
                    <a:stretch>
                      <a:fillRect/>
                    </a:stretch>
                  </pic:blipFill>
                  <pic:spPr>
                    <a:xfrm>
                      <a:off x="0" y="0"/>
                      <a:ext cx="485775" cy="228600"/>
                    </a:xfrm>
                    <a:prstGeom prst="rect">
                      <a:avLst/>
                    </a:prstGeom>
                    <a:noFill/>
                    <a:ln>
                      <a:noFill/>
                    </a:ln>
                  </pic:spPr>
                </pic:pic>
              </a:graphicData>
            </a:graphic>
          </wp:inline>
        </w:drawing>
      </w:r>
      <w:r>
        <w:rPr>
          <w:kern w:val="0"/>
          <w:sz w:val="24"/>
        </w:rPr>
        <w:t>—参考位置</w:t>
      </w:r>
      <w:r>
        <w:rPr>
          <w:kern w:val="0"/>
          <w:sz w:val="24"/>
        </w:rPr>
        <w:drawing>
          <wp:inline distT="0" distB="0" distL="114300" distR="114300">
            <wp:extent cx="142875" cy="228600"/>
            <wp:effectExtent l="0" t="0" r="9525" b="0"/>
            <wp:docPr id="7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1"/>
                    <pic:cNvPicPr>
                      <a:picLocks noChangeAspect="1"/>
                    </pic:cNvPicPr>
                  </pic:nvPicPr>
                  <pic:blipFill>
                    <a:blip r:embed="rId28"/>
                    <a:stretch>
                      <a:fillRect/>
                    </a:stretch>
                  </pic:blipFill>
                  <pic:spPr>
                    <a:xfrm>
                      <a:off x="0" y="0"/>
                      <a:ext cx="142875" cy="228600"/>
                    </a:xfrm>
                    <a:prstGeom prst="rect">
                      <a:avLst/>
                    </a:prstGeom>
                    <a:noFill/>
                    <a:ln>
                      <a:noFill/>
                    </a:ln>
                  </pic:spPr>
                </pic:pic>
              </a:graphicData>
            </a:graphic>
          </wp:inline>
        </w:drawing>
      </w:r>
      <w:r>
        <w:rPr>
          <w:kern w:val="0"/>
          <w:sz w:val="24"/>
        </w:rPr>
        <w:t>处的倍频带声压级，dB；</w:t>
      </w:r>
    </w:p>
    <w:p>
      <w:pPr>
        <w:widowControl/>
        <w:ind w:firstLine="1200" w:firstLineChars="500"/>
        <w:rPr>
          <w:kern w:val="0"/>
          <w:sz w:val="24"/>
        </w:rPr>
      </w:pPr>
      <w:r>
        <w:rPr>
          <w:kern w:val="0"/>
          <w:sz w:val="24"/>
        </w:rPr>
        <w:drawing>
          <wp:inline distT="0" distB="0" distL="114300" distR="114300">
            <wp:extent cx="114300" cy="123825"/>
            <wp:effectExtent l="0" t="0" r="0" b="5715"/>
            <wp:docPr id="7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2"/>
                    <pic:cNvPicPr>
                      <a:picLocks noChangeAspect="1"/>
                    </pic:cNvPicPr>
                  </pic:nvPicPr>
                  <pic:blipFill>
                    <a:blip r:embed="rId29"/>
                    <a:stretch>
                      <a:fillRect/>
                    </a:stretch>
                  </pic:blipFill>
                  <pic:spPr>
                    <a:xfrm>
                      <a:off x="0" y="0"/>
                      <a:ext cx="114300" cy="123825"/>
                    </a:xfrm>
                    <a:prstGeom prst="rect">
                      <a:avLst/>
                    </a:prstGeom>
                    <a:noFill/>
                    <a:ln>
                      <a:noFill/>
                    </a:ln>
                  </pic:spPr>
                </pic:pic>
              </a:graphicData>
            </a:graphic>
          </wp:inline>
        </w:drawing>
      </w:r>
      <w:r>
        <w:rPr>
          <w:kern w:val="0"/>
          <w:sz w:val="24"/>
        </w:rPr>
        <w:t>—预测点距声源的距离，m；</w:t>
      </w:r>
    </w:p>
    <w:p>
      <w:pPr>
        <w:widowControl/>
        <w:ind w:firstLine="1200" w:firstLineChars="500"/>
        <w:rPr>
          <w:kern w:val="0"/>
          <w:sz w:val="24"/>
        </w:rPr>
      </w:pPr>
      <w:r>
        <w:rPr>
          <w:kern w:val="0"/>
          <w:sz w:val="24"/>
        </w:rPr>
        <w:drawing>
          <wp:inline distT="0" distB="0" distL="114300" distR="114300">
            <wp:extent cx="142875" cy="228600"/>
            <wp:effectExtent l="0" t="0" r="9525" b="0"/>
            <wp:docPr id="7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3"/>
                    <pic:cNvPicPr>
                      <a:picLocks noChangeAspect="1"/>
                    </pic:cNvPicPr>
                  </pic:nvPicPr>
                  <pic:blipFill>
                    <a:blip r:embed="rId30"/>
                    <a:stretch>
                      <a:fillRect/>
                    </a:stretch>
                  </pic:blipFill>
                  <pic:spPr>
                    <a:xfrm>
                      <a:off x="0" y="0"/>
                      <a:ext cx="142875" cy="228600"/>
                    </a:xfrm>
                    <a:prstGeom prst="rect">
                      <a:avLst/>
                    </a:prstGeom>
                    <a:noFill/>
                    <a:ln>
                      <a:noFill/>
                    </a:ln>
                  </pic:spPr>
                </pic:pic>
              </a:graphicData>
            </a:graphic>
          </wp:inline>
        </w:drawing>
      </w:r>
      <w:r>
        <w:rPr>
          <w:kern w:val="0"/>
          <w:sz w:val="24"/>
        </w:rPr>
        <w:t>—参考位置距声源的距离，m；</w:t>
      </w:r>
    </w:p>
    <w:p>
      <w:pPr>
        <w:widowControl/>
        <w:ind w:firstLine="1200" w:firstLineChars="500"/>
        <w:rPr>
          <w:kern w:val="0"/>
          <w:sz w:val="24"/>
        </w:rPr>
      </w:pPr>
      <w:r>
        <w:rPr>
          <w:kern w:val="0"/>
          <w:sz w:val="24"/>
        </w:rPr>
        <w:drawing>
          <wp:inline distT="0" distB="0" distL="114300" distR="114300">
            <wp:extent cx="342900" cy="228600"/>
            <wp:effectExtent l="0" t="0" r="0" b="0"/>
            <wp:docPr id="8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4"/>
                    <pic:cNvPicPr>
                      <a:picLocks noChangeAspect="1"/>
                    </pic:cNvPicPr>
                  </pic:nvPicPr>
                  <pic:blipFill>
                    <a:blip r:embed="rId31"/>
                    <a:stretch>
                      <a:fillRect/>
                    </a:stretch>
                  </pic:blipFill>
                  <pic:spPr>
                    <a:xfrm>
                      <a:off x="0" y="0"/>
                      <a:ext cx="342900" cy="228600"/>
                    </a:xfrm>
                    <a:prstGeom prst="rect">
                      <a:avLst/>
                    </a:prstGeom>
                    <a:noFill/>
                    <a:ln>
                      <a:noFill/>
                    </a:ln>
                  </pic:spPr>
                </pic:pic>
              </a:graphicData>
            </a:graphic>
          </wp:inline>
        </w:drawing>
      </w:r>
      <w:r>
        <w:rPr>
          <w:kern w:val="0"/>
          <w:sz w:val="24"/>
        </w:rPr>
        <w:t>—各种因素引起的衰减量，dB。</w:t>
      </w:r>
    </w:p>
    <w:p>
      <w:pPr>
        <w:widowControl/>
        <w:ind w:firstLine="480"/>
        <w:rPr>
          <w:kern w:val="0"/>
          <w:sz w:val="24"/>
        </w:rPr>
      </w:pPr>
      <w:r>
        <w:rPr>
          <w:kern w:val="0"/>
          <w:sz w:val="24"/>
        </w:rPr>
        <w:t>如已知声源的倍频带声功率级</w:t>
      </w:r>
      <w:r>
        <w:rPr>
          <w:kern w:val="0"/>
          <w:sz w:val="24"/>
        </w:rPr>
        <w:drawing>
          <wp:inline distT="0" distB="0" distL="114300" distR="114300">
            <wp:extent cx="314325" cy="228600"/>
            <wp:effectExtent l="0" t="0" r="9525" b="0"/>
            <wp:docPr id="8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5"/>
                    <pic:cNvPicPr>
                      <a:picLocks noChangeAspect="1"/>
                    </pic:cNvPicPr>
                  </pic:nvPicPr>
                  <pic:blipFill>
                    <a:blip r:embed="rId32"/>
                    <a:stretch>
                      <a:fillRect/>
                    </a:stretch>
                  </pic:blipFill>
                  <pic:spPr>
                    <a:xfrm>
                      <a:off x="0" y="0"/>
                      <a:ext cx="314325" cy="228600"/>
                    </a:xfrm>
                    <a:prstGeom prst="rect">
                      <a:avLst/>
                    </a:prstGeom>
                    <a:noFill/>
                    <a:ln>
                      <a:noFill/>
                    </a:ln>
                  </pic:spPr>
                </pic:pic>
              </a:graphicData>
            </a:graphic>
          </wp:inline>
        </w:drawing>
      </w:r>
      <w:r>
        <w:rPr>
          <w:kern w:val="0"/>
          <w:sz w:val="24"/>
        </w:rPr>
        <w:t>，且声源可看作是位于地面上的，则</w:t>
      </w:r>
    </w:p>
    <w:p>
      <w:pPr>
        <w:pStyle w:val="694"/>
        <w:spacing w:line="240" w:lineRule="auto"/>
        <w:ind w:firstLine="0" w:firstLineChars="0"/>
        <w:jc w:val="center"/>
        <w:rPr>
          <w:rFonts w:cs="Times New Roman"/>
          <w:kern w:val="0"/>
        </w:rPr>
      </w:pPr>
      <w:r>
        <w:rPr>
          <w:rFonts w:cs="Times New Roman"/>
          <w:kern w:val="0"/>
        </w:rPr>
        <w:drawing>
          <wp:inline distT="0" distB="0" distL="114300" distR="114300">
            <wp:extent cx="1704340" cy="228600"/>
            <wp:effectExtent l="0" t="0" r="10160" b="0"/>
            <wp:docPr id="8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6"/>
                    <pic:cNvPicPr>
                      <a:picLocks noChangeAspect="1"/>
                    </pic:cNvPicPr>
                  </pic:nvPicPr>
                  <pic:blipFill>
                    <a:blip r:embed="rId33"/>
                    <a:stretch>
                      <a:fillRect/>
                    </a:stretch>
                  </pic:blipFill>
                  <pic:spPr>
                    <a:xfrm>
                      <a:off x="0" y="0"/>
                      <a:ext cx="1704340" cy="228600"/>
                    </a:xfrm>
                    <a:prstGeom prst="rect">
                      <a:avLst/>
                    </a:prstGeom>
                    <a:noFill/>
                    <a:ln>
                      <a:noFill/>
                    </a:ln>
                  </pic:spPr>
                </pic:pic>
              </a:graphicData>
            </a:graphic>
          </wp:inline>
        </w:drawing>
      </w:r>
    </w:p>
    <w:p>
      <w:pPr>
        <w:pStyle w:val="694"/>
        <w:spacing w:line="460" w:lineRule="exact"/>
        <w:ind w:firstLine="480"/>
        <w:rPr>
          <w:rFonts w:ascii="Times New Roman" w:hAnsi="Times New Roman" w:cs="Times New Roman"/>
          <w:kern w:val="0"/>
        </w:rPr>
      </w:pPr>
      <w:r>
        <w:rPr>
          <w:rFonts w:ascii="Times New Roman" w:hAnsi="Times New Roman" w:cs="Times New Roman"/>
          <w:kern w:val="0"/>
        </w:rPr>
        <w:t>由各倍频带声压级合成计算该声源产生的A声级</w:t>
      </w:r>
      <w:r>
        <w:rPr>
          <w:rFonts w:ascii="Times New Roman" w:hAnsi="Times New Roman" w:cs="Times New Roman"/>
          <w:kern w:val="0"/>
        </w:rPr>
        <w:drawing>
          <wp:inline distT="0" distB="0" distL="114300" distR="114300">
            <wp:extent cx="485775" cy="219075"/>
            <wp:effectExtent l="0" t="0" r="8890" b="9525"/>
            <wp:docPr id="1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7"/>
                    <pic:cNvPicPr>
                      <a:picLocks noChangeAspect="1"/>
                    </pic:cNvPicPr>
                  </pic:nvPicPr>
                  <pic:blipFill>
                    <a:blip r:embed="rId34"/>
                    <a:stretch>
                      <a:fillRect/>
                    </a:stretch>
                  </pic:blipFill>
                  <pic:spPr>
                    <a:xfrm>
                      <a:off x="0" y="0"/>
                      <a:ext cx="485775" cy="219075"/>
                    </a:xfrm>
                    <a:prstGeom prst="rect">
                      <a:avLst/>
                    </a:prstGeom>
                    <a:noFill/>
                    <a:ln>
                      <a:noFill/>
                    </a:ln>
                  </pic:spPr>
                </pic:pic>
              </a:graphicData>
            </a:graphic>
          </wp:inline>
        </w:drawing>
      </w:r>
      <w:r>
        <w:rPr>
          <w:rFonts w:ascii="Times New Roman" w:hAnsi="Times New Roman" w:cs="Times New Roman"/>
          <w:kern w:val="0"/>
        </w:rPr>
        <w:t>。</w:t>
      </w:r>
    </w:p>
    <w:p>
      <w:pPr>
        <w:pStyle w:val="694"/>
        <w:spacing w:line="460" w:lineRule="exact"/>
        <w:ind w:firstLine="480"/>
        <w:rPr>
          <w:rFonts w:ascii="Times New Roman" w:hAnsi="Times New Roman" w:cs="Times New Roman"/>
          <w:kern w:val="0"/>
        </w:rPr>
      </w:pPr>
      <w:r>
        <w:rPr>
          <w:rFonts w:hint="eastAsia" w:ascii="Times New Roman" w:hAnsi="Times New Roman" w:cs="Times New Roman"/>
        </w:rPr>
        <w:t>计算总声压级：</w:t>
      </w:r>
      <w:r>
        <w:rPr>
          <w:rFonts w:ascii="Times New Roman" w:hAnsi="Times New Roman" w:cs="Times New Roman"/>
          <w:kern w:val="0"/>
        </w:rPr>
        <w:t>设第i个室外声源在预测点产生的A声级为</w:t>
      </w:r>
      <w:r>
        <w:rPr>
          <w:rFonts w:ascii="Times New Roman" w:hAnsi="Times New Roman" w:cs="Times New Roman"/>
          <w:kern w:val="0"/>
        </w:rPr>
        <w:drawing>
          <wp:inline distT="0" distB="0" distL="114300" distR="114300">
            <wp:extent cx="333375" cy="238125"/>
            <wp:effectExtent l="0" t="0" r="9525" b="7620"/>
            <wp:docPr id="8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8"/>
                    <pic:cNvPicPr>
                      <a:picLocks noChangeAspect="1"/>
                    </pic:cNvPicPr>
                  </pic:nvPicPr>
                  <pic:blipFill>
                    <a:blip r:embed="rId35"/>
                    <a:stretch>
                      <a:fillRect/>
                    </a:stretch>
                  </pic:blipFill>
                  <pic:spPr>
                    <a:xfrm>
                      <a:off x="0" y="0"/>
                      <a:ext cx="333375" cy="238125"/>
                    </a:xfrm>
                    <a:prstGeom prst="rect">
                      <a:avLst/>
                    </a:prstGeom>
                    <a:noFill/>
                    <a:ln>
                      <a:noFill/>
                    </a:ln>
                  </pic:spPr>
                </pic:pic>
              </a:graphicData>
            </a:graphic>
          </wp:inline>
        </w:drawing>
      </w:r>
      <w:r>
        <w:rPr>
          <w:rFonts w:ascii="Times New Roman" w:hAnsi="Times New Roman" w:cs="Times New Roman"/>
          <w:kern w:val="0"/>
        </w:rPr>
        <w:t>，在</w:t>
      </w:r>
      <w:r>
        <w:rPr>
          <w:rFonts w:ascii="Times New Roman" w:hAnsi="Times New Roman" w:cs="Times New Roman"/>
          <w:kern w:val="0"/>
        </w:rPr>
        <w:drawing>
          <wp:inline distT="0" distB="0" distL="114300" distR="114300">
            <wp:extent cx="142875" cy="161925"/>
            <wp:effectExtent l="0" t="0" r="9525" b="6350"/>
            <wp:docPr id="8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9"/>
                    <pic:cNvPicPr>
                      <a:picLocks noChangeAspect="1"/>
                    </pic:cNvPicPr>
                  </pic:nvPicPr>
                  <pic:blipFill>
                    <a:blip r:embed="rId36"/>
                    <a:stretch>
                      <a:fillRect/>
                    </a:stretch>
                  </pic:blipFill>
                  <pic:spPr>
                    <a:xfrm>
                      <a:off x="0" y="0"/>
                      <a:ext cx="142875" cy="161925"/>
                    </a:xfrm>
                    <a:prstGeom prst="rect">
                      <a:avLst/>
                    </a:prstGeom>
                    <a:noFill/>
                    <a:ln>
                      <a:noFill/>
                    </a:ln>
                  </pic:spPr>
                </pic:pic>
              </a:graphicData>
            </a:graphic>
          </wp:inline>
        </w:drawing>
      </w:r>
      <w:r>
        <w:rPr>
          <w:rFonts w:ascii="Times New Roman" w:hAnsi="Times New Roman" w:cs="Times New Roman"/>
          <w:kern w:val="0"/>
        </w:rPr>
        <w:t>时间内该声源工作时间为</w:t>
      </w:r>
      <w:r>
        <w:rPr>
          <w:rFonts w:ascii="Times New Roman" w:hAnsi="Times New Roman" w:cs="Times New Roman"/>
          <w:kern w:val="0"/>
        </w:rPr>
        <w:drawing>
          <wp:inline distT="0" distB="0" distL="114300" distR="114300">
            <wp:extent cx="219075" cy="238125"/>
            <wp:effectExtent l="0" t="0" r="9525" b="6350"/>
            <wp:docPr id="9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0"/>
                    <pic:cNvPicPr>
                      <a:picLocks noChangeAspect="1"/>
                    </pic:cNvPicPr>
                  </pic:nvPicPr>
                  <pic:blipFill>
                    <a:blip r:embed="rId37"/>
                    <a:stretch>
                      <a:fillRect/>
                    </a:stretch>
                  </pic:blipFill>
                  <pic:spPr>
                    <a:xfrm>
                      <a:off x="0" y="0"/>
                      <a:ext cx="219075" cy="238125"/>
                    </a:xfrm>
                    <a:prstGeom prst="rect">
                      <a:avLst/>
                    </a:prstGeom>
                    <a:noFill/>
                    <a:ln>
                      <a:noFill/>
                    </a:ln>
                  </pic:spPr>
                </pic:pic>
              </a:graphicData>
            </a:graphic>
          </wp:inline>
        </w:drawing>
      </w:r>
      <w:r>
        <w:rPr>
          <w:rFonts w:ascii="Times New Roman" w:hAnsi="Times New Roman" w:cs="Times New Roman"/>
          <w:kern w:val="0"/>
        </w:rPr>
        <w:t>，第j个等效室外声源在预测点产生的A声级为</w:t>
      </w:r>
      <w:r>
        <w:rPr>
          <w:rFonts w:ascii="Times New Roman" w:hAnsi="Times New Roman" w:cs="Times New Roman"/>
          <w:kern w:val="0"/>
        </w:rPr>
        <w:drawing>
          <wp:inline distT="0" distB="0" distL="114300" distR="114300">
            <wp:extent cx="390525" cy="238125"/>
            <wp:effectExtent l="0" t="0" r="9525" b="7620"/>
            <wp:docPr id="9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1"/>
                    <pic:cNvPicPr>
                      <a:picLocks noChangeAspect="1"/>
                    </pic:cNvPicPr>
                  </pic:nvPicPr>
                  <pic:blipFill>
                    <a:blip r:embed="rId38"/>
                    <a:stretch>
                      <a:fillRect/>
                    </a:stretch>
                  </pic:blipFill>
                  <pic:spPr>
                    <a:xfrm>
                      <a:off x="0" y="0"/>
                      <a:ext cx="390525" cy="238125"/>
                    </a:xfrm>
                    <a:prstGeom prst="rect">
                      <a:avLst/>
                    </a:prstGeom>
                    <a:noFill/>
                    <a:ln>
                      <a:noFill/>
                    </a:ln>
                  </pic:spPr>
                </pic:pic>
              </a:graphicData>
            </a:graphic>
          </wp:inline>
        </w:drawing>
      </w:r>
      <w:r>
        <w:rPr>
          <w:rFonts w:ascii="Times New Roman" w:hAnsi="Times New Roman" w:cs="Times New Roman"/>
          <w:kern w:val="0"/>
        </w:rPr>
        <w:t>，在</w:t>
      </w:r>
      <w:r>
        <w:rPr>
          <w:rFonts w:ascii="Times New Roman" w:hAnsi="Times New Roman" w:cs="Times New Roman"/>
          <w:kern w:val="0"/>
        </w:rPr>
        <w:drawing>
          <wp:inline distT="0" distB="0" distL="114300" distR="114300">
            <wp:extent cx="142875" cy="161925"/>
            <wp:effectExtent l="0" t="0" r="9525" b="6350"/>
            <wp:docPr id="9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2"/>
                    <pic:cNvPicPr>
                      <a:picLocks noChangeAspect="1"/>
                    </pic:cNvPicPr>
                  </pic:nvPicPr>
                  <pic:blipFill>
                    <a:blip r:embed="rId36"/>
                    <a:stretch>
                      <a:fillRect/>
                    </a:stretch>
                  </pic:blipFill>
                  <pic:spPr>
                    <a:xfrm>
                      <a:off x="0" y="0"/>
                      <a:ext cx="142875" cy="161925"/>
                    </a:xfrm>
                    <a:prstGeom prst="rect">
                      <a:avLst/>
                    </a:prstGeom>
                    <a:noFill/>
                    <a:ln>
                      <a:noFill/>
                    </a:ln>
                  </pic:spPr>
                </pic:pic>
              </a:graphicData>
            </a:graphic>
          </wp:inline>
        </w:drawing>
      </w:r>
      <w:r>
        <w:rPr>
          <w:rFonts w:ascii="Times New Roman" w:hAnsi="Times New Roman" w:cs="Times New Roman"/>
          <w:kern w:val="0"/>
        </w:rPr>
        <w:t>时间内该声源工作时间为</w:t>
      </w:r>
      <w:r>
        <w:rPr>
          <w:rFonts w:ascii="Times New Roman" w:hAnsi="Times New Roman" w:cs="Times New Roman"/>
          <w:kern w:val="0"/>
        </w:rPr>
        <w:drawing>
          <wp:inline distT="0" distB="0" distL="114300" distR="114300">
            <wp:extent cx="295275" cy="238125"/>
            <wp:effectExtent l="0" t="0" r="9525" b="6350"/>
            <wp:docPr id="9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3"/>
                    <pic:cNvPicPr>
                      <a:picLocks noChangeAspect="1"/>
                    </pic:cNvPicPr>
                  </pic:nvPicPr>
                  <pic:blipFill>
                    <a:blip r:embed="rId39"/>
                    <a:stretch>
                      <a:fillRect/>
                    </a:stretch>
                  </pic:blipFill>
                  <pic:spPr>
                    <a:xfrm>
                      <a:off x="0" y="0"/>
                      <a:ext cx="295275" cy="238125"/>
                    </a:xfrm>
                    <a:prstGeom prst="rect">
                      <a:avLst/>
                    </a:prstGeom>
                    <a:noFill/>
                    <a:ln>
                      <a:noFill/>
                    </a:ln>
                  </pic:spPr>
                </pic:pic>
              </a:graphicData>
            </a:graphic>
          </wp:inline>
        </w:drawing>
      </w:r>
      <w:r>
        <w:rPr>
          <w:rFonts w:ascii="Times New Roman" w:hAnsi="Times New Roman" w:cs="Times New Roman"/>
          <w:kern w:val="0"/>
        </w:rPr>
        <w:t>，则预测点的总等效声级为：</w:t>
      </w:r>
    </w:p>
    <w:p>
      <w:pPr>
        <w:widowControl/>
        <w:ind w:firstLine="480"/>
        <w:jc w:val="center"/>
        <w:rPr>
          <w:kern w:val="0"/>
          <w:sz w:val="24"/>
        </w:rPr>
      </w:pPr>
      <w:r>
        <w:rPr>
          <w:kern w:val="0"/>
          <w:sz w:val="24"/>
        </w:rPr>
        <w:drawing>
          <wp:inline distT="0" distB="0" distL="114300" distR="114300">
            <wp:extent cx="3276600" cy="485775"/>
            <wp:effectExtent l="0" t="0" r="0" b="8890"/>
            <wp:docPr id="9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4"/>
                    <pic:cNvPicPr>
                      <a:picLocks noChangeAspect="1"/>
                    </pic:cNvPicPr>
                  </pic:nvPicPr>
                  <pic:blipFill>
                    <a:blip r:embed="rId40"/>
                    <a:stretch>
                      <a:fillRect/>
                    </a:stretch>
                  </pic:blipFill>
                  <pic:spPr>
                    <a:xfrm>
                      <a:off x="0" y="0"/>
                      <a:ext cx="3276600" cy="485775"/>
                    </a:xfrm>
                    <a:prstGeom prst="rect">
                      <a:avLst/>
                    </a:prstGeom>
                    <a:noFill/>
                    <a:ln>
                      <a:noFill/>
                    </a:ln>
                  </pic:spPr>
                </pic:pic>
              </a:graphicData>
            </a:graphic>
          </wp:inline>
        </w:drawing>
      </w:r>
    </w:p>
    <w:p>
      <w:pPr>
        <w:widowControl/>
        <w:ind w:firstLine="480"/>
        <w:rPr>
          <w:kern w:val="0"/>
          <w:sz w:val="24"/>
        </w:rPr>
      </w:pPr>
      <w:r>
        <w:rPr>
          <w:kern w:val="0"/>
          <w:sz w:val="24"/>
        </w:rPr>
        <w:t>式中：</w:t>
      </w:r>
      <w:r>
        <w:rPr>
          <w:kern w:val="0"/>
          <w:sz w:val="24"/>
        </w:rPr>
        <w:drawing>
          <wp:inline distT="0" distB="0" distL="114300" distR="114300">
            <wp:extent cx="142875" cy="161925"/>
            <wp:effectExtent l="0" t="0" r="9525" b="6350"/>
            <wp:docPr id="9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5"/>
                    <pic:cNvPicPr>
                      <a:picLocks noChangeAspect="1"/>
                    </pic:cNvPicPr>
                  </pic:nvPicPr>
                  <pic:blipFill>
                    <a:blip r:embed="rId36"/>
                    <a:stretch>
                      <a:fillRect/>
                    </a:stretch>
                  </pic:blipFill>
                  <pic:spPr>
                    <a:xfrm>
                      <a:off x="0" y="0"/>
                      <a:ext cx="142875" cy="161925"/>
                    </a:xfrm>
                    <a:prstGeom prst="rect">
                      <a:avLst/>
                    </a:prstGeom>
                    <a:noFill/>
                    <a:ln>
                      <a:noFill/>
                    </a:ln>
                  </pic:spPr>
                </pic:pic>
              </a:graphicData>
            </a:graphic>
          </wp:inline>
        </w:drawing>
      </w:r>
      <w:r>
        <w:rPr>
          <w:kern w:val="0"/>
          <w:sz w:val="24"/>
        </w:rPr>
        <w:t>—计算等效声级的时间，h；</w:t>
      </w:r>
    </w:p>
    <w:p>
      <w:pPr>
        <w:widowControl/>
        <w:ind w:firstLine="1200" w:firstLineChars="500"/>
        <w:rPr>
          <w:kern w:val="0"/>
          <w:sz w:val="24"/>
        </w:rPr>
      </w:pPr>
      <w:r>
        <w:rPr>
          <w:kern w:val="0"/>
          <w:sz w:val="24"/>
        </w:rPr>
        <w:drawing>
          <wp:inline distT="0" distB="0" distL="114300" distR="114300">
            <wp:extent cx="180975" cy="180975"/>
            <wp:effectExtent l="0" t="0" r="9525" b="8890"/>
            <wp:docPr id="9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6"/>
                    <pic:cNvPicPr>
                      <a:picLocks noChangeAspect="1"/>
                    </pic:cNvPicPr>
                  </pic:nvPicPr>
                  <pic:blipFill>
                    <a:blip r:embed="rId41"/>
                    <a:stretch>
                      <a:fillRect/>
                    </a:stretch>
                  </pic:blipFill>
                  <pic:spPr>
                    <a:xfrm>
                      <a:off x="0" y="0"/>
                      <a:ext cx="180975" cy="180975"/>
                    </a:xfrm>
                    <a:prstGeom prst="rect">
                      <a:avLst/>
                    </a:prstGeom>
                    <a:noFill/>
                    <a:ln>
                      <a:noFill/>
                    </a:ln>
                  </pic:spPr>
                </pic:pic>
              </a:graphicData>
            </a:graphic>
          </wp:inline>
        </w:drawing>
      </w:r>
      <w:r>
        <w:rPr>
          <w:kern w:val="0"/>
          <w:sz w:val="24"/>
        </w:rPr>
        <w:t>—室外声源个数；</w:t>
      </w:r>
    </w:p>
    <w:p>
      <w:pPr>
        <w:pStyle w:val="694"/>
        <w:spacing w:line="460" w:lineRule="exact"/>
        <w:ind w:firstLine="1200" w:firstLineChars="500"/>
        <w:rPr>
          <w:rFonts w:ascii="Times New Roman" w:hAnsi="Times New Roman" w:cs="Times New Roman"/>
        </w:rPr>
      </w:pPr>
      <w:r>
        <w:rPr>
          <w:rFonts w:cs="Times New Roman"/>
          <w:kern w:val="0"/>
        </w:rPr>
        <w:drawing>
          <wp:inline distT="0" distB="0" distL="114300" distR="114300">
            <wp:extent cx="200025" cy="161925"/>
            <wp:effectExtent l="0" t="0" r="0" b="6350"/>
            <wp:docPr id="9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7"/>
                    <pic:cNvPicPr>
                      <a:picLocks noChangeAspect="1"/>
                    </pic:cNvPicPr>
                  </pic:nvPicPr>
                  <pic:blipFill>
                    <a:blip r:embed="rId42"/>
                    <a:stretch>
                      <a:fillRect/>
                    </a:stretch>
                  </pic:blipFill>
                  <pic:spPr>
                    <a:xfrm>
                      <a:off x="0" y="0"/>
                      <a:ext cx="200025" cy="161925"/>
                    </a:xfrm>
                    <a:prstGeom prst="rect">
                      <a:avLst/>
                    </a:prstGeom>
                    <a:noFill/>
                    <a:ln>
                      <a:noFill/>
                    </a:ln>
                  </pic:spPr>
                </pic:pic>
              </a:graphicData>
            </a:graphic>
          </wp:inline>
        </w:drawing>
      </w:r>
      <w:r>
        <w:rPr>
          <w:rFonts w:ascii="Times New Roman" w:hAnsi="Times New Roman" w:cs="Times New Roman"/>
          <w:kern w:val="0"/>
        </w:rPr>
        <w:t>—等效室外声源个数。</w:t>
      </w:r>
    </w:p>
    <w:p>
      <w:pPr>
        <w:pStyle w:val="694"/>
        <w:spacing w:line="460" w:lineRule="exact"/>
        <w:ind w:firstLine="1200" w:firstLineChars="500"/>
        <w:rPr>
          <w:rFonts w:ascii="Times New Roman" w:hAnsi="Times New Roman" w:cs="Times New Roman"/>
        </w:rPr>
      </w:pPr>
      <w:r>
        <w:rPr>
          <w:rFonts w:ascii="Times New Roman" w:hAnsi="Times New Roman" w:cs="Times New Roman"/>
          <w:i/>
        </w:rPr>
        <w:t>L</w:t>
      </w:r>
      <w:r>
        <w:rPr>
          <w:rFonts w:ascii="Times New Roman" w:hAnsi="Times New Roman" w:cs="Times New Roman"/>
          <w:i/>
          <w:vertAlign w:val="subscript"/>
        </w:rPr>
        <w:t>eqb</w:t>
      </w:r>
      <w:r>
        <w:rPr>
          <w:rFonts w:ascii="Times New Roman" w:hAnsi="Times New Roman" w:cs="Times New Roman"/>
        </w:rPr>
        <w:t>－预测点的背景值，dB(A)。</w:t>
      </w:r>
    </w:p>
    <w:p>
      <w:pPr>
        <w:pStyle w:val="494"/>
        <w:ind w:firstLine="480"/>
      </w:pPr>
      <w:r>
        <w:rPr>
          <w:rFonts w:hint="eastAsia"/>
        </w:rPr>
        <w:t>预测点的预测等效声级（</w:t>
      </w:r>
      <w:r>
        <w:rPr>
          <w:rFonts w:hint="eastAsia"/>
          <w:i/>
        </w:rPr>
        <w:t>L</w:t>
      </w:r>
      <w:r>
        <w:rPr>
          <w:rFonts w:hint="eastAsia"/>
          <w:i/>
          <w:vertAlign w:val="subscript"/>
        </w:rPr>
        <w:t>eq</w:t>
      </w:r>
      <w:r>
        <w:rPr>
          <w:rFonts w:hint="eastAsia"/>
        </w:rPr>
        <w:t>）计算公式：</w:t>
      </w:r>
    </w:p>
    <w:p>
      <w:pPr>
        <w:pStyle w:val="494"/>
        <w:ind w:firstLine="480"/>
        <w:rPr>
          <w:rFonts w:eastAsiaTheme="minorEastAsia"/>
          <w:kern w:val="24"/>
        </w:rPr>
      </w:pPr>
      <m:oMathPara>
        <m:oMath>
          <m:sSub>
            <m:sSubPr>
              <m:ctrlPr>
                <w:rPr>
                  <w:rFonts w:ascii="Cambria Math" w:hAnsi="Cambria Math" w:eastAsiaTheme="minorEastAsia"/>
                  <w:kern w:val="24"/>
                </w:rPr>
              </m:ctrlPr>
            </m:sSubPr>
            <m:e>
              <m:r>
                <m:rPr/>
                <w:rPr>
                  <w:rFonts w:hint="eastAsia" w:ascii="Cambria Math" w:hAnsi="Cambria Math" w:eastAsiaTheme="minorEastAsia"/>
                  <w:kern w:val="24"/>
                </w:rPr>
                <m:t>L</m:t>
              </m:r>
              <m:ctrlPr>
                <w:rPr>
                  <w:rFonts w:ascii="Cambria Math" w:hAnsi="Cambria Math" w:eastAsiaTheme="minorEastAsia"/>
                  <w:kern w:val="24"/>
                </w:rPr>
              </m:ctrlPr>
            </m:e>
            <m:sub>
              <m:r>
                <m:rPr/>
                <w:rPr>
                  <w:rFonts w:hint="eastAsia" w:ascii="Cambria Math" w:hAnsi="Cambria Math" w:eastAsiaTheme="minorEastAsia"/>
                  <w:kern w:val="24"/>
                </w:rPr>
                <m:t>eq</m:t>
              </m:r>
              <m:ctrlPr>
                <w:rPr>
                  <w:rFonts w:ascii="Cambria Math" w:hAnsi="Cambria Math" w:eastAsiaTheme="minorEastAsia"/>
                  <w:kern w:val="24"/>
                </w:rPr>
              </m:ctrlPr>
            </m:sub>
          </m:sSub>
          <m:r>
            <m:rPr/>
            <w:rPr>
              <w:rFonts w:ascii="Cambria Math" w:hAnsi="Cambria Math" w:eastAsiaTheme="minorEastAsia"/>
              <w:kern w:val="24"/>
            </w:rPr>
            <m:t>=10</m:t>
          </m:r>
          <m:r>
            <m:rPr>
              <m:sty m:val="p"/>
            </m:rPr>
            <w:rPr>
              <w:rFonts w:ascii="Cambria Math" w:hAnsi="Cambria Math" w:eastAsiaTheme="minorEastAsia"/>
              <w:kern w:val="24"/>
            </w:rPr>
            <m:t>lg⁡</m:t>
          </m:r>
          <m:d>
            <m:dPr>
              <m:ctrlPr>
                <w:rPr>
                  <w:rFonts w:ascii="Cambria Math" w:hAnsi="Cambria Math" w:eastAsiaTheme="minorEastAsia"/>
                  <w:i/>
                  <w:kern w:val="24"/>
                </w:rPr>
              </m:ctrlPr>
            </m:dPr>
            <m:e>
              <m:sSup>
                <m:sSupPr>
                  <m:ctrlPr>
                    <w:rPr>
                      <w:rFonts w:ascii="Cambria Math" w:hAnsi="Cambria Math" w:eastAsiaTheme="minorEastAsia"/>
                      <w:i/>
                      <w:kern w:val="24"/>
                    </w:rPr>
                  </m:ctrlPr>
                </m:sSupPr>
                <m:e>
                  <m:r>
                    <m:rPr/>
                    <w:rPr>
                      <w:rFonts w:ascii="Cambria Math" w:hAnsi="Cambria Math" w:eastAsiaTheme="minorEastAsia"/>
                      <w:kern w:val="24"/>
                    </w:rPr>
                    <m:t>10</m:t>
                  </m:r>
                  <m:ctrlPr>
                    <w:rPr>
                      <w:rFonts w:ascii="Cambria Math" w:hAnsi="Cambria Math" w:eastAsiaTheme="minorEastAsia"/>
                      <w:i/>
                      <w:kern w:val="24"/>
                    </w:rPr>
                  </m:ctrlPr>
                </m:e>
                <m:sup>
                  <m:r>
                    <m:rPr/>
                    <w:rPr>
                      <w:rFonts w:ascii="Cambria Math" w:hAnsi="Cambria Math" w:eastAsiaTheme="minorEastAsia"/>
                      <w:kern w:val="24"/>
                    </w:rPr>
                    <m:t>0.1</m:t>
                  </m:r>
                  <m:sSub>
                    <m:sSubPr>
                      <m:ctrlPr>
                        <w:rPr>
                          <w:rFonts w:ascii="Cambria Math" w:hAnsi="Cambria Math" w:eastAsiaTheme="minorEastAsia"/>
                          <w:i/>
                          <w:kern w:val="24"/>
                        </w:rPr>
                      </m:ctrlPr>
                    </m:sSubPr>
                    <m:e>
                      <m:r>
                        <m:rPr/>
                        <w:rPr>
                          <w:rFonts w:hint="eastAsia" w:ascii="Cambria Math" w:hAnsi="Cambria Math" w:eastAsiaTheme="minorEastAsia"/>
                          <w:kern w:val="24"/>
                        </w:rPr>
                        <m:t>L</m:t>
                      </m:r>
                      <m:ctrlPr>
                        <w:rPr>
                          <w:rFonts w:ascii="Cambria Math" w:hAnsi="Cambria Math" w:eastAsiaTheme="minorEastAsia"/>
                          <w:i/>
                          <w:kern w:val="24"/>
                        </w:rPr>
                      </m:ctrlPr>
                    </m:e>
                    <m:sub>
                      <m:r>
                        <m:rPr/>
                        <w:rPr>
                          <w:rFonts w:hint="eastAsia" w:ascii="Cambria Math" w:hAnsi="Cambria Math" w:eastAsiaTheme="minorEastAsia"/>
                          <w:kern w:val="24"/>
                        </w:rPr>
                        <m:t>eqg</m:t>
                      </m:r>
                      <m:ctrlPr>
                        <w:rPr>
                          <w:rFonts w:ascii="Cambria Math" w:hAnsi="Cambria Math" w:eastAsiaTheme="minorEastAsia"/>
                          <w:i/>
                          <w:kern w:val="24"/>
                        </w:rPr>
                      </m:ctrlPr>
                    </m:sub>
                  </m:sSub>
                  <m:ctrlPr>
                    <w:rPr>
                      <w:rFonts w:ascii="Cambria Math" w:hAnsi="Cambria Math" w:eastAsiaTheme="minorEastAsia"/>
                      <w:i/>
                      <w:kern w:val="24"/>
                    </w:rPr>
                  </m:ctrlPr>
                </m:sup>
              </m:sSup>
              <m:r>
                <m:rPr/>
                <w:rPr>
                  <w:rFonts w:ascii="Cambria Math" w:hAnsi="Cambria Math" w:eastAsiaTheme="minorEastAsia"/>
                  <w:kern w:val="24"/>
                </w:rPr>
                <m:t>+</m:t>
              </m:r>
              <m:sSup>
                <m:sSupPr>
                  <m:ctrlPr>
                    <w:rPr>
                      <w:rFonts w:ascii="Cambria Math" w:hAnsi="Cambria Math" w:eastAsiaTheme="minorEastAsia"/>
                      <w:i/>
                      <w:kern w:val="24"/>
                    </w:rPr>
                  </m:ctrlPr>
                </m:sSupPr>
                <m:e>
                  <m:r>
                    <m:rPr/>
                    <w:rPr>
                      <w:rFonts w:ascii="Cambria Math" w:hAnsi="Cambria Math" w:eastAsiaTheme="minorEastAsia"/>
                      <w:kern w:val="24"/>
                    </w:rPr>
                    <m:t>10</m:t>
                  </m:r>
                  <m:ctrlPr>
                    <w:rPr>
                      <w:rFonts w:ascii="Cambria Math" w:hAnsi="Cambria Math" w:eastAsiaTheme="minorEastAsia"/>
                      <w:i/>
                      <w:kern w:val="24"/>
                    </w:rPr>
                  </m:ctrlPr>
                </m:e>
                <m:sup>
                  <m:r>
                    <m:rPr/>
                    <w:rPr>
                      <w:rFonts w:ascii="Cambria Math" w:hAnsi="Cambria Math" w:eastAsiaTheme="minorEastAsia"/>
                      <w:kern w:val="24"/>
                    </w:rPr>
                    <m:t>0.1</m:t>
                  </m:r>
                  <m:sSub>
                    <m:sSubPr>
                      <m:ctrlPr>
                        <w:rPr>
                          <w:rFonts w:ascii="Cambria Math" w:hAnsi="Cambria Math" w:eastAsiaTheme="minorEastAsia"/>
                          <w:i/>
                          <w:kern w:val="24"/>
                        </w:rPr>
                      </m:ctrlPr>
                    </m:sSubPr>
                    <m:e>
                      <m:r>
                        <m:rPr/>
                        <w:rPr>
                          <w:rFonts w:hint="eastAsia" w:ascii="Cambria Math" w:hAnsi="Cambria Math" w:eastAsiaTheme="minorEastAsia"/>
                          <w:kern w:val="24"/>
                        </w:rPr>
                        <m:t>L</m:t>
                      </m:r>
                      <m:ctrlPr>
                        <w:rPr>
                          <w:rFonts w:ascii="Cambria Math" w:hAnsi="Cambria Math" w:eastAsiaTheme="minorEastAsia"/>
                          <w:i/>
                          <w:kern w:val="24"/>
                        </w:rPr>
                      </m:ctrlPr>
                    </m:e>
                    <m:sub>
                      <m:r>
                        <m:rPr/>
                        <w:rPr>
                          <w:rFonts w:hint="eastAsia" w:ascii="Cambria Math" w:hAnsi="Cambria Math" w:eastAsiaTheme="minorEastAsia"/>
                          <w:kern w:val="24"/>
                        </w:rPr>
                        <m:t>eqb</m:t>
                      </m:r>
                      <m:ctrlPr>
                        <w:rPr>
                          <w:rFonts w:ascii="Cambria Math" w:hAnsi="Cambria Math" w:eastAsiaTheme="minorEastAsia"/>
                          <w:i/>
                          <w:kern w:val="24"/>
                        </w:rPr>
                      </m:ctrlPr>
                    </m:sub>
                  </m:sSub>
                  <m:ctrlPr>
                    <w:rPr>
                      <w:rFonts w:ascii="Cambria Math" w:hAnsi="Cambria Math" w:eastAsiaTheme="minorEastAsia"/>
                      <w:i/>
                      <w:kern w:val="24"/>
                    </w:rPr>
                  </m:ctrlPr>
                </m:sup>
              </m:sSup>
              <m:ctrlPr>
                <w:rPr>
                  <w:rFonts w:ascii="Cambria Math" w:hAnsi="Cambria Math" w:eastAsiaTheme="minorEastAsia"/>
                  <w:i/>
                  <w:kern w:val="24"/>
                </w:rPr>
              </m:ctrlPr>
            </m:e>
          </m:d>
        </m:oMath>
      </m:oMathPara>
    </w:p>
    <w:p>
      <w:pPr>
        <w:pStyle w:val="494"/>
        <w:ind w:firstLine="480"/>
      </w:pPr>
      <w:r>
        <w:rPr>
          <w:rFonts w:hint="eastAsia"/>
        </w:rPr>
        <w:t>式中：</w:t>
      </w:r>
    </w:p>
    <w:p>
      <w:pPr>
        <w:pStyle w:val="494"/>
        <w:ind w:firstLine="480"/>
      </w:pPr>
      <w:r>
        <w:rPr>
          <w:rFonts w:hint="eastAsia"/>
        </w:rPr>
        <w:t xml:space="preserve">      </w:t>
      </w:r>
      <w:r>
        <w:rPr>
          <w:rFonts w:hint="eastAsia"/>
          <w:i/>
        </w:rPr>
        <w:t>L</w:t>
      </w:r>
      <w:r>
        <w:rPr>
          <w:rFonts w:hint="eastAsia"/>
          <w:i/>
          <w:vertAlign w:val="subscript"/>
        </w:rPr>
        <w:t>eqg</w:t>
      </w:r>
      <w:r>
        <w:rPr>
          <w:rFonts w:hint="eastAsia"/>
        </w:rPr>
        <w:t>－建设项目声源在预测点的等效声级贡献值，dB(A)；</w:t>
      </w:r>
    </w:p>
    <w:p>
      <w:pPr>
        <w:pStyle w:val="494"/>
        <w:ind w:firstLine="480"/>
      </w:pPr>
      <w:r>
        <w:rPr>
          <w:rFonts w:hint="eastAsia"/>
        </w:rPr>
        <w:t xml:space="preserve">     </w:t>
      </w:r>
      <w:r>
        <w:rPr>
          <w:rFonts w:hint="eastAsia"/>
          <w:i/>
        </w:rPr>
        <w:t xml:space="preserve"> L</w:t>
      </w:r>
      <w:r>
        <w:rPr>
          <w:rFonts w:hint="eastAsia"/>
          <w:i/>
          <w:vertAlign w:val="subscript"/>
        </w:rPr>
        <w:t>eqb</w:t>
      </w:r>
      <w:r>
        <w:rPr>
          <w:rFonts w:hint="eastAsia"/>
        </w:rPr>
        <w:t>－预测点的背景值，dB(A)。</w:t>
      </w:r>
    </w:p>
    <w:p>
      <w:pPr>
        <w:pStyle w:val="494"/>
        <w:ind w:firstLine="480"/>
      </w:pPr>
      <w:r>
        <w:rPr>
          <w:rFonts w:hint="eastAsia"/>
        </w:rPr>
        <w:t>（2）预测参数</w:t>
      </w:r>
    </w:p>
    <w:p>
      <w:pPr>
        <w:pStyle w:val="494"/>
        <w:ind w:firstLine="480"/>
      </w:pPr>
      <w:r>
        <w:rPr>
          <w:rFonts w:hint="eastAsia"/>
        </w:rPr>
        <w:t>项目室内声源及室外声源参数详见表及表；项目噪声环境影响预测基础数据见表5</w:t>
      </w:r>
      <w:r>
        <w:t>.2-30</w:t>
      </w:r>
      <w:r>
        <w:rPr>
          <w:rFonts w:hint="eastAsia"/>
        </w:rPr>
        <w:t>。</w:t>
      </w:r>
    </w:p>
    <w:p>
      <w:pPr>
        <w:pStyle w:val="494"/>
        <w:spacing w:line="240" w:lineRule="auto"/>
        <w:ind w:firstLine="420"/>
      </w:pPr>
      <w:r>
        <w:rPr>
          <w:rStyle w:val="401"/>
          <w:rFonts w:hint="eastAsia"/>
          <w:sz w:val="21"/>
          <w:szCs w:val="22"/>
        </w:rPr>
        <w:t xml:space="preserve"> </w:t>
      </w:r>
      <w:r>
        <w:rPr>
          <w:rStyle w:val="401"/>
          <w:sz w:val="21"/>
          <w:szCs w:val="22"/>
        </w:rPr>
        <w:t xml:space="preserve"> </w:t>
      </w:r>
      <w:r>
        <w:rPr>
          <w:rStyle w:val="401"/>
          <w:rFonts w:hint="eastAsia"/>
          <w:sz w:val="21"/>
          <w:szCs w:val="22"/>
        </w:rPr>
        <w:t>表5</w:t>
      </w:r>
      <w:r>
        <w:rPr>
          <w:rStyle w:val="401"/>
          <w:sz w:val="21"/>
          <w:szCs w:val="22"/>
        </w:rPr>
        <w:t xml:space="preserve">.2-30               </w:t>
      </w:r>
      <w:r>
        <w:rPr>
          <w:rStyle w:val="401"/>
          <w:rFonts w:hint="eastAsia"/>
          <w:sz w:val="21"/>
          <w:szCs w:val="22"/>
        </w:rPr>
        <w:t>项目噪声环境影响预测基础数据表</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2765"/>
        <w:gridCol w:w="2109"/>
        <w:gridCol w:w="2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exact"/>
          <w:jc w:val="center"/>
        </w:trPr>
        <w:tc>
          <w:tcPr>
            <w:tcW w:w="862" w:type="pct"/>
            <w:vAlign w:val="center"/>
          </w:tcPr>
          <w:p>
            <w:pPr>
              <w:pStyle w:val="687"/>
            </w:pPr>
            <w:r>
              <w:t>序号</w:t>
            </w:r>
          </w:p>
        </w:tc>
        <w:tc>
          <w:tcPr>
            <w:tcW w:w="1639" w:type="pct"/>
            <w:vAlign w:val="center"/>
          </w:tcPr>
          <w:p>
            <w:pPr>
              <w:pStyle w:val="687"/>
            </w:pPr>
            <w:r>
              <w:t>名称</w:t>
            </w:r>
          </w:p>
        </w:tc>
        <w:tc>
          <w:tcPr>
            <w:tcW w:w="1250" w:type="pct"/>
            <w:vAlign w:val="center"/>
          </w:tcPr>
          <w:p>
            <w:pPr>
              <w:pStyle w:val="687"/>
            </w:pPr>
            <w:r>
              <w:t>单位</w:t>
            </w:r>
          </w:p>
        </w:tc>
        <w:tc>
          <w:tcPr>
            <w:tcW w:w="1249" w:type="pct"/>
            <w:vAlign w:val="center"/>
          </w:tcPr>
          <w:p>
            <w:pPr>
              <w:pStyle w:val="687"/>
            </w:pPr>
            <w: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6" w:hRule="exact"/>
          <w:jc w:val="center"/>
        </w:trPr>
        <w:tc>
          <w:tcPr>
            <w:tcW w:w="862" w:type="pct"/>
            <w:shd w:val="clear" w:color="auto" w:fill="FFFFFF"/>
            <w:vAlign w:val="center"/>
          </w:tcPr>
          <w:p>
            <w:pPr>
              <w:pStyle w:val="687"/>
            </w:pPr>
            <w:r>
              <w:rPr>
                <w:rFonts w:eastAsia="Arial"/>
              </w:rPr>
              <w:t>1</w:t>
            </w:r>
          </w:p>
        </w:tc>
        <w:tc>
          <w:tcPr>
            <w:tcW w:w="1639" w:type="pct"/>
            <w:shd w:val="clear" w:color="auto" w:fill="FFFFFF"/>
            <w:vAlign w:val="center"/>
          </w:tcPr>
          <w:p>
            <w:pPr>
              <w:pStyle w:val="687"/>
            </w:pPr>
            <w:r>
              <w:t>年平均风速</w:t>
            </w:r>
          </w:p>
        </w:tc>
        <w:tc>
          <w:tcPr>
            <w:tcW w:w="1250" w:type="pct"/>
            <w:shd w:val="clear" w:color="auto" w:fill="FFFFFF"/>
            <w:vAlign w:val="center"/>
          </w:tcPr>
          <w:p>
            <w:pPr>
              <w:pStyle w:val="687"/>
            </w:pPr>
            <w:r>
              <w:rPr>
                <w:rFonts w:eastAsia="Arial"/>
              </w:rPr>
              <w:t>m/s</w:t>
            </w:r>
          </w:p>
        </w:tc>
        <w:tc>
          <w:tcPr>
            <w:tcW w:w="1249" w:type="pct"/>
            <w:shd w:val="clear" w:color="auto" w:fill="FFFFFF"/>
            <w:vAlign w:val="center"/>
          </w:tcPr>
          <w:p>
            <w:pPr>
              <w:pStyle w:val="687"/>
            </w:pPr>
            <w:r>
              <w:rPr>
                <w:rFonts w:eastAsia="Aria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6" w:hRule="exact"/>
          <w:jc w:val="center"/>
        </w:trPr>
        <w:tc>
          <w:tcPr>
            <w:tcW w:w="862" w:type="pct"/>
            <w:shd w:val="clear" w:color="auto" w:fill="FFFFFF"/>
            <w:vAlign w:val="center"/>
          </w:tcPr>
          <w:p>
            <w:pPr>
              <w:pStyle w:val="687"/>
            </w:pPr>
            <w:r>
              <w:rPr>
                <w:rFonts w:eastAsia="Arial"/>
              </w:rPr>
              <w:t>2</w:t>
            </w:r>
          </w:p>
        </w:tc>
        <w:tc>
          <w:tcPr>
            <w:tcW w:w="1639" w:type="pct"/>
            <w:shd w:val="clear" w:color="auto" w:fill="FFFFFF"/>
            <w:vAlign w:val="center"/>
          </w:tcPr>
          <w:p>
            <w:pPr>
              <w:pStyle w:val="687"/>
            </w:pPr>
            <w:r>
              <w:t>主导风向</w:t>
            </w:r>
          </w:p>
        </w:tc>
        <w:tc>
          <w:tcPr>
            <w:tcW w:w="1250" w:type="pct"/>
            <w:shd w:val="clear" w:color="auto" w:fill="FFFFFF"/>
            <w:vAlign w:val="center"/>
          </w:tcPr>
          <w:p>
            <w:pPr>
              <w:pStyle w:val="687"/>
            </w:pPr>
            <w:r>
              <w:rPr>
                <w:rFonts w:eastAsia="Arial"/>
              </w:rPr>
              <w:t>/</w:t>
            </w:r>
          </w:p>
        </w:tc>
        <w:tc>
          <w:tcPr>
            <w:tcW w:w="1249" w:type="pct"/>
            <w:shd w:val="clear" w:color="auto" w:fill="FFFFFF"/>
            <w:vAlign w:val="center"/>
          </w:tcPr>
          <w:p>
            <w:pPr>
              <w:pStyle w:val="687"/>
            </w:pPr>
            <w:r>
              <w:t>西南风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6" w:hRule="exact"/>
          <w:jc w:val="center"/>
        </w:trPr>
        <w:tc>
          <w:tcPr>
            <w:tcW w:w="862" w:type="pct"/>
            <w:shd w:val="clear" w:color="auto" w:fill="FFFFFF"/>
            <w:vAlign w:val="center"/>
          </w:tcPr>
          <w:p>
            <w:pPr>
              <w:pStyle w:val="687"/>
            </w:pPr>
            <w:r>
              <w:rPr>
                <w:rFonts w:eastAsia="Arial"/>
              </w:rPr>
              <w:t>3</w:t>
            </w:r>
          </w:p>
        </w:tc>
        <w:tc>
          <w:tcPr>
            <w:tcW w:w="1639" w:type="pct"/>
            <w:shd w:val="clear" w:color="auto" w:fill="FFFFFF"/>
            <w:vAlign w:val="center"/>
          </w:tcPr>
          <w:p>
            <w:pPr>
              <w:pStyle w:val="687"/>
            </w:pPr>
            <w:r>
              <w:t>年平均气温</w:t>
            </w:r>
          </w:p>
        </w:tc>
        <w:tc>
          <w:tcPr>
            <w:tcW w:w="1250" w:type="pct"/>
            <w:shd w:val="clear" w:color="auto" w:fill="FFFFFF"/>
            <w:vAlign w:val="center"/>
          </w:tcPr>
          <w:p>
            <w:pPr>
              <w:pStyle w:val="687"/>
            </w:pPr>
            <w:r>
              <w:rPr>
                <w:rFonts w:hint="eastAsia" w:ascii="宋体" w:hAnsi="宋体" w:cs="宋体"/>
              </w:rPr>
              <w:t>℃</w:t>
            </w:r>
          </w:p>
        </w:tc>
        <w:tc>
          <w:tcPr>
            <w:tcW w:w="1249" w:type="pct"/>
            <w:shd w:val="clear" w:color="auto" w:fill="FFFFFF"/>
            <w:vAlign w:val="center"/>
          </w:tcPr>
          <w:p>
            <w:pPr>
              <w:pStyle w:val="687"/>
            </w:pPr>
            <w:r>
              <w:rPr>
                <w:rFonts w:eastAsia="Arial"/>
              </w:rPr>
              <w:t>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6" w:hRule="exact"/>
          <w:jc w:val="center"/>
        </w:trPr>
        <w:tc>
          <w:tcPr>
            <w:tcW w:w="862" w:type="pct"/>
            <w:shd w:val="clear" w:color="auto" w:fill="FFFFFF"/>
            <w:vAlign w:val="center"/>
          </w:tcPr>
          <w:p>
            <w:pPr>
              <w:pStyle w:val="687"/>
            </w:pPr>
            <w:r>
              <w:rPr>
                <w:rFonts w:eastAsia="Arial"/>
              </w:rPr>
              <w:t>4</w:t>
            </w:r>
          </w:p>
        </w:tc>
        <w:tc>
          <w:tcPr>
            <w:tcW w:w="1639" w:type="pct"/>
            <w:shd w:val="clear" w:color="auto" w:fill="FFFFFF"/>
            <w:vAlign w:val="center"/>
          </w:tcPr>
          <w:p>
            <w:pPr>
              <w:pStyle w:val="687"/>
            </w:pPr>
            <w:r>
              <w:t>年平均相对湿度</w:t>
            </w:r>
          </w:p>
        </w:tc>
        <w:tc>
          <w:tcPr>
            <w:tcW w:w="1250" w:type="pct"/>
            <w:shd w:val="clear" w:color="auto" w:fill="FFFFFF"/>
            <w:vAlign w:val="center"/>
          </w:tcPr>
          <w:p>
            <w:pPr>
              <w:pStyle w:val="687"/>
            </w:pPr>
            <w:r>
              <w:rPr>
                <w:rFonts w:eastAsia="Arial"/>
              </w:rPr>
              <w:t>%</w:t>
            </w:r>
          </w:p>
        </w:tc>
        <w:tc>
          <w:tcPr>
            <w:tcW w:w="1249" w:type="pct"/>
            <w:shd w:val="clear" w:color="auto" w:fill="FFFFFF"/>
            <w:vAlign w:val="center"/>
          </w:tcPr>
          <w:p>
            <w:pPr>
              <w:pStyle w:val="687"/>
            </w:pPr>
            <w:r>
              <w:rPr>
                <w:rFonts w:eastAsia="Aria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6" w:hRule="exact"/>
          <w:jc w:val="center"/>
        </w:trPr>
        <w:tc>
          <w:tcPr>
            <w:tcW w:w="862" w:type="pct"/>
            <w:shd w:val="clear" w:color="auto" w:fill="FFFFFF"/>
            <w:vAlign w:val="center"/>
          </w:tcPr>
          <w:p>
            <w:pPr>
              <w:pStyle w:val="687"/>
            </w:pPr>
            <w:r>
              <w:rPr>
                <w:rFonts w:eastAsia="Arial"/>
              </w:rPr>
              <w:t>5</w:t>
            </w:r>
          </w:p>
        </w:tc>
        <w:tc>
          <w:tcPr>
            <w:tcW w:w="1639" w:type="pct"/>
            <w:shd w:val="clear" w:color="auto" w:fill="FFFFFF"/>
            <w:vAlign w:val="center"/>
          </w:tcPr>
          <w:p>
            <w:pPr>
              <w:pStyle w:val="687"/>
            </w:pPr>
            <w:r>
              <w:t>大气压强</w:t>
            </w:r>
          </w:p>
        </w:tc>
        <w:tc>
          <w:tcPr>
            <w:tcW w:w="1250" w:type="pct"/>
            <w:shd w:val="clear" w:color="auto" w:fill="FFFFFF"/>
            <w:vAlign w:val="center"/>
          </w:tcPr>
          <w:p>
            <w:pPr>
              <w:pStyle w:val="687"/>
            </w:pPr>
            <w:r>
              <w:rPr>
                <w:rFonts w:eastAsia="Arial"/>
              </w:rPr>
              <w:t>atm</w:t>
            </w:r>
          </w:p>
        </w:tc>
        <w:tc>
          <w:tcPr>
            <w:tcW w:w="1249" w:type="pct"/>
            <w:shd w:val="clear" w:color="auto" w:fill="FFFFFF"/>
            <w:vAlign w:val="center"/>
          </w:tcPr>
          <w:p>
            <w:pPr>
              <w:pStyle w:val="687"/>
            </w:pPr>
            <w:r>
              <w:rPr>
                <w:rFonts w:eastAsia="Arial"/>
              </w:rPr>
              <w:t>1</w:t>
            </w:r>
          </w:p>
        </w:tc>
      </w:tr>
    </w:tbl>
    <w:p>
      <w:pPr>
        <w:pStyle w:val="494"/>
        <w:ind w:firstLine="480"/>
        <w:rPr>
          <w:color w:val="FF0000"/>
        </w:rPr>
      </w:pPr>
      <w:bookmarkStart w:id="356" w:name="_Hlk147572144"/>
      <w:r>
        <w:rPr>
          <w:rFonts w:hint="eastAsia"/>
          <w:color w:val="FF0000"/>
        </w:rPr>
        <w:t>（</w:t>
      </w:r>
      <w:r>
        <w:rPr>
          <w:color w:val="FF0000"/>
        </w:rPr>
        <w:t>3</w:t>
      </w:r>
      <w:r>
        <w:rPr>
          <w:rFonts w:hint="eastAsia"/>
          <w:color w:val="FF0000"/>
        </w:rPr>
        <w:t>）预测结果及评价</w:t>
      </w:r>
    </w:p>
    <w:p>
      <w:pPr>
        <w:pStyle w:val="494"/>
        <w:ind w:firstLine="480"/>
        <w:rPr>
          <w:color w:val="FF0000"/>
        </w:rPr>
      </w:pPr>
      <w:r>
        <w:rPr>
          <w:rFonts w:hint="eastAsia"/>
          <w:color w:val="FF0000"/>
        </w:rPr>
        <w:t>通过预测模型计算，厂界噪声影响预测结果见表5.2</w:t>
      </w:r>
      <w:r>
        <w:rPr>
          <w:color w:val="FF0000"/>
        </w:rPr>
        <w:t>-31</w:t>
      </w:r>
      <w:r>
        <w:rPr>
          <w:rFonts w:hint="eastAsia"/>
          <w:color w:val="FF0000"/>
        </w:rPr>
        <w:t>，声环境保护目标噪声影响预测结果见表5</w:t>
      </w:r>
      <w:r>
        <w:rPr>
          <w:color w:val="FF0000"/>
        </w:rPr>
        <w:t>.2-32</w:t>
      </w:r>
      <w:r>
        <w:rPr>
          <w:rFonts w:hint="eastAsia"/>
          <w:color w:val="FF0000"/>
        </w:rPr>
        <w:t>。</w:t>
      </w:r>
    </w:p>
    <w:p>
      <w:pPr>
        <w:pStyle w:val="400"/>
        <w:ind w:firstLine="420"/>
        <w:rPr>
          <w:color w:val="FF0000"/>
          <w:szCs w:val="21"/>
        </w:rPr>
      </w:pPr>
      <w:r>
        <w:rPr>
          <w:rFonts w:hint="eastAsia"/>
          <w:color w:val="FF0000"/>
        </w:rPr>
        <w:t>表5.2</w:t>
      </w:r>
      <w:r>
        <w:rPr>
          <w:color w:val="FF0000"/>
        </w:rPr>
        <w:t>-31</w:t>
      </w:r>
      <w:r>
        <w:rPr>
          <w:rFonts w:hint="eastAsia"/>
          <w:color w:val="FF0000"/>
        </w:rPr>
        <w:t xml:space="preserve">  </w:t>
      </w:r>
      <w:r>
        <w:rPr>
          <w:color w:val="FF0000"/>
        </w:rPr>
        <w:t xml:space="preserve">          </w:t>
      </w:r>
      <w:r>
        <w:rPr>
          <w:rFonts w:hint="eastAsia"/>
          <w:color w:val="FF0000"/>
        </w:rPr>
        <w:t>厂界噪声</w:t>
      </w:r>
      <w:r>
        <w:rPr>
          <w:bCs w:val="0"/>
          <w:color w:val="FF0000"/>
        </w:rPr>
        <w:t>预测结果与达标分析表</w:t>
      </w:r>
      <w:r>
        <w:rPr>
          <w:rFonts w:hint="eastAsia"/>
          <w:color w:val="FF0000"/>
        </w:rPr>
        <w:t xml:space="preserve">      </w:t>
      </w:r>
      <w:r>
        <w:rPr>
          <w:color w:val="FF0000"/>
        </w:rPr>
        <w:t xml:space="preserve">   </w:t>
      </w:r>
      <w:r>
        <w:rPr>
          <w:rFonts w:hint="eastAsia"/>
          <w:color w:val="FF0000"/>
          <w:szCs w:val="21"/>
        </w:rPr>
        <w:t>单位：dB(A)</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633"/>
        <w:gridCol w:w="641"/>
        <w:gridCol w:w="641"/>
        <w:gridCol w:w="771"/>
        <w:gridCol w:w="1426"/>
        <w:gridCol w:w="1426"/>
        <w:gridCol w:w="1426"/>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413" w:type="pct"/>
            <w:vMerge w:val="restart"/>
            <w:vAlign w:val="center"/>
          </w:tcPr>
          <w:p>
            <w:pPr>
              <w:jc w:val="center"/>
              <w:rPr>
                <w:color w:val="FF0000"/>
                <w:szCs w:val="21"/>
              </w:rPr>
            </w:pPr>
            <w:bookmarkStart w:id="357" w:name="_Hlk120701929"/>
            <w:r>
              <w:rPr>
                <w:b/>
                <w:color w:val="FF0000"/>
                <w:szCs w:val="21"/>
              </w:rPr>
              <w:t>预测方位</w:t>
            </w:r>
          </w:p>
        </w:tc>
        <w:tc>
          <w:tcPr>
            <w:tcW w:w="1135" w:type="pct"/>
            <w:gridSpan w:val="3"/>
            <w:vAlign w:val="center"/>
          </w:tcPr>
          <w:p>
            <w:pPr>
              <w:jc w:val="center"/>
              <w:rPr>
                <w:color w:val="FF0000"/>
                <w:szCs w:val="21"/>
              </w:rPr>
            </w:pPr>
            <w:r>
              <w:rPr>
                <w:b/>
                <w:color w:val="FF0000"/>
                <w:szCs w:val="21"/>
              </w:rPr>
              <w:t>空间相对位置/m</w:t>
            </w:r>
          </w:p>
        </w:tc>
        <w:tc>
          <w:tcPr>
            <w:tcW w:w="457" w:type="pct"/>
            <w:vMerge w:val="restart"/>
            <w:vAlign w:val="center"/>
          </w:tcPr>
          <w:p>
            <w:pPr>
              <w:jc w:val="center"/>
              <w:rPr>
                <w:color w:val="FF0000"/>
                <w:szCs w:val="21"/>
              </w:rPr>
            </w:pPr>
            <w:r>
              <w:rPr>
                <w:b/>
                <w:color w:val="FF0000"/>
                <w:szCs w:val="21"/>
              </w:rPr>
              <w:t>时段</w:t>
            </w:r>
          </w:p>
        </w:tc>
        <w:tc>
          <w:tcPr>
            <w:tcW w:w="844" w:type="pct"/>
            <w:vMerge w:val="restart"/>
            <w:vAlign w:val="center"/>
          </w:tcPr>
          <w:p>
            <w:pPr>
              <w:jc w:val="center"/>
              <w:rPr>
                <w:b/>
                <w:color w:val="FF0000"/>
                <w:szCs w:val="21"/>
              </w:rPr>
            </w:pPr>
            <w:r>
              <w:rPr>
                <w:b/>
                <w:bCs/>
                <w:color w:val="FF0000"/>
                <w:szCs w:val="21"/>
              </w:rPr>
              <w:t>贡献值</w:t>
            </w:r>
          </w:p>
        </w:tc>
        <w:tc>
          <w:tcPr>
            <w:tcW w:w="845" w:type="pct"/>
            <w:vMerge w:val="restart"/>
            <w:vAlign w:val="center"/>
          </w:tcPr>
          <w:p>
            <w:pPr>
              <w:jc w:val="center"/>
              <w:rPr>
                <w:b/>
                <w:color w:val="FF0000"/>
                <w:szCs w:val="21"/>
              </w:rPr>
            </w:pPr>
            <w:r>
              <w:rPr>
                <w:rFonts w:hint="eastAsia"/>
                <w:b/>
                <w:color w:val="FF0000"/>
                <w:szCs w:val="21"/>
              </w:rPr>
              <w:t>预测值</w:t>
            </w:r>
          </w:p>
        </w:tc>
        <w:tc>
          <w:tcPr>
            <w:tcW w:w="845" w:type="pct"/>
            <w:vMerge w:val="restart"/>
            <w:vAlign w:val="center"/>
          </w:tcPr>
          <w:p>
            <w:pPr>
              <w:jc w:val="center"/>
              <w:rPr>
                <w:color w:val="FF0000"/>
                <w:szCs w:val="21"/>
              </w:rPr>
            </w:pPr>
            <w:r>
              <w:rPr>
                <w:b/>
                <w:color w:val="FF0000"/>
                <w:szCs w:val="21"/>
              </w:rPr>
              <w:t>标准限值</w:t>
            </w:r>
          </w:p>
        </w:tc>
        <w:tc>
          <w:tcPr>
            <w:tcW w:w="461" w:type="pct"/>
            <w:vMerge w:val="restart"/>
            <w:vAlign w:val="center"/>
          </w:tcPr>
          <w:p>
            <w:pPr>
              <w:jc w:val="center"/>
              <w:rPr>
                <w:color w:val="FF0000"/>
                <w:szCs w:val="21"/>
              </w:rPr>
            </w:pPr>
            <w:r>
              <w:rPr>
                <w:b/>
                <w:color w:val="FF000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13" w:type="pct"/>
            <w:vMerge w:val="continue"/>
            <w:shd w:val="clear" w:color="auto" w:fill="FFFFFF"/>
            <w:vAlign w:val="center"/>
          </w:tcPr>
          <w:p>
            <w:pPr>
              <w:jc w:val="center"/>
              <w:rPr>
                <w:color w:val="FF0000"/>
                <w:szCs w:val="21"/>
              </w:rPr>
            </w:pPr>
          </w:p>
        </w:tc>
        <w:tc>
          <w:tcPr>
            <w:tcW w:w="375" w:type="pct"/>
            <w:shd w:val="clear" w:color="auto" w:fill="FFFFFF"/>
            <w:vAlign w:val="center"/>
          </w:tcPr>
          <w:p>
            <w:pPr>
              <w:jc w:val="center"/>
              <w:rPr>
                <w:color w:val="FF0000"/>
                <w:szCs w:val="21"/>
              </w:rPr>
            </w:pPr>
            <w:r>
              <w:rPr>
                <w:color w:val="FF0000"/>
                <w:szCs w:val="21"/>
              </w:rPr>
              <w:t>X</w:t>
            </w:r>
          </w:p>
        </w:tc>
        <w:tc>
          <w:tcPr>
            <w:tcW w:w="380" w:type="pct"/>
            <w:shd w:val="clear" w:color="auto" w:fill="FFFFFF"/>
            <w:vAlign w:val="center"/>
          </w:tcPr>
          <w:p>
            <w:pPr>
              <w:jc w:val="center"/>
              <w:rPr>
                <w:color w:val="FF0000"/>
                <w:szCs w:val="21"/>
              </w:rPr>
            </w:pPr>
            <w:r>
              <w:rPr>
                <w:color w:val="FF0000"/>
                <w:szCs w:val="21"/>
              </w:rPr>
              <w:t>Y</w:t>
            </w:r>
          </w:p>
        </w:tc>
        <w:tc>
          <w:tcPr>
            <w:tcW w:w="380" w:type="pct"/>
            <w:shd w:val="clear" w:color="auto" w:fill="FFFFFF"/>
            <w:vAlign w:val="center"/>
          </w:tcPr>
          <w:p>
            <w:pPr>
              <w:jc w:val="center"/>
              <w:rPr>
                <w:color w:val="FF0000"/>
                <w:szCs w:val="21"/>
              </w:rPr>
            </w:pPr>
            <w:r>
              <w:rPr>
                <w:color w:val="FF0000"/>
                <w:szCs w:val="21"/>
              </w:rPr>
              <w:t>Z</w:t>
            </w:r>
          </w:p>
        </w:tc>
        <w:tc>
          <w:tcPr>
            <w:tcW w:w="457" w:type="pct"/>
            <w:vMerge w:val="continue"/>
            <w:shd w:val="clear" w:color="auto" w:fill="FFFFFF"/>
            <w:vAlign w:val="center"/>
          </w:tcPr>
          <w:p>
            <w:pPr>
              <w:jc w:val="center"/>
              <w:rPr>
                <w:color w:val="FF0000"/>
                <w:szCs w:val="21"/>
              </w:rPr>
            </w:pPr>
          </w:p>
        </w:tc>
        <w:tc>
          <w:tcPr>
            <w:tcW w:w="844" w:type="pct"/>
            <w:vMerge w:val="continue"/>
            <w:shd w:val="clear" w:color="auto" w:fill="FFFFFF"/>
            <w:vAlign w:val="center"/>
          </w:tcPr>
          <w:p>
            <w:pPr>
              <w:jc w:val="center"/>
              <w:rPr>
                <w:color w:val="FF0000"/>
                <w:szCs w:val="21"/>
              </w:rPr>
            </w:pPr>
          </w:p>
        </w:tc>
        <w:tc>
          <w:tcPr>
            <w:tcW w:w="845" w:type="pct"/>
            <w:vMerge w:val="continue"/>
            <w:shd w:val="clear" w:color="auto" w:fill="FFFFFF"/>
            <w:vAlign w:val="center"/>
          </w:tcPr>
          <w:p>
            <w:pPr>
              <w:jc w:val="center"/>
              <w:rPr>
                <w:color w:val="FF0000"/>
                <w:szCs w:val="21"/>
              </w:rPr>
            </w:pPr>
          </w:p>
        </w:tc>
        <w:tc>
          <w:tcPr>
            <w:tcW w:w="845" w:type="pct"/>
            <w:vMerge w:val="continue"/>
            <w:shd w:val="clear" w:color="auto" w:fill="FFFFFF"/>
            <w:vAlign w:val="center"/>
          </w:tcPr>
          <w:p>
            <w:pPr>
              <w:jc w:val="center"/>
              <w:rPr>
                <w:color w:val="FF0000"/>
                <w:szCs w:val="21"/>
              </w:rPr>
            </w:pPr>
          </w:p>
        </w:tc>
        <w:tc>
          <w:tcPr>
            <w:tcW w:w="461" w:type="pct"/>
            <w:vMerge w:val="continue"/>
            <w:shd w:val="clear" w:color="auto" w:fill="FFFFFF"/>
            <w:vAlign w:val="center"/>
          </w:tcPr>
          <w:p>
            <w:pPr>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413" w:type="pct"/>
            <w:vMerge w:val="restart"/>
            <w:shd w:val="clear" w:color="auto" w:fill="FFFFFF"/>
            <w:vAlign w:val="center"/>
          </w:tcPr>
          <w:p>
            <w:pPr>
              <w:jc w:val="center"/>
              <w:rPr>
                <w:color w:val="FF0000"/>
                <w:szCs w:val="21"/>
              </w:rPr>
            </w:pPr>
            <w:r>
              <w:rPr>
                <w:color w:val="FF0000"/>
                <w:szCs w:val="21"/>
              </w:rPr>
              <w:t>东侧</w:t>
            </w:r>
          </w:p>
        </w:tc>
        <w:tc>
          <w:tcPr>
            <w:tcW w:w="375" w:type="pct"/>
            <w:shd w:val="clear" w:color="auto" w:fill="FFFFFF"/>
            <w:vAlign w:val="center"/>
          </w:tcPr>
          <w:p>
            <w:pPr>
              <w:jc w:val="center"/>
              <w:rPr>
                <w:color w:val="FF0000"/>
                <w:szCs w:val="21"/>
              </w:rPr>
            </w:pPr>
            <w:r>
              <w:rPr>
                <w:rFonts w:eastAsia="Arial"/>
                <w:color w:val="FF0000"/>
                <w:sz w:val="20"/>
              </w:rPr>
              <w:t>46.8</w:t>
            </w:r>
          </w:p>
        </w:tc>
        <w:tc>
          <w:tcPr>
            <w:tcW w:w="380" w:type="pct"/>
            <w:shd w:val="clear" w:color="auto" w:fill="FFFFFF"/>
            <w:vAlign w:val="center"/>
          </w:tcPr>
          <w:p>
            <w:pPr>
              <w:jc w:val="center"/>
              <w:rPr>
                <w:color w:val="FF0000"/>
                <w:szCs w:val="21"/>
              </w:rPr>
            </w:pPr>
            <w:r>
              <w:rPr>
                <w:rFonts w:eastAsia="Arial"/>
                <w:color w:val="FF0000"/>
                <w:sz w:val="20"/>
              </w:rPr>
              <w:t>43.9</w:t>
            </w:r>
          </w:p>
        </w:tc>
        <w:tc>
          <w:tcPr>
            <w:tcW w:w="380" w:type="pct"/>
            <w:shd w:val="clear" w:color="auto" w:fill="FFFFFF"/>
            <w:vAlign w:val="center"/>
          </w:tcPr>
          <w:p>
            <w:pPr>
              <w:jc w:val="center"/>
              <w:rPr>
                <w:color w:val="FF0000"/>
                <w:szCs w:val="21"/>
              </w:rPr>
            </w:pPr>
            <w:r>
              <w:rPr>
                <w:rFonts w:eastAsia="Arial"/>
                <w:color w:val="FF0000"/>
                <w:sz w:val="20"/>
              </w:rPr>
              <w:t>1.2</w:t>
            </w:r>
          </w:p>
        </w:tc>
        <w:tc>
          <w:tcPr>
            <w:tcW w:w="457" w:type="pct"/>
            <w:shd w:val="clear" w:color="auto" w:fill="FFFFFF"/>
            <w:vAlign w:val="center"/>
          </w:tcPr>
          <w:p>
            <w:pPr>
              <w:jc w:val="center"/>
              <w:rPr>
                <w:color w:val="FF0000"/>
                <w:szCs w:val="21"/>
              </w:rPr>
            </w:pPr>
            <w:r>
              <w:rPr>
                <w:color w:val="FF0000"/>
                <w:szCs w:val="21"/>
              </w:rPr>
              <w:t>昼间</w:t>
            </w:r>
          </w:p>
        </w:tc>
        <w:tc>
          <w:tcPr>
            <w:tcW w:w="844" w:type="pct"/>
            <w:shd w:val="clear" w:color="auto" w:fill="FFFFFF"/>
            <w:vAlign w:val="center"/>
          </w:tcPr>
          <w:p>
            <w:pPr>
              <w:jc w:val="center"/>
              <w:rPr>
                <w:color w:val="FF0000"/>
                <w:szCs w:val="21"/>
              </w:rPr>
            </w:pPr>
            <w:r>
              <w:rPr>
                <w:rFonts w:eastAsia="Arial"/>
                <w:color w:val="FF0000"/>
                <w:sz w:val="20"/>
              </w:rPr>
              <w:t>19.6</w:t>
            </w:r>
          </w:p>
        </w:tc>
        <w:tc>
          <w:tcPr>
            <w:tcW w:w="845" w:type="pct"/>
            <w:shd w:val="clear" w:color="auto" w:fill="FFFFFF"/>
            <w:vAlign w:val="center"/>
          </w:tcPr>
          <w:p>
            <w:pPr>
              <w:jc w:val="center"/>
              <w:rPr>
                <w:color w:val="FF0000"/>
                <w:szCs w:val="28"/>
              </w:rPr>
            </w:pPr>
            <w:r>
              <w:rPr>
                <w:rFonts w:eastAsia="Arial"/>
                <w:color w:val="FF0000"/>
                <w:szCs w:val="28"/>
              </w:rPr>
              <w:t>39.0</w:t>
            </w:r>
          </w:p>
        </w:tc>
        <w:tc>
          <w:tcPr>
            <w:tcW w:w="845" w:type="pct"/>
            <w:shd w:val="clear" w:color="auto" w:fill="FFFFFF"/>
            <w:vAlign w:val="center"/>
          </w:tcPr>
          <w:p>
            <w:pPr>
              <w:jc w:val="center"/>
              <w:rPr>
                <w:color w:val="FF0000"/>
                <w:szCs w:val="21"/>
              </w:rPr>
            </w:pPr>
            <w:r>
              <w:rPr>
                <w:color w:val="FF0000"/>
                <w:szCs w:val="21"/>
              </w:rPr>
              <w:t>60</w:t>
            </w:r>
          </w:p>
        </w:tc>
        <w:tc>
          <w:tcPr>
            <w:tcW w:w="461" w:type="pct"/>
            <w:shd w:val="clear" w:color="auto" w:fill="FFFFFF"/>
            <w:vAlign w:val="center"/>
          </w:tcPr>
          <w:p>
            <w:pPr>
              <w:jc w:val="center"/>
              <w:rPr>
                <w:color w:val="FF0000"/>
                <w:szCs w:val="21"/>
              </w:rPr>
            </w:pPr>
            <w:r>
              <w:rPr>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413" w:type="pct"/>
            <w:vMerge w:val="continue"/>
            <w:shd w:val="clear" w:color="auto" w:fill="FFFFFF"/>
            <w:vAlign w:val="center"/>
          </w:tcPr>
          <w:p>
            <w:pPr>
              <w:jc w:val="center"/>
              <w:rPr>
                <w:color w:val="FF0000"/>
                <w:szCs w:val="21"/>
              </w:rPr>
            </w:pPr>
          </w:p>
        </w:tc>
        <w:tc>
          <w:tcPr>
            <w:tcW w:w="375" w:type="pct"/>
            <w:shd w:val="clear" w:color="auto" w:fill="FFFFFF"/>
            <w:vAlign w:val="center"/>
          </w:tcPr>
          <w:p>
            <w:pPr>
              <w:jc w:val="center"/>
              <w:rPr>
                <w:color w:val="FF0000"/>
                <w:szCs w:val="21"/>
              </w:rPr>
            </w:pPr>
            <w:r>
              <w:rPr>
                <w:rFonts w:eastAsia="Arial"/>
                <w:color w:val="FF0000"/>
                <w:sz w:val="20"/>
              </w:rPr>
              <w:t>46.8</w:t>
            </w:r>
          </w:p>
        </w:tc>
        <w:tc>
          <w:tcPr>
            <w:tcW w:w="380" w:type="pct"/>
            <w:shd w:val="clear" w:color="auto" w:fill="FFFFFF"/>
            <w:vAlign w:val="center"/>
          </w:tcPr>
          <w:p>
            <w:pPr>
              <w:jc w:val="center"/>
              <w:rPr>
                <w:color w:val="FF0000"/>
                <w:szCs w:val="21"/>
              </w:rPr>
            </w:pPr>
            <w:r>
              <w:rPr>
                <w:rFonts w:eastAsia="Arial"/>
                <w:color w:val="FF0000"/>
                <w:sz w:val="20"/>
              </w:rPr>
              <w:t>43.9</w:t>
            </w:r>
          </w:p>
        </w:tc>
        <w:tc>
          <w:tcPr>
            <w:tcW w:w="380" w:type="pct"/>
            <w:shd w:val="clear" w:color="auto" w:fill="FFFFFF"/>
            <w:vAlign w:val="center"/>
          </w:tcPr>
          <w:p>
            <w:pPr>
              <w:jc w:val="center"/>
              <w:rPr>
                <w:color w:val="FF0000"/>
                <w:szCs w:val="21"/>
              </w:rPr>
            </w:pPr>
            <w:r>
              <w:rPr>
                <w:rFonts w:eastAsia="Arial"/>
                <w:color w:val="FF0000"/>
                <w:sz w:val="20"/>
              </w:rPr>
              <w:t>1.2</w:t>
            </w:r>
          </w:p>
        </w:tc>
        <w:tc>
          <w:tcPr>
            <w:tcW w:w="457" w:type="pct"/>
            <w:shd w:val="clear" w:color="auto" w:fill="FFFFFF"/>
            <w:vAlign w:val="center"/>
          </w:tcPr>
          <w:p>
            <w:pPr>
              <w:jc w:val="center"/>
              <w:rPr>
                <w:color w:val="FF0000"/>
                <w:szCs w:val="21"/>
              </w:rPr>
            </w:pPr>
            <w:r>
              <w:rPr>
                <w:color w:val="FF0000"/>
                <w:szCs w:val="21"/>
              </w:rPr>
              <w:t>夜间</w:t>
            </w:r>
          </w:p>
        </w:tc>
        <w:tc>
          <w:tcPr>
            <w:tcW w:w="844" w:type="pct"/>
            <w:shd w:val="clear" w:color="auto" w:fill="FFFFFF"/>
            <w:vAlign w:val="center"/>
          </w:tcPr>
          <w:p>
            <w:pPr>
              <w:jc w:val="center"/>
              <w:rPr>
                <w:color w:val="FF0000"/>
                <w:szCs w:val="21"/>
              </w:rPr>
            </w:pPr>
            <w:r>
              <w:rPr>
                <w:rFonts w:eastAsia="Arial"/>
                <w:color w:val="FF0000"/>
                <w:sz w:val="20"/>
              </w:rPr>
              <w:t>19.6</w:t>
            </w:r>
          </w:p>
        </w:tc>
        <w:tc>
          <w:tcPr>
            <w:tcW w:w="845" w:type="pct"/>
            <w:shd w:val="clear" w:color="auto" w:fill="FFFFFF"/>
            <w:vAlign w:val="center"/>
          </w:tcPr>
          <w:p>
            <w:pPr>
              <w:jc w:val="center"/>
              <w:rPr>
                <w:color w:val="FF0000"/>
                <w:szCs w:val="28"/>
              </w:rPr>
            </w:pPr>
            <w:r>
              <w:rPr>
                <w:rFonts w:eastAsia="Arial"/>
                <w:color w:val="FF0000"/>
                <w:szCs w:val="28"/>
              </w:rPr>
              <w:t>37.1</w:t>
            </w:r>
          </w:p>
        </w:tc>
        <w:tc>
          <w:tcPr>
            <w:tcW w:w="845" w:type="pct"/>
            <w:shd w:val="clear" w:color="auto" w:fill="FFFFFF"/>
            <w:vAlign w:val="center"/>
          </w:tcPr>
          <w:p>
            <w:pPr>
              <w:jc w:val="center"/>
              <w:rPr>
                <w:color w:val="FF0000"/>
                <w:szCs w:val="21"/>
              </w:rPr>
            </w:pPr>
            <w:r>
              <w:rPr>
                <w:color w:val="FF0000"/>
                <w:szCs w:val="21"/>
              </w:rPr>
              <w:t>50</w:t>
            </w:r>
          </w:p>
        </w:tc>
        <w:tc>
          <w:tcPr>
            <w:tcW w:w="461" w:type="pct"/>
            <w:shd w:val="clear" w:color="auto" w:fill="FFFFFF"/>
            <w:vAlign w:val="center"/>
          </w:tcPr>
          <w:p>
            <w:pPr>
              <w:jc w:val="center"/>
              <w:rPr>
                <w:color w:val="FF0000"/>
                <w:szCs w:val="21"/>
              </w:rPr>
            </w:pPr>
            <w:r>
              <w:rPr>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413" w:type="pct"/>
            <w:vMerge w:val="restart"/>
            <w:shd w:val="clear" w:color="auto" w:fill="FFFFFF"/>
            <w:vAlign w:val="center"/>
          </w:tcPr>
          <w:p>
            <w:pPr>
              <w:jc w:val="center"/>
              <w:rPr>
                <w:color w:val="FF0000"/>
                <w:szCs w:val="21"/>
              </w:rPr>
            </w:pPr>
            <w:r>
              <w:rPr>
                <w:color w:val="FF0000"/>
                <w:szCs w:val="21"/>
              </w:rPr>
              <w:t>南侧</w:t>
            </w:r>
          </w:p>
        </w:tc>
        <w:tc>
          <w:tcPr>
            <w:tcW w:w="375" w:type="pct"/>
            <w:shd w:val="clear" w:color="auto" w:fill="FFFFFF"/>
            <w:vAlign w:val="center"/>
          </w:tcPr>
          <w:p>
            <w:pPr>
              <w:jc w:val="center"/>
              <w:rPr>
                <w:color w:val="FF0000"/>
                <w:szCs w:val="21"/>
              </w:rPr>
            </w:pPr>
            <w:r>
              <w:rPr>
                <w:rFonts w:eastAsia="Arial"/>
                <w:color w:val="FF0000"/>
                <w:sz w:val="20"/>
              </w:rPr>
              <w:t>10.6</w:t>
            </w:r>
          </w:p>
        </w:tc>
        <w:tc>
          <w:tcPr>
            <w:tcW w:w="380" w:type="pct"/>
            <w:shd w:val="clear" w:color="auto" w:fill="FFFFFF"/>
            <w:vAlign w:val="center"/>
          </w:tcPr>
          <w:p>
            <w:pPr>
              <w:jc w:val="center"/>
              <w:rPr>
                <w:color w:val="FF0000"/>
                <w:szCs w:val="21"/>
              </w:rPr>
            </w:pPr>
            <w:r>
              <w:rPr>
                <w:rFonts w:eastAsia="Arial"/>
                <w:color w:val="FF0000"/>
                <w:sz w:val="20"/>
              </w:rPr>
              <w:t>-17</w:t>
            </w:r>
          </w:p>
        </w:tc>
        <w:tc>
          <w:tcPr>
            <w:tcW w:w="380" w:type="pct"/>
            <w:shd w:val="clear" w:color="auto" w:fill="FFFFFF"/>
            <w:vAlign w:val="center"/>
          </w:tcPr>
          <w:p>
            <w:pPr>
              <w:jc w:val="center"/>
              <w:rPr>
                <w:color w:val="FF0000"/>
                <w:szCs w:val="21"/>
              </w:rPr>
            </w:pPr>
            <w:r>
              <w:rPr>
                <w:rFonts w:eastAsia="Arial"/>
                <w:color w:val="FF0000"/>
                <w:sz w:val="20"/>
              </w:rPr>
              <w:t>1.2</w:t>
            </w:r>
          </w:p>
        </w:tc>
        <w:tc>
          <w:tcPr>
            <w:tcW w:w="457" w:type="pct"/>
            <w:shd w:val="clear" w:color="auto" w:fill="FFFFFF"/>
            <w:vAlign w:val="center"/>
          </w:tcPr>
          <w:p>
            <w:pPr>
              <w:jc w:val="center"/>
              <w:rPr>
                <w:color w:val="FF0000"/>
                <w:szCs w:val="21"/>
              </w:rPr>
            </w:pPr>
            <w:r>
              <w:rPr>
                <w:color w:val="FF0000"/>
                <w:szCs w:val="21"/>
              </w:rPr>
              <w:t>昼间</w:t>
            </w:r>
          </w:p>
        </w:tc>
        <w:tc>
          <w:tcPr>
            <w:tcW w:w="844" w:type="pct"/>
            <w:shd w:val="clear" w:color="auto" w:fill="FFFFFF"/>
            <w:vAlign w:val="center"/>
          </w:tcPr>
          <w:p>
            <w:pPr>
              <w:jc w:val="center"/>
              <w:rPr>
                <w:color w:val="FF0000"/>
                <w:szCs w:val="21"/>
              </w:rPr>
            </w:pPr>
            <w:r>
              <w:rPr>
                <w:rFonts w:eastAsia="Arial"/>
                <w:color w:val="FF0000"/>
                <w:sz w:val="20"/>
              </w:rPr>
              <w:t>20.6</w:t>
            </w:r>
          </w:p>
        </w:tc>
        <w:tc>
          <w:tcPr>
            <w:tcW w:w="845" w:type="pct"/>
            <w:shd w:val="clear" w:color="auto" w:fill="FFFFFF"/>
            <w:vAlign w:val="center"/>
          </w:tcPr>
          <w:p>
            <w:pPr>
              <w:jc w:val="center"/>
              <w:rPr>
                <w:color w:val="FF0000"/>
                <w:szCs w:val="28"/>
              </w:rPr>
            </w:pPr>
            <w:r>
              <w:rPr>
                <w:rFonts w:eastAsia="Arial"/>
                <w:color w:val="FF0000"/>
                <w:szCs w:val="28"/>
              </w:rPr>
              <w:t>39.1</w:t>
            </w:r>
          </w:p>
        </w:tc>
        <w:tc>
          <w:tcPr>
            <w:tcW w:w="845" w:type="pct"/>
            <w:shd w:val="clear" w:color="auto" w:fill="FFFFFF"/>
            <w:vAlign w:val="center"/>
          </w:tcPr>
          <w:p>
            <w:pPr>
              <w:jc w:val="center"/>
              <w:rPr>
                <w:color w:val="FF0000"/>
                <w:szCs w:val="21"/>
              </w:rPr>
            </w:pPr>
            <w:r>
              <w:rPr>
                <w:color w:val="FF0000"/>
                <w:szCs w:val="21"/>
              </w:rPr>
              <w:t>60</w:t>
            </w:r>
          </w:p>
        </w:tc>
        <w:tc>
          <w:tcPr>
            <w:tcW w:w="461" w:type="pct"/>
            <w:shd w:val="clear" w:color="auto" w:fill="FFFFFF"/>
            <w:vAlign w:val="center"/>
          </w:tcPr>
          <w:p>
            <w:pPr>
              <w:jc w:val="center"/>
              <w:rPr>
                <w:color w:val="FF0000"/>
                <w:szCs w:val="21"/>
              </w:rPr>
            </w:pPr>
            <w:r>
              <w:rPr>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413" w:type="pct"/>
            <w:vMerge w:val="continue"/>
            <w:shd w:val="clear" w:color="auto" w:fill="FFFFFF"/>
            <w:vAlign w:val="center"/>
          </w:tcPr>
          <w:p>
            <w:pPr>
              <w:jc w:val="center"/>
              <w:rPr>
                <w:color w:val="FF0000"/>
                <w:szCs w:val="21"/>
              </w:rPr>
            </w:pPr>
          </w:p>
        </w:tc>
        <w:tc>
          <w:tcPr>
            <w:tcW w:w="375" w:type="pct"/>
            <w:shd w:val="clear" w:color="auto" w:fill="FFFFFF"/>
            <w:vAlign w:val="center"/>
          </w:tcPr>
          <w:p>
            <w:pPr>
              <w:jc w:val="center"/>
              <w:rPr>
                <w:color w:val="FF0000"/>
                <w:szCs w:val="21"/>
              </w:rPr>
            </w:pPr>
            <w:r>
              <w:rPr>
                <w:rFonts w:eastAsia="Arial"/>
                <w:color w:val="FF0000"/>
                <w:sz w:val="20"/>
              </w:rPr>
              <w:t>10.6</w:t>
            </w:r>
          </w:p>
        </w:tc>
        <w:tc>
          <w:tcPr>
            <w:tcW w:w="380" w:type="pct"/>
            <w:shd w:val="clear" w:color="auto" w:fill="FFFFFF"/>
            <w:vAlign w:val="center"/>
          </w:tcPr>
          <w:p>
            <w:pPr>
              <w:jc w:val="center"/>
              <w:rPr>
                <w:color w:val="FF0000"/>
                <w:szCs w:val="21"/>
              </w:rPr>
            </w:pPr>
            <w:r>
              <w:rPr>
                <w:rFonts w:eastAsia="Arial"/>
                <w:color w:val="FF0000"/>
                <w:sz w:val="20"/>
              </w:rPr>
              <w:t>-17</w:t>
            </w:r>
          </w:p>
        </w:tc>
        <w:tc>
          <w:tcPr>
            <w:tcW w:w="380" w:type="pct"/>
            <w:shd w:val="clear" w:color="auto" w:fill="FFFFFF"/>
            <w:vAlign w:val="center"/>
          </w:tcPr>
          <w:p>
            <w:pPr>
              <w:jc w:val="center"/>
              <w:rPr>
                <w:color w:val="FF0000"/>
                <w:szCs w:val="21"/>
              </w:rPr>
            </w:pPr>
            <w:r>
              <w:rPr>
                <w:rFonts w:eastAsia="Arial"/>
                <w:color w:val="FF0000"/>
                <w:sz w:val="20"/>
              </w:rPr>
              <w:t>1.2</w:t>
            </w:r>
          </w:p>
        </w:tc>
        <w:tc>
          <w:tcPr>
            <w:tcW w:w="457" w:type="pct"/>
            <w:shd w:val="clear" w:color="auto" w:fill="FFFFFF"/>
            <w:vAlign w:val="center"/>
          </w:tcPr>
          <w:p>
            <w:pPr>
              <w:jc w:val="center"/>
              <w:rPr>
                <w:color w:val="FF0000"/>
                <w:szCs w:val="21"/>
              </w:rPr>
            </w:pPr>
            <w:r>
              <w:rPr>
                <w:color w:val="FF0000"/>
                <w:szCs w:val="21"/>
              </w:rPr>
              <w:t>夜间</w:t>
            </w:r>
          </w:p>
        </w:tc>
        <w:tc>
          <w:tcPr>
            <w:tcW w:w="844" w:type="pct"/>
            <w:shd w:val="clear" w:color="auto" w:fill="FFFFFF"/>
            <w:vAlign w:val="center"/>
          </w:tcPr>
          <w:p>
            <w:pPr>
              <w:jc w:val="center"/>
              <w:rPr>
                <w:color w:val="FF0000"/>
                <w:szCs w:val="21"/>
              </w:rPr>
            </w:pPr>
            <w:r>
              <w:rPr>
                <w:rFonts w:eastAsia="Arial"/>
                <w:color w:val="FF0000"/>
                <w:sz w:val="20"/>
              </w:rPr>
              <w:t>20.6</w:t>
            </w:r>
          </w:p>
        </w:tc>
        <w:tc>
          <w:tcPr>
            <w:tcW w:w="845" w:type="pct"/>
            <w:shd w:val="clear" w:color="auto" w:fill="FFFFFF"/>
            <w:vAlign w:val="center"/>
          </w:tcPr>
          <w:p>
            <w:pPr>
              <w:jc w:val="center"/>
              <w:rPr>
                <w:color w:val="FF0000"/>
                <w:szCs w:val="28"/>
              </w:rPr>
            </w:pPr>
            <w:r>
              <w:rPr>
                <w:rFonts w:eastAsia="Arial"/>
                <w:color w:val="FF0000"/>
                <w:szCs w:val="28"/>
              </w:rPr>
              <w:t>38.1</w:t>
            </w:r>
          </w:p>
        </w:tc>
        <w:tc>
          <w:tcPr>
            <w:tcW w:w="845" w:type="pct"/>
            <w:shd w:val="clear" w:color="auto" w:fill="FFFFFF"/>
            <w:vAlign w:val="center"/>
          </w:tcPr>
          <w:p>
            <w:pPr>
              <w:jc w:val="center"/>
              <w:rPr>
                <w:color w:val="FF0000"/>
                <w:szCs w:val="21"/>
              </w:rPr>
            </w:pPr>
            <w:r>
              <w:rPr>
                <w:color w:val="FF0000"/>
                <w:szCs w:val="21"/>
              </w:rPr>
              <w:t>50</w:t>
            </w:r>
          </w:p>
        </w:tc>
        <w:tc>
          <w:tcPr>
            <w:tcW w:w="461" w:type="pct"/>
            <w:shd w:val="clear" w:color="auto" w:fill="FFFFFF"/>
            <w:vAlign w:val="center"/>
          </w:tcPr>
          <w:p>
            <w:pPr>
              <w:jc w:val="center"/>
              <w:rPr>
                <w:color w:val="FF0000"/>
                <w:szCs w:val="21"/>
              </w:rPr>
            </w:pPr>
            <w:r>
              <w:rPr>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413" w:type="pct"/>
            <w:vMerge w:val="restart"/>
            <w:shd w:val="clear" w:color="auto" w:fill="FFFFFF"/>
            <w:vAlign w:val="center"/>
          </w:tcPr>
          <w:p>
            <w:pPr>
              <w:jc w:val="center"/>
              <w:rPr>
                <w:color w:val="FF0000"/>
                <w:szCs w:val="21"/>
              </w:rPr>
            </w:pPr>
            <w:r>
              <w:rPr>
                <w:color w:val="FF0000"/>
                <w:szCs w:val="21"/>
              </w:rPr>
              <w:t>西侧</w:t>
            </w:r>
          </w:p>
        </w:tc>
        <w:tc>
          <w:tcPr>
            <w:tcW w:w="375" w:type="pct"/>
            <w:shd w:val="clear" w:color="auto" w:fill="FFFFFF"/>
            <w:vAlign w:val="center"/>
          </w:tcPr>
          <w:p>
            <w:pPr>
              <w:jc w:val="center"/>
              <w:rPr>
                <w:color w:val="FF0000"/>
                <w:szCs w:val="21"/>
              </w:rPr>
            </w:pPr>
            <w:r>
              <w:rPr>
                <w:rFonts w:eastAsia="Arial"/>
                <w:color w:val="FF0000"/>
                <w:sz w:val="20"/>
              </w:rPr>
              <w:t>-27.1</w:t>
            </w:r>
          </w:p>
        </w:tc>
        <w:tc>
          <w:tcPr>
            <w:tcW w:w="380" w:type="pct"/>
            <w:shd w:val="clear" w:color="auto" w:fill="FFFFFF"/>
            <w:vAlign w:val="center"/>
          </w:tcPr>
          <w:p>
            <w:pPr>
              <w:jc w:val="center"/>
              <w:rPr>
                <w:color w:val="FF0000"/>
                <w:szCs w:val="21"/>
              </w:rPr>
            </w:pPr>
            <w:r>
              <w:rPr>
                <w:rFonts w:eastAsia="Arial"/>
                <w:color w:val="FF0000"/>
                <w:sz w:val="20"/>
              </w:rPr>
              <w:t>9.7</w:t>
            </w:r>
          </w:p>
        </w:tc>
        <w:tc>
          <w:tcPr>
            <w:tcW w:w="380" w:type="pct"/>
            <w:shd w:val="clear" w:color="auto" w:fill="FFFFFF"/>
            <w:vAlign w:val="center"/>
          </w:tcPr>
          <w:p>
            <w:pPr>
              <w:jc w:val="center"/>
              <w:rPr>
                <w:color w:val="FF0000"/>
                <w:szCs w:val="21"/>
              </w:rPr>
            </w:pPr>
            <w:r>
              <w:rPr>
                <w:rFonts w:eastAsia="Arial"/>
                <w:color w:val="FF0000"/>
                <w:sz w:val="20"/>
              </w:rPr>
              <w:t>1.2</w:t>
            </w:r>
          </w:p>
        </w:tc>
        <w:tc>
          <w:tcPr>
            <w:tcW w:w="457" w:type="pct"/>
            <w:shd w:val="clear" w:color="auto" w:fill="FFFFFF"/>
            <w:vAlign w:val="center"/>
          </w:tcPr>
          <w:p>
            <w:pPr>
              <w:jc w:val="center"/>
              <w:rPr>
                <w:color w:val="FF0000"/>
                <w:szCs w:val="21"/>
              </w:rPr>
            </w:pPr>
            <w:r>
              <w:rPr>
                <w:color w:val="FF0000"/>
                <w:szCs w:val="21"/>
              </w:rPr>
              <w:t>昼间</w:t>
            </w:r>
          </w:p>
        </w:tc>
        <w:tc>
          <w:tcPr>
            <w:tcW w:w="844" w:type="pct"/>
            <w:shd w:val="clear" w:color="auto" w:fill="FFFFFF"/>
            <w:vAlign w:val="center"/>
          </w:tcPr>
          <w:p>
            <w:pPr>
              <w:jc w:val="center"/>
              <w:rPr>
                <w:color w:val="FF0000"/>
                <w:szCs w:val="21"/>
              </w:rPr>
            </w:pPr>
            <w:r>
              <w:rPr>
                <w:rFonts w:eastAsia="Arial"/>
                <w:color w:val="FF0000"/>
                <w:sz w:val="20"/>
              </w:rPr>
              <w:t>35.8</w:t>
            </w:r>
          </w:p>
        </w:tc>
        <w:tc>
          <w:tcPr>
            <w:tcW w:w="845" w:type="pct"/>
            <w:shd w:val="clear" w:color="auto" w:fill="FFFFFF"/>
            <w:vAlign w:val="center"/>
          </w:tcPr>
          <w:p>
            <w:pPr>
              <w:jc w:val="center"/>
              <w:rPr>
                <w:color w:val="FF0000"/>
                <w:szCs w:val="28"/>
              </w:rPr>
            </w:pPr>
            <w:r>
              <w:rPr>
                <w:rFonts w:eastAsia="Arial"/>
                <w:color w:val="FF0000"/>
                <w:szCs w:val="28"/>
              </w:rPr>
              <w:t>42.9</w:t>
            </w:r>
          </w:p>
        </w:tc>
        <w:tc>
          <w:tcPr>
            <w:tcW w:w="845" w:type="pct"/>
            <w:shd w:val="clear" w:color="auto" w:fill="FFFFFF"/>
            <w:vAlign w:val="center"/>
          </w:tcPr>
          <w:p>
            <w:pPr>
              <w:jc w:val="center"/>
              <w:rPr>
                <w:color w:val="FF0000"/>
                <w:szCs w:val="21"/>
              </w:rPr>
            </w:pPr>
            <w:r>
              <w:rPr>
                <w:color w:val="FF0000"/>
                <w:szCs w:val="21"/>
              </w:rPr>
              <w:t>60</w:t>
            </w:r>
          </w:p>
        </w:tc>
        <w:tc>
          <w:tcPr>
            <w:tcW w:w="461" w:type="pct"/>
            <w:shd w:val="clear" w:color="auto" w:fill="FFFFFF"/>
            <w:vAlign w:val="center"/>
          </w:tcPr>
          <w:p>
            <w:pPr>
              <w:jc w:val="center"/>
              <w:rPr>
                <w:color w:val="FF0000"/>
                <w:szCs w:val="21"/>
              </w:rPr>
            </w:pPr>
            <w:r>
              <w:rPr>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413" w:type="pct"/>
            <w:vMerge w:val="continue"/>
            <w:shd w:val="clear" w:color="auto" w:fill="FFFFFF"/>
            <w:vAlign w:val="center"/>
          </w:tcPr>
          <w:p>
            <w:pPr>
              <w:jc w:val="center"/>
              <w:rPr>
                <w:color w:val="FF0000"/>
                <w:szCs w:val="21"/>
              </w:rPr>
            </w:pPr>
          </w:p>
        </w:tc>
        <w:tc>
          <w:tcPr>
            <w:tcW w:w="375" w:type="pct"/>
            <w:shd w:val="clear" w:color="auto" w:fill="FFFFFF"/>
            <w:vAlign w:val="center"/>
          </w:tcPr>
          <w:p>
            <w:pPr>
              <w:jc w:val="center"/>
              <w:rPr>
                <w:color w:val="FF0000"/>
                <w:szCs w:val="21"/>
              </w:rPr>
            </w:pPr>
            <w:r>
              <w:rPr>
                <w:rFonts w:eastAsia="Arial"/>
                <w:color w:val="FF0000"/>
                <w:sz w:val="20"/>
              </w:rPr>
              <w:t>-27.1</w:t>
            </w:r>
          </w:p>
        </w:tc>
        <w:tc>
          <w:tcPr>
            <w:tcW w:w="380" w:type="pct"/>
            <w:shd w:val="clear" w:color="auto" w:fill="FFFFFF"/>
            <w:vAlign w:val="center"/>
          </w:tcPr>
          <w:p>
            <w:pPr>
              <w:jc w:val="center"/>
              <w:rPr>
                <w:color w:val="FF0000"/>
                <w:szCs w:val="21"/>
              </w:rPr>
            </w:pPr>
            <w:r>
              <w:rPr>
                <w:rFonts w:eastAsia="Arial"/>
                <w:color w:val="FF0000"/>
                <w:sz w:val="20"/>
              </w:rPr>
              <w:t>9.7</w:t>
            </w:r>
          </w:p>
        </w:tc>
        <w:tc>
          <w:tcPr>
            <w:tcW w:w="380" w:type="pct"/>
            <w:shd w:val="clear" w:color="auto" w:fill="FFFFFF"/>
            <w:vAlign w:val="center"/>
          </w:tcPr>
          <w:p>
            <w:pPr>
              <w:jc w:val="center"/>
              <w:rPr>
                <w:color w:val="FF0000"/>
                <w:szCs w:val="21"/>
              </w:rPr>
            </w:pPr>
            <w:r>
              <w:rPr>
                <w:rFonts w:eastAsia="Arial"/>
                <w:color w:val="FF0000"/>
                <w:sz w:val="20"/>
              </w:rPr>
              <w:t>1.2</w:t>
            </w:r>
          </w:p>
        </w:tc>
        <w:tc>
          <w:tcPr>
            <w:tcW w:w="457" w:type="pct"/>
            <w:shd w:val="clear" w:color="auto" w:fill="FFFFFF"/>
            <w:vAlign w:val="center"/>
          </w:tcPr>
          <w:p>
            <w:pPr>
              <w:jc w:val="center"/>
              <w:rPr>
                <w:color w:val="FF0000"/>
                <w:szCs w:val="21"/>
              </w:rPr>
            </w:pPr>
            <w:r>
              <w:rPr>
                <w:color w:val="FF0000"/>
                <w:szCs w:val="21"/>
              </w:rPr>
              <w:t>夜间</w:t>
            </w:r>
          </w:p>
        </w:tc>
        <w:tc>
          <w:tcPr>
            <w:tcW w:w="844" w:type="pct"/>
            <w:shd w:val="clear" w:color="auto" w:fill="FFFFFF"/>
            <w:vAlign w:val="center"/>
          </w:tcPr>
          <w:p>
            <w:pPr>
              <w:jc w:val="center"/>
              <w:rPr>
                <w:color w:val="FF0000"/>
                <w:szCs w:val="21"/>
              </w:rPr>
            </w:pPr>
            <w:r>
              <w:rPr>
                <w:rFonts w:eastAsia="Arial"/>
                <w:color w:val="FF0000"/>
                <w:sz w:val="20"/>
              </w:rPr>
              <w:t>35.8</w:t>
            </w:r>
          </w:p>
        </w:tc>
        <w:tc>
          <w:tcPr>
            <w:tcW w:w="845" w:type="pct"/>
            <w:shd w:val="clear" w:color="auto" w:fill="FFFFFF"/>
            <w:vAlign w:val="center"/>
          </w:tcPr>
          <w:p>
            <w:pPr>
              <w:jc w:val="center"/>
              <w:rPr>
                <w:color w:val="FF0000"/>
                <w:szCs w:val="28"/>
              </w:rPr>
            </w:pPr>
            <w:r>
              <w:rPr>
                <w:rFonts w:eastAsia="Arial"/>
                <w:color w:val="FF0000"/>
                <w:szCs w:val="28"/>
              </w:rPr>
              <w:t>41.4</w:t>
            </w:r>
          </w:p>
        </w:tc>
        <w:tc>
          <w:tcPr>
            <w:tcW w:w="845" w:type="pct"/>
            <w:shd w:val="clear" w:color="auto" w:fill="FFFFFF"/>
            <w:vAlign w:val="center"/>
          </w:tcPr>
          <w:p>
            <w:pPr>
              <w:jc w:val="center"/>
              <w:rPr>
                <w:color w:val="FF0000"/>
                <w:szCs w:val="21"/>
              </w:rPr>
            </w:pPr>
            <w:r>
              <w:rPr>
                <w:color w:val="FF0000"/>
                <w:szCs w:val="21"/>
              </w:rPr>
              <w:t>50</w:t>
            </w:r>
          </w:p>
        </w:tc>
        <w:tc>
          <w:tcPr>
            <w:tcW w:w="461" w:type="pct"/>
            <w:shd w:val="clear" w:color="auto" w:fill="FFFFFF"/>
            <w:vAlign w:val="center"/>
          </w:tcPr>
          <w:p>
            <w:pPr>
              <w:jc w:val="center"/>
              <w:rPr>
                <w:color w:val="FF0000"/>
                <w:szCs w:val="21"/>
              </w:rPr>
            </w:pPr>
            <w:r>
              <w:rPr>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413" w:type="pct"/>
            <w:vMerge w:val="restart"/>
            <w:shd w:val="clear" w:color="auto" w:fill="FFFFFF"/>
            <w:vAlign w:val="center"/>
          </w:tcPr>
          <w:p>
            <w:pPr>
              <w:jc w:val="center"/>
              <w:rPr>
                <w:color w:val="FF0000"/>
                <w:szCs w:val="21"/>
              </w:rPr>
            </w:pPr>
            <w:r>
              <w:rPr>
                <w:color w:val="FF0000"/>
                <w:szCs w:val="21"/>
              </w:rPr>
              <w:t>北侧</w:t>
            </w:r>
          </w:p>
        </w:tc>
        <w:tc>
          <w:tcPr>
            <w:tcW w:w="375" w:type="pct"/>
            <w:shd w:val="clear" w:color="auto" w:fill="FFFFFF"/>
            <w:vAlign w:val="center"/>
          </w:tcPr>
          <w:p>
            <w:pPr>
              <w:jc w:val="center"/>
              <w:rPr>
                <w:color w:val="FF0000"/>
                <w:szCs w:val="21"/>
              </w:rPr>
            </w:pPr>
            <w:r>
              <w:rPr>
                <w:rFonts w:eastAsia="Arial"/>
                <w:color w:val="FF0000"/>
                <w:sz w:val="20"/>
              </w:rPr>
              <w:t>-12.7</w:t>
            </w:r>
          </w:p>
        </w:tc>
        <w:tc>
          <w:tcPr>
            <w:tcW w:w="380" w:type="pct"/>
            <w:shd w:val="clear" w:color="auto" w:fill="FFFFFF"/>
            <w:vAlign w:val="center"/>
          </w:tcPr>
          <w:p>
            <w:pPr>
              <w:jc w:val="center"/>
              <w:rPr>
                <w:color w:val="FF0000"/>
                <w:szCs w:val="21"/>
              </w:rPr>
            </w:pPr>
            <w:r>
              <w:rPr>
                <w:rFonts w:eastAsia="Arial"/>
                <w:color w:val="FF0000"/>
                <w:sz w:val="20"/>
              </w:rPr>
              <w:t>13.2</w:t>
            </w:r>
          </w:p>
        </w:tc>
        <w:tc>
          <w:tcPr>
            <w:tcW w:w="380" w:type="pct"/>
            <w:shd w:val="clear" w:color="auto" w:fill="FFFFFF"/>
            <w:vAlign w:val="center"/>
          </w:tcPr>
          <w:p>
            <w:pPr>
              <w:jc w:val="center"/>
              <w:rPr>
                <w:color w:val="FF0000"/>
                <w:szCs w:val="21"/>
              </w:rPr>
            </w:pPr>
            <w:r>
              <w:rPr>
                <w:rFonts w:eastAsia="Arial"/>
                <w:color w:val="FF0000"/>
                <w:sz w:val="20"/>
              </w:rPr>
              <w:t>1.2</w:t>
            </w:r>
          </w:p>
        </w:tc>
        <w:tc>
          <w:tcPr>
            <w:tcW w:w="457" w:type="pct"/>
            <w:shd w:val="clear" w:color="auto" w:fill="FFFFFF"/>
            <w:vAlign w:val="center"/>
          </w:tcPr>
          <w:p>
            <w:pPr>
              <w:jc w:val="center"/>
              <w:rPr>
                <w:color w:val="FF0000"/>
                <w:szCs w:val="21"/>
              </w:rPr>
            </w:pPr>
            <w:r>
              <w:rPr>
                <w:color w:val="FF0000"/>
                <w:szCs w:val="21"/>
              </w:rPr>
              <w:t>昼间</w:t>
            </w:r>
          </w:p>
        </w:tc>
        <w:tc>
          <w:tcPr>
            <w:tcW w:w="844" w:type="pct"/>
            <w:shd w:val="clear" w:color="auto" w:fill="FFFFFF"/>
            <w:vAlign w:val="center"/>
          </w:tcPr>
          <w:p>
            <w:pPr>
              <w:jc w:val="center"/>
              <w:rPr>
                <w:color w:val="FF0000"/>
                <w:szCs w:val="21"/>
              </w:rPr>
            </w:pPr>
            <w:r>
              <w:rPr>
                <w:rFonts w:eastAsia="Arial"/>
                <w:color w:val="FF0000"/>
                <w:sz w:val="20"/>
              </w:rPr>
              <w:t>47.4</w:t>
            </w:r>
          </w:p>
        </w:tc>
        <w:tc>
          <w:tcPr>
            <w:tcW w:w="845" w:type="pct"/>
            <w:shd w:val="clear" w:color="auto" w:fill="FFFFFF"/>
            <w:vAlign w:val="center"/>
          </w:tcPr>
          <w:p>
            <w:pPr>
              <w:jc w:val="center"/>
              <w:rPr>
                <w:color w:val="FF0000"/>
                <w:szCs w:val="28"/>
              </w:rPr>
            </w:pPr>
            <w:r>
              <w:rPr>
                <w:rFonts w:eastAsia="Arial"/>
                <w:color w:val="FF0000"/>
                <w:szCs w:val="28"/>
              </w:rPr>
              <w:t>48.3</w:t>
            </w:r>
          </w:p>
        </w:tc>
        <w:tc>
          <w:tcPr>
            <w:tcW w:w="845" w:type="pct"/>
            <w:shd w:val="clear" w:color="auto" w:fill="FFFFFF"/>
            <w:vAlign w:val="center"/>
          </w:tcPr>
          <w:p>
            <w:pPr>
              <w:jc w:val="center"/>
              <w:rPr>
                <w:color w:val="FF0000"/>
                <w:szCs w:val="21"/>
              </w:rPr>
            </w:pPr>
            <w:r>
              <w:rPr>
                <w:color w:val="FF0000"/>
                <w:szCs w:val="21"/>
              </w:rPr>
              <w:t>60</w:t>
            </w:r>
          </w:p>
        </w:tc>
        <w:tc>
          <w:tcPr>
            <w:tcW w:w="461" w:type="pct"/>
            <w:shd w:val="clear" w:color="auto" w:fill="FFFFFF"/>
            <w:vAlign w:val="center"/>
          </w:tcPr>
          <w:p>
            <w:pPr>
              <w:jc w:val="center"/>
              <w:rPr>
                <w:color w:val="FF0000"/>
                <w:szCs w:val="21"/>
              </w:rPr>
            </w:pPr>
            <w:r>
              <w:rPr>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413" w:type="pct"/>
            <w:vMerge w:val="continue"/>
            <w:shd w:val="clear" w:color="auto" w:fill="FFFFFF"/>
            <w:vAlign w:val="center"/>
          </w:tcPr>
          <w:p>
            <w:pPr>
              <w:jc w:val="center"/>
              <w:rPr>
                <w:color w:val="FF0000"/>
                <w:szCs w:val="21"/>
              </w:rPr>
            </w:pPr>
          </w:p>
        </w:tc>
        <w:tc>
          <w:tcPr>
            <w:tcW w:w="375" w:type="pct"/>
            <w:shd w:val="clear" w:color="auto" w:fill="FFFFFF"/>
            <w:vAlign w:val="center"/>
          </w:tcPr>
          <w:p>
            <w:pPr>
              <w:jc w:val="center"/>
              <w:rPr>
                <w:color w:val="FF0000"/>
                <w:szCs w:val="21"/>
              </w:rPr>
            </w:pPr>
            <w:r>
              <w:rPr>
                <w:rFonts w:eastAsia="Arial"/>
                <w:color w:val="FF0000"/>
                <w:sz w:val="20"/>
              </w:rPr>
              <w:t>-12.7</w:t>
            </w:r>
          </w:p>
        </w:tc>
        <w:tc>
          <w:tcPr>
            <w:tcW w:w="380" w:type="pct"/>
            <w:shd w:val="clear" w:color="auto" w:fill="FFFFFF"/>
            <w:vAlign w:val="center"/>
          </w:tcPr>
          <w:p>
            <w:pPr>
              <w:jc w:val="center"/>
              <w:rPr>
                <w:color w:val="FF0000"/>
                <w:szCs w:val="21"/>
              </w:rPr>
            </w:pPr>
            <w:r>
              <w:rPr>
                <w:rFonts w:eastAsia="Arial"/>
                <w:color w:val="FF0000"/>
                <w:sz w:val="20"/>
              </w:rPr>
              <w:t>13.2</w:t>
            </w:r>
          </w:p>
        </w:tc>
        <w:tc>
          <w:tcPr>
            <w:tcW w:w="380" w:type="pct"/>
            <w:shd w:val="clear" w:color="auto" w:fill="FFFFFF"/>
            <w:vAlign w:val="center"/>
          </w:tcPr>
          <w:p>
            <w:pPr>
              <w:jc w:val="center"/>
              <w:rPr>
                <w:color w:val="FF0000"/>
                <w:szCs w:val="21"/>
              </w:rPr>
            </w:pPr>
            <w:r>
              <w:rPr>
                <w:rFonts w:eastAsia="Arial"/>
                <w:color w:val="FF0000"/>
                <w:sz w:val="20"/>
              </w:rPr>
              <w:t>1.2</w:t>
            </w:r>
          </w:p>
        </w:tc>
        <w:tc>
          <w:tcPr>
            <w:tcW w:w="457" w:type="pct"/>
            <w:shd w:val="clear" w:color="auto" w:fill="FFFFFF"/>
            <w:vAlign w:val="center"/>
          </w:tcPr>
          <w:p>
            <w:pPr>
              <w:jc w:val="center"/>
              <w:rPr>
                <w:color w:val="FF0000"/>
                <w:szCs w:val="21"/>
              </w:rPr>
            </w:pPr>
            <w:r>
              <w:rPr>
                <w:color w:val="FF0000"/>
                <w:szCs w:val="21"/>
              </w:rPr>
              <w:t>夜间</w:t>
            </w:r>
          </w:p>
        </w:tc>
        <w:tc>
          <w:tcPr>
            <w:tcW w:w="845" w:type="pct"/>
            <w:shd w:val="clear" w:color="auto" w:fill="FFFFFF"/>
            <w:vAlign w:val="center"/>
          </w:tcPr>
          <w:p>
            <w:pPr>
              <w:jc w:val="center"/>
              <w:rPr>
                <w:color w:val="FF0000"/>
                <w:szCs w:val="21"/>
              </w:rPr>
            </w:pPr>
            <w:r>
              <w:rPr>
                <w:rFonts w:eastAsia="Arial"/>
                <w:color w:val="FF0000"/>
                <w:sz w:val="20"/>
              </w:rPr>
              <w:t>47.4</w:t>
            </w:r>
          </w:p>
        </w:tc>
        <w:tc>
          <w:tcPr>
            <w:tcW w:w="845" w:type="pct"/>
            <w:shd w:val="clear" w:color="auto" w:fill="FFFFFF"/>
            <w:vAlign w:val="center"/>
          </w:tcPr>
          <w:p>
            <w:pPr>
              <w:jc w:val="center"/>
              <w:rPr>
                <w:color w:val="FF0000"/>
                <w:szCs w:val="28"/>
              </w:rPr>
            </w:pPr>
            <w:r>
              <w:rPr>
                <w:rFonts w:eastAsia="Arial"/>
                <w:color w:val="FF0000"/>
                <w:szCs w:val="28"/>
              </w:rPr>
              <w:t>48.1</w:t>
            </w:r>
          </w:p>
        </w:tc>
        <w:tc>
          <w:tcPr>
            <w:tcW w:w="845" w:type="pct"/>
            <w:shd w:val="clear" w:color="auto" w:fill="FFFFFF"/>
            <w:vAlign w:val="center"/>
          </w:tcPr>
          <w:p>
            <w:pPr>
              <w:jc w:val="center"/>
              <w:rPr>
                <w:color w:val="FF0000"/>
                <w:szCs w:val="21"/>
              </w:rPr>
            </w:pPr>
            <w:r>
              <w:rPr>
                <w:color w:val="FF0000"/>
                <w:szCs w:val="21"/>
              </w:rPr>
              <w:t>50</w:t>
            </w:r>
          </w:p>
        </w:tc>
        <w:tc>
          <w:tcPr>
            <w:tcW w:w="461" w:type="pct"/>
            <w:shd w:val="clear" w:color="auto" w:fill="FFFFFF"/>
            <w:vAlign w:val="center"/>
          </w:tcPr>
          <w:p>
            <w:pPr>
              <w:jc w:val="center"/>
              <w:rPr>
                <w:color w:val="FF0000"/>
                <w:szCs w:val="21"/>
              </w:rPr>
            </w:pPr>
            <w:r>
              <w:rPr>
                <w:color w:val="FF0000"/>
                <w:szCs w:val="21"/>
              </w:rPr>
              <w:t>达标</w:t>
            </w:r>
          </w:p>
        </w:tc>
      </w:tr>
      <w:bookmarkEnd w:id="357"/>
    </w:tbl>
    <w:p>
      <w:pPr>
        <w:pStyle w:val="494"/>
        <w:ind w:firstLine="480"/>
        <w:rPr>
          <w:color w:val="FF0000"/>
        </w:rPr>
      </w:pPr>
      <w:r>
        <w:rPr>
          <w:rFonts w:hint="eastAsia"/>
          <w:color w:val="FF0000"/>
        </w:rPr>
        <w:t>根据上表可知，项目厂界噪声满足《工业企业厂界环境噪声排放标准》（</w:t>
      </w:r>
      <w:r>
        <w:rPr>
          <w:color w:val="FF0000"/>
        </w:rPr>
        <w:t>GB12348-2008</w:t>
      </w:r>
      <w:r>
        <w:rPr>
          <w:rFonts w:hint="eastAsia"/>
          <w:color w:val="FF0000"/>
        </w:rPr>
        <w:t>）中</w:t>
      </w:r>
      <w:r>
        <w:rPr>
          <w:color w:val="FF0000"/>
        </w:rPr>
        <w:t>2</w:t>
      </w:r>
      <w:r>
        <w:rPr>
          <w:rFonts w:hint="eastAsia"/>
          <w:color w:val="FF0000"/>
        </w:rPr>
        <w:t>类标准。</w:t>
      </w:r>
    </w:p>
    <w:p>
      <w:pPr>
        <w:pStyle w:val="494"/>
        <w:ind w:firstLine="480"/>
        <w:rPr>
          <w:color w:val="FF0000"/>
        </w:rPr>
      </w:pPr>
      <w:r>
        <w:rPr>
          <w:rFonts w:hint="eastAsia"/>
          <w:color w:val="FF0000"/>
        </w:rPr>
        <w:t>等声级线图见下图。</w:t>
      </w:r>
    </w:p>
    <w:p>
      <w:pPr>
        <w:pStyle w:val="494"/>
        <w:ind w:firstLine="480"/>
        <w:rPr>
          <w:color w:val="FF0000"/>
        </w:rPr>
        <w:sectPr>
          <w:pgSz w:w="11906" w:h="16838"/>
          <w:pgMar w:top="1440" w:right="1701" w:bottom="1440" w:left="1985" w:header="851" w:footer="992" w:gutter="0"/>
          <w:cols w:space="720" w:num="1"/>
          <w:docGrid w:linePitch="312" w:charSpace="0"/>
        </w:sectPr>
      </w:pPr>
    </w:p>
    <w:p>
      <w:pPr>
        <w:jc w:val="center"/>
        <w:rPr>
          <w:rFonts w:cstheme="minorBidi"/>
          <w:color w:val="FF0000"/>
          <w:sz w:val="24"/>
        </w:rPr>
      </w:pPr>
      <w:r>
        <w:rPr>
          <w:color w:val="FF0000"/>
        </w:rPr>
        <w:drawing>
          <wp:inline distT="0" distB="0" distL="0" distR="0">
            <wp:extent cx="7620000" cy="4962525"/>
            <wp:effectExtent l="0" t="0" r="0" b="0"/>
            <wp:docPr id="535966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66873"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7640582" cy="4975672"/>
                    </a:xfrm>
                    <a:prstGeom prst="rect">
                      <a:avLst/>
                    </a:prstGeom>
                    <a:noFill/>
                    <a:ln>
                      <a:noFill/>
                    </a:ln>
                  </pic:spPr>
                </pic:pic>
              </a:graphicData>
            </a:graphic>
          </wp:inline>
        </w:drawing>
      </w:r>
    </w:p>
    <w:p>
      <w:pPr>
        <w:pStyle w:val="694"/>
        <w:spacing w:line="240" w:lineRule="auto"/>
        <w:ind w:firstLine="0" w:firstLineChars="0"/>
        <w:jc w:val="center"/>
        <w:rPr>
          <w:color w:val="FF0000"/>
        </w:rPr>
      </w:pPr>
      <w:r>
        <w:rPr>
          <w:rFonts w:hint="eastAsia" w:ascii="黑体" w:hAnsi="黑体" w:eastAsia="黑体"/>
          <w:color w:val="FF0000"/>
          <w:sz w:val="21"/>
          <w:szCs w:val="21"/>
        </w:rPr>
        <w:t>图5</w:t>
      </w:r>
      <w:r>
        <w:rPr>
          <w:rFonts w:ascii="黑体" w:hAnsi="黑体" w:eastAsia="黑体"/>
          <w:color w:val="FF0000"/>
          <w:sz w:val="21"/>
          <w:szCs w:val="21"/>
        </w:rPr>
        <w:t xml:space="preserve">.2-1  </w:t>
      </w:r>
      <w:r>
        <w:rPr>
          <w:rFonts w:hint="eastAsia" w:ascii="黑体" w:hAnsi="黑体" w:eastAsia="黑体"/>
          <w:color w:val="FF0000"/>
          <w:sz w:val="21"/>
          <w:szCs w:val="21"/>
        </w:rPr>
        <w:t>项目等声级线图</w:t>
      </w:r>
    </w:p>
    <w:bookmarkEnd w:id="356"/>
    <w:p>
      <w:pPr>
        <w:sectPr>
          <w:pgSz w:w="16838" w:h="11906" w:orient="landscape"/>
          <w:pgMar w:top="1985" w:right="1440" w:bottom="1701" w:left="1440" w:header="851" w:footer="992" w:gutter="0"/>
          <w:cols w:space="720" w:num="1"/>
          <w:docGrid w:linePitch="312" w:charSpace="0"/>
        </w:sectPr>
      </w:pPr>
    </w:p>
    <w:p>
      <w:pPr>
        <w:pStyle w:val="5"/>
        <w:spacing w:before="120" w:after="120"/>
        <w:rPr>
          <w:spacing w:val="0"/>
        </w:rPr>
      </w:pPr>
      <w:bookmarkStart w:id="358" w:name="_Toc107500394"/>
      <w:bookmarkStart w:id="359" w:name="_Toc145580430"/>
      <w:r>
        <w:rPr>
          <w:rFonts w:hint="eastAsia"/>
          <w:spacing w:val="0"/>
        </w:rPr>
        <w:t>5.2.4运营期固体废物环境影响分析</w:t>
      </w:r>
      <w:bookmarkEnd w:id="358"/>
      <w:bookmarkEnd w:id="359"/>
    </w:p>
    <w:p>
      <w:pPr>
        <w:pStyle w:val="488"/>
        <w:ind w:firstLine="480"/>
        <w:rPr>
          <w:rFonts w:ascii="Times New Roman" w:hAnsi="Times New Roman" w:cs="Times New Roman"/>
        </w:rPr>
      </w:pPr>
      <w:r>
        <w:rPr>
          <w:rFonts w:ascii="Times New Roman" w:hAnsi="Times New Roman" w:cs="Times New Roman"/>
        </w:rPr>
        <w:t>1、生活垃圾</w:t>
      </w:r>
    </w:p>
    <w:p>
      <w:pPr>
        <w:pStyle w:val="488"/>
        <w:ind w:firstLine="480"/>
        <w:rPr>
          <w:rFonts w:ascii="Times New Roman" w:hAnsi="Times New Roman" w:cs="Times New Roman"/>
        </w:rPr>
      </w:pPr>
      <w:r>
        <w:rPr>
          <w:rFonts w:ascii="Times New Roman" w:hAnsi="Times New Roman" w:cs="Times New Roman"/>
        </w:rPr>
        <w:t>本项目运营期</w:t>
      </w:r>
      <w:r>
        <w:rPr>
          <w:rFonts w:hint="eastAsia" w:ascii="Times New Roman" w:hAnsi="Times New Roman" w:cs="Times New Roman"/>
        </w:rPr>
        <w:t>不新增劳动定员，不新增生活垃圾</w:t>
      </w:r>
      <w:r>
        <w:rPr>
          <w:rFonts w:ascii="Times New Roman" w:hAnsi="Times New Roman" w:cs="Times New Roman"/>
        </w:rPr>
        <w:t>。</w:t>
      </w:r>
    </w:p>
    <w:p>
      <w:pPr>
        <w:pStyle w:val="694"/>
        <w:spacing w:line="460" w:lineRule="exact"/>
        <w:ind w:firstLine="480"/>
        <w:rPr>
          <w:rFonts w:ascii="Times New Roman" w:hAnsi="Times New Roman" w:cs="Times New Roman"/>
          <w:kern w:val="28"/>
        </w:rPr>
      </w:pPr>
      <w:r>
        <w:rPr>
          <w:rFonts w:ascii="Times New Roman" w:hAnsi="Times New Roman" w:cs="Times New Roman"/>
          <w:kern w:val="28"/>
        </w:rPr>
        <w:t>2、危险废物</w:t>
      </w:r>
    </w:p>
    <w:p>
      <w:pPr>
        <w:pStyle w:val="694"/>
        <w:spacing w:line="460" w:lineRule="exact"/>
        <w:ind w:firstLine="480"/>
        <w:rPr>
          <w:rFonts w:ascii="Times New Roman" w:hAnsi="Times New Roman" w:cs="Times New Roman"/>
          <w:kern w:val="28"/>
        </w:rPr>
      </w:pPr>
      <w:r>
        <w:rPr>
          <w:rFonts w:ascii="Times New Roman" w:hAnsi="Times New Roman" w:cs="Times New Roman"/>
          <w:kern w:val="28"/>
        </w:rPr>
        <w:t>本项目运营期产生的危险废物主要有废分子筛、废润滑油。</w:t>
      </w:r>
    </w:p>
    <w:p>
      <w:pPr>
        <w:pStyle w:val="694"/>
        <w:spacing w:line="460" w:lineRule="exact"/>
        <w:ind w:firstLine="480"/>
        <w:rPr>
          <w:rFonts w:ascii="Times New Roman" w:hAnsi="Times New Roman" w:cs="Times New Roman"/>
          <w:color w:val="FF0000"/>
        </w:rPr>
      </w:pPr>
      <w:r>
        <w:rPr>
          <w:rFonts w:hint="eastAsia" w:ascii="宋体" w:hAnsi="宋体" w:eastAsia="宋体" w:cs="宋体"/>
          <w:color w:val="FF0000"/>
        </w:rPr>
        <w:t>①</w:t>
      </w:r>
      <w:r>
        <w:rPr>
          <w:rFonts w:ascii="Times New Roman" w:hAnsi="Times New Roman" w:cs="Times New Roman"/>
          <w:color w:val="FF0000"/>
        </w:rPr>
        <w:t>废</w:t>
      </w:r>
      <w:r>
        <w:rPr>
          <w:rFonts w:ascii="Times New Roman" w:hAnsi="Times New Roman" w:cs="Times New Roman"/>
          <w:color w:val="FF0000"/>
          <w:kern w:val="0"/>
        </w:rPr>
        <w:t>分子筛</w:t>
      </w:r>
    </w:p>
    <w:p>
      <w:pPr>
        <w:pStyle w:val="488"/>
        <w:ind w:firstLine="480"/>
        <w:rPr>
          <w:rFonts w:ascii="Times New Roman" w:hAnsi="Times New Roman" w:cs="Times New Roman"/>
          <w:color w:val="FF0000"/>
        </w:rPr>
      </w:pPr>
      <w:r>
        <w:rPr>
          <w:rFonts w:ascii="Times New Roman" w:hAnsi="Times New Roman" w:cs="Times New Roman"/>
          <w:color w:val="FF0000"/>
        </w:rPr>
        <w:t>项目干燥器在运行过程会产生一定量损坏老化的吸附材料，主要成分为硅铝酸盐，根据《国家危险废物名录》（2021年版），属于危险废物，废物类别为HW49，废物代码为900-041-49，要求收集后暂存于危废暂存间定期交由</w:t>
      </w:r>
      <w:r>
        <w:rPr>
          <w:rFonts w:hint="eastAsia"/>
          <w:color w:val="FF0000"/>
        </w:rPr>
        <w:t>新疆诺客蒙鑫环境技术有限公司</w:t>
      </w:r>
      <w:r>
        <w:rPr>
          <w:rFonts w:ascii="Times New Roman" w:hAnsi="Times New Roman" w:cs="Times New Roman"/>
          <w:color w:val="FF0000"/>
        </w:rPr>
        <w:t>处置。</w:t>
      </w:r>
    </w:p>
    <w:p>
      <w:pPr>
        <w:pStyle w:val="694"/>
        <w:spacing w:line="460" w:lineRule="exact"/>
        <w:ind w:firstLine="480"/>
        <w:rPr>
          <w:rFonts w:ascii="Times New Roman" w:hAnsi="Times New Roman" w:cs="Times New Roman"/>
          <w:color w:val="FF0000"/>
        </w:rPr>
      </w:pPr>
      <w:r>
        <w:rPr>
          <w:rFonts w:hint="eastAsia" w:ascii="宋体" w:hAnsi="宋体" w:eastAsia="宋体" w:cs="宋体"/>
          <w:color w:val="FF0000"/>
        </w:rPr>
        <w:t>②</w:t>
      </w:r>
      <w:r>
        <w:rPr>
          <w:rFonts w:ascii="Times New Roman" w:hAnsi="Times New Roman" w:cs="Times New Roman"/>
          <w:color w:val="FF0000"/>
        </w:rPr>
        <w:t>废</w:t>
      </w:r>
      <w:r>
        <w:rPr>
          <w:rFonts w:ascii="Times New Roman" w:hAnsi="Times New Roman" w:cs="Times New Roman"/>
          <w:color w:val="FF0000"/>
          <w:kern w:val="0"/>
        </w:rPr>
        <w:t>润滑油</w:t>
      </w:r>
    </w:p>
    <w:p>
      <w:pPr>
        <w:pStyle w:val="488"/>
        <w:ind w:firstLine="480"/>
        <w:rPr>
          <w:rFonts w:ascii="Times New Roman" w:hAnsi="Times New Roman" w:cs="Times New Roman"/>
          <w:color w:val="FF0000"/>
        </w:rPr>
      </w:pPr>
      <w:r>
        <w:rPr>
          <w:rFonts w:ascii="Times New Roman" w:hAnsi="Times New Roman" w:cs="Times New Roman"/>
          <w:color w:val="FF0000"/>
        </w:rPr>
        <w:t>项目生产设备运行过程日常保养等会产生一定量的废润滑油，根据《国家危险废物名录》（2021年版），属于危险废物，废物类别为HW08，废物代码为900-217-08，要求更换后采用专用容器盛装后暂存于危废暂存间定期交由</w:t>
      </w:r>
      <w:r>
        <w:rPr>
          <w:rFonts w:hint="eastAsia"/>
          <w:color w:val="FF0000"/>
        </w:rPr>
        <w:t>新疆诺客蒙鑫环境技术有限公司</w:t>
      </w:r>
      <w:r>
        <w:rPr>
          <w:rFonts w:ascii="Times New Roman" w:hAnsi="Times New Roman" w:cs="Times New Roman"/>
          <w:color w:val="FF0000"/>
        </w:rPr>
        <w:t>处置。</w:t>
      </w:r>
    </w:p>
    <w:p>
      <w:pPr>
        <w:pStyle w:val="488"/>
        <w:ind w:firstLine="480"/>
        <w:rPr>
          <w:rFonts w:ascii="Times New Roman" w:hAnsi="Times New Roman" w:cs="Times New Roman"/>
          <w:color w:val="FF0000"/>
        </w:rPr>
      </w:pPr>
      <w:r>
        <w:rPr>
          <w:rFonts w:ascii="Times New Roman" w:hAnsi="Times New Roman" w:cs="Times New Roman"/>
          <w:color w:val="FF0000"/>
        </w:rPr>
        <w:t>综上所述，本项目产生的固体废物在采取上述处置措施后，均得到合理处置与利用，对周围环境影响较小。</w:t>
      </w:r>
    </w:p>
    <w:p>
      <w:pPr>
        <w:pStyle w:val="5"/>
        <w:spacing w:before="120" w:after="120"/>
        <w:rPr>
          <w:spacing w:val="0"/>
        </w:rPr>
      </w:pPr>
      <w:bookmarkStart w:id="360" w:name="_Toc145580431"/>
      <w:r>
        <w:rPr>
          <w:rFonts w:hint="eastAsia"/>
          <w:spacing w:val="0"/>
        </w:rPr>
        <w:t>5</w:t>
      </w:r>
      <w:r>
        <w:rPr>
          <w:spacing w:val="0"/>
        </w:rPr>
        <w:t>.2.5</w:t>
      </w:r>
      <w:r>
        <w:rPr>
          <w:rFonts w:hint="eastAsia"/>
          <w:spacing w:val="0"/>
        </w:rPr>
        <w:t>运营期土壤环境影响分析</w:t>
      </w:r>
      <w:bookmarkEnd w:id="360"/>
    </w:p>
    <w:p>
      <w:pPr>
        <w:pStyle w:val="494"/>
        <w:ind w:firstLine="480"/>
      </w:pPr>
      <w:r>
        <w:t>运营期正常工况下不会对土壤造成影响，但是事故状态下会导致土壤污染。</w:t>
      </w:r>
    </w:p>
    <w:p>
      <w:pPr>
        <w:pStyle w:val="494"/>
        <w:ind w:firstLine="480"/>
      </w:pPr>
      <w:r>
        <w:t>1、事故状态下对土壤环境质量的影响分析如下：</w:t>
      </w:r>
    </w:p>
    <w:p>
      <w:pPr>
        <w:pStyle w:val="494"/>
        <w:ind w:firstLine="480"/>
      </w:pPr>
      <w:r>
        <w:t>本项目主要涉及储罐区2座40m</w:t>
      </w:r>
      <w:r>
        <w:rPr>
          <w:vertAlign w:val="superscript"/>
        </w:rPr>
        <w:t>3</w:t>
      </w:r>
      <w:r>
        <w:t>混烃储罐</w:t>
      </w:r>
      <w:r>
        <w:rPr>
          <w:rFonts w:hint="eastAsia"/>
        </w:rPr>
        <w:t>及</w:t>
      </w:r>
      <w:r>
        <w:t>排污罐。非正常工况下，储罐破裂导致混烃外泄，液化混烃泄漏后为气态，相对密度在1.5～2.0之间（空气密度为1），由于比重大于空气，在自然状态下，混烃泄漏会下落并积聚在地表附近。在常压下，液态混烃会很快的变为蒸汽并且由于空气中水的凝结而显白色，不会进入土壤中。排污罐破裂导致含油污水外排，可能导致土壤被污染。</w:t>
      </w:r>
    </w:p>
    <w:p>
      <w:pPr>
        <w:pStyle w:val="494"/>
        <w:ind w:firstLine="480"/>
      </w:pPr>
      <w:r>
        <w:t>因此，本项目储罐及生产区底座进行防渗处理，减少发生</w:t>
      </w:r>
      <w:r>
        <w:rPr>
          <w:rFonts w:hint="eastAsia"/>
        </w:rPr>
        <w:t>泄漏事故</w:t>
      </w:r>
      <w:r>
        <w:t>导致的污染影响。发生事故后及时采取相应的治理措施，不会对土壤环境产生明显影响。</w:t>
      </w:r>
    </w:p>
    <w:p>
      <w:pPr>
        <w:pStyle w:val="494"/>
        <w:ind w:firstLine="480"/>
      </w:pPr>
      <w:r>
        <w:t>2、防止土壤污染措施</w:t>
      </w:r>
    </w:p>
    <w:p>
      <w:pPr>
        <w:pStyle w:val="494"/>
        <w:ind w:firstLine="480"/>
      </w:pPr>
      <w:r>
        <w:t>企业在运营过程中，为防止事故状态下对土壤的污染，站内应采取如下措施：</w:t>
      </w:r>
    </w:p>
    <w:p>
      <w:pPr>
        <w:pStyle w:val="494"/>
        <w:ind w:firstLine="480"/>
      </w:pPr>
      <w:r>
        <w:t>（1）危险废物严格按照要求进行处置，严禁随意倾倒、丢弃；企业应及时联系危险废物处理单位回收，做到随产随清。</w:t>
      </w:r>
    </w:p>
    <w:p>
      <w:pPr>
        <w:pStyle w:val="494"/>
        <w:ind w:firstLine="480"/>
      </w:pPr>
      <w:r>
        <w:t>（2）一旦发生原材料、产品、生产废水等</w:t>
      </w:r>
      <w:r>
        <w:rPr>
          <w:rFonts w:hint="eastAsia"/>
        </w:rPr>
        <w:t>泄漏事故</w:t>
      </w:r>
      <w:r>
        <w:t>，企业应及时通知有关部门并采取必要的安全措施，减少事故损失，防止事故蔓延、扩大；建立严格的规章制度，保证设施的正常运转，随时检查设备的运转情况，一旦有非正常情况发生，要立即停产，按照应急预案要求进行处理。</w:t>
      </w:r>
    </w:p>
    <w:p>
      <w:pPr>
        <w:pStyle w:val="494"/>
        <w:ind w:firstLine="480"/>
      </w:pPr>
      <w:r>
        <w:t>（3）为了防止对土壤产生不利影响，建设单位对各类设备及设备基础采取防渗、防腐措施。</w:t>
      </w:r>
    </w:p>
    <w:p>
      <w:pPr>
        <w:pStyle w:val="494"/>
        <w:ind w:firstLine="480"/>
      </w:pPr>
      <w:r>
        <w:t>（4）加强生产管理，确保废气处理装置正常运行，减少废气污染物通过大气沉降落在地面，污染土壤。</w:t>
      </w:r>
    </w:p>
    <w:p>
      <w:pPr>
        <w:pStyle w:val="494"/>
        <w:ind w:firstLine="480"/>
      </w:pPr>
      <w:r>
        <w:t>在采取以上各项措施后，本项目对当地的土壤产生影响较小。</w:t>
      </w:r>
    </w:p>
    <w:p>
      <w:pPr>
        <w:pStyle w:val="494"/>
        <w:ind w:firstLine="480"/>
      </w:pPr>
      <w:r>
        <w:t>3、土壤环境影响评价结论</w:t>
      </w:r>
    </w:p>
    <w:p>
      <w:pPr>
        <w:pStyle w:val="494"/>
        <w:ind w:firstLine="480"/>
      </w:pPr>
      <w:r>
        <w:t>综上所述，在非正常工况下，项目储罐破裂造成混合烃泄漏后会很快挥发，不会对土壤环境造成影响，项目对厂区进行分区防渗处置，日常运行中加强安全生产管理后，事故发生的概率可以得到有效控制，不会对区域土壤环境造成较大环境影响，项目建设对土壤环境的影响是可以接受的。</w:t>
      </w:r>
    </w:p>
    <w:p>
      <w:pPr>
        <w:pStyle w:val="494"/>
        <w:ind w:firstLine="480"/>
      </w:pPr>
      <w:r>
        <w:t>土壤环境影响评价自查表见表5.2-37。</w:t>
      </w:r>
    </w:p>
    <w:p>
      <w:pPr>
        <w:autoSpaceDE w:val="0"/>
        <w:autoSpaceDN w:val="0"/>
        <w:ind w:firstLine="420" w:firstLineChars="200"/>
        <w:rPr>
          <w:rFonts w:eastAsia="黑体"/>
          <w:szCs w:val="21"/>
        </w:rPr>
      </w:pPr>
      <w:r>
        <w:rPr>
          <w:rFonts w:eastAsia="黑体"/>
          <w:szCs w:val="21"/>
        </w:rPr>
        <w:t>表5.2-37             土壤环境影响评价自查表</w:t>
      </w:r>
    </w:p>
    <w:tbl>
      <w:tblPr>
        <w:tblStyle w:val="55"/>
        <w:tblW w:w="843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89"/>
        <w:gridCol w:w="1522"/>
        <w:gridCol w:w="1286"/>
        <w:gridCol w:w="1393"/>
        <w:gridCol w:w="983"/>
        <w:gridCol w:w="409"/>
        <w:gridCol w:w="1403"/>
        <w:gridCol w:w="104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12" w:type="dxa"/>
            <w:gridSpan w:val="2"/>
            <w:tcBorders>
              <w:top w:val="single" w:color="auto" w:sz="4" w:space="0"/>
              <w:left w:val="single" w:color="auto" w:sz="4" w:space="0"/>
              <w:bottom w:val="single" w:color="auto" w:sz="4" w:space="0"/>
              <w:right w:val="single" w:color="auto" w:sz="4" w:space="0"/>
            </w:tcBorders>
            <w:vAlign w:val="center"/>
          </w:tcPr>
          <w:p>
            <w:pPr>
              <w:pStyle w:val="670"/>
            </w:pPr>
            <w:bookmarkStart w:id="361" w:name="_Toc107500395"/>
            <w:bookmarkStart w:id="362" w:name="_Toc454899373"/>
            <w:bookmarkStart w:id="363" w:name="_Toc395138419"/>
            <w:bookmarkStart w:id="364" w:name="_Toc245882761"/>
            <w:r>
              <w:t>工作内容</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pPr>
            <w:r>
              <w:t>完成情况</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pPr>
            <w: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restart"/>
            <w:tcBorders>
              <w:top w:val="single" w:color="auto" w:sz="4" w:space="0"/>
              <w:left w:val="single" w:color="auto" w:sz="4" w:space="0"/>
              <w:bottom w:val="single" w:color="auto" w:sz="4" w:space="0"/>
              <w:right w:val="single" w:color="auto" w:sz="4" w:space="0"/>
            </w:tcBorders>
            <w:vAlign w:val="center"/>
          </w:tcPr>
          <w:p>
            <w:pPr>
              <w:pStyle w:val="670"/>
            </w:pPr>
            <w:r>
              <w:t>影 响 识 别</w:t>
            </w:r>
          </w:p>
        </w:tc>
        <w:tc>
          <w:tcPr>
            <w:tcW w:w="1523" w:type="dxa"/>
            <w:tcBorders>
              <w:top w:val="single" w:color="auto" w:sz="4" w:space="0"/>
              <w:left w:val="single" w:color="auto" w:sz="4" w:space="0"/>
              <w:bottom w:val="single" w:color="auto" w:sz="4" w:space="0"/>
              <w:right w:val="single" w:color="auto" w:sz="4" w:space="0"/>
            </w:tcBorders>
            <w:vAlign w:val="center"/>
          </w:tcPr>
          <w:p>
            <w:pPr>
              <w:pStyle w:val="670"/>
            </w:pPr>
            <w:r>
              <w:t>影响类型</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污染影响型</w:t>
            </w:r>
            <w:r>
              <w:rPr>
                <w:rFonts w:ascii="Segoe UI Symbol" w:hAnsi="Segoe UI Symbol" w:cs="Segoe UI Symbol"/>
                <w:lang w:eastAsia="zh-CN"/>
              </w:rPr>
              <w:t>☑</w:t>
            </w:r>
            <w:r>
              <w:rPr>
                <w:lang w:eastAsia="zh-CN"/>
              </w:rPr>
              <w:t>；生态影响型□；两种兼有□</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c>
          <w:tcPr>
            <w:tcW w:w="1523" w:type="dxa"/>
            <w:tcBorders>
              <w:top w:val="single" w:color="auto" w:sz="4" w:space="0"/>
              <w:left w:val="single" w:color="auto" w:sz="4" w:space="0"/>
              <w:bottom w:val="single" w:color="auto" w:sz="4" w:space="0"/>
              <w:right w:val="single" w:color="auto" w:sz="4" w:space="0"/>
            </w:tcBorders>
            <w:vAlign w:val="center"/>
          </w:tcPr>
          <w:p>
            <w:pPr>
              <w:pStyle w:val="670"/>
            </w:pPr>
            <w:r>
              <w:t>土地利用类型</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建设用地</w:t>
            </w:r>
            <w:r>
              <w:rPr>
                <w:rFonts w:ascii="Segoe UI Symbol" w:hAnsi="Segoe UI Symbol" w:cs="Segoe UI Symbol"/>
                <w:lang w:eastAsia="zh-CN"/>
              </w:rPr>
              <w:t>☑</w:t>
            </w:r>
            <w:r>
              <w:rPr>
                <w:lang w:eastAsia="zh-CN"/>
              </w:rPr>
              <w:t>；农用地□；未利用地□</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c>
          <w:tcPr>
            <w:tcW w:w="1523" w:type="dxa"/>
            <w:tcBorders>
              <w:top w:val="single" w:color="auto" w:sz="4" w:space="0"/>
              <w:left w:val="single" w:color="auto" w:sz="4" w:space="0"/>
              <w:bottom w:val="single" w:color="auto" w:sz="4" w:space="0"/>
              <w:right w:val="single" w:color="auto" w:sz="4" w:space="0"/>
            </w:tcBorders>
            <w:vAlign w:val="center"/>
          </w:tcPr>
          <w:p>
            <w:pPr>
              <w:pStyle w:val="670"/>
            </w:pPr>
            <w:r>
              <w:t>占地规模</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pPr>
            <w:r>
              <w:t>（0.9893）hm</w:t>
            </w:r>
            <w:r>
              <w:rPr>
                <w:vertAlign w:val="superscript"/>
              </w:rPr>
              <w:t>2</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523" w:type="dxa"/>
            <w:tcBorders>
              <w:top w:val="single" w:color="auto" w:sz="4" w:space="0"/>
              <w:left w:val="single" w:color="auto" w:sz="4" w:space="0"/>
              <w:bottom w:val="single" w:color="auto" w:sz="4" w:space="0"/>
              <w:right w:val="single" w:color="auto" w:sz="4" w:space="0"/>
            </w:tcBorders>
            <w:vAlign w:val="center"/>
          </w:tcPr>
          <w:p>
            <w:pPr>
              <w:pStyle w:val="670"/>
            </w:pPr>
            <w:r>
              <w:t>敏感目标信息</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pPr>
            <w:r>
              <w:t>敏感目标（无）</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523" w:type="dxa"/>
            <w:tcBorders>
              <w:top w:val="single" w:color="auto" w:sz="4" w:space="0"/>
              <w:left w:val="single" w:color="auto" w:sz="4" w:space="0"/>
              <w:bottom w:val="single" w:color="auto" w:sz="4" w:space="0"/>
              <w:right w:val="single" w:color="auto" w:sz="4" w:space="0"/>
            </w:tcBorders>
            <w:vAlign w:val="center"/>
          </w:tcPr>
          <w:p>
            <w:pPr>
              <w:pStyle w:val="670"/>
            </w:pPr>
            <w:r>
              <w:t>影响途径</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大气沉降□；地面漫流□；垂直入渗□；地下水位□；其他（</w:t>
            </w:r>
            <w:r>
              <w:rPr>
                <w:rFonts w:ascii="Segoe UI Symbol" w:hAnsi="Segoe UI Symbol" w:cs="Segoe UI Symbol"/>
                <w:lang w:eastAsia="zh-CN"/>
              </w:rPr>
              <w:t>☑</w:t>
            </w:r>
            <w:r>
              <w:rPr>
                <w:lang w:eastAsia="zh-CN"/>
              </w:rPr>
              <w:t>）</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c>
          <w:tcPr>
            <w:tcW w:w="1523" w:type="dxa"/>
            <w:tcBorders>
              <w:top w:val="single" w:color="auto" w:sz="4" w:space="0"/>
              <w:left w:val="single" w:color="auto" w:sz="4" w:space="0"/>
              <w:bottom w:val="single" w:color="auto" w:sz="4" w:space="0"/>
              <w:right w:val="single" w:color="auto" w:sz="4" w:space="0"/>
            </w:tcBorders>
            <w:vAlign w:val="center"/>
          </w:tcPr>
          <w:p>
            <w:pPr>
              <w:pStyle w:val="670"/>
            </w:pPr>
            <w:r>
              <w:t>全部污染物</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pPr>
            <w:r>
              <w:t>/</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523" w:type="dxa"/>
            <w:tcBorders>
              <w:top w:val="single" w:color="auto" w:sz="4" w:space="0"/>
              <w:left w:val="single" w:color="auto" w:sz="4" w:space="0"/>
              <w:bottom w:val="single" w:color="auto" w:sz="4" w:space="0"/>
              <w:right w:val="single" w:color="auto" w:sz="4" w:space="0"/>
            </w:tcBorders>
            <w:vAlign w:val="center"/>
          </w:tcPr>
          <w:p>
            <w:pPr>
              <w:pStyle w:val="670"/>
            </w:pPr>
            <w:r>
              <w:t>特征因子</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pPr>
            <w:r>
              <w:t>/</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523"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所属土壤环境影响评价项目类别</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rFonts w:hint="eastAsia" w:ascii="宋体" w:hAnsi="宋体" w:cs="宋体"/>
                <w:lang w:eastAsia="zh-CN"/>
              </w:rPr>
              <w:t>Ⅰ</w:t>
            </w:r>
            <w:r>
              <w:rPr>
                <w:lang w:eastAsia="zh-CN"/>
              </w:rPr>
              <w:t>类□；</w:t>
            </w:r>
            <w:r>
              <w:rPr>
                <w:rFonts w:hint="eastAsia" w:ascii="宋体" w:hAnsi="宋体" w:cs="宋体"/>
                <w:lang w:eastAsia="zh-CN"/>
              </w:rPr>
              <w:t>Ⅱ</w:t>
            </w:r>
            <w:r>
              <w:rPr>
                <w:lang w:eastAsia="zh-CN"/>
              </w:rPr>
              <w:t>类</w:t>
            </w:r>
            <w:r>
              <w:rPr>
                <w:rFonts w:ascii="Segoe UI Symbol" w:hAnsi="Segoe UI Symbol" w:cs="Segoe UI Symbol"/>
                <w:lang w:eastAsia="zh-CN"/>
              </w:rPr>
              <w:t>☑</w:t>
            </w:r>
            <w:r>
              <w:rPr>
                <w:lang w:eastAsia="zh-CN"/>
              </w:rPr>
              <w:t>；</w:t>
            </w:r>
            <w:r>
              <w:rPr>
                <w:rFonts w:hint="eastAsia" w:ascii="宋体" w:hAnsi="宋体" w:cs="宋体"/>
                <w:lang w:eastAsia="zh-CN"/>
              </w:rPr>
              <w:t>Ⅲ</w:t>
            </w:r>
            <w:r>
              <w:rPr>
                <w:lang w:eastAsia="zh-CN"/>
              </w:rPr>
              <w:t>类□；</w:t>
            </w:r>
            <w:r>
              <w:rPr>
                <w:rFonts w:hint="eastAsia" w:ascii="宋体" w:hAnsi="宋体" w:cs="宋体"/>
                <w:lang w:eastAsia="zh-CN"/>
              </w:rPr>
              <w:t>Ⅳ</w:t>
            </w:r>
            <w:r>
              <w:rPr>
                <w:lang w:eastAsia="zh-CN"/>
              </w:rPr>
              <w:t>类□</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c>
          <w:tcPr>
            <w:tcW w:w="1523" w:type="dxa"/>
            <w:tcBorders>
              <w:top w:val="single" w:color="auto" w:sz="4" w:space="0"/>
              <w:left w:val="single" w:color="auto" w:sz="4" w:space="0"/>
              <w:bottom w:val="single" w:color="auto" w:sz="4" w:space="0"/>
              <w:right w:val="single" w:color="auto" w:sz="4" w:space="0"/>
            </w:tcBorders>
            <w:vAlign w:val="center"/>
          </w:tcPr>
          <w:p>
            <w:pPr>
              <w:pStyle w:val="670"/>
            </w:pPr>
            <w:r>
              <w:t>敏感程度</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敏感□；较敏感□；不敏感</w:t>
            </w:r>
            <w:r>
              <w:rPr>
                <w:rFonts w:ascii="Segoe UI Symbol" w:hAnsi="Segoe UI Symbol" w:cs="Segoe UI Symbol"/>
                <w:lang w:eastAsia="zh-CN"/>
              </w:rPr>
              <w:t>☑</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12" w:type="dxa"/>
            <w:gridSpan w:val="2"/>
            <w:tcBorders>
              <w:top w:val="single" w:color="auto" w:sz="4" w:space="0"/>
              <w:left w:val="single" w:color="auto" w:sz="4" w:space="0"/>
              <w:bottom w:val="single" w:color="auto" w:sz="4" w:space="0"/>
              <w:right w:val="single" w:color="auto" w:sz="4" w:space="0"/>
            </w:tcBorders>
            <w:vAlign w:val="center"/>
          </w:tcPr>
          <w:p>
            <w:pPr>
              <w:pStyle w:val="670"/>
            </w:pPr>
            <w:r>
              <w:t>评价工作等级</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一级□；二级□；三级</w:t>
            </w:r>
            <w:r>
              <w:rPr>
                <w:rFonts w:ascii="Segoe UI Symbol" w:hAnsi="Segoe UI Symbol" w:cs="Segoe UI Symbol"/>
                <w:lang w:eastAsia="zh-CN"/>
              </w:rPr>
              <w:t>☑</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restart"/>
            <w:tcBorders>
              <w:top w:val="single" w:color="auto" w:sz="4" w:space="0"/>
              <w:left w:val="single" w:color="auto" w:sz="4" w:space="0"/>
              <w:bottom w:val="single" w:color="auto" w:sz="4" w:space="0"/>
              <w:right w:val="single" w:color="auto" w:sz="4" w:space="0"/>
            </w:tcBorders>
            <w:vAlign w:val="center"/>
          </w:tcPr>
          <w:p>
            <w:pPr>
              <w:pStyle w:val="670"/>
            </w:pPr>
            <w:r>
              <w:t>现状调查内容</w:t>
            </w:r>
          </w:p>
        </w:tc>
        <w:tc>
          <w:tcPr>
            <w:tcW w:w="1523" w:type="dxa"/>
            <w:tcBorders>
              <w:top w:val="single" w:color="auto" w:sz="4" w:space="0"/>
              <w:left w:val="single" w:color="auto" w:sz="4" w:space="0"/>
              <w:bottom w:val="single" w:color="auto" w:sz="4" w:space="0"/>
              <w:right w:val="single" w:color="auto" w:sz="4" w:space="0"/>
            </w:tcBorders>
            <w:vAlign w:val="center"/>
          </w:tcPr>
          <w:p>
            <w:pPr>
              <w:pStyle w:val="670"/>
            </w:pPr>
            <w:r>
              <w:t>资料收集</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pPr>
            <w:r>
              <w:t>a）□；b）</w:t>
            </w:r>
            <w:r>
              <w:rPr>
                <w:rFonts w:ascii="Segoe UI Symbol" w:hAnsi="Segoe UI Symbol" w:cs="Segoe UI Symbol"/>
              </w:rPr>
              <w:t>☑</w:t>
            </w:r>
            <w:r>
              <w:t>；c）□；d）</w:t>
            </w:r>
            <w:r>
              <w:rPr>
                <w:rFonts w:ascii="Segoe UI Symbol" w:hAnsi="Segoe UI Symbol" w:cs="Segoe UI Symbol"/>
              </w:rPr>
              <w:t>☑</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523" w:type="dxa"/>
            <w:tcBorders>
              <w:top w:val="single" w:color="auto" w:sz="4" w:space="0"/>
              <w:left w:val="single" w:color="auto" w:sz="4" w:space="0"/>
              <w:bottom w:val="single" w:color="auto" w:sz="4" w:space="0"/>
              <w:right w:val="single" w:color="auto" w:sz="4" w:space="0"/>
            </w:tcBorders>
            <w:vAlign w:val="center"/>
          </w:tcPr>
          <w:p>
            <w:pPr>
              <w:pStyle w:val="670"/>
            </w:pPr>
            <w:r>
              <w:t>理化特性</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无酸化或碱化的中度盐化土</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pPr>
            <w:r>
              <w:t>同附录 C</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523" w:type="dxa"/>
            <w:vMerge w:val="restart"/>
            <w:tcBorders>
              <w:top w:val="single" w:color="auto" w:sz="4" w:space="0"/>
              <w:left w:val="single" w:color="auto" w:sz="4" w:space="0"/>
              <w:bottom w:val="single" w:color="auto" w:sz="4" w:space="0"/>
              <w:right w:val="single" w:color="auto" w:sz="4" w:space="0"/>
            </w:tcBorders>
            <w:vAlign w:val="center"/>
          </w:tcPr>
          <w:p>
            <w:pPr>
              <w:pStyle w:val="670"/>
            </w:pPr>
            <w:r>
              <w:t>现状监测点位</w:t>
            </w:r>
          </w:p>
        </w:tc>
        <w:tc>
          <w:tcPr>
            <w:tcW w:w="1287" w:type="dxa"/>
            <w:tcBorders>
              <w:top w:val="single" w:color="auto" w:sz="4" w:space="0"/>
              <w:left w:val="single" w:color="auto" w:sz="4" w:space="0"/>
              <w:bottom w:val="single" w:color="auto" w:sz="4" w:space="0"/>
              <w:right w:val="single" w:color="auto" w:sz="4" w:space="0"/>
            </w:tcBorders>
            <w:vAlign w:val="center"/>
          </w:tcPr>
          <w:p>
            <w:pPr>
              <w:pStyle w:val="670"/>
            </w:pPr>
          </w:p>
        </w:tc>
        <w:tc>
          <w:tcPr>
            <w:tcW w:w="1394" w:type="dxa"/>
            <w:tcBorders>
              <w:top w:val="single" w:color="auto" w:sz="4" w:space="0"/>
              <w:left w:val="single" w:color="auto" w:sz="4" w:space="0"/>
              <w:bottom w:val="single" w:color="auto" w:sz="4" w:space="0"/>
              <w:right w:val="single" w:color="auto" w:sz="4" w:space="0"/>
            </w:tcBorders>
            <w:vAlign w:val="center"/>
          </w:tcPr>
          <w:p>
            <w:pPr>
              <w:pStyle w:val="670"/>
            </w:pPr>
            <w:r>
              <w:t>占地范围内</w:t>
            </w:r>
          </w:p>
        </w:tc>
        <w:tc>
          <w:tcPr>
            <w:tcW w:w="1393" w:type="dxa"/>
            <w:gridSpan w:val="2"/>
            <w:tcBorders>
              <w:top w:val="single" w:color="auto" w:sz="4" w:space="0"/>
              <w:left w:val="single" w:color="auto" w:sz="4" w:space="0"/>
              <w:bottom w:val="single" w:color="auto" w:sz="4" w:space="0"/>
              <w:right w:val="single" w:color="auto" w:sz="4" w:space="0"/>
            </w:tcBorders>
            <w:vAlign w:val="center"/>
          </w:tcPr>
          <w:p>
            <w:pPr>
              <w:pStyle w:val="670"/>
            </w:pPr>
            <w:r>
              <w:t>占地范围外</w:t>
            </w:r>
          </w:p>
        </w:tc>
        <w:tc>
          <w:tcPr>
            <w:tcW w:w="1404" w:type="dxa"/>
            <w:tcBorders>
              <w:top w:val="single" w:color="auto" w:sz="4" w:space="0"/>
              <w:left w:val="single" w:color="auto" w:sz="4" w:space="0"/>
              <w:bottom w:val="single" w:color="auto" w:sz="4" w:space="0"/>
              <w:right w:val="single" w:color="auto" w:sz="4" w:space="0"/>
            </w:tcBorders>
            <w:vAlign w:val="center"/>
          </w:tcPr>
          <w:p>
            <w:pPr>
              <w:pStyle w:val="670"/>
            </w:pPr>
            <w:r>
              <w:t>深度</w:t>
            </w:r>
          </w:p>
        </w:tc>
        <w:tc>
          <w:tcPr>
            <w:tcW w:w="1046" w:type="dxa"/>
            <w:vMerge w:val="restart"/>
            <w:tcBorders>
              <w:top w:val="single" w:color="auto" w:sz="4" w:space="0"/>
              <w:left w:val="single" w:color="auto" w:sz="4" w:space="0"/>
              <w:bottom w:val="single" w:color="auto" w:sz="4" w:space="0"/>
              <w:right w:val="single" w:color="auto" w:sz="4" w:space="0"/>
            </w:tcBorders>
            <w:vAlign w:val="center"/>
          </w:tcPr>
          <w:p>
            <w:pPr>
              <w:pStyle w:val="670"/>
            </w:pPr>
            <w:r>
              <w:t>点位布置图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5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287" w:type="dxa"/>
            <w:tcBorders>
              <w:top w:val="single" w:color="auto" w:sz="4" w:space="0"/>
              <w:left w:val="single" w:color="auto" w:sz="4" w:space="0"/>
              <w:bottom w:val="single" w:color="auto" w:sz="4" w:space="0"/>
              <w:right w:val="single" w:color="auto" w:sz="4" w:space="0"/>
            </w:tcBorders>
            <w:vAlign w:val="center"/>
          </w:tcPr>
          <w:p>
            <w:pPr>
              <w:pStyle w:val="670"/>
            </w:pPr>
            <w:r>
              <w:t>表层样点数</w:t>
            </w:r>
          </w:p>
        </w:tc>
        <w:tc>
          <w:tcPr>
            <w:tcW w:w="1394" w:type="dxa"/>
            <w:tcBorders>
              <w:top w:val="single" w:color="auto" w:sz="4" w:space="0"/>
              <w:left w:val="single" w:color="auto" w:sz="4" w:space="0"/>
              <w:bottom w:val="single" w:color="auto" w:sz="4" w:space="0"/>
              <w:right w:val="single" w:color="auto" w:sz="4" w:space="0"/>
            </w:tcBorders>
            <w:vAlign w:val="center"/>
          </w:tcPr>
          <w:p>
            <w:pPr>
              <w:pStyle w:val="670"/>
            </w:pPr>
            <w:r>
              <w:t>3</w:t>
            </w:r>
          </w:p>
        </w:tc>
        <w:tc>
          <w:tcPr>
            <w:tcW w:w="1393" w:type="dxa"/>
            <w:gridSpan w:val="2"/>
            <w:tcBorders>
              <w:top w:val="single" w:color="auto" w:sz="4" w:space="0"/>
              <w:left w:val="single" w:color="auto" w:sz="4" w:space="0"/>
              <w:bottom w:val="single" w:color="auto" w:sz="4" w:space="0"/>
              <w:right w:val="single" w:color="auto" w:sz="4" w:space="0"/>
            </w:tcBorders>
            <w:vAlign w:val="center"/>
          </w:tcPr>
          <w:p>
            <w:pPr>
              <w:pStyle w:val="670"/>
            </w:pPr>
            <w:r>
              <w:t>0</w:t>
            </w:r>
          </w:p>
        </w:tc>
        <w:tc>
          <w:tcPr>
            <w:tcW w:w="1404" w:type="dxa"/>
            <w:tcBorders>
              <w:top w:val="single" w:color="auto" w:sz="4" w:space="0"/>
              <w:left w:val="single" w:color="auto" w:sz="4" w:space="0"/>
              <w:bottom w:val="single" w:color="auto" w:sz="4" w:space="0"/>
              <w:right w:val="single" w:color="auto" w:sz="4" w:space="0"/>
            </w:tcBorders>
            <w:vAlign w:val="center"/>
          </w:tcPr>
          <w:p>
            <w:pPr>
              <w:pStyle w:val="670"/>
            </w:pPr>
            <w:r>
              <w:t>0.2m</w:t>
            </w:r>
          </w:p>
        </w:tc>
        <w:tc>
          <w:tcPr>
            <w:tcW w:w="10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5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287" w:type="dxa"/>
            <w:tcBorders>
              <w:top w:val="single" w:color="auto" w:sz="4" w:space="0"/>
              <w:left w:val="single" w:color="auto" w:sz="4" w:space="0"/>
              <w:bottom w:val="single" w:color="auto" w:sz="4" w:space="0"/>
              <w:right w:val="single" w:color="auto" w:sz="4" w:space="0"/>
            </w:tcBorders>
            <w:vAlign w:val="center"/>
          </w:tcPr>
          <w:p>
            <w:pPr>
              <w:pStyle w:val="670"/>
            </w:pPr>
            <w:r>
              <w:t>柱状样点数</w:t>
            </w:r>
          </w:p>
        </w:tc>
        <w:tc>
          <w:tcPr>
            <w:tcW w:w="1394" w:type="dxa"/>
            <w:tcBorders>
              <w:top w:val="single" w:color="auto" w:sz="4" w:space="0"/>
              <w:left w:val="single" w:color="auto" w:sz="4" w:space="0"/>
              <w:bottom w:val="single" w:color="auto" w:sz="4" w:space="0"/>
              <w:right w:val="single" w:color="auto" w:sz="4" w:space="0"/>
            </w:tcBorders>
            <w:vAlign w:val="center"/>
          </w:tcPr>
          <w:p>
            <w:pPr>
              <w:pStyle w:val="670"/>
            </w:pPr>
            <w:r>
              <w:t>0</w:t>
            </w:r>
          </w:p>
        </w:tc>
        <w:tc>
          <w:tcPr>
            <w:tcW w:w="1393" w:type="dxa"/>
            <w:gridSpan w:val="2"/>
            <w:tcBorders>
              <w:top w:val="single" w:color="auto" w:sz="4" w:space="0"/>
              <w:left w:val="single" w:color="auto" w:sz="4" w:space="0"/>
              <w:bottom w:val="single" w:color="auto" w:sz="4" w:space="0"/>
              <w:right w:val="single" w:color="auto" w:sz="4" w:space="0"/>
            </w:tcBorders>
            <w:vAlign w:val="center"/>
          </w:tcPr>
          <w:p>
            <w:pPr>
              <w:pStyle w:val="670"/>
            </w:pPr>
            <w:r>
              <w:t>0</w:t>
            </w:r>
          </w:p>
        </w:tc>
        <w:tc>
          <w:tcPr>
            <w:tcW w:w="1404"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0</w:t>
            </w:r>
          </w:p>
        </w:tc>
        <w:tc>
          <w:tcPr>
            <w:tcW w:w="10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523" w:type="dxa"/>
            <w:tcBorders>
              <w:top w:val="single" w:color="auto" w:sz="4" w:space="0"/>
              <w:left w:val="single" w:color="auto" w:sz="4" w:space="0"/>
              <w:bottom w:val="single" w:color="auto" w:sz="4" w:space="0"/>
              <w:right w:val="single" w:color="auto" w:sz="4" w:space="0"/>
            </w:tcBorders>
            <w:vAlign w:val="center"/>
          </w:tcPr>
          <w:p>
            <w:pPr>
              <w:pStyle w:val="670"/>
            </w:pPr>
            <w:r>
              <w:t>现状监测因子</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《土壤环境质量 建设用地土壤污染风险管控标准（试行）》中项目，共47项</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restart"/>
            <w:tcBorders>
              <w:top w:val="single" w:color="auto" w:sz="4" w:space="0"/>
              <w:left w:val="single" w:color="auto" w:sz="4" w:space="0"/>
              <w:bottom w:val="single" w:color="auto" w:sz="4" w:space="0"/>
              <w:right w:val="single" w:color="auto" w:sz="4" w:space="0"/>
            </w:tcBorders>
            <w:vAlign w:val="center"/>
          </w:tcPr>
          <w:p>
            <w:pPr>
              <w:pStyle w:val="670"/>
            </w:pPr>
            <w:r>
              <w:t>现 状 评 价</w:t>
            </w:r>
          </w:p>
        </w:tc>
        <w:tc>
          <w:tcPr>
            <w:tcW w:w="1523" w:type="dxa"/>
            <w:tcBorders>
              <w:top w:val="single" w:color="auto" w:sz="4" w:space="0"/>
              <w:left w:val="single" w:color="auto" w:sz="4" w:space="0"/>
              <w:bottom w:val="single" w:color="auto" w:sz="4" w:space="0"/>
              <w:right w:val="single" w:color="auto" w:sz="4" w:space="0"/>
            </w:tcBorders>
            <w:vAlign w:val="center"/>
          </w:tcPr>
          <w:p>
            <w:pPr>
              <w:pStyle w:val="670"/>
            </w:pPr>
            <w:r>
              <w:t>评价因子</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《土壤环境质量 建设用地土壤污染风险管控标准（试行）》中项目，共47项</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c>
          <w:tcPr>
            <w:tcW w:w="1523" w:type="dxa"/>
            <w:tcBorders>
              <w:top w:val="single" w:color="auto" w:sz="4" w:space="0"/>
              <w:left w:val="single" w:color="auto" w:sz="4" w:space="0"/>
              <w:bottom w:val="single" w:color="auto" w:sz="4" w:space="0"/>
              <w:right w:val="single" w:color="auto" w:sz="4" w:space="0"/>
            </w:tcBorders>
            <w:vAlign w:val="center"/>
          </w:tcPr>
          <w:p>
            <w:pPr>
              <w:pStyle w:val="670"/>
            </w:pPr>
            <w:r>
              <w:t>评价标准</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pPr>
            <w:r>
              <w:t>GB 15618□；GB 36600</w:t>
            </w:r>
            <w:r>
              <w:rPr>
                <w:rFonts w:ascii="Segoe UI Symbol" w:hAnsi="Segoe UI Symbol" w:cs="Segoe UI Symbol"/>
              </w:rPr>
              <w:t>☑</w:t>
            </w:r>
            <w:r>
              <w:t>；表 D.1□；表 D.2□；其他（</w:t>
            </w:r>
            <w:r>
              <w:tab/>
            </w:r>
            <w:r>
              <w:t>）</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523" w:type="dxa"/>
            <w:tcBorders>
              <w:top w:val="single" w:color="auto" w:sz="4" w:space="0"/>
              <w:left w:val="single" w:color="auto" w:sz="4" w:space="0"/>
              <w:bottom w:val="single" w:color="auto" w:sz="4" w:space="0"/>
              <w:right w:val="single" w:color="auto" w:sz="4" w:space="0"/>
            </w:tcBorders>
            <w:vAlign w:val="center"/>
          </w:tcPr>
          <w:p>
            <w:pPr>
              <w:pStyle w:val="670"/>
            </w:pPr>
            <w:r>
              <w:t>现状评价结论</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项目区各监测点浓度均满足《土壤环境质量 建设用地土壤污染风险管控标准（试行）》（GB36600-2018）中第二类用地筛选值。</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restart"/>
            <w:tcBorders>
              <w:top w:val="single" w:color="auto" w:sz="4" w:space="0"/>
              <w:left w:val="single" w:color="auto" w:sz="4" w:space="0"/>
              <w:bottom w:val="single" w:color="auto" w:sz="4" w:space="0"/>
              <w:right w:val="single" w:color="auto" w:sz="4" w:space="0"/>
            </w:tcBorders>
            <w:vAlign w:val="center"/>
          </w:tcPr>
          <w:p>
            <w:pPr>
              <w:pStyle w:val="670"/>
            </w:pPr>
            <w:r>
              <w:t>影响预测</w:t>
            </w:r>
          </w:p>
        </w:tc>
        <w:tc>
          <w:tcPr>
            <w:tcW w:w="1523" w:type="dxa"/>
            <w:tcBorders>
              <w:top w:val="single" w:color="auto" w:sz="4" w:space="0"/>
              <w:left w:val="single" w:color="auto" w:sz="4" w:space="0"/>
              <w:bottom w:val="single" w:color="auto" w:sz="4" w:space="0"/>
              <w:right w:val="single" w:color="auto" w:sz="4" w:space="0"/>
            </w:tcBorders>
            <w:vAlign w:val="center"/>
          </w:tcPr>
          <w:p>
            <w:pPr>
              <w:pStyle w:val="670"/>
            </w:pPr>
            <w:r>
              <w:t>预测因子</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pPr>
            <w:r>
              <w:t>/</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523" w:type="dxa"/>
            <w:tcBorders>
              <w:top w:val="single" w:color="auto" w:sz="4" w:space="0"/>
              <w:left w:val="single" w:color="auto" w:sz="4" w:space="0"/>
              <w:bottom w:val="single" w:color="auto" w:sz="4" w:space="0"/>
              <w:right w:val="single" w:color="auto" w:sz="4" w:space="0"/>
            </w:tcBorders>
            <w:vAlign w:val="center"/>
          </w:tcPr>
          <w:p>
            <w:pPr>
              <w:pStyle w:val="670"/>
            </w:pPr>
            <w:r>
              <w:t>预测方法</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附录 E□；附录 F□；其他（类比法）</w:t>
            </w:r>
            <w:r>
              <w:rPr>
                <w:rFonts w:ascii="Segoe UI Symbol" w:hAnsi="Segoe UI Symbol" w:cs="Segoe UI Symbol"/>
                <w:lang w:eastAsia="zh-CN"/>
              </w:rPr>
              <w:t>☑</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c>
          <w:tcPr>
            <w:tcW w:w="1523" w:type="dxa"/>
            <w:tcBorders>
              <w:top w:val="single" w:color="auto" w:sz="4" w:space="0"/>
              <w:left w:val="single" w:color="auto" w:sz="4" w:space="0"/>
              <w:bottom w:val="single" w:color="auto" w:sz="4" w:space="0"/>
              <w:right w:val="single" w:color="auto" w:sz="4" w:space="0"/>
            </w:tcBorders>
            <w:vAlign w:val="center"/>
          </w:tcPr>
          <w:p>
            <w:pPr>
              <w:pStyle w:val="670"/>
            </w:pPr>
            <w:r>
              <w:t>预测分析内容</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影响范围（厂界外50m）；影响程度（较小</w:t>
            </w:r>
            <w:r>
              <w:rPr>
                <w:lang w:eastAsia="zh-CN"/>
              </w:rPr>
              <w:tab/>
            </w:r>
            <w:r>
              <w:rPr>
                <w:lang w:eastAsia="zh-CN"/>
              </w:rPr>
              <w:t>）</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c>
          <w:tcPr>
            <w:tcW w:w="1523" w:type="dxa"/>
            <w:tcBorders>
              <w:top w:val="single" w:color="auto" w:sz="4" w:space="0"/>
              <w:left w:val="single" w:color="auto" w:sz="4" w:space="0"/>
              <w:bottom w:val="single" w:color="auto" w:sz="4" w:space="0"/>
              <w:right w:val="single" w:color="auto" w:sz="4" w:space="0"/>
            </w:tcBorders>
            <w:vAlign w:val="center"/>
          </w:tcPr>
          <w:p>
            <w:pPr>
              <w:pStyle w:val="670"/>
            </w:pPr>
            <w:r>
              <w:t>预测结论</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达标结论：a）</w:t>
            </w:r>
            <w:r>
              <w:rPr>
                <w:rFonts w:ascii="Segoe UI Symbol" w:hAnsi="Segoe UI Symbol" w:cs="Segoe UI Symbol"/>
                <w:lang w:eastAsia="zh-CN"/>
              </w:rPr>
              <w:t>☑</w:t>
            </w:r>
            <w:r>
              <w:rPr>
                <w:lang w:eastAsia="zh-CN"/>
              </w:rPr>
              <w:t>；b）□；c）□ 不达标结论：a）□；b）□</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restart"/>
            <w:tcBorders>
              <w:top w:val="single" w:color="auto" w:sz="4" w:space="0"/>
              <w:left w:val="single" w:color="auto" w:sz="4" w:space="0"/>
              <w:bottom w:val="single" w:color="auto" w:sz="4" w:space="0"/>
              <w:right w:val="single" w:color="auto" w:sz="4" w:space="0"/>
            </w:tcBorders>
            <w:vAlign w:val="center"/>
          </w:tcPr>
          <w:p>
            <w:pPr>
              <w:pStyle w:val="670"/>
            </w:pPr>
            <w:r>
              <w:t>防治措施</w:t>
            </w:r>
          </w:p>
        </w:tc>
        <w:tc>
          <w:tcPr>
            <w:tcW w:w="1523" w:type="dxa"/>
            <w:tcBorders>
              <w:top w:val="single" w:color="auto" w:sz="4" w:space="0"/>
              <w:left w:val="single" w:color="auto" w:sz="4" w:space="0"/>
              <w:bottom w:val="single" w:color="auto" w:sz="4" w:space="0"/>
              <w:right w:val="single" w:color="auto" w:sz="4" w:space="0"/>
            </w:tcBorders>
            <w:vAlign w:val="center"/>
          </w:tcPr>
          <w:p>
            <w:pPr>
              <w:pStyle w:val="670"/>
            </w:pPr>
            <w:r>
              <w:t>防控措施</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土壤环境质量现状保障□；源头控制</w:t>
            </w:r>
            <w:r>
              <w:rPr>
                <w:rFonts w:ascii="Segoe UI Symbol" w:hAnsi="Segoe UI Symbol" w:cs="Segoe UI Symbol"/>
                <w:lang w:eastAsia="zh-CN"/>
              </w:rPr>
              <w:t>☑</w:t>
            </w:r>
            <w:r>
              <w:rPr>
                <w:lang w:eastAsia="zh-CN"/>
              </w:rPr>
              <w:t>；过程防控□；其他（）</w:t>
            </w:r>
            <w:r>
              <w:rPr>
                <w:lang w:eastAsia="zh-CN"/>
              </w:rPr>
              <w:tab/>
            </w:r>
            <w:r>
              <w:rPr>
                <w:lang w:eastAsia="zh-CN"/>
              </w:rPr>
              <w:t>）</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c>
          <w:tcPr>
            <w:tcW w:w="1523" w:type="dxa"/>
            <w:vMerge w:val="restart"/>
            <w:tcBorders>
              <w:top w:val="single" w:color="auto" w:sz="4" w:space="0"/>
              <w:left w:val="single" w:color="auto" w:sz="4" w:space="0"/>
              <w:bottom w:val="single" w:color="auto" w:sz="4" w:space="0"/>
              <w:right w:val="single" w:color="auto" w:sz="4" w:space="0"/>
            </w:tcBorders>
            <w:vAlign w:val="center"/>
          </w:tcPr>
          <w:p>
            <w:pPr>
              <w:pStyle w:val="670"/>
            </w:pPr>
            <w:r>
              <w:t>跟踪监测</w:t>
            </w:r>
          </w:p>
        </w:tc>
        <w:tc>
          <w:tcPr>
            <w:tcW w:w="1287" w:type="dxa"/>
            <w:tcBorders>
              <w:top w:val="single" w:color="auto" w:sz="4" w:space="0"/>
              <w:left w:val="single" w:color="auto" w:sz="4" w:space="0"/>
              <w:bottom w:val="single" w:color="auto" w:sz="4" w:space="0"/>
              <w:right w:val="single" w:color="auto" w:sz="4" w:space="0"/>
            </w:tcBorders>
            <w:vAlign w:val="center"/>
          </w:tcPr>
          <w:p>
            <w:pPr>
              <w:pStyle w:val="670"/>
            </w:pPr>
            <w:r>
              <w:t>监测点数</w:t>
            </w:r>
          </w:p>
        </w:tc>
        <w:tc>
          <w:tcPr>
            <w:tcW w:w="2378" w:type="dxa"/>
            <w:gridSpan w:val="2"/>
            <w:tcBorders>
              <w:top w:val="single" w:color="auto" w:sz="4" w:space="0"/>
              <w:left w:val="single" w:color="auto" w:sz="4" w:space="0"/>
              <w:bottom w:val="single" w:color="auto" w:sz="4" w:space="0"/>
              <w:right w:val="single" w:color="auto" w:sz="4" w:space="0"/>
            </w:tcBorders>
            <w:vAlign w:val="center"/>
          </w:tcPr>
          <w:p>
            <w:pPr>
              <w:pStyle w:val="670"/>
            </w:pPr>
            <w:r>
              <w:t>监测指标</w:t>
            </w:r>
          </w:p>
        </w:tc>
        <w:tc>
          <w:tcPr>
            <w:tcW w:w="1813" w:type="dxa"/>
            <w:gridSpan w:val="2"/>
            <w:tcBorders>
              <w:top w:val="single" w:color="auto" w:sz="4" w:space="0"/>
              <w:left w:val="single" w:color="auto" w:sz="4" w:space="0"/>
              <w:bottom w:val="single" w:color="auto" w:sz="4" w:space="0"/>
              <w:right w:val="single" w:color="auto" w:sz="4" w:space="0"/>
            </w:tcBorders>
            <w:vAlign w:val="center"/>
          </w:tcPr>
          <w:p>
            <w:pPr>
              <w:pStyle w:val="670"/>
            </w:pPr>
            <w:r>
              <w:t>监测频次</w:t>
            </w:r>
          </w:p>
        </w:tc>
        <w:tc>
          <w:tcPr>
            <w:tcW w:w="1046" w:type="dxa"/>
            <w:vMerge w:val="restart"/>
            <w:tcBorders>
              <w:top w:val="single" w:color="auto" w:sz="4" w:space="0"/>
              <w:left w:val="single" w:color="auto" w:sz="4" w:space="0"/>
              <w:bottom w:val="single" w:color="auto" w:sz="4" w:space="0"/>
              <w:right w:val="single" w:color="auto" w:sz="4" w:space="0"/>
            </w:tcBorders>
            <w:vAlign w:val="center"/>
          </w:tcPr>
          <w:p>
            <w:pPr>
              <w:pStyle w:val="670"/>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5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287" w:type="dxa"/>
            <w:tcBorders>
              <w:top w:val="single" w:color="auto" w:sz="4" w:space="0"/>
              <w:left w:val="single" w:color="auto" w:sz="4" w:space="0"/>
              <w:bottom w:val="single" w:color="auto" w:sz="4" w:space="0"/>
              <w:right w:val="single" w:color="auto" w:sz="4" w:space="0"/>
            </w:tcBorders>
            <w:vAlign w:val="center"/>
          </w:tcPr>
          <w:p>
            <w:pPr>
              <w:pStyle w:val="670"/>
            </w:pPr>
            <w:r>
              <w:t>/</w:t>
            </w:r>
          </w:p>
        </w:tc>
        <w:tc>
          <w:tcPr>
            <w:tcW w:w="2378" w:type="dxa"/>
            <w:gridSpan w:val="2"/>
            <w:tcBorders>
              <w:top w:val="single" w:color="auto" w:sz="4" w:space="0"/>
              <w:left w:val="single" w:color="auto" w:sz="4" w:space="0"/>
              <w:bottom w:val="single" w:color="auto" w:sz="4" w:space="0"/>
              <w:right w:val="single" w:color="auto" w:sz="4" w:space="0"/>
            </w:tcBorders>
            <w:vAlign w:val="center"/>
          </w:tcPr>
          <w:p>
            <w:pPr>
              <w:pStyle w:val="670"/>
            </w:pPr>
            <w:r>
              <w:t>/</w:t>
            </w:r>
          </w:p>
        </w:tc>
        <w:tc>
          <w:tcPr>
            <w:tcW w:w="1813" w:type="dxa"/>
            <w:gridSpan w:val="2"/>
            <w:tcBorders>
              <w:top w:val="single" w:color="auto" w:sz="4" w:space="0"/>
              <w:left w:val="single" w:color="auto" w:sz="4" w:space="0"/>
              <w:bottom w:val="single" w:color="auto" w:sz="4" w:space="0"/>
              <w:right w:val="single" w:color="auto" w:sz="4" w:space="0"/>
            </w:tcBorders>
            <w:vAlign w:val="center"/>
          </w:tcPr>
          <w:p>
            <w:pPr>
              <w:pStyle w:val="670"/>
            </w:pPr>
            <w:r>
              <w:t>/</w:t>
            </w:r>
          </w:p>
        </w:tc>
        <w:tc>
          <w:tcPr>
            <w:tcW w:w="10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523" w:type="dxa"/>
            <w:tcBorders>
              <w:top w:val="single" w:color="auto" w:sz="4" w:space="0"/>
              <w:left w:val="single" w:color="auto" w:sz="4" w:space="0"/>
              <w:bottom w:val="single" w:color="auto" w:sz="4" w:space="0"/>
              <w:right w:val="single" w:color="auto" w:sz="4" w:space="0"/>
            </w:tcBorders>
            <w:vAlign w:val="center"/>
          </w:tcPr>
          <w:p>
            <w:pPr>
              <w:pStyle w:val="670"/>
            </w:pPr>
            <w:r>
              <w:t>信息公开指标</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pPr>
            <w:r>
              <w:t>/</w:t>
            </w:r>
          </w:p>
        </w:tc>
        <w:tc>
          <w:tcPr>
            <w:tcW w:w="10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12" w:type="dxa"/>
            <w:gridSpan w:val="2"/>
            <w:tcBorders>
              <w:top w:val="single" w:color="auto" w:sz="4" w:space="0"/>
              <w:left w:val="single" w:color="auto" w:sz="4" w:space="0"/>
              <w:bottom w:val="single" w:color="auto" w:sz="4" w:space="0"/>
              <w:right w:val="single" w:color="auto" w:sz="4" w:space="0"/>
            </w:tcBorders>
            <w:vAlign w:val="center"/>
          </w:tcPr>
          <w:p>
            <w:pPr>
              <w:pStyle w:val="670"/>
            </w:pPr>
            <w:r>
              <w:t>评价结论</w:t>
            </w:r>
          </w:p>
        </w:tc>
        <w:tc>
          <w:tcPr>
            <w:tcW w:w="5478" w:type="dxa"/>
            <w:gridSpan w:val="5"/>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项目建设对土壤环境影响可接受</w:t>
            </w:r>
          </w:p>
        </w:tc>
        <w:tc>
          <w:tcPr>
            <w:tcW w:w="1046"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6" w:type="dxa"/>
            <w:gridSpan w:val="8"/>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注 1：“□”为勾选项，可√；“（ ）”为内容填写项；“备注”为其他补充内容。 注 2：需要分别开展土壤环境影响评级工作的，分别填写自查表。</w:t>
            </w:r>
          </w:p>
        </w:tc>
      </w:tr>
    </w:tbl>
    <w:p>
      <w:pPr>
        <w:pStyle w:val="5"/>
        <w:spacing w:before="120" w:after="120"/>
        <w:rPr>
          <w:spacing w:val="0"/>
        </w:rPr>
      </w:pPr>
      <w:bookmarkStart w:id="365" w:name="_Toc145580432"/>
      <w:r>
        <w:rPr>
          <w:rFonts w:hint="eastAsia"/>
          <w:spacing w:val="0"/>
        </w:rPr>
        <w:t>5.2.</w:t>
      </w:r>
      <w:r>
        <w:rPr>
          <w:spacing w:val="0"/>
        </w:rPr>
        <w:t>6</w:t>
      </w:r>
      <w:r>
        <w:rPr>
          <w:rFonts w:hint="eastAsia"/>
          <w:color w:val="FF0000"/>
          <w:spacing w:val="0"/>
        </w:rPr>
        <w:t>运营期</w:t>
      </w:r>
      <w:r>
        <w:rPr>
          <w:color w:val="FF0000"/>
          <w:spacing w:val="0"/>
        </w:rPr>
        <w:t>生态环境影响分析与</w:t>
      </w:r>
      <w:r>
        <w:rPr>
          <w:rFonts w:hint="eastAsia"/>
          <w:color w:val="FF0000"/>
          <w:spacing w:val="0"/>
        </w:rPr>
        <w:t>评价</w:t>
      </w:r>
      <w:bookmarkEnd w:id="365"/>
    </w:p>
    <w:p>
      <w:pPr>
        <w:pStyle w:val="494"/>
        <w:ind w:firstLine="480"/>
        <w:rPr>
          <w:color w:val="FF0000"/>
        </w:rPr>
      </w:pPr>
      <w:bookmarkStart w:id="366" w:name="_Hlk147595544"/>
      <w:r>
        <w:rPr>
          <w:rFonts w:hint="eastAsia"/>
          <w:color w:val="FF0000"/>
        </w:rPr>
        <w:t>1、对土地影响分析</w:t>
      </w:r>
    </w:p>
    <w:p>
      <w:pPr>
        <w:pStyle w:val="494"/>
        <w:ind w:firstLine="480"/>
        <w:rPr>
          <w:color w:val="FF0000"/>
        </w:rPr>
      </w:pPr>
      <w:r>
        <w:rPr>
          <w:rFonts w:hint="eastAsia"/>
          <w:color w:val="FF0000"/>
        </w:rPr>
        <w:t>本项目在现有厂区内建设，不新增用地，本项目建成后做好防渗等措施，因此项目土地利用类型变化不会导致项目区生态环境质量降低。</w:t>
      </w:r>
    </w:p>
    <w:p>
      <w:pPr>
        <w:pStyle w:val="494"/>
        <w:ind w:firstLine="480"/>
        <w:rPr>
          <w:color w:val="FF0000"/>
        </w:rPr>
      </w:pPr>
      <w:r>
        <w:rPr>
          <w:rFonts w:hint="eastAsia"/>
          <w:color w:val="FF0000"/>
        </w:rPr>
        <w:t>2、植物资源影响分析</w:t>
      </w:r>
    </w:p>
    <w:p>
      <w:pPr>
        <w:pStyle w:val="494"/>
        <w:ind w:firstLine="480"/>
        <w:rPr>
          <w:color w:val="FF0000"/>
        </w:rPr>
      </w:pPr>
      <w:r>
        <w:rPr>
          <w:rFonts w:hint="eastAsia"/>
          <w:color w:val="FF0000"/>
        </w:rPr>
        <w:t>项目建成后，生产过程不存在破坏植被工业活动，项目运营过程主要排放少量非甲烷总烃，大气污染物对植物的损害程度决定于其环境内风、光、温度、土壤和地形特点，气田区夏季白天气温高，气孔易打开，容易吸收有毒物质，因而污染物夏季对植被的危害比冬季大，白天的污染造成的后果比夜间严重。总体来说，多风、少雨、干旱、地形开阔的自然条件使大气污染物易于扩散，工程在正常情况下污染物浓度不会太高，大气污染物对植被的影响不大。</w:t>
      </w:r>
    </w:p>
    <w:p>
      <w:pPr>
        <w:pStyle w:val="494"/>
        <w:ind w:firstLine="480"/>
        <w:rPr>
          <w:color w:val="FF0000"/>
        </w:rPr>
      </w:pPr>
      <w:r>
        <w:rPr>
          <w:rFonts w:hint="eastAsia"/>
          <w:color w:val="FF0000"/>
        </w:rPr>
        <w:t>3、动物影响分析分析</w:t>
      </w:r>
    </w:p>
    <w:p>
      <w:pPr>
        <w:pStyle w:val="494"/>
        <w:ind w:firstLine="480"/>
        <w:rPr>
          <w:color w:val="FF0000"/>
        </w:rPr>
      </w:pPr>
      <w:r>
        <w:rPr>
          <w:rFonts w:hint="eastAsia"/>
          <w:color w:val="FF0000"/>
        </w:rPr>
        <w:t>随着生态环境的逐渐好转以及工作人员生态环境保护意识逐年提高，同时建设单位也已深入贯彻了环境友好型的发展理念，受施工期影响的野生动物将逐渐适应人类生产生活活动并逐渐返回其原有活动区域，运营期对野生动物影响较小。</w:t>
      </w:r>
    </w:p>
    <w:p>
      <w:pPr>
        <w:pStyle w:val="494"/>
        <w:ind w:firstLine="480"/>
        <w:rPr>
          <w:color w:val="FF0000"/>
          <w:kern w:val="28"/>
        </w:rPr>
      </w:pPr>
      <w:r>
        <w:rPr>
          <w:rFonts w:hint="eastAsia"/>
          <w:color w:val="FF0000"/>
        </w:rPr>
        <w:t>4、</w:t>
      </w:r>
      <w:r>
        <w:rPr>
          <w:rFonts w:hint="eastAsia"/>
          <w:color w:val="FF0000"/>
          <w:kern w:val="28"/>
        </w:rPr>
        <w:t>防沙治沙影响分析</w:t>
      </w:r>
    </w:p>
    <w:p>
      <w:pPr>
        <w:pStyle w:val="694"/>
        <w:spacing w:line="460" w:lineRule="exact"/>
        <w:ind w:firstLine="480"/>
        <w:rPr>
          <w:rFonts w:ascii="Times New Roman" w:hAnsi="Times New Roman" w:cs="Times New Roman"/>
          <w:color w:val="FF0000"/>
          <w:kern w:val="28"/>
        </w:rPr>
      </w:pPr>
      <w:r>
        <w:rPr>
          <w:rFonts w:hint="eastAsia" w:ascii="Times New Roman" w:hAnsi="Times New Roman" w:cs="Times New Roman"/>
          <w:color w:val="FF0000"/>
          <w:kern w:val="28"/>
        </w:rPr>
        <w:t>根据新疆维吾尔自治区生态环境厅于</w:t>
      </w:r>
      <w:r>
        <w:rPr>
          <w:rFonts w:ascii="Times New Roman" w:hAnsi="Times New Roman" w:cs="Times New Roman"/>
          <w:color w:val="FF0000"/>
          <w:kern w:val="28"/>
        </w:rPr>
        <w:t>2020</w:t>
      </w:r>
      <w:r>
        <w:rPr>
          <w:rFonts w:hint="eastAsia" w:ascii="Times New Roman" w:hAnsi="Times New Roman" w:cs="Times New Roman"/>
          <w:color w:val="FF0000"/>
          <w:kern w:val="28"/>
        </w:rPr>
        <w:t>年</w:t>
      </w:r>
      <w:r>
        <w:rPr>
          <w:rFonts w:ascii="Times New Roman" w:hAnsi="Times New Roman" w:cs="Times New Roman"/>
          <w:color w:val="FF0000"/>
          <w:kern w:val="28"/>
        </w:rPr>
        <w:t>9</w:t>
      </w:r>
      <w:r>
        <w:rPr>
          <w:rFonts w:hint="eastAsia" w:ascii="Times New Roman" w:hAnsi="Times New Roman" w:cs="Times New Roman"/>
          <w:color w:val="FF0000"/>
          <w:kern w:val="28"/>
        </w:rPr>
        <w:t>月</w:t>
      </w:r>
      <w:r>
        <w:rPr>
          <w:rFonts w:ascii="Times New Roman" w:hAnsi="Times New Roman" w:cs="Times New Roman"/>
          <w:color w:val="FF0000"/>
          <w:kern w:val="28"/>
        </w:rPr>
        <w:t>4</w:t>
      </w:r>
      <w:r>
        <w:rPr>
          <w:rFonts w:hint="eastAsia" w:ascii="Times New Roman" w:hAnsi="Times New Roman" w:cs="Times New Roman"/>
          <w:color w:val="FF0000"/>
          <w:kern w:val="28"/>
        </w:rPr>
        <w:t>日下发的《关于加强沙区建设项目环境影响评价工作的通知》（新环环评发〔</w:t>
      </w:r>
      <w:r>
        <w:rPr>
          <w:rFonts w:ascii="Times New Roman" w:hAnsi="Times New Roman" w:cs="Times New Roman"/>
          <w:color w:val="FF0000"/>
          <w:kern w:val="28"/>
        </w:rPr>
        <w:t>2020</w:t>
      </w:r>
      <w:r>
        <w:rPr>
          <w:rFonts w:hint="eastAsia" w:ascii="Times New Roman" w:hAnsi="Times New Roman" w:cs="Times New Roman"/>
          <w:color w:val="FF0000"/>
          <w:kern w:val="28"/>
        </w:rPr>
        <w:t>〕</w:t>
      </w:r>
      <w:r>
        <w:rPr>
          <w:rFonts w:ascii="Times New Roman" w:hAnsi="Times New Roman" w:cs="Times New Roman"/>
          <w:color w:val="FF0000"/>
          <w:kern w:val="28"/>
        </w:rPr>
        <w:t>138</w:t>
      </w:r>
      <w:r>
        <w:rPr>
          <w:rFonts w:hint="eastAsia" w:ascii="Times New Roman" w:hAnsi="Times New Roman" w:cs="Times New Roman"/>
          <w:color w:val="FF0000"/>
          <w:kern w:val="28"/>
        </w:rPr>
        <w:t>号）文件，对于涉及沙区的建设项目环评文件，严格按照《环境影响评价技术导则</w:t>
      </w:r>
      <w:r>
        <w:rPr>
          <w:rFonts w:ascii="Times New Roman" w:hAnsi="Times New Roman" w:cs="Times New Roman"/>
          <w:color w:val="FF0000"/>
          <w:kern w:val="28"/>
        </w:rPr>
        <w:t xml:space="preserve"> </w:t>
      </w:r>
      <w:r>
        <w:rPr>
          <w:rFonts w:hint="eastAsia" w:ascii="Times New Roman" w:hAnsi="Times New Roman" w:cs="Times New Roman"/>
          <w:color w:val="FF0000"/>
          <w:kern w:val="28"/>
        </w:rPr>
        <w:t>生态影响》</w:t>
      </w:r>
      <w:r>
        <w:rPr>
          <w:rFonts w:ascii="Times New Roman" w:hAnsi="Times New Roman" w:cs="Times New Roman"/>
          <w:color w:val="FF0000"/>
          <w:kern w:val="28"/>
        </w:rPr>
        <w:t>(HJ19-2022)</w:t>
      </w:r>
      <w:r>
        <w:rPr>
          <w:rFonts w:hint="eastAsia" w:ascii="Times New Roman" w:hAnsi="Times New Roman" w:cs="Times New Roman"/>
          <w:color w:val="FF0000"/>
          <w:kern w:val="28"/>
        </w:rPr>
        <w:t>要求，强化建设项目的环境可行性、环境影响分析预测评估的可靠性和防沙治沙生态环境保护措施的可行性、有效性评估。</w:t>
      </w:r>
    </w:p>
    <w:p>
      <w:pPr>
        <w:pStyle w:val="694"/>
        <w:spacing w:line="460" w:lineRule="exact"/>
        <w:ind w:firstLine="480"/>
        <w:rPr>
          <w:rFonts w:ascii="Times New Roman" w:hAnsi="Times New Roman" w:cs="Times New Roman"/>
          <w:color w:val="FF0000"/>
          <w:kern w:val="28"/>
        </w:rPr>
      </w:pPr>
      <w:r>
        <w:rPr>
          <w:rFonts w:hint="eastAsia" w:ascii="Times New Roman" w:hAnsi="Times New Roman" w:cs="Times New Roman"/>
          <w:color w:val="FF0000"/>
          <w:kern w:val="28"/>
        </w:rPr>
        <w:t>防沙治沙是防止土地沙漠化，保护农田、牧场、交通和居民点等免受风沙流和沙丘侵袭的危害。沙区地表裸露，风速大。沙区边缘的风沙活动会危害绿洲交错带农田及生态环境，流沙逐步侵入农田产生不利影响，所以必须做好防沙治沙工作。</w:t>
      </w:r>
    </w:p>
    <w:p>
      <w:pPr>
        <w:pStyle w:val="494"/>
        <w:ind w:firstLine="480"/>
        <w:rPr>
          <w:color w:val="FF0000"/>
        </w:rPr>
      </w:pPr>
      <w:r>
        <w:rPr>
          <w:rFonts w:hint="eastAsia"/>
          <w:color w:val="FF0000"/>
        </w:rPr>
        <w:t>（</w:t>
      </w:r>
      <w:r>
        <w:rPr>
          <w:color w:val="FF0000"/>
        </w:rPr>
        <w:t>1</w:t>
      </w:r>
      <w:r>
        <w:rPr>
          <w:rFonts w:hint="eastAsia"/>
          <w:color w:val="FF0000"/>
        </w:rPr>
        <w:t>）建设项目的环境可行性</w:t>
      </w:r>
    </w:p>
    <w:p>
      <w:pPr>
        <w:pStyle w:val="694"/>
        <w:spacing w:line="460" w:lineRule="exact"/>
        <w:ind w:firstLine="480"/>
        <w:rPr>
          <w:rFonts w:ascii="Times New Roman" w:hAnsi="Times New Roman" w:cs="Times New Roman"/>
          <w:color w:val="FF0000"/>
          <w:kern w:val="28"/>
        </w:rPr>
      </w:pPr>
      <w:r>
        <w:rPr>
          <w:rFonts w:hint="eastAsia" w:ascii="Times New Roman" w:hAnsi="Times New Roman" w:cs="Times New Roman"/>
          <w:color w:val="FF0000"/>
          <w:kern w:val="28"/>
        </w:rPr>
        <w:t>本工程位于古尔班通古特沙漠南缘，地处沙漠绿洲交错带，工程距离阜康市中心约</w:t>
      </w:r>
      <w:r>
        <w:rPr>
          <w:rFonts w:ascii="Times New Roman" w:hAnsi="Times New Roman" w:cs="Times New Roman"/>
          <w:color w:val="FF0000"/>
          <w:kern w:val="28"/>
        </w:rPr>
        <w:t>32km</w:t>
      </w:r>
      <w:r>
        <w:rPr>
          <w:rFonts w:hint="eastAsia" w:ascii="Times New Roman" w:hAnsi="Times New Roman" w:cs="Times New Roman"/>
          <w:color w:val="FF0000"/>
          <w:kern w:val="28"/>
        </w:rPr>
        <w:t>，距东南部的阜东采油区约</w:t>
      </w:r>
      <w:r>
        <w:rPr>
          <w:rFonts w:ascii="Times New Roman" w:hAnsi="Times New Roman" w:cs="Times New Roman"/>
          <w:color w:val="FF0000"/>
          <w:kern w:val="28"/>
        </w:rPr>
        <w:t>35km</w:t>
      </w:r>
      <w:r>
        <w:rPr>
          <w:rFonts w:hint="eastAsia" w:ascii="Times New Roman" w:hAnsi="Times New Roman" w:cs="Times New Roman"/>
          <w:color w:val="FF0000"/>
          <w:kern w:val="28"/>
        </w:rPr>
        <w:t>，南部距离最近的农田区域约</w:t>
      </w:r>
      <w:r>
        <w:rPr>
          <w:rFonts w:ascii="Times New Roman" w:hAnsi="Times New Roman" w:cs="Times New Roman"/>
          <w:color w:val="FF0000"/>
          <w:kern w:val="28"/>
        </w:rPr>
        <w:t>7.5km</w:t>
      </w:r>
      <w:r>
        <w:rPr>
          <w:rFonts w:hint="eastAsia" w:ascii="Times New Roman" w:hAnsi="Times New Roman" w:cs="Times New Roman"/>
          <w:color w:val="FF0000"/>
          <w:kern w:val="28"/>
        </w:rPr>
        <w:t>。该区域年主导风向为东北风，由沙漠吹向绿洲，年平均风速为</w:t>
      </w:r>
      <w:r>
        <w:rPr>
          <w:rFonts w:ascii="Times New Roman" w:hAnsi="Times New Roman" w:cs="Times New Roman"/>
          <w:color w:val="FF0000"/>
          <w:kern w:val="28"/>
        </w:rPr>
        <w:t>1.9m/s</w:t>
      </w:r>
      <w:r>
        <w:rPr>
          <w:rFonts w:hint="eastAsia" w:ascii="Times New Roman" w:hAnsi="Times New Roman" w:cs="Times New Roman"/>
          <w:color w:val="FF0000"/>
          <w:kern w:val="28"/>
        </w:rPr>
        <w:t>，十分钟平均最大风速约</w:t>
      </w:r>
      <w:r>
        <w:rPr>
          <w:rFonts w:ascii="Times New Roman" w:hAnsi="Times New Roman" w:cs="Times New Roman"/>
          <w:color w:val="FF0000"/>
          <w:kern w:val="28"/>
        </w:rPr>
        <w:t>15.7m/s</w:t>
      </w:r>
      <w:r>
        <w:rPr>
          <w:rFonts w:hint="eastAsia" w:ascii="Times New Roman" w:hAnsi="Times New Roman" w:cs="Times New Roman"/>
          <w:color w:val="FF0000"/>
          <w:kern w:val="28"/>
        </w:rPr>
        <w:t>，年最大风速可达到</w:t>
      </w:r>
      <w:r>
        <w:rPr>
          <w:rFonts w:ascii="Times New Roman" w:hAnsi="Times New Roman" w:cs="Times New Roman"/>
          <w:color w:val="FF0000"/>
          <w:kern w:val="28"/>
        </w:rPr>
        <w:t>21m/s</w:t>
      </w:r>
      <w:r>
        <w:rPr>
          <w:rFonts w:hint="eastAsia" w:ascii="Times New Roman" w:hAnsi="Times New Roman" w:cs="Times New Roman"/>
          <w:color w:val="FF0000"/>
          <w:kern w:val="28"/>
        </w:rPr>
        <w:t>。</w:t>
      </w:r>
      <w:bookmarkStart w:id="367" w:name="_Hlk55224947"/>
      <w:r>
        <w:rPr>
          <w:rFonts w:hint="eastAsia" w:ascii="Times New Roman" w:hAnsi="Times New Roman" w:cs="Times New Roman"/>
          <w:color w:val="FF0000"/>
          <w:kern w:val="28"/>
        </w:rPr>
        <w:t>工程区域土壤类型主要为风沙土，地表为连绵起伏的沙丘覆盖，海拔高度</w:t>
      </w:r>
      <w:r>
        <w:rPr>
          <w:rFonts w:ascii="Times New Roman" w:hAnsi="Times New Roman" w:cs="Times New Roman"/>
          <w:color w:val="FF0000"/>
          <w:kern w:val="28"/>
        </w:rPr>
        <w:t>450-485m</w:t>
      </w:r>
      <w:r>
        <w:rPr>
          <w:rFonts w:hint="eastAsia" w:ascii="Times New Roman" w:hAnsi="Times New Roman" w:cs="Times New Roman"/>
          <w:color w:val="FF0000"/>
          <w:kern w:val="28"/>
        </w:rPr>
        <w:t>左右，沙丘为固定沙丘类型，地表有梭梭、沙漠娟蒿、驼绒藜、内蒙古旱蒿等沙漠植被，具有天然的防风固沙功能。根据现场调查及收集资料，项目区位于准噶尔盆地南缘的荒漠</w:t>
      </w:r>
      <w:r>
        <w:rPr>
          <w:rFonts w:ascii="Times New Roman" w:hAnsi="Times New Roman" w:cs="Times New Roman"/>
          <w:color w:val="FF0000"/>
          <w:kern w:val="28"/>
        </w:rPr>
        <w:t>-</w:t>
      </w:r>
      <w:r>
        <w:rPr>
          <w:rFonts w:hint="eastAsia" w:ascii="Times New Roman" w:hAnsi="Times New Roman" w:cs="Times New Roman"/>
          <w:color w:val="FF0000"/>
          <w:kern w:val="28"/>
        </w:rPr>
        <w:t>绿洲交错带，区域地下水条件良好，在沙丘上生长有各种沙生和旱生植物，已形成一定的植被覆盖度；地表结皮较厚，表层沙面紧实，植物的枯枝落叶堆积物及根系为土壤粗有机质提供来源，使表层分异明显，风沙土处于固定风沙土阶段，沙丘基本无流动性。项目施工过程中须严格控制作业范围，进行草方格固沙</w:t>
      </w:r>
      <w:bookmarkEnd w:id="367"/>
      <w:r>
        <w:rPr>
          <w:rFonts w:hint="eastAsia" w:ascii="Times New Roman" w:hAnsi="Times New Roman" w:cs="Times New Roman"/>
          <w:color w:val="FF0000"/>
          <w:kern w:val="28"/>
        </w:rPr>
        <w:t>。</w:t>
      </w:r>
    </w:p>
    <w:p>
      <w:pPr>
        <w:pStyle w:val="694"/>
        <w:spacing w:line="460" w:lineRule="exact"/>
        <w:ind w:firstLine="480"/>
        <w:rPr>
          <w:rFonts w:ascii="Times New Roman" w:hAnsi="Times New Roman" w:cs="Times New Roman"/>
          <w:color w:val="FF0000"/>
          <w:kern w:val="28"/>
        </w:rPr>
      </w:pPr>
      <w:r>
        <w:rPr>
          <w:rFonts w:hint="eastAsia" w:ascii="Times New Roman" w:hAnsi="Times New Roman" w:cs="Times New Roman"/>
          <w:color w:val="FF0000"/>
          <w:kern w:val="28"/>
        </w:rPr>
        <w:t>工程建设对当地生态的影响方式包括扰动、损坏、破坏原地貌、地表土壤结构及植被。工程施工及占地呈点状分布，所造成的风沙起尘因施工环境及方式不同。本工程地面建设的内容主要为现有工程天然气处理站部分设备拆除急新建设备。在施工过程中须采取严格控制占地范围、遮盖、洒水压实等措施防风固沙。</w:t>
      </w:r>
    </w:p>
    <w:p>
      <w:pPr>
        <w:pStyle w:val="694"/>
        <w:spacing w:line="460" w:lineRule="exact"/>
        <w:ind w:firstLine="480"/>
        <w:rPr>
          <w:rFonts w:ascii="Times New Roman" w:hAnsi="Times New Roman" w:cs="Times New Roman"/>
          <w:color w:val="FF0000"/>
          <w:kern w:val="28"/>
        </w:rPr>
      </w:pPr>
      <w:r>
        <w:rPr>
          <w:rFonts w:hint="eastAsia" w:ascii="Times New Roman" w:hAnsi="Times New Roman" w:cs="Times New Roman"/>
          <w:color w:val="FF0000"/>
          <w:kern w:val="28"/>
        </w:rPr>
        <w:t>耐干旱的沙生植物之所以其能固定流沙，是因为沙生植物有发达的根系，能固结沙粒，加上枯枝落叶腐烂后有机质聚集，促进了沙的成土作用，改变沙地性质，使得流沙趋向固定。工程所在区内分布的重点公益林类型为灌木林地，优势树种为梭梭，植被盖度为</w:t>
      </w:r>
      <w:r>
        <w:rPr>
          <w:rFonts w:ascii="Times New Roman" w:hAnsi="Times New Roman" w:cs="Times New Roman"/>
          <w:color w:val="FF0000"/>
          <w:kern w:val="28"/>
        </w:rPr>
        <w:t>10~15%</w:t>
      </w:r>
      <w:r>
        <w:rPr>
          <w:rFonts w:hint="eastAsia" w:ascii="Times New Roman" w:hAnsi="Times New Roman" w:cs="Times New Roman"/>
          <w:color w:val="FF0000"/>
          <w:kern w:val="28"/>
        </w:rPr>
        <w:t>，主要作用为防风固沙，旱生沙漠植被生境较好，运营期在项目区外播种一些梭梭等耐干旱的沙生植物，改善受扰动土地，控制和固定流沙。随着时间的推移，区域原生植被恢复生长，风蚀量会随着地表新发育的生态保护层而逐渐减弱，施工结束后的运营期地表逐渐进入自然恢复阶段。在实行完善的防沙治沙措施后，本报告从环境角度分析工程在本区域建设是可行的。</w:t>
      </w:r>
    </w:p>
    <w:p>
      <w:pPr>
        <w:pStyle w:val="694"/>
        <w:spacing w:line="460" w:lineRule="exact"/>
        <w:ind w:firstLine="480"/>
        <w:rPr>
          <w:rFonts w:ascii="Times New Roman" w:hAnsi="Times New Roman" w:cs="Times New Roman"/>
          <w:color w:val="FF0000"/>
          <w:kern w:val="28"/>
        </w:rPr>
      </w:pPr>
      <w:r>
        <w:rPr>
          <w:rFonts w:hint="eastAsia" w:ascii="Times New Roman" w:hAnsi="Times New Roman" w:cs="Times New Roman"/>
          <w:color w:val="FF0000"/>
          <w:kern w:val="28"/>
        </w:rPr>
        <w:t>（</w:t>
      </w:r>
      <w:r>
        <w:rPr>
          <w:rFonts w:ascii="Times New Roman" w:hAnsi="Times New Roman" w:cs="Times New Roman"/>
          <w:color w:val="FF0000"/>
          <w:kern w:val="28"/>
        </w:rPr>
        <w:t>2</w:t>
      </w:r>
      <w:r>
        <w:rPr>
          <w:rFonts w:hint="eastAsia" w:ascii="Times New Roman" w:hAnsi="Times New Roman" w:cs="Times New Roman"/>
          <w:color w:val="FF0000"/>
          <w:kern w:val="28"/>
        </w:rPr>
        <w:t>）防沙治沙生态环境保护措施的可行性</w:t>
      </w:r>
    </w:p>
    <w:p>
      <w:pPr>
        <w:pStyle w:val="694"/>
        <w:spacing w:line="460" w:lineRule="exact"/>
        <w:ind w:firstLine="480"/>
        <w:rPr>
          <w:rFonts w:ascii="Times New Roman" w:hAnsi="Times New Roman" w:cs="Times New Roman"/>
          <w:color w:val="FF0000"/>
          <w:kern w:val="28"/>
        </w:rPr>
      </w:pPr>
      <w:r>
        <w:rPr>
          <w:rFonts w:hint="eastAsia" w:ascii="Times New Roman" w:hAnsi="Times New Roman" w:cs="Times New Roman"/>
          <w:color w:val="FF0000"/>
          <w:kern w:val="28"/>
        </w:rPr>
        <w:t>本工程从防沙治沙角度提出的生态环境保护措施如下：</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1</w:t>
      </w:r>
      <w:r>
        <w:rPr>
          <w:rFonts w:hint="eastAsia" w:ascii="Times New Roman" w:hAnsi="Times New Roman" w:cs="Times New Roman"/>
          <w:color w:val="FF0000"/>
          <w:kern w:val="28"/>
        </w:rPr>
        <w:t>）按设计标准规定，严格控制施工范围，不得超过作业标准规定。</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2</w:t>
      </w:r>
      <w:r>
        <w:rPr>
          <w:rFonts w:hint="eastAsia" w:ascii="Times New Roman" w:hAnsi="Times New Roman" w:cs="Times New Roman"/>
          <w:color w:val="FF0000"/>
          <w:kern w:val="28"/>
        </w:rPr>
        <w:t>）在施工过程中，应加强施工人员的管理，禁止施工人员对野外植被滥砍滥伐，破坏地区的生态环境。</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3</w:t>
      </w:r>
      <w:r>
        <w:rPr>
          <w:rFonts w:hint="eastAsia" w:ascii="Times New Roman" w:hAnsi="Times New Roman" w:cs="Times New Roman"/>
          <w:color w:val="FF0000"/>
          <w:kern w:val="28"/>
        </w:rPr>
        <w:t>）项目占地范围内的灌木林地征用应按照地方有关工程征地补偿标准进行，可研设计中工程征地费用已对上述情况进行了综合考虑。</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4</w:t>
      </w:r>
      <w:r>
        <w:rPr>
          <w:rFonts w:hint="eastAsia" w:ascii="Times New Roman" w:hAnsi="Times New Roman" w:cs="Times New Roman"/>
          <w:color w:val="FF0000"/>
          <w:kern w:val="28"/>
        </w:rPr>
        <w:t>）永久占地区域合理规划，严格控制占地面积，选择在植被稀少的区域布点，避免林木砍伐等。</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5</w:t>
      </w:r>
      <w:r>
        <w:rPr>
          <w:rFonts w:hint="eastAsia" w:ascii="Times New Roman" w:hAnsi="Times New Roman" w:cs="Times New Roman"/>
          <w:color w:val="FF0000"/>
          <w:kern w:val="28"/>
        </w:rPr>
        <w:t>）减少因施工对植被的破坏，施工中大量建筑材料的调运及人员的流动，会增加作业区内的拥挤度，施工区设置明显的作业区域标志，加强管理，把施工作业严格控制在作业区内。本环评要求，项目在施工过程中，要严格控制扰动面积，施工过程中严格按照施工场地界线范围内施工，并安排专人监察。</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6</w:t>
      </w:r>
      <w:r>
        <w:rPr>
          <w:rFonts w:hint="eastAsia" w:ascii="Times New Roman" w:hAnsi="Times New Roman" w:cs="Times New Roman"/>
          <w:color w:val="FF0000"/>
          <w:kern w:val="28"/>
        </w:rPr>
        <w:t>）严格界定施工活动范围，尽可能缩小施工作业范围，减少对地表的碾压。重点保护项目区内的灌木，最大程度减少梭梭占用，选择梭梭生长稀疏地段进行作业。</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7</w:t>
      </w:r>
      <w:r>
        <w:rPr>
          <w:rFonts w:hint="eastAsia" w:ascii="Times New Roman" w:hAnsi="Times New Roman" w:cs="Times New Roman"/>
          <w:color w:val="FF0000"/>
          <w:kern w:val="28"/>
        </w:rPr>
        <w:t>）项目建设完成后，对施工场地应立即恢复原状，并及时进行人工干预恢复植被，以维持原有生态环境。工程建设完成后要求对施工料场、便道等临时用地进行清理、平整，禁止对野生动植物水源地的污染。严格执行《土地复垦条例》，凡受到施工车辆、机械破坏的地方都给予及时的修整，恢复原貌，被破坏的植被在施工结束后尽快恢复。</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8</w:t>
      </w:r>
      <w:r>
        <w:rPr>
          <w:rFonts w:hint="eastAsia" w:ascii="Times New Roman" w:hAnsi="Times New Roman" w:cs="Times New Roman"/>
          <w:color w:val="FF0000"/>
          <w:kern w:val="28"/>
        </w:rPr>
        <w:t>）运营期在道路边、项目区，设置</w:t>
      </w:r>
      <w:r>
        <w:rPr>
          <w:rFonts w:ascii="Times New Roman" w:hAnsi="Times New Roman" w:cs="Times New Roman"/>
          <w:color w:val="FF0000"/>
          <w:kern w:val="28"/>
        </w:rPr>
        <w:t>“</w:t>
      </w:r>
      <w:r>
        <w:rPr>
          <w:rFonts w:hint="eastAsia" w:ascii="Times New Roman" w:hAnsi="Times New Roman" w:cs="Times New Roman"/>
          <w:color w:val="FF0000"/>
          <w:kern w:val="28"/>
        </w:rPr>
        <w:t>保护生态环境、保护野生动植物</w:t>
      </w:r>
      <w:r>
        <w:rPr>
          <w:rFonts w:ascii="Times New Roman" w:hAnsi="Times New Roman" w:cs="Times New Roman"/>
          <w:color w:val="FF0000"/>
          <w:kern w:val="28"/>
        </w:rPr>
        <w:t>”</w:t>
      </w:r>
      <w:r>
        <w:rPr>
          <w:rFonts w:hint="eastAsia" w:ascii="Times New Roman" w:hAnsi="Times New Roman" w:cs="Times New Roman"/>
          <w:color w:val="FF0000"/>
          <w:kern w:val="28"/>
        </w:rPr>
        <w:t>等警示牌，并从管理上对作业人员加强宣传教育，切实提高保护生态环境的意识。</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9</w:t>
      </w:r>
      <w:r>
        <w:rPr>
          <w:rFonts w:hint="eastAsia" w:ascii="Times New Roman" w:hAnsi="Times New Roman" w:cs="Times New Roman"/>
          <w:color w:val="FF0000"/>
          <w:kern w:val="28"/>
        </w:rPr>
        <w:t>）对临时占地区域土地进行平整，恢复原有地貌，充分利用施工前期收集的表土覆盖于站场临时占地表层，覆盖厚度根据植被恢复类型和场地用途确定。</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10</w:t>
      </w:r>
      <w:r>
        <w:rPr>
          <w:rFonts w:hint="eastAsia" w:ascii="Times New Roman" w:hAnsi="Times New Roman" w:cs="Times New Roman"/>
          <w:color w:val="FF0000"/>
          <w:kern w:val="28"/>
        </w:rPr>
        <w:t>）退役期永久占地区域地面设施拆除，废弃建筑残渣外运至指定填埋场填埋处理。</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11</w:t>
      </w:r>
      <w:r>
        <w:rPr>
          <w:rFonts w:hint="eastAsia" w:ascii="Times New Roman" w:hAnsi="Times New Roman" w:cs="Times New Roman"/>
          <w:color w:val="FF0000"/>
          <w:kern w:val="28"/>
        </w:rPr>
        <w:t>）当永久占地区域地面设施拆除后，采取植被恢复措施，种植适宜的植被进行生态恢复。</w:t>
      </w:r>
    </w:p>
    <w:p>
      <w:pPr>
        <w:pStyle w:val="694"/>
        <w:spacing w:line="460" w:lineRule="exact"/>
        <w:ind w:firstLine="480"/>
        <w:rPr>
          <w:rFonts w:ascii="Times New Roman" w:hAnsi="Times New Roman" w:cs="Times New Roman"/>
          <w:color w:val="FF0000"/>
          <w:kern w:val="28"/>
        </w:rPr>
      </w:pPr>
      <w:r>
        <w:rPr>
          <w:rFonts w:hint="eastAsia" w:ascii="Times New Roman" w:hAnsi="Times New Roman" w:cs="Times New Roman"/>
          <w:color w:val="FF0000"/>
          <w:kern w:val="28"/>
        </w:rPr>
        <w:t>综上，本工程防沙治沙生态环境保护措施基本可行性。</w:t>
      </w:r>
    </w:p>
    <w:p>
      <w:pPr>
        <w:pStyle w:val="694"/>
        <w:spacing w:line="460" w:lineRule="exact"/>
        <w:ind w:firstLine="480"/>
        <w:rPr>
          <w:rFonts w:ascii="Times New Roman" w:hAnsi="Times New Roman" w:cs="Times New Roman"/>
          <w:color w:val="FF0000"/>
          <w:kern w:val="28"/>
        </w:rPr>
      </w:pPr>
      <w:r>
        <w:rPr>
          <w:rFonts w:hint="eastAsia" w:ascii="Times New Roman" w:hAnsi="Times New Roman" w:cs="Times New Roman"/>
          <w:color w:val="FF0000"/>
          <w:kern w:val="28"/>
        </w:rPr>
        <w:t>（</w:t>
      </w:r>
      <w:r>
        <w:rPr>
          <w:rFonts w:ascii="Times New Roman" w:hAnsi="Times New Roman" w:cs="Times New Roman"/>
          <w:color w:val="FF0000"/>
          <w:kern w:val="28"/>
        </w:rPr>
        <w:t>3</w:t>
      </w:r>
      <w:r>
        <w:rPr>
          <w:rFonts w:hint="eastAsia" w:ascii="Times New Roman" w:hAnsi="Times New Roman" w:cs="Times New Roman"/>
          <w:color w:val="FF0000"/>
          <w:kern w:val="28"/>
        </w:rPr>
        <w:t>）防沙治沙生态环境保护措施的有效性</w:t>
      </w:r>
    </w:p>
    <w:p>
      <w:pPr>
        <w:pStyle w:val="494"/>
        <w:ind w:firstLine="480"/>
        <w:rPr>
          <w:color w:val="FF0000"/>
        </w:rPr>
      </w:pPr>
      <w:r>
        <w:rPr>
          <w:rFonts w:hint="eastAsia"/>
          <w:color w:val="FF0000"/>
          <w:kern w:val="28"/>
        </w:rPr>
        <w:t>本工程建设将与其他相关防沙治沙生态措施系统配套，充分发挥填平补齐和引导带动的作用。因此，通过实施本工程防沙治沙措施，可有效保护区域内天然荒漠植被，增加林草覆盖度，在本工程影响区域外围形成防风固沙绿色屏障，有效遏制沙化面积扩大的趋势，维护绿洲生态安全，减轻工程区域沙尘和浮尘等自然灾害。生态环境的有效改善也为野生动物栖息、繁衍、生长创造了条件，提高生物多样性。本工程严格控制永久占地及临时占地，进而达到抑制土地沙化扩展趋势，降低沙尘发生的物质基础。本工程建设过程各项防沙治沙措施使区域小气候得到进一步改善。同时，通过新建和完善工程区内部防沙治沙设施，可减少水资源浪费，提高区域用水利用率，从而保护生态用水量，为区域生态建设和南部绿洲人居环境质量改善提供有利影响，促进生态建设的发展，逐步形成经济发展和生态改善的良性循环。</w:t>
      </w:r>
    </w:p>
    <w:p>
      <w:pPr>
        <w:pStyle w:val="494"/>
        <w:ind w:firstLine="480"/>
        <w:rPr>
          <w:color w:val="FF0000"/>
        </w:rPr>
      </w:pPr>
      <w:r>
        <w:rPr>
          <w:color w:val="FF0000"/>
        </w:rPr>
        <w:t>5</w:t>
      </w:r>
      <w:r>
        <w:rPr>
          <w:rFonts w:hint="eastAsia"/>
          <w:color w:val="FF0000"/>
        </w:rPr>
        <w:t>、生态环境影响评价结论</w:t>
      </w:r>
    </w:p>
    <w:p>
      <w:pPr>
        <w:pStyle w:val="494"/>
        <w:ind w:firstLine="480"/>
        <w:rPr>
          <w:color w:val="FF0000"/>
        </w:rPr>
      </w:pPr>
      <w:r>
        <w:rPr>
          <w:rFonts w:hint="eastAsia"/>
          <w:color w:val="FF0000"/>
        </w:rPr>
        <w:t>项目建设后，区域内动植物的种类和数量基本不受影响，生物量的减少程度对区域生态系统稳定性的影响可以承受；项目建成后随着场地地面的硬化、项目区内绿化的完成可有效防止水土流失，运营期不会加重水土流失情况；评价范围内的植被和动物均为当地常见和广布种，虽然受到运营期人为扰动的影响，但不会使整个区域动植物群落的种类组成发生明显变化，也不会造成某一动植物物种的消失。</w:t>
      </w:r>
    </w:p>
    <w:bookmarkEnd w:id="366"/>
    <w:p>
      <w:pPr>
        <w:pStyle w:val="4"/>
        <w:spacing w:before="120" w:after="120"/>
      </w:pPr>
      <w:bookmarkStart w:id="368" w:name="_Toc145580433"/>
      <w:r>
        <w:rPr>
          <w:rFonts w:hint="eastAsia"/>
        </w:rPr>
        <w:t>5.</w:t>
      </w:r>
      <w:r>
        <w:t>3</w:t>
      </w:r>
      <w:r>
        <w:rPr>
          <w:rFonts w:hint="eastAsia"/>
        </w:rPr>
        <w:t xml:space="preserve"> 退役期环境影响分析与评价</w:t>
      </w:r>
      <w:bookmarkEnd w:id="368"/>
    </w:p>
    <w:p>
      <w:pPr>
        <w:pStyle w:val="5"/>
        <w:spacing w:before="120" w:after="120"/>
      </w:pPr>
      <w:bookmarkStart w:id="369" w:name="_Toc145580434"/>
      <w:r>
        <w:rPr>
          <w:rFonts w:hint="eastAsia"/>
        </w:rPr>
        <w:t>5</w:t>
      </w:r>
      <w:r>
        <w:t>.3.1</w:t>
      </w:r>
      <w:r>
        <w:rPr>
          <w:rFonts w:hint="eastAsia"/>
        </w:rPr>
        <w:t>退役期生态环境影响分析</w:t>
      </w:r>
      <w:bookmarkEnd w:id="369"/>
    </w:p>
    <w:p>
      <w:pPr>
        <w:pStyle w:val="494"/>
        <w:ind w:firstLine="480"/>
      </w:pPr>
      <w:r>
        <w:rPr>
          <w:rFonts w:hint="eastAsia"/>
        </w:rPr>
        <w:t>本项目建设主要用于处置油田伴生气，随着油田开采年限增加，储量逐渐下降，本项目天然气处理站最终将进入退役期。退役期内，各种机械设备停用，工作人员陆续撤离，大气污染物、废水、噪声及固体废物等对环境的影响将会逐步消失。</w:t>
      </w:r>
    </w:p>
    <w:p>
      <w:pPr>
        <w:pStyle w:val="494"/>
        <w:ind w:firstLine="480"/>
      </w:pPr>
      <w:r>
        <w:rPr>
          <w:rFonts w:hint="eastAsia"/>
        </w:rPr>
        <w:t>退役期对建设区域构筑物及设备进行拆除，对占用的土地进行植被恢复，并立警示标志。</w:t>
      </w:r>
    </w:p>
    <w:p>
      <w:pPr>
        <w:pStyle w:val="494"/>
        <w:ind w:firstLine="480"/>
      </w:pPr>
      <w:r>
        <w:rPr>
          <w:rFonts w:hint="eastAsia"/>
        </w:rPr>
        <w:t>退役期将会产生少量扬尘、部分废弃建筑残渣等固体废物，对这些废弃残渣等进行集中清理收集，废弃建筑残渣运至附近建筑垃圾填埋场填埋处理。固体废物的妥善处理，可以有效控制对区域环境的影响。</w:t>
      </w:r>
    </w:p>
    <w:p>
      <w:pPr>
        <w:pStyle w:val="494"/>
        <w:ind w:firstLine="480"/>
      </w:pPr>
      <w:r>
        <w:rPr>
          <w:rFonts w:hint="eastAsia"/>
        </w:rPr>
        <w:t>项目区经过清理后，永久性占地范围内的水泥平台被清理，植被进行恢复，使占地恢复到与周边生态环境相协调的一种状态。气田设施退役后，人员撤离，区域内没有了人为的扰动，项目区范围内的自然植被会逐渐得以恢复，有助于区域生态环境的改善。</w:t>
      </w:r>
    </w:p>
    <w:p>
      <w:pPr>
        <w:pStyle w:val="494"/>
        <w:ind w:firstLine="480"/>
      </w:pPr>
      <w:r>
        <w:rPr>
          <w:rFonts w:hint="eastAsia"/>
        </w:rPr>
        <w:t>通过采取以上措施，可使退役期生态环境影响降到最低。</w:t>
      </w:r>
    </w:p>
    <w:p>
      <w:pPr>
        <w:pStyle w:val="5"/>
        <w:spacing w:before="120" w:after="120"/>
      </w:pPr>
      <w:bookmarkStart w:id="370" w:name="_Toc145580435"/>
      <w:r>
        <w:rPr>
          <w:rFonts w:hint="eastAsia"/>
        </w:rPr>
        <w:t>5</w:t>
      </w:r>
      <w:r>
        <w:t>.3.2</w:t>
      </w:r>
      <w:r>
        <w:rPr>
          <w:rFonts w:hint="eastAsia"/>
        </w:rPr>
        <w:t>退役期大气环境影响分析</w:t>
      </w:r>
      <w:bookmarkEnd w:id="370"/>
    </w:p>
    <w:p>
      <w:pPr>
        <w:pStyle w:val="494"/>
        <w:ind w:firstLine="480"/>
      </w:pPr>
      <w:r>
        <w:rPr>
          <w:rFonts w:hint="eastAsia"/>
        </w:rPr>
        <w:t>项目退役后各种相关辅助工作均停止，造成的环境空气污染源将消失，设备停止后将进行一系列清理工作，包括地面设施拆除、迹地恢复等，将会产生少量扬尘。与当地自然条件导致的风沙相比较，清理过程中扬尘造成的环境影响是暂时的，且该区域内活动人群较少，主要为场地清理的工作人员。</w:t>
      </w:r>
    </w:p>
    <w:p>
      <w:pPr>
        <w:pStyle w:val="5"/>
        <w:spacing w:before="120" w:after="120"/>
      </w:pPr>
      <w:bookmarkStart w:id="371" w:name="_Toc145580436"/>
      <w:r>
        <w:rPr>
          <w:rFonts w:hint="eastAsia"/>
        </w:rPr>
        <w:t>5</w:t>
      </w:r>
      <w:r>
        <w:t>.3.3</w:t>
      </w:r>
      <w:r>
        <w:rPr>
          <w:rFonts w:hint="eastAsia"/>
        </w:rPr>
        <w:t>退役期声环境影响分析</w:t>
      </w:r>
      <w:bookmarkEnd w:id="371"/>
    </w:p>
    <w:p>
      <w:pPr>
        <w:pStyle w:val="494"/>
        <w:ind w:firstLine="480"/>
      </w:pPr>
      <w:r>
        <w:rPr>
          <w:rFonts w:hint="eastAsia"/>
        </w:rPr>
        <w:t>气井进入退役期时，噪声源主要源自设备拆卸，由于区内声环境影响评价范围内没有居民点，因此，不会产生噪声扰民问题。</w:t>
      </w:r>
    </w:p>
    <w:p>
      <w:pPr>
        <w:pStyle w:val="4"/>
        <w:spacing w:before="120" w:after="120"/>
        <w:rPr>
          <w:color w:val="FF0000"/>
        </w:rPr>
      </w:pPr>
      <w:bookmarkStart w:id="372" w:name="_Toc145580437"/>
      <w:r>
        <w:rPr>
          <w:rFonts w:hint="eastAsia"/>
          <w:color w:val="FF0000"/>
        </w:rPr>
        <w:t>5.</w:t>
      </w:r>
      <w:r>
        <w:rPr>
          <w:color w:val="FF0000"/>
        </w:rPr>
        <w:t>4</w:t>
      </w:r>
      <w:r>
        <w:rPr>
          <w:rFonts w:hint="eastAsia"/>
          <w:color w:val="FF0000"/>
        </w:rPr>
        <w:t xml:space="preserve"> </w:t>
      </w:r>
      <w:r>
        <w:rPr>
          <w:color w:val="FF0000"/>
        </w:rPr>
        <w:t>环境风险分析</w:t>
      </w:r>
      <w:bookmarkEnd w:id="361"/>
      <w:bookmarkEnd w:id="372"/>
    </w:p>
    <w:p>
      <w:pPr>
        <w:pStyle w:val="5"/>
        <w:spacing w:before="120" w:after="120"/>
        <w:rPr>
          <w:color w:val="FF0000"/>
          <w:spacing w:val="0"/>
        </w:rPr>
      </w:pPr>
      <w:bookmarkStart w:id="373" w:name="_Toc107500396"/>
      <w:bookmarkStart w:id="374" w:name="_Toc145580438"/>
      <w:bookmarkStart w:id="375" w:name="_Toc390713439"/>
      <w:r>
        <w:rPr>
          <w:rFonts w:hint="eastAsia"/>
          <w:color w:val="FF0000"/>
          <w:spacing w:val="0"/>
        </w:rPr>
        <w:t>5.</w:t>
      </w:r>
      <w:r>
        <w:rPr>
          <w:color w:val="FF0000"/>
          <w:spacing w:val="0"/>
        </w:rPr>
        <w:t>4.1</w:t>
      </w:r>
      <w:r>
        <w:rPr>
          <w:rFonts w:hint="eastAsia"/>
          <w:color w:val="FF0000"/>
          <w:spacing w:val="0"/>
        </w:rPr>
        <w:t>概述</w:t>
      </w:r>
      <w:bookmarkEnd w:id="373"/>
      <w:bookmarkEnd w:id="374"/>
    </w:p>
    <w:bookmarkEnd w:id="375"/>
    <w:p>
      <w:pPr>
        <w:pStyle w:val="494"/>
        <w:ind w:firstLine="480"/>
        <w:rPr>
          <w:color w:val="FF0000"/>
        </w:rPr>
      </w:pPr>
      <w:bookmarkStart w:id="376" w:name="_Toc32513"/>
      <w:bookmarkStart w:id="377" w:name="_Toc20167"/>
      <w:bookmarkStart w:id="378" w:name="_Toc8930"/>
      <w:bookmarkStart w:id="379" w:name="_Toc477542422"/>
      <w:bookmarkStart w:id="380" w:name="_Toc3567"/>
      <w:bookmarkStart w:id="381" w:name="_Toc653"/>
      <w:bookmarkStart w:id="382" w:name="_Toc448920648"/>
      <w:bookmarkStart w:id="383" w:name="_Toc668"/>
      <w:bookmarkStart w:id="384" w:name="_Toc433814562"/>
      <w:bookmarkStart w:id="385" w:name="_Toc485196113"/>
      <w:bookmarkStart w:id="386" w:name="_Toc398849230"/>
      <w:bookmarkStart w:id="387" w:name="_Toc483733168"/>
      <w:r>
        <w:rPr>
          <w:color w:val="FF0000"/>
        </w:rPr>
        <w:t>环境风险是指突发性事故造成的重大环境污染的事件，其特点是危害大、影响范围广、发生概率具有很大的不确定性。环境风险评价的目的是分析和预测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pPr>
        <w:pStyle w:val="494"/>
        <w:ind w:firstLine="480"/>
        <w:rPr>
          <w:color w:val="FF0000"/>
        </w:rPr>
      </w:pPr>
      <w:r>
        <w:rPr>
          <w:color w:val="FF0000"/>
        </w:rPr>
        <w:t>本次风险评价以《建设项目环境风险评价技术导则》（HJ169-2018）为指导，按照《关于进一步加强环境影响评价管理防范环境风险的通知》环发[2012]77号的原则，对本项目进行风险识别、源项分析和风险影响分析，从环境风险源、扩散途径、保护目标三方面识别环境风险，提出风险防范措施，为环境管理提供资料和依据，达到降低</w:t>
      </w:r>
      <w:r>
        <w:rPr>
          <w:rFonts w:hint="eastAsia"/>
          <w:color w:val="FF0000"/>
        </w:rPr>
        <w:t>风险</w:t>
      </w:r>
      <w:r>
        <w:rPr>
          <w:color w:val="FF0000"/>
        </w:rPr>
        <w:t>的目的。</w:t>
      </w:r>
    </w:p>
    <w:p>
      <w:pPr>
        <w:pStyle w:val="5"/>
        <w:spacing w:before="120" w:after="120"/>
        <w:rPr>
          <w:spacing w:val="0"/>
        </w:rPr>
      </w:pPr>
      <w:bookmarkStart w:id="388" w:name="_Toc145580439"/>
      <w:bookmarkStart w:id="389" w:name="_Toc107500397"/>
      <w:r>
        <w:rPr>
          <w:rFonts w:hint="eastAsia"/>
          <w:spacing w:val="0"/>
        </w:rPr>
        <w:t>5.</w:t>
      </w:r>
      <w:r>
        <w:rPr>
          <w:spacing w:val="0"/>
        </w:rPr>
        <w:t>4.</w:t>
      </w:r>
      <w:r>
        <w:rPr>
          <w:rFonts w:hint="eastAsia"/>
          <w:spacing w:val="0"/>
        </w:rPr>
        <w:t>2风险调查</w:t>
      </w:r>
      <w:bookmarkEnd w:id="388"/>
      <w:bookmarkEnd w:id="389"/>
    </w:p>
    <w:p>
      <w:pPr>
        <w:pStyle w:val="494"/>
        <w:ind w:firstLine="480"/>
        <w:rPr>
          <w:color w:val="FF0000"/>
        </w:rPr>
      </w:pPr>
      <w:bookmarkStart w:id="390" w:name="_Hlk147593876"/>
      <w:r>
        <w:rPr>
          <w:rFonts w:hint="eastAsia"/>
          <w:color w:val="FF0000"/>
        </w:rPr>
        <w:t>1、建设项目风险源调查</w:t>
      </w:r>
    </w:p>
    <w:p>
      <w:pPr>
        <w:pStyle w:val="494"/>
        <w:ind w:firstLine="480"/>
        <w:rPr>
          <w:color w:val="FF0000"/>
        </w:rPr>
      </w:pPr>
      <w:r>
        <w:rPr>
          <w:color w:val="FF0000"/>
        </w:rPr>
        <w:t>本项目运营期涉及的风险物质为混烃（主要成分为</w:t>
      </w:r>
      <w:r>
        <w:rPr>
          <w:rFonts w:hint="eastAsia"/>
          <w:color w:val="FF0000"/>
        </w:rPr>
        <w:t>乙烷、</w:t>
      </w:r>
      <w:r>
        <w:rPr>
          <w:color w:val="FF0000"/>
        </w:rPr>
        <w:t>丁烷、丙烷）、天然气（主要成分为甲烷）</w:t>
      </w:r>
      <w:r>
        <w:rPr>
          <w:rFonts w:hint="eastAsia"/>
          <w:color w:val="FF0000"/>
        </w:rPr>
        <w:t>以及废润滑油</w:t>
      </w:r>
      <w:r>
        <w:rPr>
          <w:color w:val="FF0000"/>
        </w:rPr>
        <w:t>。风险区域主要集中在天然气运输罐车、储罐区</w:t>
      </w:r>
      <w:r>
        <w:rPr>
          <w:rFonts w:hint="eastAsia"/>
          <w:color w:val="FF0000"/>
        </w:rPr>
        <w:t>及危废暂存间</w:t>
      </w:r>
      <w:r>
        <w:rPr>
          <w:color w:val="FF0000"/>
        </w:rPr>
        <w:t>。因此风险调查主要考虑天然气运输罐车、储罐区的2座混烃储罐及生产工艺设备。</w:t>
      </w:r>
    </w:p>
    <w:p>
      <w:pPr>
        <w:pStyle w:val="494"/>
        <w:ind w:firstLine="480"/>
        <w:rPr>
          <w:color w:val="FF0000"/>
        </w:rPr>
      </w:pPr>
      <w:r>
        <w:rPr>
          <w:rFonts w:hint="eastAsia"/>
          <w:color w:val="FF0000"/>
        </w:rPr>
        <w:t>2、环境风险潜势初判</w:t>
      </w:r>
    </w:p>
    <w:p>
      <w:pPr>
        <w:pStyle w:val="494"/>
        <w:ind w:firstLine="480"/>
        <w:rPr>
          <w:color w:val="FF0000"/>
        </w:rPr>
      </w:pPr>
      <w:r>
        <w:rPr>
          <w:rFonts w:hint="eastAsia"/>
          <w:color w:val="FF0000"/>
        </w:rPr>
        <w:t>（1）危险物质数量与临界量比值（Q）</w:t>
      </w:r>
    </w:p>
    <w:p>
      <w:pPr>
        <w:pStyle w:val="494"/>
        <w:ind w:firstLine="480"/>
        <w:rPr>
          <w:color w:val="FF0000"/>
        </w:rPr>
      </w:pPr>
      <w:r>
        <w:rPr>
          <w:rFonts w:hint="eastAsia"/>
          <w:color w:val="FF0000"/>
        </w:rPr>
        <w:t>根据《建设项目环境风险评价技术导则》（</w:t>
      </w:r>
      <w:r>
        <w:rPr>
          <w:color w:val="FF0000"/>
        </w:rPr>
        <w:t>HJ169-2018</w:t>
      </w:r>
      <w:r>
        <w:rPr>
          <w:rFonts w:hint="eastAsia"/>
          <w:color w:val="FF0000"/>
        </w:rPr>
        <w:t>）和《危险化学品重大危险源辨识》（</w:t>
      </w:r>
      <w:r>
        <w:rPr>
          <w:color w:val="FF0000"/>
        </w:rPr>
        <w:t>GB18218-2018</w:t>
      </w:r>
      <w:r>
        <w:rPr>
          <w:rFonts w:hint="eastAsia"/>
          <w:color w:val="FF0000"/>
        </w:rPr>
        <w:t>），危险化学品重大危险源是指“长期地或临时地生产、加工、搬运、使用或储存危险化学品，且危险化学品的数量等于或超过临界量的单元”。计算所涉及的每种危险物质在厂界内的最大存在总量与其在附录</w:t>
      </w:r>
      <w:r>
        <w:rPr>
          <w:color w:val="FF0000"/>
        </w:rPr>
        <w:t>B</w:t>
      </w:r>
      <w:r>
        <w:rPr>
          <w:rFonts w:hint="eastAsia"/>
          <w:color w:val="FF0000"/>
        </w:rPr>
        <w:t>中对应临界量的比值</w:t>
      </w:r>
      <w:r>
        <w:rPr>
          <w:i/>
          <w:iCs/>
          <w:color w:val="FF0000"/>
        </w:rPr>
        <w:t>Q</w:t>
      </w:r>
      <w:r>
        <w:rPr>
          <w:rFonts w:hint="eastAsia"/>
          <w:color w:val="FF0000"/>
        </w:rPr>
        <w:t>。在不同厂区的同一种物质，按其在厂界内的最大存在总量计算。对于长输管线项目，按照两个截断阀室之间管段危险物质最大存在总量计算。单元内存在的危险化学品的数量根据处理危险化学品的多少，区分为以下两种情况：</w:t>
      </w:r>
    </w:p>
    <w:p>
      <w:pPr>
        <w:pStyle w:val="494"/>
        <w:ind w:firstLine="480"/>
        <w:rPr>
          <w:color w:val="FF0000"/>
        </w:rPr>
      </w:pPr>
      <w:r>
        <w:rPr>
          <w:rFonts w:hint="eastAsia"/>
          <w:color w:val="FF0000"/>
        </w:rPr>
        <w:t>①当只涉及一种危险物质时，计算该物质的总量与其临界量比值，即为</w:t>
      </w:r>
      <w:r>
        <w:rPr>
          <w:i/>
          <w:iCs/>
          <w:color w:val="FF0000"/>
        </w:rPr>
        <w:t>Q</w:t>
      </w:r>
      <w:r>
        <w:rPr>
          <w:rFonts w:hint="eastAsia"/>
          <w:color w:val="FF0000"/>
        </w:rPr>
        <w:t>；</w:t>
      </w:r>
    </w:p>
    <w:p>
      <w:pPr>
        <w:pStyle w:val="494"/>
        <w:ind w:firstLine="480"/>
        <w:rPr>
          <w:color w:val="FF0000"/>
        </w:rPr>
      </w:pPr>
      <w:r>
        <w:rPr>
          <w:rFonts w:hint="eastAsia"/>
          <w:color w:val="FF0000"/>
        </w:rPr>
        <w:t>②当存在多种危险物质时，则按下式计算物质总量与其临界量比值（</w:t>
      </w:r>
      <w:r>
        <w:rPr>
          <w:i/>
          <w:iCs/>
          <w:color w:val="FF0000"/>
        </w:rPr>
        <w:t>Q</w:t>
      </w:r>
      <w:r>
        <w:rPr>
          <w:rFonts w:hint="eastAsia"/>
          <w:color w:val="FF0000"/>
        </w:rPr>
        <w:t>）：</w:t>
      </w:r>
    </w:p>
    <w:p>
      <w:pPr>
        <w:pStyle w:val="494"/>
        <w:spacing w:line="360" w:lineRule="auto"/>
        <w:ind w:firstLine="480"/>
        <w:rPr>
          <w:i/>
          <w:color w:val="FF0000"/>
        </w:rPr>
      </w:pPr>
      <m:oMathPara>
        <m:oMath>
          <m:r>
            <m:rPr/>
            <w:rPr>
              <w:rFonts w:ascii="Cambria Math" w:hAnsi="Cambria Math"/>
              <w:color w:val="FF0000"/>
            </w:rPr>
            <m:t>Q=</m:t>
          </m:r>
          <m:f>
            <m:fPr>
              <m:ctrlPr>
                <w:rPr>
                  <w:rFonts w:ascii="Cambria Math" w:hAnsi="Cambria Math"/>
                  <w:i/>
                  <w:color w:val="FF0000"/>
                </w:rPr>
              </m:ctrlPr>
            </m:fPr>
            <m:num>
              <m:sSub>
                <m:sSubPr>
                  <m:ctrlPr>
                    <w:rPr>
                      <w:rFonts w:ascii="Cambria Math" w:hAnsi="Cambria Math"/>
                      <w:i/>
                      <w:color w:val="FF0000"/>
                    </w:rPr>
                  </m:ctrlPr>
                </m:sSubPr>
                <m:e>
                  <m:r>
                    <m:rPr/>
                    <w:rPr>
                      <w:rFonts w:ascii="Cambria Math" w:hAnsi="Cambria Math"/>
                      <w:color w:val="FF0000"/>
                    </w:rPr>
                    <m:t>q</m:t>
                  </m:r>
                  <m:ctrlPr>
                    <w:rPr>
                      <w:rFonts w:ascii="Cambria Math" w:hAnsi="Cambria Math"/>
                      <w:i/>
                      <w:color w:val="FF0000"/>
                    </w:rPr>
                  </m:ctrlPr>
                </m:e>
                <m:sub>
                  <m:r>
                    <m:rPr/>
                    <w:rPr>
                      <w:rFonts w:ascii="Cambria Math" w:hAnsi="Cambria Math"/>
                      <w:color w:val="FF0000"/>
                    </w:rPr>
                    <m:t>1</m:t>
                  </m:r>
                  <m:ctrlPr>
                    <w:rPr>
                      <w:rFonts w:ascii="Cambria Math" w:hAnsi="Cambria Math"/>
                      <w:i/>
                      <w:color w:val="FF0000"/>
                    </w:rPr>
                  </m:ctrlPr>
                </m:sub>
              </m:sSub>
              <m:ctrlPr>
                <w:rPr>
                  <w:rFonts w:ascii="Cambria Math" w:hAnsi="Cambria Math"/>
                  <w:i/>
                  <w:color w:val="FF0000"/>
                </w:rPr>
              </m:ctrlPr>
            </m:num>
            <m:den>
              <m:sSub>
                <m:sSubPr>
                  <m:ctrlPr>
                    <w:rPr>
                      <w:rFonts w:ascii="Cambria Math" w:hAnsi="Cambria Math"/>
                      <w:i/>
                      <w:color w:val="FF0000"/>
                    </w:rPr>
                  </m:ctrlPr>
                </m:sSubPr>
                <m:e>
                  <m:r>
                    <m:rPr/>
                    <w:rPr>
                      <w:rFonts w:ascii="Cambria Math" w:hAnsi="Cambria Math"/>
                      <w:color w:val="FF0000"/>
                    </w:rPr>
                    <m:t>Q</m:t>
                  </m:r>
                  <m:ctrlPr>
                    <w:rPr>
                      <w:rFonts w:ascii="Cambria Math" w:hAnsi="Cambria Math"/>
                      <w:i/>
                      <w:color w:val="FF0000"/>
                    </w:rPr>
                  </m:ctrlPr>
                </m:e>
                <m:sub>
                  <m:r>
                    <m:rPr/>
                    <w:rPr>
                      <w:rFonts w:ascii="Cambria Math" w:hAnsi="Cambria Math"/>
                      <w:color w:val="FF0000"/>
                    </w:rPr>
                    <m:t>1</m:t>
                  </m:r>
                  <m:ctrlPr>
                    <w:rPr>
                      <w:rFonts w:ascii="Cambria Math" w:hAnsi="Cambria Math"/>
                      <w:i/>
                      <w:color w:val="FF0000"/>
                    </w:rPr>
                  </m:ctrlPr>
                </m:sub>
              </m:sSub>
              <m:ctrlPr>
                <w:rPr>
                  <w:rFonts w:ascii="Cambria Math" w:hAnsi="Cambria Math"/>
                  <w:i/>
                  <w:color w:val="FF0000"/>
                </w:rPr>
              </m:ctrlPr>
            </m:den>
          </m:f>
          <m:r>
            <m:rPr/>
            <w:rPr>
              <w:rFonts w:ascii="Cambria Math" w:hAnsi="Cambria Math"/>
              <w:color w:val="FF0000"/>
            </w:rPr>
            <m:t>+</m:t>
          </m:r>
          <m:f>
            <m:fPr>
              <m:ctrlPr>
                <w:rPr>
                  <w:rFonts w:ascii="Cambria Math" w:hAnsi="Cambria Math"/>
                  <w:i/>
                  <w:color w:val="FF0000"/>
                </w:rPr>
              </m:ctrlPr>
            </m:fPr>
            <m:num>
              <m:sSub>
                <m:sSubPr>
                  <m:ctrlPr>
                    <w:rPr>
                      <w:rFonts w:ascii="Cambria Math" w:hAnsi="Cambria Math"/>
                      <w:i/>
                      <w:color w:val="FF0000"/>
                    </w:rPr>
                  </m:ctrlPr>
                </m:sSubPr>
                <m:e>
                  <m:r>
                    <m:rPr/>
                    <w:rPr>
                      <w:rFonts w:ascii="Cambria Math" w:hAnsi="Cambria Math"/>
                      <w:color w:val="FF0000"/>
                    </w:rPr>
                    <m:t>q</m:t>
                  </m:r>
                  <m:ctrlPr>
                    <w:rPr>
                      <w:rFonts w:ascii="Cambria Math" w:hAnsi="Cambria Math"/>
                      <w:i/>
                      <w:color w:val="FF0000"/>
                    </w:rPr>
                  </m:ctrlPr>
                </m:e>
                <m:sub>
                  <m:r>
                    <m:rPr/>
                    <w:rPr>
                      <w:rFonts w:ascii="Cambria Math" w:hAnsi="Cambria Math"/>
                      <w:color w:val="FF0000"/>
                    </w:rPr>
                    <m:t>2</m:t>
                  </m:r>
                  <m:ctrlPr>
                    <w:rPr>
                      <w:rFonts w:ascii="Cambria Math" w:hAnsi="Cambria Math"/>
                      <w:i/>
                      <w:color w:val="FF0000"/>
                    </w:rPr>
                  </m:ctrlPr>
                </m:sub>
              </m:sSub>
              <m:ctrlPr>
                <w:rPr>
                  <w:rFonts w:ascii="Cambria Math" w:hAnsi="Cambria Math"/>
                  <w:i/>
                  <w:color w:val="FF0000"/>
                </w:rPr>
              </m:ctrlPr>
            </m:num>
            <m:den>
              <m:sSub>
                <m:sSubPr>
                  <m:ctrlPr>
                    <w:rPr>
                      <w:rFonts w:ascii="Cambria Math" w:hAnsi="Cambria Math"/>
                      <w:i/>
                      <w:color w:val="FF0000"/>
                    </w:rPr>
                  </m:ctrlPr>
                </m:sSubPr>
                <m:e>
                  <m:r>
                    <m:rPr/>
                    <w:rPr>
                      <w:rFonts w:ascii="Cambria Math" w:hAnsi="Cambria Math"/>
                      <w:color w:val="FF0000"/>
                    </w:rPr>
                    <m:t>Q</m:t>
                  </m:r>
                  <m:ctrlPr>
                    <w:rPr>
                      <w:rFonts w:ascii="Cambria Math" w:hAnsi="Cambria Math"/>
                      <w:i/>
                      <w:color w:val="FF0000"/>
                    </w:rPr>
                  </m:ctrlPr>
                </m:e>
                <m:sub>
                  <m:r>
                    <m:rPr/>
                    <w:rPr>
                      <w:rFonts w:ascii="Cambria Math" w:hAnsi="Cambria Math"/>
                      <w:color w:val="FF0000"/>
                    </w:rPr>
                    <m:t>2</m:t>
                  </m:r>
                  <m:ctrlPr>
                    <w:rPr>
                      <w:rFonts w:ascii="Cambria Math" w:hAnsi="Cambria Math"/>
                      <w:i/>
                      <w:color w:val="FF0000"/>
                    </w:rPr>
                  </m:ctrlPr>
                </m:sub>
              </m:sSub>
              <m:ctrlPr>
                <w:rPr>
                  <w:rFonts w:ascii="Cambria Math" w:hAnsi="Cambria Math"/>
                  <w:i/>
                  <w:color w:val="FF0000"/>
                </w:rPr>
              </m:ctrlPr>
            </m:den>
          </m:f>
          <m:r>
            <m:rPr/>
            <w:rPr>
              <w:rFonts w:ascii="Cambria Math" w:hAnsi="Cambria Math"/>
              <w:color w:val="FF0000"/>
            </w:rPr>
            <m:t>+⋯+</m:t>
          </m:r>
          <m:f>
            <m:fPr>
              <m:ctrlPr>
                <w:rPr>
                  <w:rFonts w:ascii="Cambria Math" w:hAnsi="Cambria Math"/>
                  <w:i/>
                  <w:color w:val="FF0000"/>
                </w:rPr>
              </m:ctrlPr>
            </m:fPr>
            <m:num>
              <m:sSub>
                <m:sSubPr>
                  <m:ctrlPr>
                    <w:rPr>
                      <w:rFonts w:ascii="Cambria Math" w:hAnsi="Cambria Math"/>
                      <w:i/>
                      <w:color w:val="FF0000"/>
                    </w:rPr>
                  </m:ctrlPr>
                </m:sSubPr>
                <m:e>
                  <m:r>
                    <m:rPr/>
                    <w:rPr>
                      <w:rFonts w:ascii="Cambria Math" w:hAnsi="Cambria Math"/>
                      <w:color w:val="FF0000"/>
                    </w:rPr>
                    <m:t>q</m:t>
                  </m:r>
                  <m:ctrlPr>
                    <w:rPr>
                      <w:rFonts w:ascii="Cambria Math" w:hAnsi="Cambria Math"/>
                      <w:i/>
                      <w:color w:val="FF0000"/>
                    </w:rPr>
                  </m:ctrlPr>
                </m:e>
                <m:sub>
                  <m:r>
                    <m:rPr/>
                    <w:rPr>
                      <w:rFonts w:ascii="Cambria Math" w:hAnsi="Cambria Math"/>
                      <w:color w:val="FF0000"/>
                    </w:rPr>
                    <m:t>n</m:t>
                  </m:r>
                  <m:ctrlPr>
                    <w:rPr>
                      <w:rFonts w:ascii="Cambria Math" w:hAnsi="Cambria Math"/>
                      <w:i/>
                      <w:color w:val="FF0000"/>
                    </w:rPr>
                  </m:ctrlPr>
                </m:sub>
              </m:sSub>
              <m:ctrlPr>
                <w:rPr>
                  <w:rFonts w:ascii="Cambria Math" w:hAnsi="Cambria Math"/>
                  <w:i/>
                  <w:color w:val="FF0000"/>
                </w:rPr>
              </m:ctrlPr>
            </m:num>
            <m:den>
              <m:sSub>
                <m:sSubPr>
                  <m:ctrlPr>
                    <w:rPr>
                      <w:rFonts w:ascii="Cambria Math" w:hAnsi="Cambria Math"/>
                      <w:i/>
                      <w:color w:val="FF0000"/>
                    </w:rPr>
                  </m:ctrlPr>
                </m:sSubPr>
                <m:e>
                  <m:r>
                    <m:rPr/>
                    <w:rPr>
                      <w:rFonts w:ascii="Cambria Math" w:hAnsi="Cambria Math"/>
                      <w:color w:val="FF0000"/>
                    </w:rPr>
                    <m:t>Q</m:t>
                  </m:r>
                  <m:ctrlPr>
                    <w:rPr>
                      <w:rFonts w:ascii="Cambria Math" w:hAnsi="Cambria Math"/>
                      <w:i/>
                      <w:color w:val="FF0000"/>
                    </w:rPr>
                  </m:ctrlPr>
                </m:e>
                <m:sub>
                  <m:r>
                    <m:rPr/>
                    <w:rPr>
                      <w:rFonts w:ascii="Cambria Math" w:hAnsi="Cambria Math"/>
                      <w:color w:val="FF0000"/>
                    </w:rPr>
                    <m:t>n</m:t>
                  </m:r>
                  <m:ctrlPr>
                    <w:rPr>
                      <w:rFonts w:ascii="Cambria Math" w:hAnsi="Cambria Math"/>
                      <w:i/>
                      <w:color w:val="FF0000"/>
                    </w:rPr>
                  </m:ctrlPr>
                </m:sub>
              </m:sSub>
              <m:ctrlPr>
                <w:rPr>
                  <w:rFonts w:ascii="Cambria Math" w:hAnsi="Cambria Math"/>
                  <w:i/>
                  <w:color w:val="FF0000"/>
                </w:rPr>
              </m:ctrlPr>
            </m:den>
          </m:f>
        </m:oMath>
      </m:oMathPara>
    </w:p>
    <w:p>
      <w:pPr>
        <w:pStyle w:val="494"/>
        <w:ind w:firstLine="480"/>
        <w:rPr>
          <w:color w:val="FF0000"/>
        </w:rPr>
      </w:pPr>
      <w:r>
        <w:rPr>
          <w:rFonts w:hint="eastAsia"/>
          <w:color w:val="FF0000"/>
        </w:rPr>
        <w:t>式中：</w:t>
      </w:r>
      <w:r>
        <w:rPr>
          <w:i/>
          <w:iCs/>
          <w:color w:val="FF0000"/>
        </w:rPr>
        <w:t>q</w:t>
      </w:r>
      <w:r>
        <w:rPr>
          <w:i/>
          <w:iCs/>
          <w:color w:val="FF0000"/>
          <w:vertAlign w:val="subscript"/>
        </w:rPr>
        <w:t>1</w:t>
      </w:r>
      <w:r>
        <w:rPr>
          <w:rFonts w:hint="eastAsia"/>
          <w:color w:val="FF0000"/>
        </w:rPr>
        <w:t>，</w:t>
      </w:r>
      <w:r>
        <w:rPr>
          <w:i/>
          <w:iCs/>
          <w:color w:val="FF0000"/>
        </w:rPr>
        <w:t>q</w:t>
      </w:r>
      <w:r>
        <w:rPr>
          <w:i/>
          <w:iCs/>
          <w:color w:val="FF0000"/>
          <w:vertAlign w:val="subscript"/>
        </w:rPr>
        <w:t>2</w:t>
      </w:r>
      <w:r>
        <w:rPr>
          <w:rFonts w:hint="eastAsia"/>
          <w:color w:val="FF0000"/>
        </w:rPr>
        <w:t>，</w:t>
      </w:r>
      <w:r>
        <w:rPr>
          <w:color w:val="FF0000"/>
        </w:rPr>
        <w:t>...</w:t>
      </w:r>
      <w:r>
        <w:rPr>
          <w:rFonts w:hint="eastAsia"/>
          <w:color w:val="FF0000"/>
        </w:rPr>
        <w:t>，</w:t>
      </w:r>
      <w:r>
        <w:rPr>
          <w:i/>
          <w:iCs/>
          <w:color w:val="FF0000"/>
        </w:rPr>
        <w:t>q</w:t>
      </w:r>
      <w:r>
        <w:rPr>
          <w:i/>
          <w:iCs/>
          <w:color w:val="FF0000"/>
          <w:vertAlign w:val="subscript"/>
        </w:rPr>
        <w:t>n</w:t>
      </w:r>
      <w:r>
        <w:rPr>
          <w:rFonts w:hint="eastAsia"/>
          <w:color w:val="FF0000"/>
        </w:rPr>
        <w:t>——每种危险物质的最大总存在量，</w:t>
      </w:r>
      <w:r>
        <w:rPr>
          <w:color w:val="FF0000"/>
        </w:rPr>
        <w:t>t</w:t>
      </w:r>
      <w:r>
        <w:rPr>
          <w:rFonts w:hint="eastAsia"/>
          <w:color w:val="FF0000"/>
        </w:rPr>
        <w:t>；</w:t>
      </w:r>
    </w:p>
    <w:p>
      <w:pPr>
        <w:pStyle w:val="494"/>
        <w:ind w:firstLine="480"/>
        <w:rPr>
          <w:color w:val="FF0000"/>
        </w:rPr>
      </w:pPr>
      <w:r>
        <w:rPr>
          <w:rFonts w:hint="eastAsia"/>
          <w:i/>
          <w:iCs/>
          <w:color w:val="FF0000"/>
        </w:rPr>
        <w:t xml:space="preserve">      </w:t>
      </w:r>
      <w:r>
        <w:rPr>
          <w:i/>
          <w:iCs/>
          <w:color w:val="FF0000"/>
        </w:rPr>
        <w:t>Q</w:t>
      </w:r>
      <w:r>
        <w:rPr>
          <w:i/>
          <w:iCs/>
          <w:color w:val="FF0000"/>
          <w:vertAlign w:val="subscript"/>
        </w:rPr>
        <w:t>1</w:t>
      </w:r>
      <w:r>
        <w:rPr>
          <w:rFonts w:hint="eastAsia"/>
          <w:color w:val="FF0000"/>
        </w:rPr>
        <w:t>，</w:t>
      </w:r>
      <w:r>
        <w:rPr>
          <w:i/>
          <w:iCs/>
          <w:color w:val="FF0000"/>
        </w:rPr>
        <w:t>Q</w:t>
      </w:r>
      <w:r>
        <w:rPr>
          <w:i/>
          <w:iCs/>
          <w:color w:val="FF0000"/>
          <w:vertAlign w:val="subscript"/>
        </w:rPr>
        <w:t>2</w:t>
      </w:r>
      <w:r>
        <w:rPr>
          <w:rFonts w:hint="eastAsia"/>
          <w:color w:val="FF0000"/>
        </w:rPr>
        <w:t>，</w:t>
      </w:r>
      <w:r>
        <w:rPr>
          <w:color w:val="FF0000"/>
        </w:rPr>
        <w:t>...</w:t>
      </w:r>
      <w:r>
        <w:rPr>
          <w:rFonts w:hint="eastAsia"/>
          <w:color w:val="FF0000"/>
        </w:rPr>
        <w:t>，</w:t>
      </w:r>
      <w:r>
        <w:rPr>
          <w:i/>
          <w:iCs/>
          <w:color w:val="FF0000"/>
        </w:rPr>
        <w:t>Q</w:t>
      </w:r>
      <w:r>
        <w:rPr>
          <w:i/>
          <w:iCs/>
          <w:color w:val="FF0000"/>
          <w:vertAlign w:val="subscript"/>
        </w:rPr>
        <w:t>n</w:t>
      </w:r>
      <w:r>
        <w:rPr>
          <w:rFonts w:hint="eastAsia"/>
          <w:color w:val="FF0000"/>
        </w:rPr>
        <w:t>——每种危险物质的临界量，</w:t>
      </w:r>
      <w:r>
        <w:rPr>
          <w:color w:val="FF0000"/>
        </w:rPr>
        <w:t>t</w:t>
      </w:r>
      <w:r>
        <w:rPr>
          <w:rFonts w:hint="eastAsia"/>
          <w:color w:val="FF0000"/>
        </w:rPr>
        <w:t>；</w:t>
      </w:r>
    </w:p>
    <w:p>
      <w:pPr>
        <w:pStyle w:val="494"/>
        <w:ind w:firstLine="480"/>
        <w:rPr>
          <w:color w:val="FF0000"/>
        </w:rPr>
      </w:pPr>
      <w:r>
        <w:rPr>
          <w:rFonts w:hint="eastAsia"/>
          <w:color w:val="FF0000"/>
        </w:rPr>
        <w:t xml:space="preserve">     当</w:t>
      </w:r>
      <w:r>
        <w:rPr>
          <w:i/>
          <w:iCs/>
          <w:color w:val="FF0000"/>
        </w:rPr>
        <w:t>Q</w:t>
      </w:r>
      <w:r>
        <w:rPr>
          <w:rFonts w:hint="eastAsia"/>
          <w:color w:val="FF0000"/>
        </w:rPr>
        <w:t>＜</w:t>
      </w:r>
      <w:r>
        <w:rPr>
          <w:color w:val="FF0000"/>
        </w:rPr>
        <w:t>1</w:t>
      </w:r>
      <w:r>
        <w:rPr>
          <w:rFonts w:hint="eastAsia"/>
          <w:color w:val="FF0000"/>
        </w:rPr>
        <w:t>时，该项目环境风险潜势为Ⅰ；</w:t>
      </w:r>
    </w:p>
    <w:p>
      <w:pPr>
        <w:pStyle w:val="494"/>
        <w:ind w:firstLine="480"/>
        <w:rPr>
          <w:color w:val="FF0000"/>
        </w:rPr>
      </w:pPr>
      <w:r>
        <w:rPr>
          <w:rFonts w:hint="eastAsia"/>
          <w:color w:val="FF0000"/>
        </w:rPr>
        <w:t xml:space="preserve">     当</w:t>
      </w:r>
      <w:r>
        <w:rPr>
          <w:i/>
          <w:iCs/>
          <w:color w:val="FF0000"/>
        </w:rPr>
        <w:t>Q</w:t>
      </w:r>
      <w:r>
        <w:rPr>
          <w:rFonts w:hint="eastAsia"/>
          <w:color w:val="FF0000"/>
        </w:rPr>
        <w:t>≥</w:t>
      </w:r>
      <w:r>
        <w:rPr>
          <w:color w:val="FF0000"/>
        </w:rPr>
        <w:t>1</w:t>
      </w:r>
      <w:r>
        <w:rPr>
          <w:rFonts w:hint="eastAsia"/>
          <w:color w:val="FF0000"/>
        </w:rPr>
        <w:t>时，将</w:t>
      </w:r>
      <w:r>
        <w:rPr>
          <w:i/>
          <w:iCs/>
          <w:color w:val="FF0000"/>
        </w:rPr>
        <w:t>Q</w:t>
      </w:r>
      <w:r>
        <w:rPr>
          <w:color w:val="FF0000"/>
        </w:rPr>
        <w:t xml:space="preserve"> </w:t>
      </w:r>
      <w:r>
        <w:rPr>
          <w:rFonts w:hint="eastAsia"/>
          <w:color w:val="FF0000"/>
        </w:rPr>
        <w:t>值划分为：（</w:t>
      </w:r>
      <w:r>
        <w:rPr>
          <w:color w:val="FF0000"/>
        </w:rPr>
        <w:t>1</w:t>
      </w:r>
      <w:r>
        <w:rPr>
          <w:rFonts w:hint="eastAsia"/>
          <w:color w:val="FF0000"/>
        </w:rPr>
        <w:t>）</w:t>
      </w:r>
      <w:r>
        <w:rPr>
          <w:color w:val="FF0000"/>
        </w:rPr>
        <w:t>1</w:t>
      </w:r>
      <w:r>
        <w:rPr>
          <w:rFonts w:hint="eastAsia"/>
          <w:color w:val="FF0000"/>
        </w:rPr>
        <w:t>≤</w:t>
      </w:r>
      <w:r>
        <w:rPr>
          <w:color w:val="FF0000"/>
        </w:rPr>
        <w:t>Q</w:t>
      </w:r>
      <w:r>
        <w:rPr>
          <w:rFonts w:hint="eastAsia"/>
          <w:color w:val="FF0000"/>
        </w:rPr>
        <w:t>＜</w:t>
      </w:r>
      <w:r>
        <w:rPr>
          <w:color w:val="FF0000"/>
        </w:rPr>
        <w:t>10</w:t>
      </w:r>
      <w:r>
        <w:rPr>
          <w:rFonts w:hint="eastAsia"/>
          <w:color w:val="FF0000"/>
        </w:rPr>
        <w:t>；（</w:t>
      </w:r>
      <w:r>
        <w:rPr>
          <w:color w:val="FF0000"/>
        </w:rPr>
        <w:t>2</w:t>
      </w:r>
      <w:r>
        <w:rPr>
          <w:rFonts w:hint="eastAsia"/>
          <w:color w:val="FF0000"/>
        </w:rPr>
        <w:t>）</w:t>
      </w:r>
      <w:r>
        <w:rPr>
          <w:color w:val="FF0000"/>
        </w:rPr>
        <w:t>10</w:t>
      </w:r>
      <w:r>
        <w:rPr>
          <w:rFonts w:hint="eastAsia"/>
          <w:color w:val="FF0000"/>
        </w:rPr>
        <w:t>≤</w:t>
      </w:r>
      <w:r>
        <w:rPr>
          <w:color w:val="FF0000"/>
        </w:rPr>
        <w:t>Q</w:t>
      </w:r>
      <w:r>
        <w:rPr>
          <w:rFonts w:hint="eastAsia"/>
          <w:color w:val="FF0000"/>
        </w:rPr>
        <w:t>＜</w:t>
      </w:r>
      <w:r>
        <w:rPr>
          <w:color w:val="FF0000"/>
        </w:rPr>
        <w:t>100</w:t>
      </w:r>
      <w:r>
        <w:rPr>
          <w:rFonts w:hint="eastAsia"/>
          <w:color w:val="FF0000"/>
        </w:rPr>
        <w:t>；（</w:t>
      </w:r>
      <w:r>
        <w:rPr>
          <w:color w:val="FF0000"/>
        </w:rPr>
        <w:t>3</w:t>
      </w:r>
      <w:r>
        <w:rPr>
          <w:rFonts w:hint="eastAsia"/>
          <w:color w:val="FF0000"/>
        </w:rPr>
        <w:t>）</w:t>
      </w:r>
      <w:r>
        <w:rPr>
          <w:i/>
          <w:iCs/>
          <w:color w:val="FF0000"/>
        </w:rPr>
        <w:t>Q</w:t>
      </w:r>
      <w:r>
        <w:rPr>
          <w:rFonts w:hint="eastAsia"/>
          <w:color w:val="FF0000"/>
        </w:rPr>
        <w:t>≥</w:t>
      </w:r>
      <w:r>
        <w:rPr>
          <w:color w:val="FF0000"/>
        </w:rPr>
        <w:t>100</w:t>
      </w:r>
      <w:r>
        <w:rPr>
          <w:rFonts w:hint="eastAsia"/>
          <w:color w:val="FF0000"/>
        </w:rPr>
        <w:t>。</w:t>
      </w:r>
    </w:p>
    <w:p>
      <w:pPr>
        <w:pStyle w:val="494"/>
        <w:ind w:firstLine="480"/>
        <w:rPr>
          <w:bCs/>
          <w:color w:val="FF0000"/>
        </w:rPr>
      </w:pPr>
      <w:r>
        <w:rPr>
          <w:bCs/>
          <w:color w:val="FF0000"/>
        </w:rPr>
        <w:t>本项目涉及《建设项目环境风险评价技术导则》（HJ169-2018）附录B中的危险物质，主要为天然气（主要成分为甲烷）、混烃（主要成分为</w:t>
      </w:r>
      <w:r>
        <w:rPr>
          <w:rFonts w:hint="eastAsia"/>
          <w:bCs/>
          <w:color w:val="FF0000"/>
        </w:rPr>
        <w:t>乙烷、</w:t>
      </w:r>
      <w:r>
        <w:rPr>
          <w:bCs/>
          <w:color w:val="FF0000"/>
        </w:rPr>
        <w:t>丙烷、丁烷），均在厂区不设置专用储存罐，天然气罐车装满后即可拉运（最大储存量为4t），混烃设置</w:t>
      </w:r>
      <w:r>
        <w:rPr>
          <w:rFonts w:hint="eastAsia"/>
          <w:bCs/>
          <w:color w:val="FF0000"/>
        </w:rPr>
        <w:t>了2个4</w:t>
      </w:r>
      <w:r>
        <w:rPr>
          <w:bCs/>
          <w:color w:val="FF0000"/>
        </w:rPr>
        <w:t>0</w:t>
      </w:r>
      <w:r>
        <w:rPr>
          <w:rFonts w:hint="eastAsia"/>
          <w:bCs/>
          <w:color w:val="FF0000"/>
        </w:rPr>
        <w:t>m</w:t>
      </w:r>
      <w:r>
        <w:rPr>
          <w:rFonts w:hint="eastAsia"/>
          <w:bCs/>
          <w:color w:val="FF0000"/>
          <w:vertAlign w:val="superscript"/>
        </w:rPr>
        <w:t>3</w:t>
      </w:r>
      <w:r>
        <w:rPr>
          <w:bCs/>
          <w:color w:val="FF0000"/>
        </w:rPr>
        <w:t>储罐装满后即可拉运（</w:t>
      </w:r>
      <w:r>
        <w:rPr>
          <w:rFonts w:hint="eastAsia"/>
          <w:bCs/>
          <w:color w:val="FF0000"/>
        </w:rPr>
        <w:t>根据提供资料，混烃比重为6</w:t>
      </w:r>
      <w:r>
        <w:rPr>
          <w:bCs/>
          <w:color w:val="FF0000"/>
        </w:rPr>
        <w:t>00</w:t>
      </w:r>
      <w:r>
        <w:rPr>
          <w:rFonts w:hint="eastAsia"/>
          <w:bCs/>
          <w:color w:val="FF0000"/>
        </w:rPr>
        <w:t>m</w:t>
      </w:r>
      <w:r>
        <w:rPr>
          <w:rFonts w:hint="eastAsia"/>
          <w:bCs/>
          <w:color w:val="FF0000"/>
          <w:vertAlign w:val="superscript"/>
        </w:rPr>
        <w:t>3</w:t>
      </w:r>
      <w:r>
        <w:rPr>
          <w:rFonts w:hint="eastAsia"/>
          <w:bCs/>
          <w:color w:val="FF0000"/>
        </w:rPr>
        <w:t>/t，</w:t>
      </w:r>
      <w:r>
        <w:rPr>
          <w:bCs/>
          <w:color w:val="FF0000"/>
        </w:rPr>
        <w:t>最大储存量为0.133t），本次环评按照罐车最大储存量进行核算，危险物质储存量与临界量比值见</w:t>
      </w:r>
      <w:r>
        <w:rPr>
          <w:rFonts w:hint="eastAsia"/>
          <w:bCs/>
          <w:color w:val="FF0000"/>
        </w:rPr>
        <w:t>下表。</w:t>
      </w:r>
    </w:p>
    <w:p>
      <w:pPr>
        <w:pStyle w:val="400"/>
        <w:ind w:firstLine="420"/>
        <w:rPr>
          <w:color w:val="FF0000"/>
        </w:rPr>
      </w:pPr>
      <w:r>
        <w:rPr>
          <w:rFonts w:hint="eastAsia"/>
          <w:color w:val="FF0000"/>
        </w:rPr>
        <w:t>表5</w:t>
      </w:r>
      <w:r>
        <w:rPr>
          <w:color w:val="FF0000"/>
        </w:rPr>
        <w:t xml:space="preserve">.3-1                </w:t>
      </w:r>
      <w:r>
        <w:rPr>
          <w:rFonts w:hint="eastAsia"/>
          <w:color w:val="FF0000"/>
        </w:rPr>
        <w:t xml:space="preserve">建设项目Q值确定表 </w:t>
      </w:r>
      <w:r>
        <w:rPr>
          <w:color w:val="FF0000"/>
        </w:rPr>
        <w:t xml:space="preserve">               </w:t>
      </w:r>
      <w:r>
        <w:rPr>
          <w:rFonts w:hint="eastAsia"/>
          <w:color w:val="FF0000"/>
        </w:rPr>
        <w:t>单位：t</w:t>
      </w:r>
    </w:p>
    <w:tbl>
      <w:tblPr>
        <w:tblStyle w:val="55"/>
        <w:tblW w:w="48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300"/>
        <w:gridCol w:w="1895"/>
        <w:gridCol w:w="1911"/>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7"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物质名称</w:t>
            </w:r>
          </w:p>
        </w:tc>
        <w:tc>
          <w:tcPr>
            <w:tcW w:w="1184"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 xml:space="preserve">临界量（Qi） </w:t>
            </w:r>
          </w:p>
        </w:tc>
        <w:tc>
          <w:tcPr>
            <w:tcW w:w="1194"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存在量（qi）</w:t>
            </w:r>
          </w:p>
        </w:tc>
        <w:tc>
          <w:tcPr>
            <w:tcW w:w="1185"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qi/Qi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7"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甲烷</w:t>
            </w:r>
          </w:p>
        </w:tc>
        <w:tc>
          <w:tcPr>
            <w:tcW w:w="1184"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10</w:t>
            </w:r>
          </w:p>
        </w:tc>
        <w:tc>
          <w:tcPr>
            <w:tcW w:w="1194"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4</w:t>
            </w:r>
          </w:p>
        </w:tc>
        <w:tc>
          <w:tcPr>
            <w:tcW w:w="1185"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7"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rFonts w:hint="eastAsia"/>
                <w:color w:val="FF0000"/>
                <w:lang w:eastAsia="zh-CN"/>
              </w:rPr>
              <w:t>乙烷</w:t>
            </w:r>
          </w:p>
        </w:tc>
        <w:tc>
          <w:tcPr>
            <w:tcW w:w="1184" w:type="pc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1</w:t>
            </w:r>
            <w:r>
              <w:rPr>
                <w:color w:val="FF0000"/>
                <w:lang w:eastAsia="zh-CN"/>
              </w:rPr>
              <w:t>0</w:t>
            </w:r>
          </w:p>
        </w:tc>
        <w:tc>
          <w:tcPr>
            <w:tcW w:w="1194" w:type="pc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0</w:t>
            </w:r>
            <w:r>
              <w:rPr>
                <w:color w:val="FF0000"/>
                <w:lang w:eastAsia="zh-CN"/>
              </w:rPr>
              <w:t>.108</w:t>
            </w:r>
          </w:p>
        </w:tc>
        <w:tc>
          <w:tcPr>
            <w:tcW w:w="1185" w:type="pc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0</w:t>
            </w:r>
            <w:r>
              <w:rPr>
                <w:color w:val="FF0000"/>
                <w:lang w:eastAsia="zh-CN"/>
              </w:rPr>
              <w:t>.0108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437"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丙烷</w:t>
            </w:r>
          </w:p>
        </w:tc>
        <w:tc>
          <w:tcPr>
            <w:tcW w:w="1184"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10</w:t>
            </w:r>
          </w:p>
        </w:tc>
        <w:tc>
          <w:tcPr>
            <w:tcW w:w="1194" w:type="pc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0</w:t>
            </w:r>
            <w:r>
              <w:rPr>
                <w:color w:val="FF0000"/>
                <w:lang w:eastAsia="zh-CN"/>
              </w:rPr>
              <w:t>.017</w:t>
            </w:r>
          </w:p>
        </w:tc>
        <w:tc>
          <w:tcPr>
            <w:tcW w:w="1185" w:type="pc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0</w:t>
            </w:r>
            <w:r>
              <w:rPr>
                <w:color w:val="FF0000"/>
                <w:lang w:eastAsia="zh-CN"/>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7"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丁烷</w:t>
            </w:r>
          </w:p>
        </w:tc>
        <w:tc>
          <w:tcPr>
            <w:tcW w:w="1184"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10</w:t>
            </w:r>
          </w:p>
        </w:tc>
        <w:tc>
          <w:tcPr>
            <w:tcW w:w="1194" w:type="pc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0</w:t>
            </w:r>
            <w:r>
              <w:rPr>
                <w:color w:val="FF0000"/>
                <w:lang w:eastAsia="zh-CN"/>
              </w:rPr>
              <w:t>.008</w:t>
            </w:r>
          </w:p>
        </w:tc>
        <w:tc>
          <w:tcPr>
            <w:tcW w:w="1185" w:type="pc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0</w:t>
            </w:r>
            <w:r>
              <w:rPr>
                <w:color w:val="FF0000"/>
                <w:lang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7"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rFonts w:hint="eastAsia"/>
                <w:color w:val="FF0000"/>
                <w:lang w:eastAsia="zh-CN"/>
              </w:rPr>
              <w:t>废润滑油</w:t>
            </w:r>
          </w:p>
        </w:tc>
        <w:tc>
          <w:tcPr>
            <w:tcW w:w="1184" w:type="pc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2</w:t>
            </w:r>
            <w:r>
              <w:rPr>
                <w:color w:val="FF0000"/>
                <w:lang w:eastAsia="zh-CN"/>
              </w:rPr>
              <w:t>500</w:t>
            </w:r>
          </w:p>
        </w:tc>
        <w:tc>
          <w:tcPr>
            <w:tcW w:w="1194" w:type="pc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0</w:t>
            </w:r>
            <w:r>
              <w:rPr>
                <w:color w:val="FF0000"/>
                <w:lang w:eastAsia="zh-CN"/>
              </w:rPr>
              <w:t>.25</w:t>
            </w:r>
          </w:p>
        </w:tc>
        <w:tc>
          <w:tcPr>
            <w:tcW w:w="1185" w:type="pc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0</w:t>
            </w:r>
            <w:r>
              <w:rPr>
                <w:color w:val="FF0000"/>
                <w:lang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7"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∑（qi/Qi）</w:t>
            </w:r>
          </w:p>
        </w:tc>
        <w:tc>
          <w:tcPr>
            <w:tcW w:w="1184"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w:t>
            </w:r>
          </w:p>
        </w:tc>
        <w:tc>
          <w:tcPr>
            <w:tcW w:w="1194"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w:t>
            </w:r>
          </w:p>
        </w:tc>
        <w:tc>
          <w:tcPr>
            <w:tcW w:w="1185" w:type="pc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0</w:t>
            </w:r>
            <w:r>
              <w:rPr>
                <w:color w:val="FF0000"/>
                <w:lang w:eastAsia="zh-CN"/>
              </w:rPr>
              <w:t>.4134</w:t>
            </w:r>
          </w:p>
        </w:tc>
      </w:tr>
    </w:tbl>
    <w:p>
      <w:pPr>
        <w:pStyle w:val="494"/>
        <w:ind w:firstLine="480"/>
        <w:rPr>
          <w:bCs/>
          <w:color w:val="FF0000"/>
        </w:rPr>
      </w:pPr>
      <w:r>
        <w:rPr>
          <w:bCs/>
          <w:color w:val="FF0000"/>
        </w:rPr>
        <w:t>本项目运营过程涉及《建设项目环境风险评价技术导则》（HJ169-2018）附录B中的危险物质，主要为甲烷、</w:t>
      </w:r>
      <w:r>
        <w:rPr>
          <w:rFonts w:hint="eastAsia"/>
          <w:bCs/>
          <w:color w:val="FF0000"/>
        </w:rPr>
        <w:t>乙烷、</w:t>
      </w:r>
      <w:r>
        <w:rPr>
          <w:bCs/>
          <w:color w:val="FF0000"/>
        </w:rPr>
        <w:t>丙烷、丁烷。根据计算Q= 0.4134＜1，故本项目的环境风险潜势为</w:t>
      </w:r>
      <w:r>
        <w:rPr>
          <w:rFonts w:hint="eastAsia" w:ascii="宋体" w:hAnsi="宋体" w:cs="宋体"/>
          <w:bCs/>
          <w:color w:val="FF0000"/>
        </w:rPr>
        <w:t>Ⅰ</w:t>
      </w:r>
      <w:r>
        <w:rPr>
          <w:bCs/>
          <w:color w:val="FF0000"/>
        </w:rPr>
        <w:t>。</w:t>
      </w:r>
    </w:p>
    <w:p>
      <w:pPr>
        <w:pStyle w:val="494"/>
        <w:ind w:firstLine="480"/>
        <w:rPr>
          <w:color w:val="FF0000"/>
        </w:rPr>
      </w:pPr>
      <w:r>
        <w:rPr>
          <w:rFonts w:hint="eastAsia"/>
          <w:color w:val="FF0000"/>
        </w:rPr>
        <w:t>（2）环境</w:t>
      </w:r>
      <w:r>
        <w:rPr>
          <w:color w:val="FF0000"/>
        </w:rPr>
        <w:t>敏感目标调查</w:t>
      </w:r>
    </w:p>
    <w:p>
      <w:pPr>
        <w:pStyle w:val="494"/>
        <w:ind w:firstLine="480"/>
        <w:rPr>
          <w:color w:val="FF0000"/>
        </w:rPr>
      </w:pPr>
      <w:r>
        <w:rPr>
          <w:rFonts w:hint="eastAsia"/>
          <w:color w:val="FF0000"/>
        </w:rPr>
        <w:t>根据</w:t>
      </w:r>
      <w:r>
        <w:rPr>
          <w:color w:val="FF0000"/>
        </w:rPr>
        <w:t>本项目确定的环境风险评价等级和评价范围</w:t>
      </w:r>
      <w:r>
        <w:rPr>
          <w:rFonts w:hint="eastAsia"/>
          <w:color w:val="FF0000"/>
        </w:rPr>
        <w:t>，</w:t>
      </w:r>
      <w:r>
        <w:rPr>
          <w:color w:val="FF0000"/>
        </w:rPr>
        <w:t>对建设项目区域</w:t>
      </w:r>
      <w:r>
        <w:rPr>
          <w:rFonts w:hint="eastAsia"/>
          <w:color w:val="FF0000"/>
        </w:rPr>
        <w:t>3</w:t>
      </w:r>
      <w:r>
        <w:rPr>
          <w:color w:val="FF0000"/>
        </w:rPr>
        <w:t>km范围内的环境敏感点</w:t>
      </w:r>
      <w:r>
        <w:rPr>
          <w:rFonts w:hint="eastAsia"/>
          <w:color w:val="FF0000"/>
        </w:rPr>
        <w:t>情况进行</w:t>
      </w:r>
      <w:r>
        <w:rPr>
          <w:color w:val="FF0000"/>
        </w:rPr>
        <w:t>统计，统计详见下表。</w:t>
      </w:r>
    </w:p>
    <w:p>
      <w:pPr>
        <w:pStyle w:val="400"/>
        <w:ind w:firstLine="420"/>
        <w:rPr>
          <w:color w:val="FF0000"/>
        </w:rPr>
      </w:pPr>
      <w:r>
        <w:rPr>
          <w:rFonts w:hint="eastAsia"/>
          <w:color w:val="FF0000"/>
        </w:rPr>
        <w:t>表5.3-2      项目</w:t>
      </w:r>
      <w:r>
        <w:rPr>
          <w:color w:val="FF0000"/>
        </w:rPr>
        <w:t>周围环境敏感目标分布情况一览表</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418"/>
        <w:gridCol w:w="3402"/>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序号</w:t>
            </w:r>
          </w:p>
        </w:tc>
        <w:tc>
          <w:tcPr>
            <w:tcW w:w="1418"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名称</w:t>
            </w:r>
          </w:p>
        </w:tc>
        <w:tc>
          <w:tcPr>
            <w:tcW w:w="3402"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保护对象</w:t>
            </w:r>
          </w:p>
        </w:tc>
        <w:tc>
          <w:tcPr>
            <w:tcW w:w="2799"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1</w:t>
            </w:r>
          </w:p>
        </w:tc>
        <w:tc>
          <w:tcPr>
            <w:tcW w:w="1418"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环境空气</w:t>
            </w:r>
          </w:p>
        </w:tc>
        <w:tc>
          <w:tcPr>
            <w:tcW w:w="3402"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边长为3km的矩形区域</w:t>
            </w:r>
          </w:p>
        </w:tc>
        <w:tc>
          <w:tcPr>
            <w:tcW w:w="2799"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《环境空气质量标准》二级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2</w:t>
            </w:r>
          </w:p>
        </w:tc>
        <w:tc>
          <w:tcPr>
            <w:tcW w:w="1418"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地下水环境</w:t>
            </w:r>
          </w:p>
        </w:tc>
        <w:tc>
          <w:tcPr>
            <w:tcW w:w="3402"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项目区区域地下水</w:t>
            </w:r>
          </w:p>
        </w:tc>
        <w:tc>
          <w:tcPr>
            <w:tcW w:w="2799"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《地下水质量标准》III类</w:t>
            </w:r>
          </w:p>
        </w:tc>
      </w:tr>
    </w:tbl>
    <w:p>
      <w:pPr>
        <w:pStyle w:val="494"/>
        <w:ind w:firstLine="480"/>
        <w:rPr>
          <w:color w:val="FF0000"/>
        </w:rPr>
      </w:pPr>
      <w:r>
        <w:rPr>
          <w:color w:val="FF0000"/>
        </w:rPr>
        <w:t>3</w:t>
      </w:r>
      <w:r>
        <w:rPr>
          <w:rFonts w:hint="eastAsia"/>
          <w:color w:val="FF0000"/>
        </w:rPr>
        <w:t>、环境风险评价等级</w:t>
      </w:r>
    </w:p>
    <w:p>
      <w:pPr>
        <w:pStyle w:val="494"/>
        <w:ind w:firstLine="480"/>
        <w:rPr>
          <w:color w:val="FF0000"/>
        </w:rPr>
      </w:pPr>
      <w:r>
        <w:rPr>
          <w:color w:val="FF0000"/>
        </w:rPr>
        <w:t>根据《建设项目环境风险评价技术导则》（HJ169-2018），本项目环境风险评价工作等级为</w:t>
      </w:r>
      <w:r>
        <w:rPr>
          <w:rFonts w:hint="eastAsia"/>
          <w:color w:val="FF0000"/>
        </w:rPr>
        <w:t>三级评价</w:t>
      </w:r>
      <w:r>
        <w:rPr>
          <w:color w:val="FF0000"/>
        </w:rPr>
        <w:t>，划分依据见表</w:t>
      </w:r>
      <w:r>
        <w:rPr>
          <w:rFonts w:hint="eastAsia"/>
          <w:color w:val="FF0000"/>
        </w:rPr>
        <w:t>5.3-</w:t>
      </w:r>
      <w:r>
        <w:rPr>
          <w:color w:val="FF0000"/>
        </w:rPr>
        <w:t>13。</w:t>
      </w:r>
    </w:p>
    <w:p>
      <w:pPr>
        <w:pStyle w:val="400"/>
        <w:ind w:firstLine="420"/>
        <w:rPr>
          <w:color w:val="FF0000"/>
        </w:rPr>
      </w:pPr>
      <w:r>
        <w:rPr>
          <w:rFonts w:hint="eastAsia"/>
          <w:color w:val="FF0000"/>
        </w:rPr>
        <w:t>表5.3-</w:t>
      </w:r>
      <w:r>
        <w:rPr>
          <w:color w:val="FF0000"/>
        </w:rPr>
        <w:t>13</w:t>
      </w:r>
      <w:r>
        <w:rPr>
          <w:rFonts w:hint="eastAsia"/>
          <w:color w:val="FF0000"/>
        </w:rPr>
        <w:t xml:space="preserve">                  评价工作等级划分表</w:t>
      </w:r>
    </w:p>
    <w:tbl>
      <w:tblPr>
        <w:tblStyle w:val="6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687"/>
        <w:gridCol w:w="1687"/>
        <w:gridCol w:w="1687"/>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687" w:type="dxa"/>
            <w:vAlign w:val="center"/>
          </w:tcPr>
          <w:p>
            <w:pPr>
              <w:pStyle w:val="687"/>
              <w:rPr>
                <w:color w:val="FF0000"/>
                <w:sz w:val="21"/>
              </w:rPr>
            </w:pPr>
            <w:r>
              <w:rPr>
                <w:rFonts w:hint="eastAsia"/>
                <w:color w:val="FF0000"/>
                <w:sz w:val="21"/>
                <w:lang w:eastAsia="zh-CN"/>
              </w:rPr>
              <w:t>环境风</w:t>
            </w:r>
            <w:r>
              <w:rPr>
                <w:rFonts w:hint="eastAsia"/>
                <w:color w:val="FF0000"/>
                <w:sz w:val="21"/>
              </w:rPr>
              <w:t>险潜势</w:t>
            </w:r>
          </w:p>
        </w:tc>
        <w:tc>
          <w:tcPr>
            <w:tcW w:w="1687" w:type="dxa"/>
            <w:vAlign w:val="center"/>
          </w:tcPr>
          <w:p>
            <w:pPr>
              <w:pStyle w:val="687"/>
              <w:rPr>
                <w:color w:val="FF0000"/>
                <w:sz w:val="21"/>
              </w:rPr>
            </w:pPr>
            <w:r>
              <w:rPr>
                <w:rFonts w:hint="eastAsia"/>
                <w:color w:val="FF0000"/>
                <w:sz w:val="21"/>
              </w:rPr>
              <w:t>Ⅳ、Ⅳ+</w:t>
            </w:r>
          </w:p>
        </w:tc>
        <w:tc>
          <w:tcPr>
            <w:tcW w:w="1687" w:type="dxa"/>
            <w:vAlign w:val="center"/>
          </w:tcPr>
          <w:p>
            <w:pPr>
              <w:pStyle w:val="687"/>
              <w:rPr>
                <w:color w:val="FF0000"/>
                <w:sz w:val="21"/>
              </w:rPr>
            </w:pPr>
            <w:r>
              <w:rPr>
                <w:rFonts w:hint="eastAsia"/>
                <w:color w:val="FF0000"/>
                <w:sz w:val="21"/>
              </w:rPr>
              <w:t>Ⅲ</w:t>
            </w:r>
          </w:p>
        </w:tc>
        <w:tc>
          <w:tcPr>
            <w:tcW w:w="1687" w:type="dxa"/>
            <w:vAlign w:val="center"/>
          </w:tcPr>
          <w:p>
            <w:pPr>
              <w:pStyle w:val="687"/>
              <w:rPr>
                <w:color w:val="FF0000"/>
                <w:sz w:val="21"/>
              </w:rPr>
            </w:pPr>
            <w:r>
              <w:rPr>
                <w:rFonts w:hint="eastAsia"/>
                <w:color w:val="FF0000"/>
                <w:sz w:val="21"/>
              </w:rPr>
              <w:t>Ⅱ</w:t>
            </w:r>
          </w:p>
        </w:tc>
        <w:tc>
          <w:tcPr>
            <w:tcW w:w="1688" w:type="dxa"/>
            <w:vAlign w:val="center"/>
          </w:tcPr>
          <w:p>
            <w:pPr>
              <w:pStyle w:val="687"/>
              <w:rPr>
                <w:color w:val="FF0000"/>
                <w:sz w:val="21"/>
              </w:rPr>
            </w:pPr>
            <w:r>
              <w:rPr>
                <w:rFonts w:hint="eastAsia"/>
                <w:color w:val="FF0000"/>
                <w:sz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7" w:type="dxa"/>
            <w:vAlign w:val="center"/>
          </w:tcPr>
          <w:p>
            <w:pPr>
              <w:pStyle w:val="687"/>
              <w:rPr>
                <w:color w:val="FF0000"/>
                <w:sz w:val="21"/>
              </w:rPr>
            </w:pPr>
            <w:r>
              <w:rPr>
                <w:rFonts w:hint="eastAsia"/>
                <w:color w:val="FF0000"/>
                <w:sz w:val="21"/>
              </w:rPr>
              <w:t>评价工作等级</w:t>
            </w:r>
          </w:p>
        </w:tc>
        <w:tc>
          <w:tcPr>
            <w:tcW w:w="1687" w:type="dxa"/>
            <w:vAlign w:val="center"/>
          </w:tcPr>
          <w:p>
            <w:pPr>
              <w:pStyle w:val="687"/>
              <w:rPr>
                <w:color w:val="FF0000"/>
                <w:sz w:val="21"/>
              </w:rPr>
            </w:pPr>
            <w:r>
              <w:rPr>
                <w:rFonts w:hint="eastAsia"/>
                <w:color w:val="FF0000"/>
                <w:sz w:val="21"/>
              </w:rPr>
              <w:t>一</w:t>
            </w:r>
          </w:p>
        </w:tc>
        <w:tc>
          <w:tcPr>
            <w:tcW w:w="1687" w:type="dxa"/>
            <w:vAlign w:val="center"/>
          </w:tcPr>
          <w:p>
            <w:pPr>
              <w:pStyle w:val="687"/>
              <w:rPr>
                <w:color w:val="FF0000"/>
                <w:sz w:val="21"/>
              </w:rPr>
            </w:pPr>
            <w:r>
              <w:rPr>
                <w:rFonts w:hint="eastAsia"/>
                <w:color w:val="FF0000"/>
                <w:sz w:val="21"/>
              </w:rPr>
              <w:t>二</w:t>
            </w:r>
          </w:p>
        </w:tc>
        <w:tc>
          <w:tcPr>
            <w:tcW w:w="1687" w:type="dxa"/>
            <w:shd w:val="clear" w:color="auto" w:fill="auto"/>
            <w:vAlign w:val="center"/>
          </w:tcPr>
          <w:p>
            <w:pPr>
              <w:pStyle w:val="687"/>
              <w:rPr>
                <w:color w:val="FF0000"/>
                <w:sz w:val="21"/>
              </w:rPr>
            </w:pPr>
            <w:r>
              <w:rPr>
                <w:rFonts w:hint="eastAsia"/>
                <w:color w:val="FF0000"/>
                <w:sz w:val="21"/>
              </w:rPr>
              <w:t>三</w:t>
            </w:r>
          </w:p>
        </w:tc>
        <w:tc>
          <w:tcPr>
            <w:tcW w:w="1688" w:type="dxa"/>
            <w:vAlign w:val="center"/>
          </w:tcPr>
          <w:p>
            <w:pPr>
              <w:pStyle w:val="687"/>
              <w:rPr>
                <w:color w:val="FF0000"/>
                <w:sz w:val="21"/>
                <w:vertAlign w:val="superscript"/>
              </w:rPr>
            </w:pPr>
            <w:r>
              <w:rPr>
                <w:rFonts w:hint="eastAsia"/>
                <w:color w:val="FF0000"/>
                <w:sz w:val="21"/>
              </w:rPr>
              <w:t>简单分析</w:t>
            </w:r>
            <w:r>
              <w:rPr>
                <w:rFonts w:hint="eastAsia"/>
                <w:color w:val="FF0000"/>
                <w:sz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6" w:type="dxa"/>
            <w:gridSpan w:val="5"/>
            <w:vAlign w:val="center"/>
          </w:tcPr>
          <w:p>
            <w:pPr>
              <w:pStyle w:val="687"/>
              <w:jc w:val="left"/>
              <w:rPr>
                <w:color w:val="FF0000"/>
                <w:sz w:val="21"/>
                <w:lang w:eastAsia="zh-CN"/>
              </w:rPr>
            </w:pPr>
            <w:r>
              <w:rPr>
                <w:color w:val="FF0000"/>
                <w:sz w:val="21"/>
                <w:lang w:eastAsia="zh-CN"/>
              </w:rPr>
              <w:t>a是相对于详细评价工作内容而言，在描述危险物质、环境影响途径、环境危害后果、风险防范措施等方面给出定性的说明。</w:t>
            </w:r>
          </w:p>
        </w:tc>
      </w:tr>
    </w:tbl>
    <w:p>
      <w:pPr>
        <w:pStyle w:val="494"/>
        <w:ind w:firstLine="480"/>
        <w:rPr>
          <w:color w:val="FF0000"/>
        </w:rPr>
      </w:pPr>
      <w:bookmarkStart w:id="391" w:name="_Toc107500398"/>
      <w:r>
        <w:rPr>
          <w:rFonts w:cs="Times New Roman"/>
          <w:color w:val="FF0000"/>
          <w:kern w:val="28"/>
        </w:rPr>
        <w:t>根据上表可知，本项目环境风险评价工作等级为简单分析，评价深度以定性说明为主</w:t>
      </w:r>
      <w:r>
        <w:rPr>
          <w:color w:val="FF0000"/>
        </w:rPr>
        <w:t>。</w:t>
      </w:r>
    </w:p>
    <w:p>
      <w:pPr>
        <w:pStyle w:val="5"/>
        <w:spacing w:before="120" w:after="120"/>
        <w:rPr>
          <w:color w:val="FF0000"/>
          <w:spacing w:val="0"/>
        </w:rPr>
      </w:pPr>
      <w:bookmarkStart w:id="392" w:name="_Toc145580440"/>
      <w:r>
        <w:rPr>
          <w:rFonts w:hint="eastAsia"/>
          <w:color w:val="FF0000"/>
          <w:spacing w:val="0"/>
        </w:rPr>
        <w:t>5.</w:t>
      </w:r>
      <w:r>
        <w:rPr>
          <w:color w:val="FF0000"/>
          <w:spacing w:val="0"/>
        </w:rPr>
        <w:t>4.</w:t>
      </w:r>
      <w:r>
        <w:rPr>
          <w:rFonts w:hint="eastAsia"/>
          <w:color w:val="FF0000"/>
          <w:spacing w:val="0"/>
        </w:rPr>
        <w:t>3风险识别</w:t>
      </w:r>
      <w:bookmarkEnd w:id="391"/>
      <w:bookmarkEnd w:id="392"/>
    </w:p>
    <w:p>
      <w:pPr>
        <w:pStyle w:val="494"/>
        <w:ind w:firstLine="480"/>
        <w:rPr>
          <w:color w:val="FF0000"/>
        </w:rPr>
      </w:pPr>
      <w:r>
        <w:rPr>
          <w:rFonts w:hint="eastAsia"/>
          <w:color w:val="FF0000"/>
        </w:rPr>
        <w:t>根据《关于进一步加强环境影响评价管理防范环境风险的通知》（环发</w:t>
      </w:r>
      <w:r>
        <w:rPr>
          <w:color w:val="FF0000"/>
        </w:rPr>
        <w:t xml:space="preserve"> [2012]77 </w:t>
      </w:r>
      <w:r>
        <w:rPr>
          <w:rFonts w:hint="eastAsia"/>
          <w:color w:val="FF0000"/>
        </w:rPr>
        <w:t>号）的要求，应从环境风险源、扩散途径、保护目标三方面识别环境风险。环境风险识别应包括生产设施和危险物质的识别，有毒有害物质扩散途径的识别（如大气环境、水环境、土壤等）以及可能受影响的环境保护目标的识别。</w:t>
      </w:r>
    </w:p>
    <w:p>
      <w:pPr>
        <w:pStyle w:val="494"/>
        <w:ind w:firstLine="480"/>
        <w:rPr>
          <w:color w:val="FF0000"/>
        </w:rPr>
      </w:pPr>
      <w:r>
        <w:rPr>
          <w:rFonts w:hint="eastAsia"/>
          <w:color w:val="FF0000"/>
        </w:rPr>
        <w:t>1、风险识别的范围和类型</w:t>
      </w:r>
    </w:p>
    <w:p>
      <w:pPr>
        <w:pStyle w:val="494"/>
        <w:ind w:firstLine="480"/>
        <w:rPr>
          <w:color w:val="FF0000"/>
        </w:rPr>
      </w:pPr>
      <w:r>
        <w:rPr>
          <w:rFonts w:hint="eastAsia"/>
          <w:color w:val="FF0000"/>
        </w:rPr>
        <w:t>根据《建设项目环境风险评价技术导则》（</w:t>
      </w:r>
      <w:r>
        <w:rPr>
          <w:color w:val="FF0000"/>
        </w:rPr>
        <w:t>HJ169-2018</w:t>
      </w:r>
      <w:r>
        <w:rPr>
          <w:rFonts w:hint="eastAsia"/>
          <w:color w:val="FF0000"/>
        </w:rPr>
        <w:t>）内容，环境风险识别包括三个方面的内容：</w:t>
      </w:r>
    </w:p>
    <w:p>
      <w:pPr>
        <w:pStyle w:val="494"/>
        <w:ind w:firstLine="480"/>
        <w:rPr>
          <w:color w:val="FF0000"/>
        </w:rPr>
      </w:pPr>
      <w:r>
        <w:rPr>
          <w:rFonts w:hint="eastAsia"/>
          <w:color w:val="FF0000"/>
        </w:rPr>
        <w:t>（</w:t>
      </w:r>
      <w:r>
        <w:rPr>
          <w:color w:val="FF0000"/>
        </w:rPr>
        <w:t>1</w:t>
      </w:r>
      <w:r>
        <w:rPr>
          <w:rFonts w:hint="eastAsia"/>
          <w:color w:val="FF0000"/>
        </w:rPr>
        <w:t>）物质危险性识别</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天然气</w:t>
      </w:r>
      <w:r>
        <w:rPr>
          <w:rFonts w:hint="eastAsia" w:ascii="Times New Roman" w:hAnsi="Times New Roman" w:cs="Times New Roman"/>
          <w:color w:val="FF0000"/>
          <w:kern w:val="28"/>
        </w:rPr>
        <w:t>以及废润滑油</w:t>
      </w:r>
      <w:r>
        <w:rPr>
          <w:rFonts w:ascii="Times New Roman" w:hAnsi="Times New Roman" w:cs="Times New Roman"/>
          <w:color w:val="FF0000"/>
          <w:kern w:val="28"/>
        </w:rPr>
        <w:t>理化性质、危险危害特性及防护措施见表</w:t>
      </w:r>
      <w:r>
        <w:rPr>
          <w:rFonts w:ascii="Times New Roman" w:hAnsi="Times New Roman" w:cs="Times New Roman"/>
          <w:color w:val="FF0000"/>
        </w:rPr>
        <w:t>5.4</w:t>
      </w:r>
      <w:r>
        <w:rPr>
          <w:rFonts w:ascii="Times New Roman" w:hAnsi="Times New Roman" w:cs="Times New Roman"/>
          <w:color w:val="FF0000"/>
          <w:kern w:val="28"/>
        </w:rPr>
        <w:t>-4</w:t>
      </w:r>
      <w:r>
        <w:rPr>
          <w:rFonts w:hint="eastAsia" w:ascii="Times New Roman" w:hAnsi="Times New Roman" w:cs="Times New Roman"/>
          <w:color w:val="FF0000"/>
          <w:kern w:val="28"/>
        </w:rPr>
        <w:t>、表5</w:t>
      </w:r>
      <w:r>
        <w:rPr>
          <w:rFonts w:ascii="Times New Roman" w:hAnsi="Times New Roman" w:cs="Times New Roman"/>
          <w:color w:val="FF0000"/>
          <w:kern w:val="28"/>
        </w:rPr>
        <w:t>.4-5。</w:t>
      </w:r>
    </w:p>
    <w:p>
      <w:pPr>
        <w:pStyle w:val="672"/>
        <w:spacing w:before="120"/>
        <w:rPr>
          <w:color w:val="FF0000"/>
        </w:rPr>
      </w:pPr>
      <w:r>
        <w:rPr>
          <w:color w:val="FF0000"/>
        </w:rPr>
        <w:t>表5.4-4           天然气理化性质、危险危害特性及防护措施表</w:t>
      </w:r>
    </w:p>
    <w:tbl>
      <w:tblPr>
        <w:tblStyle w:val="55"/>
        <w:tblW w:w="506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1179"/>
        <w:gridCol w:w="2647"/>
        <w:gridCol w:w="1159"/>
        <w:gridCol w:w="24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restar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理化</w:t>
            </w:r>
          </w:p>
          <w:p>
            <w:pPr>
              <w:pStyle w:val="670"/>
              <w:rPr>
                <w:color w:val="FF0000"/>
              </w:rPr>
            </w:pPr>
            <w:r>
              <w:rPr>
                <w:color w:val="FF0000"/>
              </w:rPr>
              <w:t>常数</w:t>
            </w:r>
          </w:p>
        </w:tc>
        <w:tc>
          <w:tcPr>
            <w:tcW w:w="690"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危险货物编号</w:t>
            </w:r>
          </w:p>
        </w:tc>
        <w:tc>
          <w:tcPr>
            <w:tcW w:w="3673" w:type="pct"/>
            <w:gridSpan w:val="3"/>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21007（压缩气体）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eastAsia="en-US" w:bidi="en-US"/>
              </w:rPr>
            </w:pPr>
          </w:p>
        </w:tc>
        <w:tc>
          <w:tcPr>
            <w:tcW w:w="690"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中文名称</w:t>
            </w:r>
          </w:p>
        </w:tc>
        <w:tc>
          <w:tcPr>
            <w:tcW w:w="3673" w:type="pct"/>
            <w:gridSpan w:val="3"/>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天然气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eastAsia="en-US" w:bidi="en-US"/>
              </w:rPr>
            </w:pPr>
          </w:p>
        </w:tc>
        <w:tc>
          <w:tcPr>
            <w:tcW w:w="690"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分子式</w:t>
            </w:r>
          </w:p>
        </w:tc>
        <w:tc>
          <w:tcPr>
            <w:tcW w:w="1549"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主要成份为CH</w:t>
            </w:r>
            <w:r>
              <w:rPr>
                <w:color w:val="FF0000"/>
                <w:vertAlign w:val="subscript"/>
              </w:rPr>
              <w:t>4</w:t>
            </w:r>
          </w:p>
        </w:tc>
        <w:tc>
          <w:tcPr>
            <w:tcW w:w="678"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外观与性状</w:t>
            </w:r>
          </w:p>
        </w:tc>
        <w:tc>
          <w:tcPr>
            <w:tcW w:w="1446"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无色无臭气体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eastAsia="en-US" w:bidi="en-US"/>
              </w:rPr>
            </w:pPr>
          </w:p>
        </w:tc>
        <w:tc>
          <w:tcPr>
            <w:tcW w:w="690"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分子量</w:t>
            </w:r>
          </w:p>
        </w:tc>
        <w:tc>
          <w:tcPr>
            <w:tcW w:w="1549"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16.04</w:t>
            </w:r>
          </w:p>
        </w:tc>
        <w:tc>
          <w:tcPr>
            <w:tcW w:w="678"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蒸气压</w:t>
            </w:r>
          </w:p>
        </w:tc>
        <w:tc>
          <w:tcPr>
            <w:tcW w:w="1446"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53.32kPa/-168.8℃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eastAsia="en-US" w:bidi="en-US"/>
              </w:rPr>
            </w:pPr>
          </w:p>
        </w:tc>
        <w:tc>
          <w:tcPr>
            <w:tcW w:w="690"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沸点</w:t>
            </w:r>
          </w:p>
        </w:tc>
        <w:tc>
          <w:tcPr>
            <w:tcW w:w="1549"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-161.5℃</w:t>
            </w:r>
          </w:p>
        </w:tc>
        <w:tc>
          <w:tcPr>
            <w:tcW w:w="678"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闪点</w:t>
            </w:r>
          </w:p>
        </w:tc>
        <w:tc>
          <w:tcPr>
            <w:tcW w:w="1446"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&lt;-158℃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eastAsia="en-US" w:bidi="en-US"/>
              </w:rPr>
            </w:pPr>
          </w:p>
        </w:tc>
        <w:tc>
          <w:tcPr>
            <w:tcW w:w="690"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熔点</w:t>
            </w:r>
          </w:p>
        </w:tc>
        <w:tc>
          <w:tcPr>
            <w:tcW w:w="1549"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-182.5℃</w:t>
            </w:r>
          </w:p>
        </w:tc>
        <w:tc>
          <w:tcPr>
            <w:tcW w:w="678"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溶解性</w:t>
            </w:r>
          </w:p>
        </w:tc>
        <w:tc>
          <w:tcPr>
            <w:tcW w:w="1446"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微溶于水，溶于醇、乙醚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eastAsia="en-US" w:bidi="en-US"/>
              </w:rPr>
            </w:pPr>
          </w:p>
        </w:tc>
        <w:tc>
          <w:tcPr>
            <w:tcW w:w="690"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密度</w:t>
            </w:r>
          </w:p>
        </w:tc>
        <w:tc>
          <w:tcPr>
            <w:tcW w:w="1549"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相对密度0.785（本区）</w:t>
            </w:r>
          </w:p>
        </w:tc>
        <w:tc>
          <w:tcPr>
            <w:tcW w:w="678"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稳定性</w:t>
            </w:r>
          </w:p>
        </w:tc>
        <w:tc>
          <w:tcPr>
            <w:tcW w:w="1446"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eastAsia="en-US" w:bidi="en-US"/>
              </w:rPr>
            </w:pPr>
          </w:p>
        </w:tc>
        <w:tc>
          <w:tcPr>
            <w:tcW w:w="690"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爆炸极限</w:t>
            </w:r>
          </w:p>
        </w:tc>
        <w:tc>
          <w:tcPr>
            <w:tcW w:w="1549"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5~15％（体积）</w:t>
            </w:r>
          </w:p>
        </w:tc>
        <w:tc>
          <w:tcPr>
            <w:tcW w:w="678"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自燃温度</w:t>
            </w:r>
          </w:p>
        </w:tc>
        <w:tc>
          <w:tcPr>
            <w:tcW w:w="1446"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482~632℃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危险</w:t>
            </w:r>
          </w:p>
          <w:p>
            <w:pPr>
              <w:pStyle w:val="670"/>
              <w:rPr>
                <w:color w:val="FF0000"/>
              </w:rPr>
            </w:pPr>
            <w:r>
              <w:rPr>
                <w:color w:val="FF0000"/>
              </w:rPr>
              <w:t>特性</w:t>
            </w:r>
          </w:p>
        </w:tc>
        <w:tc>
          <w:tcPr>
            <w:tcW w:w="4363" w:type="pct"/>
            <w:gridSpan w:val="4"/>
            <w:tcBorders>
              <w:top w:val="single" w:color="auto" w:sz="4" w:space="0"/>
              <w:left w:val="single" w:color="auto" w:sz="4" w:space="0"/>
              <w:bottom w:val="single" w:color="auto" w:sz="4" w:space="0"/>
              <w:right w:val="single" w:color="auto" w:sz="4" w:space="0"/>
            </w:tcBorders>
            <w:vAlign w:val="center"/>
          </w:tcPr>
          <w:p>
            <w:pPr>
              <w:pStyle w:val="670"/>
              <w:jc w:val="left"/>
              <w:rPr>
                <w:color w:val="FF0000"/>
                <w:lang w:eastAsia="zh-CN"/>
              </w:rPr>
            </w:pPr>
            <w:r>
              <w:rPr>
                <w:color w:val="FF0000"/>
                <w:lang w:eastAsia="zh-CN"/>
              </w:rPr>
              <w:t>危险性类别：第2.1类  易燃气体</w:t>
            </w:r>
          </w:p>
          <w:p>
            <w:pPr>
              <w:pStyle w:val="670"/>
              <w:jc w:val="left"/>
              <w:rPr>
                <w:color w:val="FF0000"/>
                <w:lang w:eastAsia="zh-CN"/>
              </w:rPr>
            </w:pPr>
            <w:r>
              <w:rPr>
                <w:color w:val="FF0000"/>
                <w:lang w:eastAsia="zh-CN"/>
              </w:rPr>
              <w:t>易燃，与空气混合能形成爆炸性混合物，遇热源和明火有燃烧爆炸的危险。与五氧化溴、氯气、次氯酸、三氟化氮、液氧、二氟化氧及其它强氧化剂接触剧烈反应。</w:t>
            </w:r>
          </w:p>
          <w:p>
            <w:pPr>
              <w:pStyle w:val="670"/>
              <w:jc w:val="left"/>
              <w:rPr>
                <w:color w:val="FF0000"/>
                <w:lang w:eastAsia="zh-CN"/>
              </w:rPr>
            </w:pPr>
            <w:r>
              <w:rPr>
                <w:color w:val="FF0000"/>
                <w:lang w:eastAsia="zh-CN"/>
              </w:rPr>
              <w:t>燃烧（分解）产物：一氧化碳、二氧化碳。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健康</w:t>
            </w:r>
          </w:p>
          <w:p>
            <w:pPr>
              <w:pStyle w:val="670"/>
              <w:rPr>
                <w:color w:val="FF0000"/>
              </w:rPr>
            </w:pPr>
            <w:r>
              <w:rPr>
                <w:color w:val="FF0000"/>
              </w:rPr>
              <w:t>危害</w:t>
            </w:r>
          </w:p>
        </w:tc>
        <w:tc>
          <w:tcPr>
            <w:tcW w:w="4363" w:type="pct"/>
            <w:gridSpan w:val="4"/>
            <w:tcBorders>
              <w:top w:val="single" w:color="auto" w:sz="4" w:space="0"/>
              <w:left w:val="single" w:color="auto" w:sz="4" w:space="0"/>
              <w:bottom w:val="single" w:color="auto" w:sz="4" w:space="0"/>
              <w:right w:val="single" w:color="auto" w:sz="4" w:space="0"/>
            </w:tcBorders>
            <w:vAlign w:val="center"/>
          </w:tcPr>
          <w:p>
            <w:pPr>
              <w:pStyle w:val="670"/>
              <w:jc w:val="left"/>
              <w:rPr>
                <w:color w:val="FF0000"/>
                <w:lang w:eastAsia="zh-CN"/>
              </w:rPr>
            </w:pPr>
            <w:r>
              <w:rPr>
                <w:color w:val="FF0000"/>
                <w:lang w:eastAsia="zh-CN"/>
              </w:rPr>
              <w:t>侵入途径：吸入。</w:t>
            </w:r>
          </w:p>
          <w:p>
            <w:pPr>
              <w:pStyle w:val="670"/>
              <w:jc w:val="left"/>
              <w:rPr>
                <w:color w:val="FF0000"/>
                <w:lang w:eastAsia="zh-CN"/>
              </w:rPr>
            </w:pPr>
            <w:r>
              <w:rPr>
                <w:color w:val="FF0000"/>
                <w:lang w:eastAsia="zh-CN"/>
              </w:rPr>
              <w:t>健康危害：甲烷对人基本无毒，但浓度过高时，使空气中氧含量明显降低，使人窒息。当空气中甲烷达25%~30%时，可引起头痛、头晕、乏力、注意力不集中、呼吸和心跳加速、共济失调。若不及时脱离，可致窒息死亡。皮肤接触液化本品，可致冻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毒理学</w:t>
            </w:r>
          </w:p>
          <w:p>
            <w:pPr>
              <w:pStyle w:val="670"/>
              <w:rPr>
                <w:color w:val="FF0000"/>
              </w:rPr>
            </w:pPr>
            <w:r>
              <w:rPr>
                <w:color w:val="FF0000"/>
              </w:rPr>
              <w:t>资料</w:t>
            </w:r>
          </w:p>
        </w:tc>
        <w:tc>
          <w:tcPr>
            <w:tcW w:w="4363" w:type="pct"/>
            <w:gridSpan w:val="4"/>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毒性：Ⅳ（低度危害）LD</w:t>
            </w:r>
            <w:r>
              <w:rPr>
                <w:color w:val="FF0000"/>
                <w:vertAlign w:val="subscript"/>
                <w:lang w:eastAsia="zh-CN"/>
              </w:rPr>
              <w:t>50</w:t>
            </w:r>
            <w:r>
              <w:rPr>
                <w:color w:val="FF0000"/>
                <w:lang w:eastAsia="zh-CN"/>
              </w:rPr>
              <w:t>：无资料      LC</w:t>
            </w:r>
            <w:r>
              <w:rPr>
                <w:color w:val="FF0000"/>
                <w:vertAlign w:val="subscript"/>
                <w:lang w:eastAsia="zh-CN"/>
              </w:rPr>
              <w:t>50</w:t>
            </w:r>
            <w:r>
              <w:rPr>
                <w:color w:val="FF0000"/>
                <w:lang w:eastAsia="zh-CN"/>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环境标准</w:t>
            </w:r>
          </w:p>
        </w:tc>
        <w:tc>
          <w:tcPr>
            <w:tcW w:w="4363" w:type="pct"/>
            <w:gridSpan w:val="4"/>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职业接触限值：    MAC（mg/m</w:t>
            </w:r>
            <w:r>
              <w:rPr>
                <w:color w:val="FF0000"/>
                <w:vertAlign w:val="superscript"/>
              </w:rPr>
              <w:t>3</w:t>
            </w:r>
            <w:r>
              <w:rPr>
                <w:color w:val="FF0000"/>
              </w:rPr>
              <w:t>）：--  TWA（mg/m</w:t>
            </w:r>
            <w:r>
              <w:rPr>
                <w:color w:val="FF0000"/>
                <w:vertAlign w:val="superscript"/>
              </w:rPr>
              <w:t>3</w:t>
            </w:r>
            <w:r>
              <w:rPr>
                <w:color w:val="FF0000"/>
              </w:rPr>
              <w:t xml:space="preserve">）：25     </w:t>
            </w:r>
          </w:p>
          <w:p>
            <w:pPr>
              <w:pStyle w:val="670"/>
              <w:rPr>
                <w:color w:val="FF0000"/>
              </w:rPr>
            </w:pPr>
            <w:r>
              <w:rPr>
                <w:color w:val="FF0000"/>
              </w:rPr>
              <w:t>STEL（mg/m</w:t>
            </w:r>
            <w:r>
              <w:rPr>
                <w:color w:val="FF0000"/>
                <w:vertAlign w:val="superscript"/>
              </w:rPr>
              <w:t>3</w:t>
            </w:r>
            <w:r>
              <w:rPr>
                <w:color w:val="FF0000"/>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泄漏应急处理</w:t>
            </w:r>
          </w:p>
        </w:tc>
        <w:tc>
          <w:tcPr>
            <w:tcW w:w="4363" w:type="pct"/>
            <w:gridSpan w:val="4"/>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lang w:eastAsia="zh-CN"/>
              </w:rPr>
              <w:t>迅速撤离泄漏污染区人员至上风处，并进行隔离，严格限制出入。切断火源。应急处理人员戴自给正压式呼吸器，穿消防防护服。尽可能切断泄漏源。合理通风，加速扩散。喷雾状水稀释、溶解。构筑围堤或挖坑收容产生的大量废水。</w:t>
            </w:r>
            <w:r>
              <w:rPr>
                <w:color w:val="FF0000"/>
              </w:rPr>
              <w:t>漏气容器要妥善处理，修复、检验后再用。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防护</w:t>
            </w:r>
          </w:p>
          <w:p>
            <w:pPr>
              <w:pStyle w:val="670"/>
              <w:rPr>
                <w:color w:val="FF0000"/>
              </w:rPr>
            </w:pPr>
            <w:r>
              <w:rPr>
                <w:color w:val="FF0000"/>
              </w:rPr>
              <w:t>措施</w:t>
            </w:r>
          </w:p>
        </w:tc>
        <w:tc>
          <w:tcPr>
            <w:tcW w:w="4363" w:type="pct"/>
            <w:gridSpan w:val="4"/>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呼吸系统防护：空气中浓度超标时，佩戴过滤式防毒面具（半面罩）。紧急事态抢救或撤离时，建议佩戴空气呼吸器。眼睛防护：一般不需要特别防护，高浓度接触时可戴安全防护眼镜。身体防护：穿防静电工作服。手防护：戴一般作业防护手套。其它：工作现场严禁吸烟。避免长期反复接触。进入罐、限制性空间或其它高浓度区作业，须有人监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急救</w:t>
            </w:r>
          </w:p>
          <w:p>
            <w:pPr>
              <w:pStyle w:val="670"/>
              <w:rPr>
                <w:color w:val="FF0000"/>
              </w:rPr>
            </w:pPr>
            <w:r>
              <w:rPr>
                <w:color w:val="FF0000"/>
              </w:rPr>
              <w:t>措施</w:t>
            </w:r>
          </w:p>
        </w:tc>
        <w:tc>
          <w:tcPr>
            <w:tcW w:w="4363" w:type="pct"/>
            <w:gridSpan w:val="4"/>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lang w:eastAsia="zh-CN"/>
              </w:rPr>
              <w:t>皮肤接触：若有冻伤，就医治疗。吸入：迅速脱离现场至空气新鲜处。保持呼吸道通畅。如呼吸困难，给输氧。如呼吸停止，立即进行人工呼吸。</w:t>
            </w:r>
            <w:r>
              <w:rPr>
                <w:color w:val="FF0000"/>
              </w:rPr>
              <w:t>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灭火</w:t>
            </w:r>
          </w:p>
          <w:p>
            <w:pPr>
              <w:pStyle w:val="670"/>
              <w:rPr>
                <w:color w:val="FF0000"/>
              </w:rPr>
            </w:pPr>
            <w:r>
              <w:rPr>
                <w:color w:val="FF0000"/>
              </w:rPr>
              <w:t>方法</w:t>
            </w:r>
          </w:p>
        </w:tc>
        <w:tc>
          <w:tcPr>
            <w:tcW w:w="4363" w:type="pct"/>
            <w:gridSpan w:val="4"/>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切断气源。若不能立即切断气源，则不允许熄灭正在燃烧的气体。喷水冷却容器，可能的话将容器从火场移至空旷处。</w:t>
            </w:r>
          </w:p>
          <w:p>
            <w:pPr>
              <w:pStyle w:val="670"/>
              <w:rPr>
                <w:color w:val="FF0000"/>
                <w:lang w:eastAsia="zh-CN"/>
              </w:rPr>
            </w:pPr>
            <w:r>
              <w:rPr>
                <w:color w:val="FF0000"/>
                <w:lang w:eastAsia="zh-CN"/>
              </w:rPr>
              <w:t>灭火剂：雾状水、泡沫、二氧化碳、干粉。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储存注意事项</w:t>
            </w:r>
          </w:p>
        </w:tc>
        <w:tc>
          <w:tcPr>
            <w:tcW w:w="4363" w:type="pct"/>
            <w:gridSpan w:val="4"/>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lang w:eastAsia="zh-CN"/>
              </w:rPr>
              <w:t>储存于阴凉、通风的库房。远离火种、热源。库温不宜超过30℃。应与氧化剂等分开存放，切忌混储。采用防爆型照明、通风设施。禁止使用易产生火花的机械设备和工具。</w:t>
            </w:r>
            <w:r>
              <w:rPr>
                <w:color w:val="FF0000"/>
              </w:rPr>
              <w:t>储区应备有泄漏应急处理设备。</w:t>
            </w:r>
          </w:p>
        </w:tc>
      </w:tr>
    </w:tbl>
    <w:p>
      <w:pPr>
        <w:pStyle w:val="664"/>
        <w:spacing w:line="240" w:lineRule="auto"/>
        <w:ind w:firstLine="420" w:firstLineChars="200"/>
        <w:jc w:val="both"/>
        <w:rPr>
          <w:color w:val="FF0000"/>
        </w:rPr>
      </w:pPr>
      <w:r>
        <w:rPr>
          <w:rFonts w:hint="eastAsia"/>
          <w:color w:val="FF0000"/>
        </w:rPr>
        <w:t>表</w:t>
      </w:r>
      <w:r>
        <w:rPr>
          <w:color w:val="FF0000"/>
        </w:rPr>
        <w:t>5.4-5</w:t>
      </w:r>
      <w:r>
        <w:rPr>
          <w:rFonts w:hint="eastAsia"/>
          <w:color w:val="FF0000"/>
        </w:rPr>
        <w:t xml:space="preserve"> </w:t>
      </w:r>
      <w:r>
        <w:rPr>
          <w:color w:val="FF0000"/>
        </w:rPr>
        <w:t xml:space="preserve">                 </w:t>
      </w:r>
      <w:r>
        <w:rPr>
          <w:rFonts w:hint="eastAsia"/>
          <w:color w:val="FF0000"/>
        </w:rPr>
        <w:t>废润滑油理化</w:t>
      </w:r>
      <w:r>
        <w:rPr>
          <w:color w:val="FF0000"/>
        </w:rPr>
        <w:t>性质及</w:t>
      </w:r>
      <w:r>
        <w:rPr>
          <w:rFonts w:hint="eastAsia"/>
          <w:color w:val="FF0000"/>
        </w:rPr>
        <w:t>毒性</w:t>
      </w:r>
    </w:p>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593"/>
        <w:gridCol w:w="1750"/>
        <w:gridCol w:w="812"/>
        <w:gridCol w:w="1635"/>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3" w:type="pct"/>
            <w:vMerge w:val="restart"/>
            <w:vAlign w:val="center"/>
          </w:tcPr>
          <w:p>
            <w:pPr>
              <w:pStyle w:val="670"/>
              <w:rPr>
                <w:color w:val="FF0000"/>
              </w:rPr>
            </w:pPr>
            <w:r>
              <w:rPr>
                <w:color w:val="FF0000"/>
              </w:rPr>
              <w:t>标识</w:t>
            </w:r>
          </w:p>
        </w:tc>
        <w:tc>
          <w:tcPr>
            <w:tcW w:w="944" w:type="pct"/>
            <w:vAlign w:val="center"/>
          </w:tcPr>
          <w:p>
            <w:pPr>
              <w:pStyle w:val="670"/>
              <w:rPr>
                <w:color w:val="FF0000"/>
                <w:lang w:eastAsia="zh-CN"/>
              </w:rPr>
            </w:pPr>
            <w:r>
              <w:rPr>
                <w:color w:val="FF0000"/>
                <w:lang w:eastAsia="zh-CN"/>
              </w:rPr>
              <w:t>中文名：润滑油</w:t>
            </w:r>
          </w:p>
        </w:tc>
        <w:tc>
          <w:tcPr>
            <w:tcW w:w="1518" w:type="pct"/>
            <w:gridSpan w:val="2"/>
            <w:vAlign w:val="center"/>
          </w:tcPr>
          <w:p>
            <w:pPr>
              <w:pStyle w:val="670"/>
              <w:rPr>
                <w:color w:val="FF0000"/>
              </w:rPr>
            </w:pPr>
            <w:r>
              <w:rPr>
                <w:color w:val="FF0000"/>
              </w:rPr>
              <w:t>英文名 ：lubricating oil</w:t>
            </w:r>
          </w:p>
        </w:tc>
        <w:tc>
          <w:tcPr>
            <w:tcW w:w="969" w:type="pct"/>
            <w:vAlign w:val="center"/>
          </w:tcPr>
          <w:p>
            <w:pPr>
              <w:pStyle w:val="670"/>
              <w:rPr>
                <w:color w:val="FF0000"/>
              </w:rPr>
            </w:pPr>
            <w:r>
              <w:rPr>
                <w:color w:val="FF0000"/>
              </w:rPr>
              <w:t>分子式：</w:t>
            </w:r>
            <w:r>
              <w:rPr>
                <w:rFonts w:hint="eastAsia"/>
                <w:color w:val="FF0000"/>
              </w:rPr>
              <w:t>/</w:t>
            </w:r>
          </w:p>
        </w:tc>
        <w:tc>
          <w:tcPr>
            <w:tcW w:w="916" w:type="pct"/>
            <w:vAlign w:val="center"/>
          </w:tcPr>
          <w:p>
            <w:pPr>
              <w:pStyle w:val="670"/>
              <w:rPr>
                <w:color w:val="FF0000"/>
              </w:rPr>
            </w:pPr>
            <w:r>
              <w:rPr>
                <w:color w:val="FF0000"/>
              </w:rPr>
              <w:t>分子量：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3" w:type="pct"/>
            <w:vMerge w:val="continue"/>
            <w:vAlign w:val="center"/>
          </w:tcPr>
          <w:p>
            <w:pPr>
              <w:pStyle w:val="670"/>
              <w:rPr>
                <w:color w:val="FF0000"/>
              </w:rPr>
            </w:pPr>
          </w:p>
        </w:tc>
        <w:tc>
          <w:tcPr>
            <w:tcW w:w="944" w:type="pct"/>
            <w:vAlign w:val="center"/>
          </w:tcPr>
          <w:p>
            <w:pPr>
              <w:pStyle w:val="670"/>
              <w:rPr>
                <w:color w:val="FF0000"/>
              </w:rPr>
            </w:pPr>
            <w:r>
              <w:rPr>
                <w:color w:val="FF0000"/>
              </w:rPr>
              <w:t>CAS 号：/</w:t>
            </w:r>
          </w:p>
        </w:tc>
        <w:tc>
          <w:tcPr>
            <w:tcW w:w="1518" w:type="pct"/>
            <w:gridSpan w:val="2"/>
            <w:vAlign w:val="center"/>
          </w:tcPr>
          <w:p>
            <w:pPr>
              <w:pStyle w:val="670"/>
              <w:rPr>
                <w:color w:val="FF0000"/>
              </w:rPr>
            </w:pPr>
            <w:r>
              <w:rPr>
                <w:color w:val="FF0000"/>
              </w:rPr>
              <w:t>UN 编号：/</w:t>
            </w:r>
          </w:p>
        </w:tc>
        <w:tc>
          <w:tcPr>
            <w:tcW w:w="1885" w:type="pct"/>
            <w:gridSpan w:val="2"/>
            <w:vAlign w:val="center"/>
          </w:tcPr>
          <w:p>
            <w:pPr>
              <w:pStyle w:val="67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3" w:type="pct"/>
            <w:vAlign w:val="center"/>
          </w:tcPr>
          <w:p>
            <w:pPr>
              <w:pStyle w:val="670"/>
              <w:rPr>
                <w:color w:val="FF0000"/>
              </w:rPr>
            </w:pPr>
            <w:r>
              <w:rPr>
                <w:color w:val="FF0000"/>
              </w:rPr>
              <w:t>理化性质</w:t>
            </w:r>
          </w:p>
        </w:tc>
        <w:tc>
          <w:tcPr>
            <w:tcW w:w="4347" w:type="pct"/>
            <w:gridSpan w:val="5"/>
            <w:vAlign w:val="center"/>
          </w:tcPr>
          <w:p>
            <w:pPr>
              <w:pStyle w:val="670"/>
              <w:rPr>
                <w:color w:val="FF0000"/>
                <w:lang w:eastAsia="zh-CN"/>
              </w:rPr>
            </w:pPr>
            <w:r>
              <w:rPr>
                <w:color w:val="FF0000"/>
                <w:lang w:eastAsia="zh-CN"/>
              </w:rPr>
              <w:t>性状：</w:t>
            </w:r>
            <w:r>
              <w:rPr>
                <w:rFonts w:hint="eastAsia"/>
                <w:color w:val="FF0000"/>
                <w:lang w:eastAsia="zh-CN"/>
              </w:rPr>
              <w:t>油状液体，淡黄色至褐色，无气味或略带异味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3" w:type="pct"/>
            <w:vMerge w:val="restart"/>
            <w:vAlign w:val="center"/>
          </w:tcPr>
          <w:p>
            <w:pPr>
              <w:pStyle w:val="670"/>
              <w:rPr>
                <w:color w:val="FF0000"/>
              </w:rPr>
            </w:pPr>
            <w:r>
              <w:rPr>
                <w:color w:val="FF0000"/>
              </w:rPr>
              <w:t>燃烧爆炸危险性</w:t>
            </w:r>
          </w:p>
        </w:tc>
        <w:tc>
          <w:tcPr>
            <w:tcW w:w="1981" w:type="pct"/>
            <w:gridSpan w:val="2"/>
            <w:vAlign w:val="center"/>
          </w:tcPr>
          <w:p>
            <w:pPr>
              <w:pStyle w:val="670"/>
              <w:rPr>
                <w:color w:val="FF0000"/>
              </w:rPr>
            </w:pPr>
            <w:r>
              <w:rPr>
                <w:color w:val="FF0000"/>
              </w:rPr>
              <w:t>燃烧性：</w:t>
            </w:r>
            <w:r>
              <w:rPr>
                <w:rFonts w:hint="eastAsia"/>
                <w:color w:val="FF0000"/>
              </w:rPr>
              <w:t>可</w:t>
            </w:r>
            <w:r>
              <w:rPr>
                <w:color w:val="FF0000"/>
              </w:rPr>
              <w:t>燃</w:t>
            </w:r>
          </w:p>
        </w:tc>
        <w:tc>
          <w:tcPr>
            <w:tcW w:w="2366" w:type="pct"/>
            <w:gridSpan w:val="3"/>
            <w:vAlign w:val="center"/>
          </w:tcPr>
          <w:p>
            <w:pPr>
              <w:pStyle w:val="670"/>
              <w:rPr>
                <w:color w:val="FF0000"/>
              </w:rPr>
            </w:pPr>
            <w:r>
              <w:rPr>
                <w:rFonts w:hint="eastAsia"/>
                <w:color w:val="FF0000"/>
              </w:rPr>
              <w:t>引</w:t>
            </w:r>
            <w:r>
              <w:rPr>
                <w:color w:val="FF0000"/>
              </w:rPr>
              <w:t>燃温度／</w:t>
            </w:r>
            <w:r>
              <w:rPr>
                <w:rFonts w:hint="eastAsia"/>
                <w:color w:val="FF0000"/>
              </w:rPr>
              <w:t>℃</w:t>
            </w:r>
            <w:r>
              <w:rPr>
                <w:color w:val="FF0000"/>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3" w:type="pct"/>
            <w:vMerge w:val="continue"/>
            <w:vAlign w:val="center"/>
          </w:tcPr>
          <w:p>
            <w:pPr>
              <w:pStyle w:val="670"/>
              <w:rPr>
                <w:color w:val="FF0000"/>
              </w:rPr>
            </w:pPr>
          </w:p>
        </w:tc>
        <w:tc>
          <w:tcPr>
            <w:tcW w:w="1981" w:type="pct"/>
            <w:gridSpan w:val="2"/>
            <w:vAlign w:val="center"/>
          </w:tcPr>
          <w:p>
            <w:pPr>
              <w:pStyle w:val="670"/>
              <w:rPr>
                <w:color w:val="FF0000"/>
              </w:rPr>
            </w:pPr>
            <w:r>
              <w:rPr>
                <w:color w:val="FF0000"/>
              </w:rPr>
              <w:t>闪点／</w:t>
            </w:r>
            <w:r>
              <w:rPr>
                <w:rFonts w:hint="eastAsia"/>
                <w:color w:val="FF0000"/>
              </w:rPr>
              <w:t>℃</w:t>
            </w:r>
            <w:r>
              <w:rPr>
                <w:color w:val="FF0000"/>
              </w:rPr>
              <w:t>：76</w:t>
            </w:r>
          </w:p>
        </w:tc>
        <w:tc>
          <w:tcPr>
            <w:tcW w:w="2366" w:type="pct"/>
            <w:gridSpan w:val="3"/>
            <w:vAlign w:val="center"/>
          </w:tcPr>
          <w:p>
            <w:pPr>
              <w:pStyle w:val="670"/>
              <w:rPr>
                <w:color w:val="FF0000"/>
              </w:rPr>
            </w:pPr>
            <w:r>
              <w:rPr>
                <w:rFonts w:hint="eastAsia"/>
                <w:color w:val="FF0000"/>
              </w:rPr>
              <w:t>稳定</w:t>
            </w:r>
            <w:r>
              <w:rPr>
                <w:color w:val="FF0000"/>
              </w:rPr>
              <w:t>性：稳定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53" w:type="pct"/>
            <w:vMerge w:val="continue"/>
            <w:vAlign w:val="center"/>
          </w:tcPr>
          <w:p>
            <w:pPr>
              <w:pStyle w:val="670"/>
              <w:rPr>
                <w:color w:val="FF0000"/>
              </w:rPr>
            </w:pPr>
          </w:p>
        </w:tc>
        <w:tc>
          <w:tcPr>
            <w:tcW w:w="4347" w:type="pct"/>
            <w:gridSpan w:val="5"/>
            <w:vAlign w:val="center"/>
          </w:tcPr>
          <w:p>
            <w:pPr>
              <w:pStyle w:val="670"/>
              <w:rPr>
                <w:color w:val="FF0000"/>
                <w:lang w:eastAsia="zh-CN"/>
              </w:rPr>
            </w:pPr>
            <w:r>
              <w:rPr>
                <w:color w:val="FF0000"/>
                <w:lang w:eastAsia="zh-CN"/>
              </w:rPr>
              <w:t>危险特性：</w:t>
            </w:r>
            <w:r>
              <w:rPr>
                <w:rFonts w:hint="eastAsia"/>
                <w:color w:val="FF0000"/>
                <w:lang w:eastAsia="zh-CN"/>
              </w:rPr>
              <w:t>遇明火</w:t>
            </w:r>
            <w:r>
              <w:rPr>
                <w:color w:val="FF0000"/>
                <w:lang w:eastAsia="zh-CN"/>
              </w:rPr>
              <w:t>、高热可燃</w:t>
            </w:r>
            <w:r>
              <w:rPr>
                <w:rFonts w:hint="eastAsia"/>
                <w:color w:val="FF000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653" w:type="pct"/>
            <w:vMerge w:val="continue"/>
            <w:vAlign w:val="center"/>
          </w:tcPr>
          <w:p>
            <w:pPr>
              <w:pStyle w:val="670"/>
              <w:rPr>
                <w:color w:val="FF0000"/>
                <w:lang w:eastAsia="zh-CN"/>
              </w:rPr>
            </w:pPr>
          </w:p>
        </w:tc>
        <w:tc>
          <w:tcPr>
            <w:tcW w:w="4347" w:type="pct"/>
            <w:gridSpan w:val="5"/>
            <w:vAlign w:val="center"/>
          </w:tcPr>
          <w:p>
            <w:pPr>
              <w:pStyle w:val="670"/>
              <w:jc w:val="both"/>
              <w:rPr>
                <w:color w:val="FF0000"/>
                <w:lang w:eastAsia="zh-CN"/>
              </w:rPr>
            </w:pPr>
            <w:r>
              <w:rPr>
                <w:color w:val="FF0000"/>
                <w:lang w:eastAsia="zh-CN"/>
              </w:rPr>
              <w:t>灭火方法：</w:t>
            </w:r>
            <w:r>
              <w:rPr>
                <w:rFonts w:hint="eastAsia"/>
                <w:color w:val="FF0000"/>
                <w:lang w:eastAsia="zh-CN"/>
              </w:rPr>
              <w:t>消防人员须佩戴防毒面具、穿全身消防服，站在上风向灭火。尽可能将容器从火场移至空旷处。喷水保持火场容器冷却，</w:t>
            </w:r>
            <w:r>
              <w:rPr>
                <w:color w:val="FF0000"/>
                <w:lang w:eastAsia="zh-CN"/>
              </w:rPr>
              <w:t xml:space="preserve"> </w:t>
            </w:r>
            <w:r>
              <w:rPr>
                <w:rFonts w:hint="eastAsia"/>
                <w:color w:val="FF0000"/>
                <w:lang w:eastAsia="zh-CN"/>
              </w:rPr>
              <w:t>直至灭火结束。处在火场中的容器若已变色或从安全泄压装置中产生声音，必须马上撤离。</w:t>
            </w:r>
          </w:p>
          <w:p>
            <w:pPr>
              <w:pStyle w:val="670"/>
              <w:jc w:val="both"/>
              <w:rPr>
                <w:color w:val="FF0000"/>
                <w:lang w:eastAsia="zh-CN"/>
              </w:rPr>
            </w:pPr>
            <w:r>
              <w:rPr>
                <w:rFonts w:hint="eastAsia"/>
                <w:color w:val="FF0000"/>
                <w:lang w:eastAsia="zh-CN"/>
              </w:rPr>
              <w:t>灭火剂：雾状水、泡沫、干粉、二氧化碳、砂土。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53" w:type="pct"/>
            <w:vAlign w:val="center"/>
          </w:tcPr>
          <w:p>
            <w:pPr>
              <w:pStyle w:val="670"/>
              <w:rPr>
                <w:color w:val="FF0000"/>
              </w:rPr>
            </w:pPr>
            <w:r>
              <w:rPr>
                <w:color w:val="FF0000"/>
              </w:rPr>
              <w:t>健康</w:t>
            </w:r>
          </w:p>
          <w:p>
            <w:pPr>
              <w:pStyle w:val="670"/>
              <w:rPr>
                <w:color w:val="FF0000"/>
              </w:rPr>
            </w:pPr>
            <w:r>
              <w:rPr>
                <w:color w:val="FF0000"/>
              </w:rPr>
              <w:t>危害</w:t>
            </w:r>
          </w:p>
        </w:tc>
        <w:tc>
          <w:tcPr>
            <w:tcW w:w="4347" w:type="pct"/>
            <w:gridSpan w:val="5"/>
            <w:vAlign w:val="center"/>
          </w:tcPr>
          <w:p>
            <w:pPr>
              <w:pStyle w:val="670"/>
              <w:jc w:val="both"/>
              <w:rPr>
                <w:color w:val="FF0000"/>
                <w:lang w:eastAsia="zh-CN"/>
              </w:rPr>
            </w:pPr>
            <w:r>
              <w:rPr>
                <w:rFonts w:hint="eastAsia"/>
                <w:color w:val="FF0000"/>
                <w:lang w:eastAsia="zh-CN"/>
              </w:rPr>
              <w:t>侵入途径：吸如、食入；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trPr>
        <w:tc>
          <w:tcPr>
            <w:tcW w:w="653" w:type="pct"/>
            <w:vAlign w:val="center"/>
          </w:tcPr>
          <w:p>
            <w:pPr>
              <w:pStyle w:val="670"/>
              <w:rPr>
                <w:color w:val="FF0000"/>
              </w:rPr>
            </w:pPr>
            <w:r>
              <w:rPr>
                <w:rFonts w:hint="eastAsia"/>
                <w:color w:val="FF0000"/>
              </w:rPr>
              <w:t>急救措施</w:t>
            </w:r>
          </w:p>
        </w:tc>
        <w:tc>
          <w:tcPr>
            <w:tcW w:w="4347" w:type="pct"/>
            <w:gridSpan w:val="5"/>
            <w:vAlign w:val="center"/>
          </w:tcPr>
          <w:p>
            <w:pPr>
              <w:pStyle w:val="670"/>
              <w:jc w:val="both"/>
              <w:rPr>
                <w:color w:val="FF0000"/>
                <w:lang w:eastAsia="zh-CN"/>
              </w:rPr>
            </w:pPr>
            <w:r>
              <w:rPr>
                <w:rFonts w:hint="eastAsia"/>
                <w:color w:val="FF0000"/>
                <w:lang w:eastAsia="zh-CN"/>
              </w:rPr>
              <w:t>皮肤接触：立即脱去被污染的衣着，用大量清水冲洗；</w:t>
            </w:r>
          </w:p>
          <w:p>
            <w:pPr>
              <w:pStyle w:val="670"/>
              <w:jc w:val="both"/>
              <w:rPr>
                <w:color w:val="FF0000"/>
                <w:lang w:eastAsia="zh-CN"/>
              </w:rPr>
            </w:pPr>
            <w:r>
              <w:rPr>
                <w:rFonts w:hint="eastAsia"/>
                <w:color w:val="FF0000"/>
                <w:lang w:eastAsia="zh-CN"/>
              </w:rPr>
              <w:t>眼睛接触：立即提起眼睑，用大量流动清水或生理盐水冲洗，就医；</w:t>
            </w:r>
          </w:p>
          <w:p>
            <w:pPr>
              <w:pStyle w:val="670"/>
              <w:jc w:val="both"/>
              <w:rPr>
                <w:color w:val="FF0000"/>
                <w:lang w:eastAsia="zh-CN"/>
              </w:rPr>
            </w:pPr>
            <w:r>
              <w:rPr>
                <w:rFonts w:hint="eastAsia"/>
                <w:color w:val="FF0000"/>
                <w:lang w:eastAsia="zh-CN"/>
              </w:rPr>
              <w:t>吸入：迅速脱离现场至空气新鲜处，保持呼吸道通畅，如呼吸困难，给输氧；如呼吸停止，立即进行人工呼吸，就医；</w:t>
            </w:r>
          </w:p>
          <w:p>
            <w:pPr>
              <w:pStyle w:val="670"/>
              <w:jc w:val="both"/>
              <w:rPr>
                <w:color w:val="FF0000"/>
                <w:lang w:eastAsia="zh-CN"/>
              </w:rPr>
            </w:pPr>
            <w:r>
              <w:rPr>
                <w:rFonts w:hint="eastAsia"/>
                <w:color w:val="FF0000"/>
                <w:lang w:eastAsia="zh-CN"/>
              </w:rPr>
              <w:t>食入：饮足量温水，催吐，就医。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653" w:type="pct"/>
            <w:vAlign w:val="center"/>
          </w:tcPr>
          <w:p>
            <w:pPr>
              <w:pStyle w:val="670"/>
              <w:rPr>
                <w:color w:val="FF0000"/>
              </w:rPr>
            </w:pPr>
            <w:r>
              <w:rPr>
                <w:rFonts w:hint="eastAsia"/>
                <w:color w:val="FF0000"/>
              </w:rPr>
              <w:t>防护措施</w:t>
            </w:r>
          </w:p>
        </w:tc>
        <w:tc>
          <w:tcPr>
            <w:tcW w:w="4347" w:type="pct"/>
            <w:gridSpan w:val="5"/>
            <w:vAlign w:val="center"/>
          </w:tcPr>
          <w:p>
            <w:pPr>
              <w:pStyle w:val="670"/>
              <w:jc w:val="both"/>
              <w:rPr>
                <w:color w:val="FF0000"/>
                <w:lang w:eastAsia="zh-CN"/>
              </w:rPr>
            </w:pPr>
            <w:r>
              <w:rPr>
                <w:rFonts w:hint="eastAsia"/>
                <w:color w:val="FF0000"/>
                <w:lang w:eastAsia="zh-CN"/>
              </w:rPr>
              <w:t>工程控制：密闭操作，注意通风；</w:t>
            </w:r>
          </w:p>
          <w:p>
            <w:pPr>
              <w:pStyle w:val="670"/>
              <w:jc w:val="both"/>
              <w:rPr>
                <w:color w:val="FF0000"/>
                <w:lang w:eastAsia="zh-CN"/>
              </w:rPr>
            </w:pPr>
            <w:r>
              <w:rPr>
                <w:rFonts w:hint="eastAsia"/>
                <w:color w:val="FF0000"/>
                <w:lang w:eastAsia="zh-CN"/>
              </w:rPr>
              <w:t>呼吸系统防护：空气中浓度超标时，建议佩戴自吸过滤式防毒面具（半面罩）。紧急事态抢救或撤离时，应该佩戴空气呼吸器。</w:t>
            </w:r>
          </w:p>
          <w:p>
            <w:pPr>
              <w:pStyle w:val="670"/>
              <w:jc w:val="both"/>
              <w:rPr>
                <w:color w:val="FF0000"/>
                <w:lang w:eastAsia="zh-CN"/>
              </w:rPr>
            </w:pPr>
            <w:r>
              <w:rPr>
                <w:rFonts w:hint="eastAsia"/>
                <w:color w:val="FF0000"/>
                <w:lang w:eastAsia="zh-CN"/>
              </w:rPr>
              <w:t>眼睛防护：戴化学安全防护眼镜。</w:t>
            </w:r>
          </w:p>
          <w:p>
            <w:pPr>
              <w:pStyle w:val="670"/>
              <w:jc w:val="both"/>
              <w:rPr>
                <w:color w:val="FF0000"/>
                <w:lang w:eastAsia="zh-CN"/>
              </w:rPr>
            </w:pPr>
            <w:r>
              <w:rPr>
                <w:rFonts w:hint="eastAsia"/>
                <w:color w:val="FF0000"/>
                <w:lang w:eastAsia="zh-CN"/>
              </w:rPr>
              <w:t>身体防护：穿防毒物渗透工作服；</w:t>
            </w:r>
          </w:p>
          <w:p>
            <w:pPr>
              <w:pStyle w:val="670"/>
              <w:jc w:val="both"/>
              <w:rPr>
                <w:color w:val="FF0000"/>
                <w:lang w:eastAsia="zh-CN"/>
              </w:rPr>
            </w:pPr>
            <w:r>
              <w:rPr>
                <w:rFonts w:hint="eastAsia"/>
                <w:color w:val="FF0000"/>
                <w:lang w:eastAsia="zh-CN"/>
              </w:rPr>
              <w:t>手防护：戴橡胶耐油手套；</w:t>
            </w:r>
          </w:p>
          <w:p>
            <w:pPr>
              <w:pStyle w:val="670"/>
              <w:jc w:val="both"/>
              <w:rPr>
                <w:color w:val="FF0000"/>
                <w:lang w:eastAsia="zh-CN"/>
              </w:rPr>
            </w:pPr>
            <w:r>
              <w:rPr>
                <w:rFonts w:hint="eastAsia"/>
                <w:color w:val="FF0000"/>
                <w:lang w:eastAsia="zh-CN"/>
              </w:rPr>
              <w:t>其他：工作现场严禁吸烟，避免长期反复接触。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653" w:type="pct"/>
            <w:vAlign w:val="center"/>
          </w:tcPr>
          <w:p>
            <w:pPr>
              <w:pStyle w:val="670"/>
              <w:rPr>
                <w:color w:val="FF0000"/>
              </w:rPr>
            </w:pPr>
            <w:r>
              <w:rPr>
                <w:rFonts w:hint="eastAsia"/>
                <w:color w:val="FF0000"/>
              </w:rPr>
              <w:t>泄露</w:t>
            </w:r>
            <w:r>
              <w:rPr>
                <w:color w:val="FF0000"/>
              </w:rPr>
              <w:t>处理</w:t>
            </w:r>
          </w:p>
        </w:tc>
        <w:tc>
          <w:tcPr>
            <w:tcW w:w="4347" w:type="pct"/>
            <w:gridSpan w:val="5"/>
            <w:vAlign w:val="center"/>
          </w:tcPr>
          <w:p>
            <w:pPr>
              <w:pStyle w:val="670"/>
              <w:jc w:val="both"/>
              <w:rPr>
                <w:color w:val="FF0000"/>
                <w:lang w:eastAsia="zh-CN"/>
              </w:rPr>
            </w:pPr>
            <w:r>
              <w:rPr>
                <w:rFonts w:hint="eastAsia"/>
                <w:color w:val="FF0000"/>
                <w:lang w:eastAsia="zh-CN"/>
              </w:rPr>
              <w:t>迅速撤离泄漏污染区人员至安全区，并进行隔离，严格限制出入。切断火源。建议应急处理人员戴自给正压式呼吸器，</w:t>
            </w:r>
          </w:p>
          <w:p>
            <w:pPr>
              <w:pStyle w:val="670"/>
              <w:jc w:val="both"/>
              <w:rPr>
                <w:color w:val="FF0000"/>
                <w:lang w:eastAsia="zh-CN"/>
              </w:rPr>
            </w:pPr>
            <w:r>
              <w:rPr>
                <w:rFonts w:hint="eastAsia"/>
                <w:color w:val="FF0000"/>
                <w:lang w:eastAsia="zh-CN"/>
              </w:rPr>
              <w:t>穿防毒服。尽可能切断泄漏源。防止流入下水道、排洪沟等限制性空间。</w:t>
            </w:r>
          </w:p>
          <w:p>
            <w:pPr>
              <w:pStyle w:val="670"/>
              <w:jc w:val="both"/>
              <w:rPr>
                <w:color w:val="FF0000"/>
                <w:lang w:eastAsia="zh-CN"/>
              </w:rPr>
            </w:pPr>
            <w:r>
              <w:rPr>
                <w:rFonts w:hint="eastAsia"/>
                <w:color w:val="FF0000"/>
                <w:lang w:eastAsia="zh-CN"/>
              </w:rPr>
              <w:t>小量泄漏：用砂土或其它不燃材料吸附或吸收。</w:t>
            </w:r>
          </w:p>
          <w:p>
            <w:pPr>
              <w:pStyle w:val="670"/>
              <w:jc w:val="both"/>
              <w:rPr>
                <w:color w:val="FF0000"/>
                <w:lang w:eastAsia="zh-CN"/>
              </w:rPr>
            </w:pPr>
            <w:r>
              <w:rPr>
                <w:rFonts w:hint="eastAsia"/>
                <w:color w:val="FF0000"/>
                <w:lang w:eastAsia="zh-CN"/>
              </w:rPr>
              <w:t>大量泄漏：构筑围堤或挖坑收容。用泵转移至槽车或专用收集器内，回收或运至废物处理场所处置。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trPr>
        <w:tc>
          <w:tcPr>
            <w:tcW w:w="653" w:type="pct"/>
            <w:vAlign w:val="center"/>
          </w:tcPr>
          <w:p>
            <w:pPr>
              <w:pStyle w:val="670"/>
              <w:rPr>
                <w:color w:val="FF0000"/>
              </w:rPr>
            </w:pPr>
            <w:r>
              <w:rPr>
                <w:rFonts w:hint="eastAsia"/>
                <w:color w:val="FF0000"/>
              </w:rPr>
              <w:t>储运</w:t>
            </w:r>
          </w:p>
        </w:tc>
        <w:tc>
          <w:tcPr>
            <w:tcW w:w="4347" w:type="pct"/>
            <w:gridSpan w:val="5"/>
            <w:vAlign w:val="center"/>
          </w:tcPr>
          <w:p>
            <w:pPr>
              <w:pStyle w:val="670"/>
              <w:jc w:val="both"/>
              <w:rPr>
                <w:color w:val="FF0000"/>
                <w:lang w:eastAsia="zh-CN"/>
              </w:rPr>
            </w:pPr>
            <w:r>
              <w:rPr>
                <w:rFonts w:hint="eastAsia"/>
                <w:color w:val="FF0000"/>
                <w:lang w:eastAsia="zh-CN"/>
              </w:rPr>
              <w:t>储存于阴凉、通风的库房。远离火种、热源。应与氧化剂分开存放，切忌混储。配备相应品种和数量的消防器材。储区应备有泄漏应急处理设备和合适的收容材料。</w:t>
            </w:r>
          </w:p>
          <w:p>
            <w:pPr>
              <w:pStyle w:val="670"/>
              <w:jc w:val="both"/>
              <w:rPr>
                <w:color w:val="FF0000"/>
              </w:rPr>
            </w:pPr>
            <w:r>
              <w:rPr>
                <w:rFonts w:hint="eastAsia"/>
                <w:color w:val="FF0000"/>
                <w:lang w:eastAsia="zh-CN"/>
              </w:rPr>
              <w:t>运输前应先检查包装容器是否完整、密封，运输过程中要确保容器不泄漏、不倒塌、不坠落、不损坏。严禁与氧化剂、食用化学品等混装混运。运输车船必须彻底清洗、消毒， 否则不得装运其它物品。船运时，配装位置应远离卧室、厨房，并与机舱、电源、火源等部位隔离。</w:t>
            </w:r>
            <w:r>
              <w:rPr>
                <w:rFonts w:hint="eastAsia"/>
                <w:color w:val="FF0000"/>
              </w:rPr>
              <w:t>公路运输时要按规定路线行驶。</w:t>
            </w:r>
          </w:p>
        </w:tc>
      </w:tr>
    </w:tbl>
    <w:p>
      <w:pPr>
        <w:pStyle w:val="494"/>
        <w:ind w:firstLine="480"/>
        <w:rPr>
          <w:color w:val="FF0000"/>
        </w:rPr>
      </w:pPr>
      <w:r>
        <w:rPr>
          <w:rFonts w:hint="eastAsia"/>
          <w:color w:val="FF0000"/>
        </w:rPr>
        <w:t>（</w:t>
      </w:r>
      <w:r>
        <w:rPr>
          <w:color w:val="FF0000"/>
        </w:rPr>
        <w:t>2</w:t>
      </w:r>
      <w:r>
        <w:rPr>
          <w:rFonts w:hint="eastAsia"/>
          <w:color w:val="FF0000"/>
        </w:rPr>
        <w:t>）生产系统危险性识别。</w:t>
      </w:r>
    </w:p>
    <w:p>
      <w:pPr>
        <w:pStyle w:val="494"/>
        <w:ind w:firstLine="480"/>
        <w:rPr>
          <w:color w:val="FF0000"/>
        </w:rPr>
      </w:pPr>
      <w:r>
        <w:rPr>
          <w:rFonts w:cs="Times New Roman"/>
          <w:color w:val="FF0000"/>
          <w:kern w:val="28"/>
        </w:rPr>
        <w:t>根据项目生产工艺流程及使用物质危险性，本次评价的生产设施风险事故单元主要为天然气压缩设施及临时储罐</w:t>
      </w:r>
      <w:r>
        <w:rPr>
          <w:rFonts w:hint="eastAsia" w:cs="Times New Roman"/>
          <w:color w:val="FF0000"/>
          <w:kern w:val="28"/>
        </w:rPr>
        <w:t>；</w:t>
      </w:r>
      <w:r>
        <w:rPr>
          <w:color w:val="FF0000"/>
        </w:rPr>
        <w:t>废润滑油储存于危废暂存间，</w:t>
      </w:r>
      <w:r>
        <w:rPr>
          <w:rFonts w:hint="eastAsia"/>
          <w:color w:val="FF0000"/>
        </w:rPr>
        <w:t>在</w:t>
      </w:r>
      <w:r>
        <w:rPr>
          <w:color w:val="FF0000"/>
        </w:rPr>
        <w:t>日常储存过程，若发生泄露等事故会造成污染土壤甚至地下水环境风险。</w:t>
      </w:r>
    </w:p>
    <w:p>
      <w:pPr>
        <w:pStyle w:val="494"/>
        <w:ind w:firstLine="480"/>
        <w:rPr>
          <w:color w:val="FF0000"/>
        </w:rPr>
      </w:pPr>
      <w:r>
        <w:rPr>
          <w:rFonts w:hint="eastAsia"/>
          <w:color w:val="FF0000"/>
        </w:rPr>
        <w:t>（</w:t>
      </w:r>
      <w:r>
        <w:rPr>
          <w:color w:val="FF0000"/>
        </w:rPr>
        <w:t>3</w:t>
      </w:r>
      <w:r>
        <w:rPr>
          <w:rFonts w:hint="eastAsia"/>
          <w:color w:val="FF0000"/>
        </w:rPr>
        <w:t>）危险物质向环境转移的途径识别</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本工程新建1座天然气处理站，天然气处理站主要单元包括：原料气气液分离单元、预脱烃单元、天然气脱水单元等，为了天然气处理站的安全，本工程采取了设置可燃气体、有毒气体检测报警仪，在重点防护区域设置工业电视监视系统，各单元进、出口设紧急关断、压缩机等重要设备设安全阀等安全措施来确保站场的安全运行。采取上述措施后，可有效降低天然气处理站的事故风险。</w:t>
      </w:r>
    </w:p>
    <w:p>
      <w:pPr>
        <w:pStyle w:val="494"/>
        <w:ind w:firstLine="480"/>
        <w:rPr>
          <w:color w:val="FF0000"/>
        </w:rPr>
      </w:pPr>
      <w:r>
        <w:rPr>
          <w:rFonts w:cs="Times New Roman"/>
          <w:color w:val="FF0000"/>
          <w:kern w:val="28"/>
        </w:rPr>
        <w:t>本工程在天然气处理站内设有2座40m</w:t>
      </w:r>
      <w:r>
        <w:rPr>
          <w:rFonts w:cs="Times New Roman"/>
          <w:color w:val="FF0000"/>
          <w:kern w:val="28"/>
          <w:vertAlign w:val="superscript"/>
        </w:rPr>
        <w:t>3</w:t>
      </w:r>
      <w:r>
        <w:rPr>
          <w:rFonts w:cs="Times New Roman"/>
          <w:color w:val="FF0000"/>
          <w:kern w:val="28"/>
        </w:rPr>
        <w:t>混烃储罐，用户与储存脱烃产生的混烃，日常存满一罐后立即拉走，天然气经脱水后直接储存于罐车内，存满后即拉走，主要危险有火灾爆炸、物理爆炸等。本工程储罐的储存量较小，但一旦发生火灾、爆炸事故，危害特别大</w:t>
      </w:r>
      <w:r>
        <w:rPr>
          <w:rFonts w:hint="eastAsia"/>
          <w:color w:val="FF0000"/>
        </w:rPr>
        <w:t>。</w:t>
      </w:r>
    </w:p>
    <w:p>
      <w:pPr>
        <w:pStyle w:val="5"/>
        <w:spacing w:before="120" w:after="120"/>
        <w:rPr>
          <w:color w:val="FF0000"/>
          <w:spacing w:val="0"/>
        </w:rPr>
      </w:pPr>
      <w:bookmarkStart w:id="393" w:name="_Toc145580441"/>
      <w:r>
        <w:rPr>
          <w:rFonts w:hint="eastAsia"/>
          <w:color w:val="FF0000"/>
          <w:spacing w:val="0"/>
        </w:rPr>
        <w:t>5.</w:t>
      </w:r>
      <w:r>
        <w:rPr>
          <w:color w:val="FF0000"/>
          <w:spacing w:val="0"/>
        </w:rPr>
        <w:t>4.</w:t>
      </w:r>
      <w:r>
        <w:rPr>
          <w:rFonts w:hint="eastAsia"/>
          <w:color w:val="FF0000"/>
          <w:spacing w:val="0"/>
        </w:rPr>
        <w:t>5环境风险分析</w:t>
      </w:r>
      <w:bookmarkEnd w:id="393"/>
    </w:p>
    <w:p>
      <w:pPr>
        <w:pStyle w:val="694"/>
        <w:spacing w:line="460" w:lineRule="exact"/>
        <w:ind w:firstLine="480"/>
        <w:rPr>
          <w:rFonts w:ascii="Times New Roman" w:hAnsi="Times New Roman" w:cs="Times New Roman"/>
          <w:color w:val="FF0000"/>
          <w:kern w:val="28"/>
        </w:rPr>
      </w:pPr>
      <w:r>
        <w:rPr>
          <w:rFonts w:hint="eastAsia" w:ascii="Times New Roman" w:hAnsi="Times New Roman" w:cs="Times New Roman"/>
          <w:color w:val="FF0000"/>
          <w:kern w:val="28"/>
        </w:rPr>
        <w:t>（1）天然气泄露及火灾事故影响分析</w:t>
      </w:r>
    </w:p>
    <w:p>
      <w:pPr>
        <w:pStyle w:val="694"/>
        <w:spacing w:line="460" w:lineRule="exact"/>
        <w:ind w:firstLine="480"/>
        <w:rPr>
          <w:rFonts w:ascii="Times New Roman" w:hAnsi="Times New Roman" w:cs="Times New Roman"/>
          <w:color w:val="FF0000"/>
          <w:kern w:val="28"/>
          <w:lang w:val="en-GB"/>
        </w:rPr>
      </w:pPr>
      <w:r>
        <w:rPr>
          <w:rFonts w:ascii="Times New Roman" w:hAnsi="Times New Roman" w:cs="Times New Roman"/>
          <w:color w:val="FF0000"/>
          <w:kern w:val="28"/>
        </w:rPr>
        <w:t>生产设施或储罐发生泄漏事故时，会造成泄漏源附近甲烷浓度的显著增加，并在一定范围内形成甲烷聚集区，在不利气象条件下会造成爆炸危险区域，如果遇到明火发生燃爆会造成区域内人员死亡。</w:t>
      </w:r>
      <w:r>
        <w:rPr>
          <w:rFonts w:ascii="Times New Roman" w:hAnsi="Times New Roman" w:cs="Times New Roman"/>
          <w:color w:val="FF0000"/>
          <w:kern w:val="28"/>
          <w:lang w:val="en-GB"/>
        </w:rPr>
        <w:t>由于甲烷对人基本无毒，且甲烷密度比空气轻，泄漏后会快速扩散，因此在设施发生大量泄漏时，主要的产生的安全隐患是在空气中短时间内大量聚集，当达到爆炸极限时遇明火会发生爆炸的危险。项目区气藏的天然气中甲烷含量很高，且气藏产出天然气中不含H</w:t>
      </w:r>
      <w:r>
        <w:rPr>
          <w:rFonts w:ascii="Times New Roman" w:hAnsi="Times New Roman" w:cs="Times New Roman"/>
          <w:color w:val="FF0000"/>
          <w:kern w:val="28"/>
          <w:vertAlign w:val="subscript"/>
          <w:lang w:val="en-GB"/>
        </w:rPr>
        <w:t>2</w:t>
      </w:r>
      <w:r>
        <w:rPr>
          <w:rFonts w:ascii="Times New Roman" w:hAnsi="Times New Roman" w:cs="Times New Roman"/>
          <w:color w:val="FF0000"/>
          <w:kern w:val="28"/>
          <w:lang w:val="en-GB"/>
        </w:rPr>
        <w:t>S等有毒有害物质。因此，在发生天然气泄漏的安全事故时，散逸到环境空气中的天然气（主要为甲烷成分）在特定气象条件下，会在泄漏点附近的环境空气中形成很高浓度，但其造成的结果是形成可能发生火灾爆炸的区域，这种结果更多的属于安全风险事故；而由于甲烷对人体基本无毒，因此在</w:t>
      </w:r>
      <w:r>
        <w:rPr>
          <w:rFonts w:hint="eastAsia" w:ascii="Times New Roman" w:hAnsi="Times New Roman" w:cs="Times New Roman"/>
          <w:color w:val="FF0000"/>
          <w:kern w:val="28"/>
          <w:lang w:val="en-GB"/>
        </w:rPr>
        <w:t>泄漏事故</w:t>
      </w:r>
      <w:bookmarkStart w:id="552" w:name="_GoBack"/>
      <w:bookmarkEnd w:id="552"/>
      <w:r>
        <w:rPr>
          <w:rFonts w:ascii="Times New Roman" w:hAnsi="Times New Roman" w:cs="Times New Roman"/>
          <w:color w:val="FF0000"/>
          <w:kern w:val="28"/>
          <w:lang w:val="en-GB"/>
        </w:rPr>
        <w:t>发生后不会造成严重的环境污染灾害事故。</w:t>
      </w:r>
    </w:p>
    <w:p>
      <w:pPr>
        <w:pStyle w:val="494"/>
        <w:ind w:firstLine="480"/>
        <w:rPr>
          <w:rFonts w:cs="Times New Roman"/>
          <w:color w:val="FF0000"/>
          <w:kern w:val="28"/>
        </w:rPr>
      </w:pPr>
      <w:r>
        <w:rPr>
          <w:rFonts w:cs="Times New Roman"/>
          <w:color w:val="FF0000"/>
          <w:kern w:val="28"/>
        </w:rPr>
        <w:t>发生火灾事故的主要原因是明火造成的，当天然气或混烃发生泄漏遇明火或空气中积聚到一定浓度后发生着火会放出一定的热量，根据《危险评价方法及其应用》点源模型分析可知，火焰辐射出的能量为燃烧热的一部分，热辐射强度与燃烧速率成正比，与接收距离的平方成反比，当火灾产生的热辐射强度足够大时，可使周围的物体燃烧或变形，更强烈的热辐射可能烧毁设备甚至造成人员伤亡等。火灾除以直接产生的热量破坏形式外还会产生次生危害，产生有害气体CO、烟尘、NOx等，产生大量的消防废水</w:t>
      </w:r>
    </w:p>
    <w:p>
      <w:pPr>
        <w:pStyle w:val="494"/>
        <w:ind w:firstLine="480"/>
        <w:rPr>
          <w:color w:val="FF0000"/>
        </w:rPr>
      </w:pPr>
      <w:r>
        <w:rPr>
          <w:rFonts w:hint="eastAsia"/>
          <w:color w:val="FF0000"/>
        </w:rPr>
        <w:t>（2）废润滑油泄漏及火灾影响分析</w:t>
      </w:r>
    </w:p>
    <w:p>
      <w:pPr>
        <w:pStyle w:val="494"/>
        <w:ind w:firstLine="480"/>
        <w:rPr>
          <w:bCs/>
          <w:color w:val="FF0000"/>
        </w:rPr>
      </w:pPr>
      <w:r>
        <w:rPr>
          <w:rFonts w:hint="eastAsia"/>
          <w:color w:val="FF0000"/>
        </w:rPr>
        <w:t>项目运营产生的废润滑油储存于危废暂存间，若发生泄漏将造成区域土壤、地下水环境污染，但环评要求危废暂存间</w:t>
      </w:r>
      <w:r>
        <w:rPr>
          <w:rFonts w:hint="eastAsia"/>
          <w:bCs/>
          <w:color w:val="FF0000"/>
        </w:rPr>
        <w:t>严格按照《危险废物贮存污染控制标准》（</w:t>
      </w:r>
      <w:r>
        <w:rPr>
          <w:bCs/>
          <w:color w:val="FF0000"/>
        </w:rPr>
        <w:t>GB18957-2001</w:t>
      </w:r>
      <w:r>
        <w:rPr>
          <w:rFonts w:hint="eastAsia"/>
          <w:bCs/>
          <w:color w:val="FF0000"/>
        </w:rPr>
        <w:t>）及修改单中有关规定建设，对危废暂存间进行重点防渗处置，防渗性能达到渗透系数小于</w:t>
      </w:r>
      <w:r>
        <w:rPr>
          <w:bCs/>
          <w:color w:val="FF0000"/>
        </w:rPr>
        <w:t>10</w:t>
      </w:r>
      <w:r>
        <w:rPr>
          <w:bCs/>
          <w:color w:val="FF0000"/>
          <w:vertAlign w:val="superscript"/>
        </w:rPr>
        <w:t>-7</w:t>
      </w:r>
      <w:r>
        <w:rPr>
          <w:bCs/>
          <w:color w:val="FF0000"/>
        </w:rPr>
        <w:t>cm/s</w:t>
      </w:r>
      <w:r>
        <w:rPr>
          <w:rFonts w:hint="eastAsia"/>
          <w:bCs/>
          <w:color w:val="FF0000"/>
        </w:rPr>
        <w:t>，危废暂存间在按照环评要求采取防渗措施后，在对废润滑油储存加以严格管理，定期清理，减少厂区危废间储存量后发生泄漏的可能性极小。</w:t>
      </w:r>
    </w:p>
    <w:p>
      <w:pPr>
        <w:pStyle w:val="494"/>
        <w:ind w:firstLine="480"/>
        <w:rPr>
          <w:color w:val="FF0000"/>
        </w:rPr>
      </w:pPr>
      <w:r>
        <w:rPr>
          <w:rFonts w:hint="eastAsia"/>
          <w:bCs/>
          <w:color w:val="FF0000"/>
        </w:rPr>
        <w:t>另外废润滑油属于油类物质，属于可燃物质，如遇明火等容易发生火灾，对项目区造成严重损失，项目在日常运营中加强危废暂存间管理，规范操作等措施后，发生火灾的可能性极小</w:t>
      </w:r>
      <w:r>
        <w:rPr>
          <w:rFonts w:hint="eastAsia"/>
          <w:color w:val="FF0000"/>
        </w:rPr>
        <w:t>。</w:t>
      </w:r>
    </w:p>
    <w:p>
      <w:pPr>
        <w:pStyle w:val="5"/>
        <w:spacing w:before="120" w:after="120"/>
        <w:rPr>
          <w:color w:val="FF0000"/>
          <w:spacing w:val="0"/>
        </w:rPr>
      </w:pPr>
      <w:bookmarkStart w:id="394" w:name="_Toc107500400"/>
      <w:bookmarkStart w:id="395" w:name="_Toc145580442"/>
      <w:r>
        <w:rPr>
          <w:rFonts w:hint="eastAsia"/>
          <w:color w:val="FF0000"/>
          <w:spacing w:val="0"/>
        </w:rPr>
        <w:t>5.</w:t>
      </w:r>
      <w:r>
        <w:rPr>
          <w:color w:val="FF0000"/>
          <w:spacing w:val="0"/>
        </w:rPr>
        <w:t>4.6</w:t>
      </w:r>
      <w:r>
        <w:rPr>
          <w:rFonts w:hint="eastAsia"/>
          <w:color w:val="FF0000"/>
          <w:spacing w:val="0"/>
        </w:rPr>
        <w:t>风险事故防范措施</w:t>
      </w:r>
      <w:bookmarkEnd w:id="394"/>
      <w:bookmarkEnd w:id="395"/>
    </w:p>
    <w:p>
      <w:pPr>
        <w:pStyle w:val="694"/>
        <w:spacing w:line="460" w:lineRule="exact"/>
        <w:ind w:firstLine="480"/>
        <w:rPr>
          <w:rFonts w:ascii="Times New Roman" w:hAnsi="Times New Roman" w:cs="Times New Roman"/>
          <w:color w:val="FF0000"/>
          <w:kern w:val="28"/>
        </w:rPr>
      </w:pPr>
      <w:bookmarkStart w:id="396" w:name="_Toc27960"/>
      <w:bookmarkStart w:id="397" w:name="_Toc483733170"/>
      <w:bookmarkStart w:id="398" w:name="_Toc11337"/>
      <w:bookmarkStart w:id="399" w:name="_Toc433814563"/>
      <w:bookmarkStart w:id="400" w:name="_Toc22789"/>
      <w:bookmarkStart w:id="401" w:name="_Toc368063488"/>
      <w:bookmarkStart w:id="402" w:name="_Toc32542"/>
      <w:bookmarkStart w:id="403" w:name="_Toc332103757"/>
      <w:bookmarkStart w:id="404" w:name="_Toc319228437"/>
      <w:bookmarkStart w:id="405" w:name="_Toc346113480"/>
      <w:bookmarkStart w:id="406" w:name="_Toc2149"/>
      <w:bookmarkStart w:id="407" w:name="_Toc332103657"/>
      <w:bookmarkStart w:id="408" w:name="_Toc10026"/>
      <w:bookmarkStart w:id="409" w:name="_Toc23075"/>
      <w:bookmarkStart w:id="410" w:name="_Toc448920650"/>
      <w:bookmarkStart w:id="411" w:name="_Toc485196115"/>
      <w:bookmarkStart w:id="412" w:name="_Toc357066938"/>
      <w:r>
        <w:rPr>
          <w:rFonts w:ascii="Times New Roman" w:hAnsi="Times New Roman" w:cs="Times New Roman"/>
          <w:color w:val="FF0000"/>
          <w:kern w:val="28"/>
        </w:rPr>
        <w:t>为了消除事故隐患，针对各装置可能发生的各种事故风险因素，建设单位在总体布局、工艺设计、设备选型、施工单位选择、监督管理等方面，采取了大量行之有效的防范措施，具体如下：</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1、撬装装置平面布置严格执行《石油天然气工程设计防火规范》（GB50183-2004）和《建筑设计防火规范》（GB50039-2010）中的有关规定，平面布置力求紧凑，建、构筑物及设施间的防火安全距离严格执行设计规范和标准的要求。</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2、压力容器的设计，建筑材料的选择，防雷、防静电、防爆等设计严格执行《油气田建设防火规范》及有关技术规范；加强对压力容器和各类安全阀的管理，投产试运行前必须进行试压、标定和铅封，建立档案，保证安全生产。</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3、罐区设置火灾自动监测和火灾报警系统，并设置火灾自动灭火设施。</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4、在特殊岗位采取了隔离、通风、检测等措施，并配备必要的防护用品。在易燃易爆场所设有效的通风设施，并设置可燃气体浓度检测和报警设施。</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5、项目设置有一座消防泵房，内设2台消防泵，1用1备，消防水源来自站内1座500m</w:t>
      </w:r>
      <w:r>
        <w:rPr>
          <w:rFonts w:ascii="Times New Roman" w:hAnsi="Times New Roman" w:cs="Times New Roman"/>
          <w:color w:val="FF0000"/>
          <w:kern w:val="28"/>
          <w:vertAlign w:val="superscript"/>
        </w:rPr>
        <w:t>3</w:t>
      </w:r>
      <w:r>
        <w:rPr>
          <w:rFonts w:ascii="Times New Roman" w:hAnsi="Times New Roman" w:cs="Times New Roman"/>
          <w:color w:val="FF0000"/>
          <w:kern w:val="28"/>
        </w:rPr>
        <w:t>消防水池，内设自动消防稳压装置1套。项目区建有消防给水系统，消防采用固定式冷却给水系统。罐区设有DN200消防冷却水环网；装置区设有DN200环状消防管网及室外消火栓。对上岗人员进行安全教育和消防方法训练，加强员工安全防火意识。</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5、明确了各要害部位、重点岗位的管理责任，建立了一整套安全生产管理规定、安全生产操作规程和各种设备的运行操作规范，定期进行安全生产检查，并对查出问题认真整改，做好整改记录，通过加强安全管理消灭事故隐患。</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6、重视职工的专业技能培训，培训内容包括安全环保新增规定宣传、环保统计系统培训、压力容器管理系统培训、安全评价培训和安全生产法宣传等。</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7、作业场所均设置安全警示标志，设备和管道涂刷安全色。对高温管线进行隔热处理。</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8、本工程需根据《石油工业作业场所劳动防护用具配备要求》SY/T 6524-2010、《生产作业现场应急物资配备选用指南》Q/SY136-2012配备应急及个人防护用品。</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9、排污罐区设置地面防渗，并在罐区周围设置围堰，防止排污罐泄露导致周边土壤环境污染</w:t>
      </w:r>
      <w:r>
        <w:rPr>
          <w:rFonts w:hint="eastAsia" w:ascii="Times New Roman" w:hAnsi="Times New Roman" w:cs="Times New Roman"/>
          <w:color w:val="FF0000"/>
          <w:kern w:val="28"/>
        </w:rPr>
        <w:t>。</w:t>
      </w:r>
    </w:p>
    <w:p>
      <w:pPr>
        <w:pStyle w:val="694"/>
        <w:spacing w:line="460" w:lineRule="exact"/>
        <w:ind w:firstLine="480"/>
        <w:rPr>
          <w:color w:val="FF0000"/>
          <w:kern w:val="28"/>
        </w:rPr>
      </w:pPr>
      <w:r>
        <w:rPr>
          <w:rFonts w:hint="eastAsia" w:ascii="Times New Roman" w:hAnsi="Times New Roman" w:cs="Times New Roman"/>
          <w:color w:val="FF0000"/>
          <w:kern w:val="28"/>
        </w:rPr>
        <w:t>1</w:t>
      </w:r>
      <w:r>
        <w:rPr>
          <w:rFonts w:ascii="Times New Roman" w:hAnsi="Times New Roman" w:cs="Times New Roman"/>
          <w:color w:val="FF0000"/>
          <w:kern w:val="28"/>
        </w:rPr>
        <w:t>0</w:t>
      </w:r>
      <w:r>
        <w:rPr>
          <w:rFonts w:hint="eastAsia" w:ascii="Times New Roman" w:hAnsi="Times New Roman" w:cs="Times New Roman"/>
          <w:color w:val="FF0000"/>
          <w:kern w:val="28"/>
        </w:rPr>
        <w:t>、</w:t>
      </w:r>
      <w:r>
        <w:rPr>
          <w:rFonts w:hint="eastAsia"/>
          <w:color w:val="FF0000"/>
          <w:kern w:val="28"/>
        </w:rPr>
        <w:t>加强危废暂存间管理，定期及时清运，减少贮存量，贮存期间分类存放，建立严格的巡检制度。</w:t>
      </w:r>
      <w:bookmarkEnd w:id="390"/>
    </w:p>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Pr>
        <w:pStyle w:val="5"/>
        <w:spacing w:before="120" w:after="120"/>
        <w:rPr>
          <w:color w:val="FF0000"/>
          <w:spacing w:val="0"/>
        </w:rPr>
      </w:pPr>
      <w:bookmarkStart w:id="413" w:name="_Toc107500401"/>
      <w:bookmarkStart w:id="414" w:name="_Toc145580443"/>
      <w:r>
        <w:rPr>
          <w:rFonts w:hint="eastAsia"/>
          <w:color w:val="FF0000"/>
          <w:spacing w:val="0"/>
        </w:rPr>
        <w:t>5.</w:t>
      </w:r>
      <w:r>
        <w:rPr>
          <w:color w:val="FF0000"/>
          <w:spacing w:val="0"/>
        </w:rPr>
        <w:t>4.7</w:t>
      </w:r>
      <w:r>
        <w:rPr>
          <w:rFonts w:hint="eastAsia"/>
          <w:color w:val="FF0000"/>
          <w:spacing w:val="0"/>
        </w:rPr>
        <w:t>突发环境事件应急预案</w:t>
      </w:r>
      <w:bookmarkEnd w:id="413"/>
      <w:bookmarkEnd w:id="414"/>
    </w:p>
    <w:p>
      <w:pPr>
        <w:pStyle w:val="494"/>
        <w:ind w:firstLine="480"/>
        <w:rPr>
          <w:color w:val="FF0000"/>
        </w:rPr>
      </w:pPr>
      <w:r>
        <w:rPr>
          <w:rFonts w:hint="eastAsia"/>
          <w:color w:val="FF0000"/>
        </w:rPr>
        <w:t>根据环保部《突发环境事件应急管理办法》（环境保护部令第</w:t>
      </w:r>
      <w:r>
        <w:rPr>
          <w:color w:val="FF0000"/>
        </w:rPr>
        <w:t xml:space="preserve">34 </w:t>
      </w:r>
      <w:r>
        <w:rPr>
          <w:rFonts w:hint="eastAsia"/>
          <w:color w:val="FF0000"/>
        </w:rPr>
        <w:t>号）、《企业事业单位突发环境事件应急预案备案管理办法（试行）》（环发</w:t>
      </w:r>
      <w:r>
        <w:rPr>
          <w:color w:val="FF0000"/>
        </w:rPr>
        <w:t xml:space="preserve">[2015]4 </w:t>
      </w:r>
      <w:r>
        <w:rPr>
          <w:rFonts w:hint="eastAsia"/>
          <w:color w:val="FF0000"/>
        </w:rPr>
        <w:t>号）、《企业事业单位突发环境事件应急预案评审工作指南（试行）》的通知（环办应急</w:t>
      </w:r>
      <w:r>
        <w:rPr>
          <w:color w:val="FF0000"/>
        </w:rPr>
        <w:t>[2018]8</w:t>
      </w:r>
      <w:r>
        <w:rPr>
          <w:rFonts w:hint="eastAsia"/>
          <w:color w:val="FF0000"/>
        </w:rPr>
        <w:t>号）、环保部《关于进一步加强环境影响评价管理防范环境风险的通知》（环发</w:t>
      </w:r>
      <w:r>
        <w:rPr>
          <w:color w:val="FF0000"/>
        </w:rPr>
        <w:t>[2012]77</w:t>
      </w:r>
      <w:r>
        <w:rPr>
          <w:rFonts w:hint="eastAsia"/>
          <w:color w:val="FF0000"/>
        </w:rPr>
        <w:t>号）等的规定和要求，建设单位已编制完成《新疆天安鑫业油气技术服务有限公司突发环境事件应急预案》，并在昌吉州生态环境局阜康市分局完成了备案，备案编号为</w:t>
      </w:r>
      <w:r>
        <w:rPr>
          <w:color w:val="FF0000"/>
        </w:rPr>
        <w:t>652302-2023-030-L。</w:t>
      </w:r>
    </w:p>
    <w:p>
      <w:pPr>
        <w:pStyle w:val="494"/>
        <w:ind w:firstLine="480"/>
        <w:rPr>
          <w:rFonts w:asciiTheme="minorEastAsia" w:hAnsiTheme="minorEastAsia" w:eastAsiaTheme="minorEastAsia"/>
          <w:color w:val="FF0000"/>
        </w:rPr>
      </w:pPr>
      <w:r>
        <w:rPr>
          <w:rFonts w:hint="eastAsia" w:asciiTheme="minorEastAsia" w:hAnsiTheme="minorEastAsia" w:eastAsiaTheme="minorEastAsia"/>
          <w:color w:val="FF0000"/>
        </w:rPr>
        <w:t>环境应急预案应每三年或发生生产工艺和技术变化、周围环境敏感点发生变化、相关法律法规等发生变化及其他情形的，建设单位应重新修订环境应急预案，并向环境保护主管部门重新备案。待本项目建设完成后，建设单位尽快重新修订环境应急预案，并向环境保护主管部门重新备案，同时注意编制的应急预案应与沿线各区域、各相关企业应急系统衔接</w:t>
      </w:r>
      <w:r>
        <w:rPr>
          <w:rFonts w:asciiTheme="minorEastAsia" w:hAnsiTheme="minorEastAsia" w:eastAsiaTheme="minorEastAsia"/>
          <w:color w:val="FF0000"/>
        </w:rPr>
        <w:t>。</w:t>
      </w:r>
    </w:p>
    <w:p>
      <w:pPr>
        <w:pStyle w:val="5"/>
        <w:spacing w:before="120" w:after="120"/>
        <w:rPr>
          <w:color w:val="FF0000"/>
          <w:spacing w:val="0"/>
        </w:rPr>
      </w:pPr>
      <w:bookmarkStart w:id="415" w:name="_Toc107500402"/>
      <w:bookmarkStart w:id="416" w:name="_Toc145580444"/>
      <w:r>
        <w:rPr>
          <w:rFonts w:hint="eastAsia"/>
          <w:color w:val="FF0000"/>
          <w:spacing w:val="0"/>
        </w:rPr>
        <w:t>5.</w:t>
      </w:r>
      <w:r>
        <w:rPr>
          <w:color w:val="FF0000"/>
          <w:spacing w:val="0"/>
        </w:rPr>
        <w:t>4.8</w:t>
      </w:r>
      <w:r>
        <w:rPr>
          <w:rFonts w:hint="eastAsia"/>
          <w:color w:val="FF0000"/>
          <w:spacing w:val="0"/>
        </w:rPr>
        <w:t>风险评价结论</w:t>
      </w:r>
      <w:bookmarkEnd w:id="415"/>
      <w:r>
        <w:rPr>
          <w:rFonts w:hint="eastAsia"/>
          <w:color w:val="FF0000"/>
          <w:spacing w:val="0"/>
        </w:rPr>
        <w:t>与</w:t>
      </w:r>
      <w:r>
        <w:rPr>
          <w:color w:val="FF0000"/>
          <w:spacing w:val="0"/>
        </w:rPr>
        <w:t>建议</w:t>
      </w:r>
      <w:bookmarkEnd w:id="416"/>
    </w:p>
    <w:p>
      <w:pPr>
        <w:pStyle w:val="494"/>
        <w:ind w:firstLine="480"/>
        <w:rPr>
          <w:color w:val="FF0000"/>
        </w:rPr>
      </w:pPr>
      <w:r>
        <w:rPr>
          <w:rFonts w:hint="eastAsia"/>
          <w:color w:val="FF0000"/>
        </w:rPr>
        <w:t>1、</w:t>
      </w:r>
      <w:r>
        <w:rPr>
          <w:color w:val="FF0000"/>
        </w:rPr>
        <w:t>风险评价结论</w:t>
      </w:r>
    </w:p>
    <w:p>
      <w:pPr>
        <w:pStyle w:val="494"/>
        <w:ind w:firstLine="480"/>
        <w:rPr>
          <w:color w:val="FF0000"/>
        </w:rPr>
      </w:pPr>
      <w:r>
        <w:rPr>
          <w:rFonts w:cs="Times New Roman"/>
          <w:color w:val="FF0000"/>
          <w:kern w:val="28"/>
        </w:rPr>
        <w:t>根据环境风险影响评价，本项目涉及《建设项目环境风险评价技术导则》（HJ169-2018）附录B中危险物质主要为甲烷、丙烷、丁烷、戊烷，环境风险主要为天然气或混烃发生泄漏引发火灾、爆炸等对环境造成污染的风险，在采取相应的安全措施和制定事故救援应急预案，并加强安全管理后，本项目的环境风险在可接受的范围内</w:t>
      </w:r>
      <w:r>
        <w:rPr>
          <w:rFonts w:hint="eastAsia"/>
          <w:color w:val="FF0000"/>
        </w:rPr>
        <w:t>。</w:t>
      </w:r>
    </w:p>
    <w:p>
      <w:pPr>
        <w:pStyle w:val="494"/>
        <w:ind w:firstLine="480"/>
        <w:rPr>
          <w:color w:val="FF0000"/>
        </w:rPr>
      </w:pPr>
      <w:r>
        <w:rPr>
          <w:color w:val="FF0000"/>
        </w:rPr>
        <w:t>2、建议</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根据风险评价结论和项目特点，本次评价提出以下建议：</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（1）本项目具有潜在的事故风险，尽管风险可接受，但企业应从建设、生产、贮运等各方面积极采取防护措施，这是确保安全的根本措施。</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（2）当出现事故时，要采取紧急的工程应急措施，如必要，应采取社会应急措施，以控制事故和减少对环境造成的危害。</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（3）按照企业制定的突发环境事故应急预案，定期进行预案演练并实现与地方政府或相关管理部门突发环境事故应急预案的有效衔接。</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（4）建设单位必须高度重视，做到风险防范警钟常鸣，环境安全管理常抓不懈；严格落实各项风险防范措施，不断完善风险管理体系。</w:t>
      </w:r>
    </w:p>
    <w:p>
      <w:pPr>
        <w:pStyle w:val="494"/>
        <w:ind w:firstLine="480"/>
        <w:rPr>
          <w:color w:val="FF0000"/>
        </w:rPr>
      </w:pPr>
      <w:r>
        <w:rPr>
          <w:rFonts w:cs="Times New Roman"/>
          <w:color w:val="FF0000"/>
          <w:kern w:val="28"/>
        </w:rPr>
        <w:t>（5）建立企业环境风险应急机制，加强厂区生产设备、环保设施等巡查、监视力度，强化风险管理，强化对员工的职业素质教育，杜绝违章作业</w:t>
      </w:r>
      <w:r>
        <w:rPr>
          <w:color w:val="FF0000"/>
        </w:rPr>
        <w:t>。</w:t>
      </w:r>
    </w:p>
    <w:p>
      <w:pPr>
        <w:pStyle w:val="494"/>
        <w:ind w:firstLine="480"/>
        <w:rPr>
          <w:color w:val="FF0000"/>
        </w:rPr>
      </w:pPr>
      <w:r>
        <w:rPr>
          <w:rFonts w:hint="eastAsia"/>
          <w:color w:val="FF0000"/>
        </w:rPr>
        <w:t>3、</w:t>
      </w:r>
      <w:r>
        <w:rPr>
          <w:rFonts w:cs="Times New Roman"/>
          <w:color w:val="FF0000"/>
          <w:kern w:val="28"/>
        </w:rPr>
        <w:t>建设项目环境风险简单分析内容</w:t>
      </w:r>
      <w:r>
        <w:rPr>
          <w:rFonts w:hint="eastAsia"/>
          <w:color w:val="FF0000"/>
        </w:rPr>
        <w:t>表见表5</w:t>
      </w:r>
      <w:r>
        <w:rPr>
          <w:color w:val="FF0000"/>
        </w:rPr>
        <w:t>.4-6</w:t>
      </w:r>
      <w:r>
        <w:rPr>
          <w:rFonts w:hint="eastAsia"/>
          <w:color w:val="FF0000"/>
        </w:rPr>
        <w:t>。</w:t>
      </w:r>
    </w:p>
    <w:p>
      <w:pPr>
        <w:pStyle w:val="400"/>
        <w:ind w:firstLine="420"/>
        <w:rPr>
          <w:color w:val="FF0000"/>
        </w:rPr>
      </w:pPr>
      <w:r>
        <w:rPr>
          <w:rFonts w:hint="eastAsia"/>
          <w:color w:val="FF0000"/>
        </w:rPr>
        <w:t>表5.</w:t>
      </w:r>
      <w:r>
        <w:rPr>
          <w:color w:val="FF0000"/>
        </w:rPr>
        <w:t>4-6</w:t>
      </w:r>
      <w:r>
        <w:rPr>
          <w:rFonts w:hint="eastAsia"/>
          <w:color w:val="FF0000"/>
        </w:rPr>
        <w:t xml:space="preserve">            </w:t>
      </w:r>
      <w:r>
        <w:rPr>
          <w:color w:val="FF0000"/>
        </w:rPr>
        <w:t>建设项目环境风险简单分析内容</w:t>
      </w:r>
      <w:r>
        <w:rPr>
          <w:rFonts w:hint="eastAsia"/>
          <w:color w:val="FF0000"/>
        </w:rPr>
        <w:t>表</w:t>
      </w:r>
    </w:p>
    <w:bookmarkEnd w:id="376"/>
    <w:bookmarkEnd w:id="377"/>
    <w:bookmarkEnd w:id="378"/>
    <w:bookmarkEnd w:id="379"/>
    <w:bookmarkEnd w:id="380"/>
    <w:bookmarkEnd w:id="381"/>
    <w:bookmarkEnd w:id="382"/>
    <w:bookmarkEnd w:id="383"/>
    <w:bookmarkEnd w:id="384"/>
    <w:bookmarkEnd w:id="385"/>
    <w:bookmarkEnd w:id="386"/>
    <w:bookmarkEnd w:id="387"/>
    <w:tbl>
      <w:tblPr>
        <w:tblStyle w:val="55"/>
        <w:tblW w:w="86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1134"/>
        <w:gridCol w:w="141"/>
        <w:gridCol w:w="1506"/>
        <w:gridCol w:w="1134"/>
        <w:gridCol w:w="1134"/>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建设项目名称</w:t>
            </w:r>
          </w:p>
        </w:tc>
        <w:tc>
          <w:tcPr>
            <w:tcW w:w="6378" w:type="dxa"/>
            <w:gridSpan w:val="6"/>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新疆天安鑫业油气技术服务有限公司董701区块零散天然气回收项目</w:t>
            </w:r>
            <w:r>
              <w:rPr>
                <w:rFonts w:hint="eastAsia"/>
                <w:color w:val="FF0000"/>
                <w:lang w:eastAsia="zh-CN"/>
              </w:rPr>
              <w:t>技改项目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建设地点</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（新疆维吾尔）自治区</w:t>
            </w:r>
          </w:p>
        </w:tc>
        <w:tc>
          <w:tcPr>
            <w:tcW w:w="1507"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（昌吉回族自治）州</w:t>
            </w:r>
          </w:p>
        </w:tc>
        <w:tc>
          <w:tcPr>
            <w:tcW w:w="1134"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（阜康）市</w:t>
            </w:r>
          </w:p>
        </w:tc>
        <w:tc>
          <w:tcPr>
            <w:tcW w:w="1134"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（/）县</w:t>
            </w:r>
          </w:p>
        </w:tc>
        <w:tc>
          <w:tcPr>
            <w:tcW w:w="1328"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地理坐标</w:t>
            </w:r>
          </w:p>
        </w:tc>
        <w:tc>
          <w:tcPr>
            <w:tcW w:w="1134"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经度</w:t>
            </w:r>
          </w:p>
        </w:tc>
        <w:tc>
          <w:tcPr>
            <w:tcW w:w="1648" w:type="dxa"/>
            <w:gridSpan w:val="2"/>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88°2′15.49″E</w:t>
            </w:r>
          </w:p>
        </w:tc>
        <w:tc>
          <w:tcPr>
            <w:tcW w:w="1134"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纬度</w:t>
            </w:r>
          </w:p>
        </w:tc>
        <w:tc>
          <w:tcPr>
            <w:tcW w:w="2462" w:type="dxa"/>
            <w:gridSpan w:val="2"/>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44°27′47.76″N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主要危险物质及分布</w:t>
            </w:r>
          </w:p>
        </w:tc>
        <w:tc>
          <w:tcPr>
            <w:tcW w:w="6378" w:type="dxa"/>
            <w:gridSpan w:val="6"/>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本项目涉及《建设项目环境风险评价技术导则》（HJ169-2018）附录B中的风险物质主要为甲烷、</w:t>
            </w:r>
            <w:r>
              <w:rPr>
                <w:rFonts w:hint="eastAsia"/>
                <w:color w:val="FF0000"/>
                <w:lang w:eastAsia="zh-CN"/>
              </w:rPr>
              <w:t>乙烷、</w:t>
            </w:r>
            <w:r>
              <w:rPr>
                <w:color w:val="FF0000"/>
                <w:lang w:eastAsia="zh-CN"/>
              </w:rPr>
              <w:t>丙烷、丁烷</w:t>
            </w:r>
            <w:r>
              <w:rPr>
                <w:rFonts w:hint="eastAsia"/>
                <w:color w:val="FF0000"/>
                <w:lang w:eastAsia="zh-CN"/>
              </w:rPr>
              <w:t>及废润滑油</w:t>
            </w:r>
            <w:r>
              <w:rPr>
                <w:color w:val="FF0000"/>
                <w:lang w:eastAsia="zh-CN"/>
              </w:rPr>
              <w:t>，位于生产区</w:t>
            </w:r>
            <w:r>
              <w:rPr>
                <w:rFonts w:hint="eastAsia"/>
                <w:color w:val="FF0000"/>
                <w:lang w:eastAsia="zh-CN"/>
              </w:rPr>
              <w:t>、</w:t>
            </w:r>
            <w:r>
              <w:rPr>
                <w:color w:val="FF0000"/>
                <w:lang w:eastAsia="zh-CN"/>
              </w:rPr>
              <w:t>罐区</w:t>
            </w:r>
            <w:r>
              <w:rPr>
                <w:rFonts w:hint="eastAsia"/>
                <w:color w:val="FF0000"/>
                <w:lang w:eastAsia="zh-CN"/>
              </w:rPr>
              <w:t>以及危废暂存间</w:t>
            </w:r>
            <w:r>
              <w:rPr>
                <w:color w:val="FF000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环境影响途径及危害后果（大气、地表水、地下水等）</w:t>
            </w:r>
          </w:p>
        </w:tc>
        <w:tc>
          <w:tcPr>
            <w:tcW w:w="6378" w:type="dxa"/>
            <w:gridSpan w:val="6"/>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大气途径：天然气或混烃泄漏引发火灾或爆炸；</w:t>
            </w:r>
            <w:r>
              <w:rPr>
                <w:rFonts w:hint="eastAsia"/>
                <w:color w:val="FF0000"/>
                <w:lang w:eastAsia="zh-CN"/>
              </w:rPr>
              <w:t>废润滑油泄露；</w:t>
            </w:r>
            <w:r>
              <w:rPr>
                <w:color w:val="FF0000"/>
                <w:lang w:eastAsia="zh-CN"/>
              </w:rPr>
              <w:t xml:space="preserve"> </w:t>
            </w:r>
          </w:p>
          <w:p>
            <w:pPr>
              <w:pStyle w:val="670"/>
              <w:rPr>
                <w:color w:val="FF0000"/>
                <w:lang w:eastAsia="zh-CN"/>
              </w:rPr>
            </w:pPr>
            <w:r>
              <w:rPr>
                <w:color w:val="FF0000"/>
                <w:lang w:eastAsia="zh-CN"/>
              </w:rPr>
              <w:t xml:space="preserve">地表水途径：无； </w:t>
            </w:r>
          </w:p>
          <w:p>
            <w:pPr>
              <w:pStyle w:val="670"/>
              <w:rPr>
                <w:color w:val="FF0000"/>
                <w:lang w:eastAsia="zh-CN"/>
              </w:rPr>
            </w:pPr>
            <w:r>
              <w:rPr>
                <w:color w:val="FF0000"/>
                <w:lang w:eastAsia="zh-CN"/>
              </w:rPr>
              <w:t>地下水途径：</w:t>
            </w:r>
            <w:r>
              <w:rPr>
                <w:rFonts w:hint="eastAsia"/>
                <w:color w:val="FF0000"/>
                <w:lang w:eastAsia="zh-CN"/>
              </w:rPr>
              <w:t>废润滑油泄露</w:t>
            </w:r>
            <w:r>
              <w:rPr>
                <w:color w:val="FF000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风险防范措施要求</w:t>
            </w:r>
          </w:p>
        </w:tc>
        <w:tc>
          <w:tcPr>
            <w:tcW w:w="6378" w:type="dxa"/>
            <w:gridSpan w:val="6"/>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详见报告章节5.4.5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3" w:type="dxa"/>
            <w:gridSpan w:val="7"/>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填表说明（列出相关信息及评价说明）</w:t>
            </w:r>
          </w:p>
        </w:tc>
      </w:tr>
    </w:tbl>
    <w:p>
      <w:pPr>
        <w:pStyle w:val="3"/>
      </w:pPr>
      <w:r>
        <w:br w:type="column"/>
      </w:r>
      <w:bookmarkEnd w:id="362"/>
      <w:bookmarkEnd w:id="363"/>
      <w:bookmarkEnd w:id="364"/>
      <w:bookmarkStart w:id="417" w:name="_Toc309715445"/>
      <w:bookmarkStart w:id="418" w:name="_Toc454899386"/>
      <w:bookmarkStart w:id="419" w:name="_Toc107500403"/>
      <w:bookmarkStart w:id="420" w:name="_Toc145580445"/>
      <w:bookmarkStart w:id="421" w:name="_Toc30374"/>
      <w:bookmarkStart w:id="422" w:name="_Toc149705161"/>
      <w:bookmarkStart w:id="423" w:name="_Toc146967262"/>
      <w:bookmarkStart w:id="424" w:name="_Toc309715414"/>
      <w:bookmarkStart w:id="425" w:name="_Toc327365496"/>
      <w:bookmarkStart w:id="426" w:name="_Toc188349464"/>
      <w:r>
        <w:rPr>
          <w:rFonts w:hint="eastAsia"/>
        </w:rPr>
        <w:t xml:space="preserve">6 </w:t>
      </w:r>
      <w:r>
        <w:t>环境保护措施及其可行性论证</w:t>
      </w:r>
      <w:bookmarkEnd w:id="417"/>
      <w:bookmarkEnd w:id="418"/>
      <w:bookmarkEnd w:id="419"/>
      <w:bookmarkEnd w:id="420"/>
    </w:p>
    <w:p>
      <w:pPr>
        <w:pStyle w:val="4"/>
        <w:spacing w:before="120" w:after="120"/>
        <w:rPr>
          <w:color w:val="FF0000"/>
        </w:rPr>
      </w:pPr>
      <w:bookmarkStart w:id="427" w:name="_Toc107500409"/>
      <w:bookmarkStart w:id="428" w:name="_Toc145580446"/>
      <w:bookmarkStart w:id="429" w:name="_Hlk147653262"/>
      <w:bookmarkStart w:id="430" w:name="_Toc309715450"/>
      <w:r>
        <w:rPr>
          <w:rFonts w:hint="eastAsia"/>
          <w:color w:val="FF0000"/>
        </w:rPr>
        <w:t>6.</w:t>
      </w:r>
      <w:r>
        <w:rPr>
          <w:color w:val="FF0000"/>
        </w:rPr>
        <w:t>1</w:t>
      </w:r>
      <w:r>
        <w:rPr>
          <w:rFonts w:hint="eastAsia"/>
          <w:color w:val="FF0000"/>
        </w:rPr>
        <w:t xml:space="preserve"> 施工期环境保护措施及可行性分析</w:t>
      </w:r>
      <w:bookmarkEnd w:id="427"/>
      <w:bookmarkEnd w:id="428"/>
    </w:p>
    <w:p>
      <w:pPr>
        <w:pStyle w:val="5"/>
        <w:spacing w:before="120" w:after="120"/>
        <w:rPr>
          <w:color w:val="FF0000"/>
          <w:spacing w:val="0"/>
        </w:rPr>
      </w:pPr>
      <w:bookmarkStart w:id="431" w:name="_Toc145580447"/>
      <w:r>
        <w:rPr>
          <w:rFonts w:hint="eastAsia"/>
          <w:color w:val="FF0000"/>
          <w:spacing w:val="0"/>
        </w:rPr>
        <w:t>6</w:t>
      </w:r>
      <w:r>
        <w:rPr>
          <w:color w:val="FF0000"/>
          <w:spacing w:val="0"/>
        </w:rPr>
        <w:t>.1.1</w:t>
      </w:r>
      <w:r>
        <w:rPr>
          <w:rFonts w:hint="eastAsia"/>
          <w:color w:val="FF0000"/>
          <w:spacing w:val="0"/>
        </w:rPr>
        <w:t>施工期废气污染防治措施</w:t>
      </w:r>
    </w:p>
    <w:p>
      <w:pPr>
        <w:pStyle w:val="494"/>
        <w:ind w:firstLine="480"/>
        <w:rPr>
          <w:color w:val="FF0000"/>
        </w:rPr>
      </w:pPr>
      <w:r>
        <w:rPr>
          <w:rFonts w:hint="eastAsia"/>
          <w:color w:val="FF0000"/>
        </w:rPr>
        <w:t>施工期主要为拆除现有工程部分设备以及安装新设备等，建设单位应要求施工单位经常洒水抑尘，本次评价要求施工单位加强施工场地管理，保证各生产设备正常运转，减少施工机械待机时间及运输车辆在施工场地内停留时间，能够有效减少废气产生量。</w:t>
      </w:r>
    </w:p>
    <w:p>
      <w:pPr>
        <w:pStyle w:val="5"/>
        <w:spacing w:before="120" w:after="120"/>
        <w:rPr>
          <w:color w:val="FF0000"/>
          <w:spacing w:val="0"/>
        </w:rPr>
      </w:pPr>
      <w:r>
        <w:rPr>
          <w:rFonts w:hint="eastAsia"/>
          <w:color w:val="FF0000"/>
          <w:spacing w:val="0"/>
        </w:rPr>
        <w:t>6.</w:t>
      </w:r>
      <w:r>
        <w:rPr>
          <w:color w:val="FF0000"/>
          <w:spacing w:val="0"/>
        </w:rPr>
        <w:t>1</w:t>
      </w:r>
      <w:r>
        <w:rPr>
          <w:rFonts w:hint="eastAsia"/>
          <w:color w:val="FF0000"/>
          <w:spacing w:val="0"/>
        </w:rPr>
        <w:t>.</w:t>
      </w:r>
      <w:r>
        <w:rPr>
          <w:color w:val="FF0000"/>
          <w:spacing w:val="0"/>
        </w:rPr>
        <w:t>2</w:t>
      </w:r>
      <w:r>
        <w:rPr>
          <w:rFonts w:hint="eastAsia"/>
          <w:color w:val="FF0000"/>
          <w:spacing w:val="0"/>
        </w:rPr>
        <w:t>施工期水</w:t>
      </w:r>
      <w:r>
        <w:rPr>
          <w:color w:val="FF0000"/>
          <w:spacing w:val="0"/>
        </w:rPr>
        <w:t>污染防治措施</w:t>
      </w:r>
      <w:bookmarkEnd w:id="431"/>
    </w:p>
    <w:p>
      <w:pPr>
        <w:pStyle w:val="494"/>
        <w:ind w:firstLine="480"/>
        <w:rPr>
          <w:color w:val="FF0000"/>
        </w:rPr>
      </w:pPr>
      <w:r>
        <w:rPr>
          <w:rFonts w:hint="eastAsia"/>
          <w:color w:val="FF0000"/>
        </w:rPr>
        <w:t>施工期间项目区不设施工营地，项目施工期间产生的废水主要为少量生活废水。施工人员生活污水依托厂区现有化粪池收集后</w:t>
      </w:r>
      <w:r>
        <w:rPr>
          <w:color w:val="FF0000"/>
        </w:rPr>
        <w:t>定期交由</w:t>
      </w:r>
      <w:r>
        <w:rPr>
          <w:rFonts w:hint="eastAsia"/>
          <w:bCs/>
          <w:color w:val="FF0000"/>
        </w:rPr>
        <w:t>新疆诺客蒙鑫环境技术有限公司拉运处置</w:t>
      </w:r>
      <w:r>
        <w:rPr>
          <w:rFonts w:hint="eastAsia"/>
          <w:color w:val="FF0000"/>
        </w:rPr>
        <w:t>。</w:t>
      </w:r>
    </w:p>
    <w:p>
      <w:pPr>
        <w:pStyle w:val="5"/>
        <w:spacing w:before="120" w:after="120"/>
        <w:rPr>
          <w:color w:val="FF0000"/>
          <w:spacing w:val="0"/>
        </w:rPr>
      </w:pPr>
      <w:bookmarkStart w:id="432" w:name="_Toc145580448"/>
      <w:r>
        <w:rPr>
          <w:rFonts w:hint="eastAsia"/>
          <w:color w:val="FF0000"/>
          <w:spacing w:val="0"/>
        </w:rPr>
        <w:t>6.1.</w:t>
      </w:r>
      <w:r>
        <w:rPr>
          <w:color w:val="FF0000"/>
          <w:spacing w:val="0"/>
        </w:rPr>
        <w:t>3</w:t>
      </w:r>
      <w:r>
        <w:rPr>
          <w:rFonts w:hint="eastAsia"/>
          <w:color w:val="FF0000"/>
          <w:spacing w:val="0"/>
        </w:rPr>
        <w:t>施工期噪声防治措施</w:t>
      </w:r>
      <w:bookmarkEnd w:id="432"/>
    </w:p>
    <w:p>
      <w:pPr>
        <w:pStyle w:val="494"/>
        <w:ind w:firstLine="480"/>
        <w:rPr>
          <w:color w:val="FF0000"/>
        </w:rPr>
      </w:pPr>
      <w:r>
        <w:rPr>
          <w:rFonts w:hint="eastAsia"/>
          <w:color w:val="FF0000"/>
        </w:rPr>
        <w:t>项目施工期主要噪声源为设备拆除</w:t>
      </w:r>
      <w:r>
        <w:rPr>
          <w:color w:val="FF0000"/>
        </w:rPr>
        <w:t>及新设备安装产生的噪声</w:t>
      </w:r>
      <w:r>
        <w:rPr>
          <w:rFonts w:hint="eastAsia"/>
          <w:color w:val="FF0000"/>
        </w:rPr>
        <w:t>。施工噪声对其周围环境将产生一定影响。项目须采取相应的控制措施，严格遵守《中华人民共和国噪声污染防治法》中关于建筑施工噪声污染防治的有关规定，防止噪声影响周围环境和人们的正常生产生活。噪声污染防治措施如下：</w:t>
      </w:r>
    </w:p>
    <w:p>
      <w:pPr>
        <w:pStyle w:val="494"/>
        <w:ind w:firstLine="480"/>
        <w:rPr>
          <w:color w:val="FF0000"/>
        </w:rPr>
      </w:pPr>
      <w:r>
        <w:rPr>
          <w:rFonts w:hint="eastAsia"/>
          <w:color w:val="FF0000"/>
        </w:rPr>
        <w:t>（1）在施工机械与设备与基础或连接部位之间采用弹簧减震、橡皮减震、管道减震、阻尼减震技术，可减少动量，降低噪声.</w:t>
      </w:r>
    </w:p>
    <w:p>
      <w:pPr>
        <w:pStyle w:val="494"/>
        <w:ind w:firstLine="480"/>
        <w:rPr>
          <w:color w:val="FF0000"/>
        </w:rPr>
      </w:pPr>
      <w:r>
        <w:rPr>
          <w:rFonts w:hint="eastAsia"/>
          <w:color w:val="FF0000"/>
        </w:rPr>
        <w:t>（</w:t>
      </w:r>
      <w:r>
        <w:rPr>
          <w:color w:val="FF0000"/>
        </w:rPr>
        <w:t>2</w:t>
      </w:r>
      <w:r>
        <w:rPr>
          <w:rFonts w:hint="eastAsia"/>
          <w:color w:val="FF0000"/>
        </w:rPr>
        <w:t>）提倡文明施工，建立控制人为噪声的管理制度，增强施工人员的环保意识，提高防治噪声扰民的自觉性，减少人为噪声污染</w:t>
      </w:r>
      <w:r>
        <w:rPr>
          <w:color w:val="FF0000"/>
        </w:rPr>
        <w:t>。</w:t>
      </w:r>
    </w:p>
    <w:p>
      <w:pPr>
        <w:pStyle w:val="494"/>
        <w:ind w:firstLine="480"/>
        <w:rPr>
          <w:color w:val="FF0000"/>
        </w:rPr>
      </w:pPr>
      <w:r>
        <w:rPr>
          <w:rFonts w:hint="eastAsia"/>
          <w:color w:val="FF0000"/>
        </w:rPr>
        <w:t>（</w:t>
      </w:r>
      <w:r>
        <w:rPr>
          <w:color w:val="FF0000"/>
        </w:rPr>
        <w:t>3</w:t>
      </w:r>
      <w:r>
        <w:rPr>
          <w:rFonts w:hint="eastAsia"/>
          <w:color w:val="FF0000"/>
        </w:rPr>
        <w:t>）在施工现场禁止大声喧哗吵闹、高声唱歌或敲击工具等。</w:t>
      </w:r>
    </w:p>
    <w:p>
      <w:pPr>
        <w:pStyle w:val="494"/>
        <w:ind w:firstLine="480"/>
        <w:rPr>
          <w:color w:val="FF0000"/>
        </w:rPr>
      </w:pPr>
      <w:r>
        <w:rPr>
          <w:rFonts w:hint="eastAsia"/>
          <w:color w:val="FF0000"/>
        </w:rPr>
        <w:t>（</w:t>
      </w:r>
      <w:r>
        <w:rPr>
          <w:color w:val="FF0000"/>
        </w:rPr>
        <w:t>4</w:t>
      </w:r>
      <w:r>
        <w:rPr>
          <w:rFonts w:hint="eastAsia"/>
          <w:color w:val="FF0000"/>
        </w:rPr>
        <w:t>）作业中搬运物件，必须轻拿轻放，钢铁件堆放不发出大的声响，严禁抛掷物件而造成噪声。</w:t>
      </w:r>
    </w:p>
    <w:p>
      <w:pPr>
        <w:pStyle w:val="5"/>
        <w:spacing w:before="120" w:after="120"/>
        <w:rPr>
          <w:color w:val="FF0000"/>
          <w:spacing w:val="0"/>
        </w:rPr>
      </w:pPr>
      <w:bookmarkStart w:id="433" w:name="_Toc145580449"/>
      <w:r>
        <w:rPr>
          <w:rFonts w:hint="eastAsia"/>
          <w:color w:val="FF0000"/>
          <w:spacing w:val="0"/>
        </w:rPr>
        <w:t>6.1.</w:t>
      </w:r>
      <w:r>
        <w:rPr>
          <w:color w:val="FF0000"/>
          <w:spacing w:val="0"/>
        </w:rPr>
        <w:t>4</w:t>
      </w:r>
      <w:r>
        <w:rPr>
          <w:rFonts w:hint="eastAsia"/>
          <w:color w:val="FF0000"/>
          <w:spacing w:val="0"/>
        </w:rPr>
        <w:t>施工期固体废物防治措施</w:t>
      </w:r>
      <w:bookmarkEnd w:id="433"/>
    </w:p>
    <w:p>
      <w:pPr>
        <w:pStyle w:val="494"/>
        <w:ind w:firstLine="480"/>
        <w:rPr>
          <w:color w:val="FF0000"/>
        </w:rPr>
      </w:pPr>
      <w:r>
        <w:rPr>
          <w:rFonts w:hint="eastAsia"/>
          <w:color w:val="FF0000"/>
        </w:rPr>
        <w:t>施工期产生的固体废物主要为施工生活垃圾。项目不设置施工营地，施工人员生活垃圾产生量较小，生活垃圾依托厂区现有设施统一收集后交由环卫部门清运处置。</w:t>
      </w:r>
    </w:p>
    <w:bookmarkEnd w:id="429"/>
    <w:p>
      <w:pPr>
        <w:pStyle w:val="4"/>
        <w:spacing w:before="120" w:after="120"/>
      </w:pPr>
      <w:bookmarkStart w:id="434" w:name="_Toc145580450"/>
      <w:r>
        <w:rPr>
          <w:rFonts w:hint="eastAsia"/>
        </w:rPr>
        <w:t>6.</w:t>
      </w:r>
      <w:r>
        <w:t>2</w:t>
      </w:r>
      <w:r>
        <w:rPr>
          <w:rFonts w:hint="eastAsia"/>
        </w:rPr>
        <w:t xml:space="preserve"> 运营期环境保护措施及可行性分析</w:t>
      </w:r>
      <w:bookmarkEnd w:id="434"/>
    </w:p>
    <w:p>
      <w:pPr>
        <w:pStyle w:val="5"/>
        <w:spacing w:before="120" w:after="120"/>
        <w:rPr>
          <w:color w:val="FF0000"/>
          <w:spacing w:val="0"/>
        </w:rPr>
      </w:pPr>
      <w:bookmarkStart w:id="435" w:name="_Toc107500410"/>
      <w:bookmarkStart w:id="436" w:name="_Toc145580451"/>
      <w:r>
        <w:rPr>
          <w:rFonts w:hint="eastAsia"/>
          <w:spacing w:val="0"/>
        </w:rPr>
        <w:t>6.2.1</w:t>
      </w:r>
      <w:r>
        <w:rPr>
          <w:rFonts w:hint="eastAsia"/>
          <w:color w:val="FF0000"/>
          <w:spacing w:val="0"/>
        </w:rPr>
        <w:t>运营期废气治理措施及可行性分析</w:t>
      </w:r>
      <w:bookmarkEnd w:id="435"/>
      <w:bookmarkEnd w:id="436"/>
    </w:p>
    <w:bookmarkEnd w:id="430"/>
    <w:p>
      <w:pPr>
        <w:pStyle w:val="494"/>
        <w:ind w:firstLine="480"/>
        <w:rPr>
          <w:color w:val="FF0000"/>
        </w:rPr>
      </w:pPr>
      <w:r>
        <w:rPr>
          <w:rFonts w:hint="eastAsia" w:cs="Times New Roman"/>
          <w:color w:val="FF0000"/>
          <w:kern w:val="28"/>
        </w:rPr>
        <w:t>生产区设备运行等产生的无组织非甲烷总烃要求在日常运行中，加强设备管理及检修工作，减少无组织挥发，可有效减少无组织废气的产生</w:t>
      </w:r>
      <w:r>
        <w:rPr>
          <w:color w:val="FF0000"/>
        </w:rPr>
        <w:t>。</w:t>
      </w:r>
      <w:r>
        <w:rPr>
          <w:rFonts w:hint="eastAsia"/>
          <w:color w:val="FF0000"/>
        </w:rPr>
        <w:t xml:space="preserve"> </w:t>
      </w:r>
    </w:p>
    <w:p>
      <w:pPr>
        <w:pStyle w:val="5"/>
        <w:spacing w:before="120" w:after="120"/>
        <w:rPr>
          <w:color w:val="FF0000"/>
          <w:spacing w:val="0"/>
        </w:rPr>
      </w:pPr>
      <w:bookmarkStart w:id="437" w:name="_Toc107500411"/>
      <w:bookmarkStart w:id="438" w:name="_Toc145580452"/>
      <w:r>
        <w:rPr>
          <w:rFonts w:hint="eastAsia"/>
          <w:spacing w:val="0"/>
        </w:rPr>
        <w:t>6.2.2</w:t>
      </w:r>
      <w:r>
        <w:rPr>
          <w:rFonts w:hint="eastAsia"/>
          <w:color w:val="FF0000"/>
          <w:spacing w:val="0"/>
        </w:rPr>
        <w:t>废水污染防治措施及其可行性分析</w:t>
      </w:r>
      <w:bookmarkEnd w:id="437"/>
      <w:bookmarkEnd w:id="438"/>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1、生产废水</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项目生产废水主要为三相分离器中产生的含油污水、缓冲罐废水、干燥塔分子筛再生过程中脱离出的废水，根据工程分析计算，生产废水产生量为60m</w:t>
      </w:r>
      <w:r>
        <w:rPr>
          <w:rFonts w:ascii="Times New Roman" w:hAnsi="Times New Roman" w:cs="Times New Roman"/>
          <w:color w:val="FF0000"/>
          <w:kern w:val="28"/>
          <w:vertAlign w:val="superscript"/>
        </w:rPr>
        <w:t>3</w:t>
      </w:r>
      <w:r>
        <w:rPr>
          <w:rFonts w:ascii="Times New Roman" w:hAnsi="Times New Roman" w:cs="Times New Roman"/>
          <w:color w:val="FF0000"/>
          <w:kern w:val="28"/>
        </w:rPr>
        <w:t>/d，项目厂区设置有一座54m</w:t>
      </w:r>
      <w:r>
        <w:rPr>
          <w:rFonts w:ascii="Times New Roman" w:hAnsi="Times New Roman" w:cs="Times New Roman"/>
          <w:color w:val="FF0000"/>
          <w:kern w:val="28"/>
          <w:vertAlign w:val="superscript"/>
        </w:rPr>
        <w:t>3</w:t>
      </w:r>
      <w:r>
        <w:rPr>
          <w:rFonts w:ascii="Times New Roman" w:hAnsi="Times New Roman" w:cs="Times New Roman"/>
          <w:color w:val="FF0000"/>
          <w:kern w:val="28"/>
        </w:rPr>
        <w:t>排污罐，生产废水全部排入罐中，由罐车拉运至春风一号联合站处理达标后进行回注处置，</w:t>
      </w:r>
      <w:r>
        <w:rPr>
          <w:rFonts w:hint="eastAsia" w:ascii="Times New Roman" w:hAnsi="Times New Roman" w:cs="Times New Roman"/>
          <w:color w:val="FF0000"/>
          <w:kern w:val="28"/>
        </w:rPr>
        <w:t>平均每天拉运2回，</w:t>
      </w:r>
      <w:r>
        <w:rPr>
          <w:rFonts w:ascii="Times New Roman" w:hAnsi="Times New Roman" w:cs="Times New Roman"/>
          <w:color w:val="FF0000"/>
          <w:kern w:val="28"/>
        </w:rPr>
        <w:t>污水储罐可满足生产废水储存要求。</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2、地下水防治措施</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针对本项目可能导致的地下会环境污染，按照“分区管理、分类防治”工作思路，“预防为主、综合施策；突出重点、分类指导；问题导向、风险防控；明确责任、循序渐进”的工作原则。本项目地下水防护措施制定思路为：</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（1）预防为主做好源头控制</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根据本项目工艺特点，针对源头控制，本次环评要求建设单位严格按照国家相关规范要求，对工艺、管道、设备、污水贮存及处理设施采取相应防渗措施，加强建筑物和构筑物的抗震能力，以防止和降低污染物的跑、冒、滴、漏，将环境风险事故降到最低。优化排水系统设计，工艺废水在厂区内收集后暂存处置，管线铺设采用“可视化”原则，即管道尽可能在地面铺设，做到事故“早发现、早处理”，以减少由于埋地管道泄漏而造成地下水的污染。</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（2）分区管理做好分区防治</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根据本项目的建设内容及平面布置特点，本项目生产区于办公区分开布置，根据生产区、办公区不同防渗要求，本项目将厂区各生产功能区进行分区防渗。</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1）防渗工程设计原则</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①采用国际国内先进的防渗材料、技术和实施手段，确保工程建设对区域地下水环境影响较小、地下水现有水体功能不发生明显改变；</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②坚持分区管理和控制原则，根据厂址所在地的工程地质、水文地质条件和全厂可能发生泄漏的物料性质、排放量，参照相应标准要求有针对性的分区，并分别设计地面防渗层结构；</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③坚持“可视化”原则，在满足工程和防渗层结构标准要求的前提下，在地面实施防渗措施建设，便于泄漏物质的收集和防渗层破损被及时发现；</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④在实施防渗区域设置检漏装置，在重点防渗区设置防渗措施的自动检漏装置；</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⑤被防渗层阻隔和进入防渗层内的渗漏污染物，与厂区其他“三废”统一收集处理。</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2）重点防渗区</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项目危废暂存间和排污罐</w:t>
      </w:r>
      <w:r>
        <w:rPr>
          <w:rFonts w:hint="eastAsia" w:ascii="Times New Roman" w:hAnsi="Times New Roman" w:cs="Times New Roman"/>
          <w:color w:val="FF0000"/>
          <w:kern w:val="28"/>
        </w:rPr>
        <w:t>已进</w:t>
      </w:r>
      <w:r>
        <w:rPr>
          <w:rFonts w:ascii="Times New Roman" w:hAnsi="Times New Roman" w:cs="Times New Roman"/>
          <w:color w:val="FF0000"/>
          <w:kern w:val="28"/>
        </w:rPr>
        <w:t>行防渗处理，采用符合要求的天然基础层或人工合成衬里材料（HDPE膜），</w:t>
      </w:r>
      <w:r>
        <w:rPr>
          <w:rFonts w:hint="eastAsia" w:ascii="Times New Roman" w:hAnsi="Times New Roman" w:cs="Times New Roman"/>
          <w:color w:val="FF0000"/>
          <w:kern w:val="28"/>
        </w:rPr>
        <w:t>满足</w:t>
      </w:r>
      <w:r>
        <w:rPr>
          <w:rFonts w:ascii="Times New Roman" w:hAnsi="Times New Roman" w:cs="Times New Roman"/>
          <w:color w:val="FF0000"/>
          <w:kern w:val="28"/>
        </w:rPr>
        <w:t>《危险废物贮存污染物控制标准》（GB18598-2023）</w:t>
      </w:r>
      <w:r>
        <w:rPr>
          <w:rFonts w:hint="eastAsia" w:ascii="Times New Roman" w:hAnsi="Times New Roman" w:cs="Times New Roman"/>
          <w:color w:val="FF0000"/>
          <w:kern w:val="28"/>
        </w:rPr>
        <w:t>相关要求</w:t>
      </w:r>
      <w:r>
        <w:rPr>
          <w:rFonts w:ascii="Times New Roman" w:hAnsi="Times New Roman" w:cs="Times New Roman"/>
          <w:color w:val="FF0000"/>
          <w:kern w:val="28"/>
        </w:rPr>
        <w:t>。</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3）一般防渗区</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项目生产区、化粪池</w:t>
      </w:r>
      <w:r>
        <w:rPr>
          <w:rFonts w:hint="eastAsia" w:ascii="Times New Roman" w:hAnsi="Times New Roman" w:cs="Times New Roman"/>
          <w:color w:val="FF0000"/>
          <w:kern w:val="28"/>
        </w:rPr>
        <w:t>已</w:t>
      </w:r>
      <w:r>
        <w:rPr>
          <w:rFonts w:ascii="Times New Roman" w:hAnsi="Times New Roman" w:cs="Times New Roman"/>
          <w:color w:val="FF0000"/>
          <w:kern w:val="28"/>
        </w:rPr>
        <w:t>对基础层进行防渗处理，</w:t>
      </w:r>
      <w:r>
        <w:rPr>
          <w:rFonts w:hint="eastAsia" w:ascii="Times New Roman" w:hAnsi="Times New Roman" w:cs="Times New Roman"/>
          <w:color w:val="FF0000"/>
          <w:kern w:val="28"/>
        </w:rPr>
        <w:t>满足</w:t>
      </w:r>
      <w:r>
        <w:rPr>
          <w:rFonts w:ascii="Times New Roman" w:hAnsi="Times New Roman" w:cs="Times New Roman"/>
          <w:color w:val="FF0000"/>
          <w:kern w:val="28"/>
        </w:rPr>
        <w:t>《一般工业固体废物贮存</w:t>
      </w:r>
      <w:r>
        <w:rPr>
          <w:rFonts w:hint="eastAsia" w:ascii="Times New Roman" w:hAnsi="Times New Roman" w:cs="Times New Roman"/>
          <w:color w:val="FF0000"/>
          <w:kern w:val="28"/>
        </w:rPr>
        <w:t>和填埋</w:t>
      </w:r>
      <w:r>
        <w:rPr>
          <w:rFonts w:ascii="Times New Roman" w:hAnsi="Times New Roman" w:cs="Times New Roman"/>
          <w:color w:val="FF0000"/>
          <w:kern w:val="28"/>
        </w:rPr>
        <w:t>污染控制标准》（GB18599-2020）</w:t>
      </w:r>
      <w:r>
        <w:rPr>
          <w:rFonts w:hint="eastAsia" w:ascii="Times New Roman" w:hAnsi="Times New Roman" w:cs="Times New Roman"/>
          <w:color w:val="FF0000"/>
          <w:kern w:val="28"/>
        </w:rPr>
        <w:t>相关要求</w:t>
      </w:r>
      <w:r>
        <w:rPr>
          <w:rFonts w:ascii="Times New Roman" w:hAnsi="Times New Roman" w:cs="Times New Roman"/>
          <w:color w:val="FF0000"/>
          <w:kern w:val="28"/>
        </w:rPr>
        <w:t>施。</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综上，本工程废水污染防治措施可行</w:t>
      </w:r>
      <w:r>
        <w:rPr>
          <w:rFonts w:hint="eastAsia"/>
          <w:color w:val="FF0000"/>
        </w:rPr>
        <w:t>。</w:t>
      </w:r>
    </w:p>
    <w:p>
      <w:pPr>
        <w:pStyle w:val="5"/>
        <w:spacing w:before="120" w:after="120"/>
        <w:rPr>
          <w:spacing w:val="0"/>
        </w:rPr>
      </w:pPr>
      <w:bookmarkStart w:id="439" w:name="_Toc107500412"/>
      <w:bookmarkStart w:id="440" w:name="_Toc145580453"/>
      <w:r>
        <w:rPr>
          <w:rFonts w:hint="eastAsia"/>
          <w:spacing w:val="0"/>
        </w:rPr>
        <w:t>6.2.3噪声污染防治措施可行性分析</w:t>
      </w:r>
      <w:bookmarkEnd w:id="439"/>
      <w:bookmarkEnd w:id="440"/>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项目的噪声污染源主要为设备运转产生的噪声。本项目采取的降噪措施有：</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1、合理布置噪声源：将高噪声设备尽可能布置远离厂界，加大了噪声的距离衰减，并采取相应的降噪措施，使之确保实现厂界达标。</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2、选择低噪声设备：源头控制，设备选用低噪声、低振动设备，设备都设有减振基础并采用消声措施。对空气流动噪声采用在气流通道上安装消声器装置以降低噪声。加强设备的运营维护，减少设备在非正常工况下运转产生噪声的影响。</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3、加强设备的维修保养，使设备处于最佳工作状态</w:t>
      </w:r>
    </w:p>
    <w:p>
      <w:pPr>
        <w:pStyle w:val="694"/>
        <w:spacing w:line="460" w:lineRule="exact"/>
        <w:ind w:firstLine="480"/>
        <w:rPr>
          <w:rFonts w:ascii="Times New Roman" w:hAnsi="Times New Roman" w:cs="Times New Roman"/>
          <w:kern w:val="28"/>
        </w:rPr>
      </w:pPr>
      <w:r>
        <w:rPr>
          <w:rFonts w:ascii="Times New Roman" w:hAnsi="Times New Roman" w:cs="Times New Roman"/>
          <w:color w:val="FF0000"/>
          <w:kern w:val="28"/>
        </w:rPr>
        <w:t>通过采取以上措施后，厂界噪声贡献值很低，厂界噪声满足《工业企业厂界环境噪声排放标准》（GB12348-2008）2类标准限值要求，因此，噪声防治措施是有效、可行的。</w:t>
      </w:r>
    </w:p>
    <w:p>
      <w:pPr>
        <w:pStyle w:val="5"/>
        <w:spacing w:before="120" w:after="120"/>
        <w:rPr>
          <w:color w:val="FF0000"/>
          <w:spacing w:val="0"/>
        </w:rPr>
      </w:pPr>
      <w:bookmarkStart w:id="441" w:name="_Toc145580454"/>
      <w:bookmarkStart w:id="442" w:name="_Toc107500413"/>
      <w:r>
        <w:rPr>
          <w:rFonts w:hint="eastAsia"/>
          <w:spacing w:val="0"/>
        </w:rPr>
        <w:t>6.2.4</w:t>
      </w:r>
      <w:r>
        <w:rPr>
          <w:rFonts w:hint="eastAsia"/>
          <w:color w:val="FF0000"/>
          <w:spacing w:val="0"/>
        </w:rPr>
        <w:t>固体废弃物防治措施可行性</w:t>
      </w:r>
      <w:bookmarkEnd w:id="441"/>
      <w:bookmarkEnd w:id="442"/>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本项目运营期产生的危险废物主要有废分子筛、废润滑油。</w:t>
      </w:r>
      <w:r>
        <w:rPr>
          <w:rFonts w:hint="eastAsia" w:ascii="Times New Roman" w:hAnsi="Times New Roman" w:cs="Times New Roman"/>
          <w:color w:val="FF0000"/>
          <w:kern w:val="28"/>
        </w:rPr>
        <w:t>依托现有危废暂存间</w:t>
      </w:r>
      <w:r>
        <w:rPr>
          <w:rFonts w:ascii="Times New Roman" w:hAnsi="Times New Roman" w:cs="Times New Roman"/>
          <w:color w:val="FF0000"/>
          <w:kern w:val="28"/>
        </w:rPr>
        <w:t>。</w:t>
      </w:r>
    </w:p>
    <w:p>
      <w:pPr>
        <w:pStyle w:val="694"/>
        <w:spacing w:line="460" w:lineRule="exact"/>
        <w:ind w:firstLine="480"/>
        <w:rPr>
          <w:rFonts w:ascii="Times New Roman" w:hAnsi="Times New Roman" w:cs="Times New Roman"/>
          <w:color w:val="FF0000"/>
          <w:kern w:val="28"/>
        </w:rPr>
      </w:pPr>
      <w:r>
        <w:rPr>
          <w:rFonts w:hint="eastAsia" w:ascii="Times New Roman" w:hAnsi="Times New Roman" w:cs="Times New Roman"/>
          <w:color w:val="FF0000"/>
          <w:kern w:val="28"/>
        </w:rPr>
        <w:t>根据现场勘查及验收情况，</w:t>
      </w:r>
      <w:r>
        <w:rPr>
          <w:rFonts w:ascii="Times New Roman" w:hAnsi="Times New Roman" w:cs="Times New Roman"/>
          <w:color w:val="FF0000"/>
          <w:kern w:val="28"/>
        </w:rPr>
        <w:t>危废暂存间的设置严格按照《危险废物贮存污染控制标准》（GB18957-2023）中</w:t>
      </w:r>
      <w:r>
        <w:rPr>
          <w:rFonts w:hint="eastAsia" w:ascii="Times New Roman" w:hAnsi="Times New Roman" w:cs="Times New Roman"/>
          <w:color w:val="FF0000"/>
          <w:kern w:val="28"/>
        </w:rPr>
        <w:t>的</w:t>
      </w:r>
      <w:r>
        <w:rPr>
          <w:rFonts w:ascii="Times New Roman" w:hAnsi="Times New Roman" w:cs="Times New Roman"/>
          <w:color w:val="FF0000"/>
          <w:kern w:val="28"/>
        </w:rPr>
        <w:t>有关规定</w:t>
      </w:r>
      <w:r>
        <w:rPr>
          <w:rFonts w:hint="eastAsia" w:ascii="Times New Roman" w:hAnsi="Times New Roman" w:cs="Times New Roman"/>
          <w:color w:val="FF0000"/>
          <w:kern w:val="28"/>
        </w:rPr>
        <w:t>。</w:t>
      </w:r>
    </w:p>
    <w:p>
      <w:pPr>
        <w:pStyle w:val="694"/>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危险废物转运前建设单位须在新疆维吾尔自治区固体废物动态信息管理平台注册账号后，对公司信息进行完善填报，每次清运危险废物前需在此平台进行申报，申请电子转运单，待取得电子转运联单后由专门运输单位将危险废物转运至指定危废处置单位进行处置。</w:t>
      </w:r>
    </w:p>
    <w:p>
      <w:pPr>
        <w:pStyle w:val="494"/>
        <w:ind w:firstLine="480"/>
        <w:rPr>
          <w:color w:val="FF0000"/>
        </w:rPr>
      </w:pPr>
      <w:r>
        <w:rPr>
          <w:rFonts w:cs="Times New Roman"/>
          <w:color w:val="FF0000"/>
          <w:kern w:val="28"/>
        </w:rPr>
        <w:t>综上所述，项目产生的各类固废均采取了合理处置措施，正常情况下，项目产生的固废不会对项目区产生影响</w:t>
      </w:r>
      <w:r>
        <w:rPr>
          <w:rFonts w:hint="eastAsia"/>
          <w:color w:val="FF0000"/>
        </w:rPr>
        <w:t>。</w:t>
      </w:r>
    </w:p>
    <w:p>
      <w:pPr>
        <w:pStyle w:val="494"/>
        <w:ind w:firstLine="480"/>
      </w:pPr>
    </w:p>
    <w:p>
      <w:pPr>
        <w:widowControl/>
        <w:jc w:val="left"/>
        <w:rPr>
          <w:rFonts w:cstheme="minorBidi"/>
          <w:sz w:val="24"/>
        </w:rPr>
      </w:pPr>
      <w:r>
        <w:br w:type="page"/>
      </w:r>
    </w:p>
    <w:bookmarkEnd w:id="421"/>
    <w:bookmarkEnd w:id="422"/>
    <w:bookmarkEnd w:id="423"/>
    <w:bookmarkEnd w:id="424"/>
    <w:bookmarkEnd w:id="425"/>
    <w:bookmarkEnd w:id="426"/>
    <w:p>
      <w:pPr>
        <w:pStyle w:val="3"/>
      </w:pPr>
      <w:bookmarkStart w:id="443" w:name="_Toc107500414"/>
      <w:bookmarkStart w:id="444" w:name="_Toc145580455"/>
      <w:bookmarkStart w:id="445" w:name="_Toc454899407"/>
      <w:r>
        <w:rPr>
          <w:rFonts w:hint="eastAsia"/>
        </w:rPr>
        <w:t>7 环境经济损益分析</w:t>
      </w:r>
      <w:bookmarkEnd w:id="443"/>
      <w:bookmarkEnd w:id="444"/>
    </w:p>
    <w:p>
      <w:pPr>
        <w:pStyle w:val="494"/>
        <w:ind w:firstLine="480"/>
      </w:pPr>
      <w:r>
        <w:rPr>
          <w:rFonts w:hint="eastAsia"/>
        </w:rPr>
        <w:t>环境经济损益分析是从经济学的角度来分析、预测工程建设项目的环境损益，应体现经济效益、社会效益和环境效益对立统一的辩证关系，环境经济损益分析的工作内容是确定环保措施的项目内容，通过统计分析环保措施投入的资金及环保投资占工程总投资的比例，环保设施的运转费用，削减污染物量的情况，综合利用的效益等，说明建设项目环保投资比例的合理性，环保措施的可行性，经济效益以及建设项目生产活动对社会环境的影响等。</w:t>
      </w:r>
    </w:p>
    <w:p>
      <w:pPr>
        <w:pStyle w:val="4"/>
        <w:spacing w:before="120" w:after="120"/>
      </w:pPr>
      <w:bookmarkStart w:id="446" w:name="_Toc107500415"/>
      <w:bookmarkStart w:id="447" w:name="_Toc145580456"/>
      <w:r>
        <w:rPr>
          <w:rFonts w:hint="eastAsia"/>
        </w:rPr>
        <w:t>7.1 环保设施内容及投资估算</w:t>
      </w:r>
      <w:bookmarkEnd w:id="446"/>
      <w:bookmarkEnd w:id="447"/>
    </w:p>
    <w:p>
      <w:pPr>
        <w:pStyle w:val="494"/>
        <w:ind w:firstLine="480"/>
        <w:rPr>
          <w:color w:val="FF0000"/>
        </w:rPr>
      </w:pPr>
      <w:bookmarkStart w:id="448" w:name="_Hlk147594048"/>
      <w:r>
        <w:rPr>
          <w:rFonts w:hint="eastAsia"/>
          <w:color w:val="FF0000"/>
        </w:rPr>
        <w:t>本项目计划总投资</w:t>
      </w:r>
      <w:r>
        <w:rPr>
          <w:color w:val="FF0000"/>
        </w:rPr>
        <w:t>80</w:t>
      </w:r>
      <w:r>
        <w:rPr>
          <w:rFonts w:hint="eastAsia"/>
          <w:color w:val="FF0000"/>
        </w:rPr>
        <w:t>0万元，计划用于环境保护设施项目的投资共计</w:t>
      </w:r>
      <w:r>
        <w:rPr>
          <w:color w:val="FF0000"/>
        </w:rPr>
        <w:t>85</w:t>
      </w:r>
      <w:r>
        <w:rPr>
          <w:rFonts w:hint="eastAsia"/>
          <w:color w:val="FF0000"/>
        </w:rPr>
        <w:t>万元，工程环保投资占总投资比例为</w:t>
      </w:r>
      <w:r>
        <w:rPr>
          <w:color w:val="FF0000"/>
        </w:rPr>
        <w:t>10.63%</w:t>
      </w:r>
      <w:r>
        <w:rPr>
          <w:rFonts w:hint="eastAsia"/>
          <w:color w:val="FF0000"/>
        </w:rPr>
        <w:t>。项目环保投资估算见表7</w:t>
      </w:r>
      <w:r>
        <w:rPr>
          <w:color w:val="FF0000"/>
        </w:rPr>
        <w:t>.1-1</w:t>
      </w:r>
      <w:r>
        <w:rPr>
          <w:rFonts w:hint="eastAsia"/>
          <w:color w:val="FF0000"/>
        </w:rPr>
        <w:t>。</w:t>
      </w:r>
    </w:p>
    <w:p>
      <w:pPr>
        <w:pStyle w:val="400"/>
        <w:ind w:firstLine="420"/>
        <w:rPr>
          <w:color w:val="FF0000"/>
        </w:rPr>
      </w:pPr>
      <w:r>
        <w:rPr>
          <w:color w:val="FF0000"/>
        </w:rPr>
        <w:t>表</w:t>
      </w:r>
      <w:r>
        <w:rPr>
          <w:rFonts w:hint="eastAsia"/>
          <w:color w:val="FF0000"/>
        </w:rPr>
        <w:t>7.1</w:t>
      </w:r>
      <w:r>
        <w:rPr>
          <w:color w:val="FF0000"/>
        </w:rPr>
        <w:t>-1                    项目环保投资一览表</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708"/>
        <w:gridCol w:w="1560"/>
        <w:gridCol w:w="3118"/>
        <w:gridCol w:w="992"/>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pPr>
              <w:pStyle w:val="670"/>
              <w:rPr>
                <w:rFonts w:eastAsiaTheme="minorEastAsia"/>
                <w:color w:val="FF0000"/>
              </w:rPr>
            </w:pPr>
            <w:bookmarkStart w:id="449" w:name="_Toc107500416"/>
            <w:r>
              <w:rPr>
                <w:rFonts w:hint="eastAsia"/>
                <w:color w:val="FF0000"/>
              </w:rPr>
              <w:t>序号</w:t>
            </w:r>
          </w:p>
        </w:tc>
        <w:tc>
          <w:tcPr>
            <w:tcW w:w="708"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rFonts w:hint="eastAsia"/>
                <w:color w:val="FF0000"/>
              </w:rPr>
              <w:t>类别</w:t>
            </w:r>
          </w:p>
        </w:tc>
        <w:tc>
          <w:tcPr>
            <w:tcW w:w="1560"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rFonts w:hint="eastAsia"/>
                <w:color w:val="FF0000"/>
              </w:rPr>
              <w:t>污染环节源</w:t>
            </w:r>
          </w:p>
        </w:tc>
        <w:tc>
          <w:tcPr>
            <w:tcW w:w="3118"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rFonts w:hint="eastAsia"/>
                <w:color w:val="FF0000"/>
              </w:rPr>
              <w:t>治理措施</w:t>
            </w:r>
          </w:p>
        </w:tc>
        <w:tc>
          <w:tcPr>
            <w:tcW w:w="992"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rFonts w:hint="eastAsia"/>
                <w:color w:val="FF0000"/>
              </w:rPr>
              <w:t>投资</w:t>
            </w:r>
            <w:r>
              <w:rPr>
                <w:color w:val="FF0000"/>
              </w:rPr>
              <w:t xml:space="preserve">  </w:t>
            </w:r>
            <w:r>
              <w:rPr>
                <w:rFonts w:hint="eastAsia"/>
                <w:color w:val="FF0000"/>
              </w:rPr>
              <w:t>（万元）</w:t>
            </w:r>
          </w:p>
        </w:tc>
        <w:tc>
          <w:tcPr>
            <w:tcW w:w="1524"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rFonts w:hint="eastAsia"/>
                <w:color w:val="FF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1</w:t>
            </w:r>
          </w:p>
        </w:tc>
        <w:tc>
          <w:tcPr>
            <w:tcW w:w="708"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rFonts w:hint="eastAsia"/>
                <w:color w:val="FF0000"/>
              </w:rPr>
              <w:t>废水</w:t>
            </w:r>
          </w:p>
        </w:tc>
        <w:tc>
          <w:tcPr>
            <w:tcW w:w="1560"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rFonts w:hint="eastAsia"/>
                <w:color w:val="FF0000"/>
                <w:lang w:eastAsia="zh-CN"/>
              </w:rPr>
              <w:t>天然气处理站</w:t>
            </w:r>
          </w:p>
        </w:tc>
        <w:tc>
          <w:tcPr>
            <w:tcW w:w="3118"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新增排污管道及防渗措施</w:t>
            </w:r>
          </w:p>
        </w:tc>
        <w:tc>
          <w:tcPr>
            <w:tcW w:w="992"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40</w:t>
            </w:r>
          </w:p>
        </w:tc>
        <w:tc>
          <w:tcPr>
            <w:tcW w:w="1524"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技改后新增部分排污管道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2</w:t>
            </w:r>
          </w:p>
        </w:tc>
        <w:tc>
          <w:tcPr>
            <w:tcW w:w="708"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rFonts w:hint="eastAsia"/>
                <w:color w:val="FF0000"/>
              </w:rPr>
              <w:t>噪声</w:t>
            </w:r>
          </w:p>
        </w:tc>
        <w:tc>
          <w:tcPr>
            <w:tcW w:w="1560"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rFonts w:hint="eastAsia"/>
                <w:color w:val="FF0000"/>
              </w:rPr>
              <w:t>设备噪声</w:t>
            </w:r>
          </w:p>
        </w:tc>
        <w:tc>
          <w:tcPr>
            <w:tcW w:w="3118"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基础减震、安装消音设施等</w:t>
            </w:r>
          </w:p>
        </w:tc>
        <w:tc>
          <w:tcPr>
            <w:tcW w:w="992"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15</w:t>
            </w:r>
          </w:p>
        </w:tc>
        <w:tc>
          <w:tcPr>
            <w:tcW w:w="1524"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3</w:t>
            </w:r>
          </w:p>
        </w:tc>
        <w:tc>
          <w:tcPr>
            <w:tcW w:w="708"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rFonts w:hint="eastAsia"/>
                <w:color w:val="FF0000"/>
                <w:lang w:eastAsia="zh-CN"/>
              </w:rPr>
              <w:t>固废</w:t>
            </w:r>
          </w:p>
        </w:tc>
        <w:tc>
          <w:tcPr>
            <w:tcW w:w="1560"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rFonts w:hint="eastAsia"/>
                <w:color w:val="FF0000"/>
                <w:lang w:eastAsia="zh-CN"/>
              </w:rPr>
              <w:t>废分子筛、废润滑油</w:t>
            </w:r>
          </w:p>
        </w:tc>
        <w:tc>
          <w:tcPr>
            <w:tcW w:w="3118"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暂存于现有危废暂存间内，委托有资质的单位进行处置，委托处置费用</w:t>
            </w:r>
          </w:p>
        </w:tc>
        <w:tc>
          <w:tcPr>
            <w:tcW w:w="992"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1</w:t>
            </w:r>
            <w:r>
              <w:rPr>
                <w:color w:val="FF0000"/>
                <w:lang w:eastAsia="zh-CN"/>
              </w:rPr>
              <w:t>0</w:t>
            </w:r>
          </w:p>
        </w:tc>
        <w:tc>
          <w:tcPr>
            <w:tcW w:w="1524"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4</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环境管理</w:t>
            </w:r>
          </w:p>
        </w:tc>
        <w:tc>
          <w:tcPr>
            <w:tcW w:w="3118"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竣工环境保护验收、设置警戒标语标牌等</w:t>
            </w:r>
          </w:p>
        </w:tc>
        <w:tc>
          <w:tcPr>
            <w:tcW w:w="992"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20</w:t>
            </w:r>
          </w:p>
        </w:tc>
        <w:tc>
          <w:tcPr>
            <w:tcW w:w="1524"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2" w:type="dxa"/>
            <w:gridSpan w:val="3"/>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rFonts w:hint="eastAsia"/>
                <w:color w:val="FF0000"/>
              </w:rPr>
              <w:t>合计</w:t>
            </w:r>
          </w:p>
        </w:tc>
        <w:tc>
          <w:tcPr>
            <w:tcW w:w="3118"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8</w:t>
            </w:r>
            <w:r>
              <w:rPr>
                <w:color w:val="FF0000"/>
                <w:lang w:eastAsia="zh-CN"/>
              </w:rPr>
              <w:t>5</w:t>
            </w:r>
          </w:p>
        </w:tc>
        <w:tc>
          <w:tcPr>
            <w:tcW w:w="1524"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p>
        </w:tc>
      </w:tr>
      <w:bookmarkEnd w:id="448"/>
    </w:tbl>
    <w:p>
      <w:pPr>
        <w:pStyle w:val="4"/>
        <w:spacing w:before="120" w:after="120"/>
      </w:pPr>
      <w:bookmarkStart w:id="450" w:name="_Toc145580457"/>
      <w:r>
        <w:rPr>
          <w:rFonts w:hint="eastAsia"/>
        </w:rPr>
        <w:t>7.2 环境效益分析</w:t>
      </w:r>
      <w:bookmarkEnd w:id="449"/>
      <w:bookmarkEnd w:id="450"/>
    </w:p>
    <w:p>
      <w:pPr>
        <w:pStyle w:val="5"/>
        <w:spacing w:before="120" w:after="120"/>
        <w:rPr>
          <w:spacing w:val="0"/>
        </w:rPr>
      </w:pPr>
      <w:bookmarkStart w:id="451" w:name="_Toc107500417"/>
      <w:bookmarkStart w:id="452" w:name="_Toc145580458"/>
      <w:r>
        <w:rPr>
          <w:rFonts w:hint="eastAsia"/>
          <w:spacing w:val="0"/>
        </w:rPr>
        <w:t>7.2.1经济效益分析</w:t>
      </w:r>
      <w:bookmarkEnd w:id="451"/>
      <w:bookmarkEnd w:id="452"/>
    </w:p>
    <w:p>
      <w:pPr>
        <w:pStyle w:val="494"/>
        <w:ind w:firstLine="480"/>
      </w:pPr>
      <w:r>
        <w:rPr>
          <w:rFonts w:hint="eastAsia"/>
        </w:rPr>
        <w:t>项目采取的废气、废水处理技术成熟、稳定，处理效果好，投资少，能较大程度地削减废气、废水中污染物的排放量，同时减少排污费的缴纳，降低了企业成本。采取污染治理措施后，项目废水、废气、噪声、固体废物得到了有效治理和处置，可实现达标排放，同时可有效防避免固废二次污染以及地下水及土壤污染，降低了对周围环境的影响。</w:t>
      </w:r>
    </w:p>
    <w:p>
      <w:pPr>
        <w:pStyle w:val="5"/>
        <w:spacing w:before="120" w:after="120"/>
        <w:rPr>
          <w:spacing w:val="0"/>
        </w:rPr>
      </w:pPr>
      <w:bookmarkStart w:id="453" w:name="_Toc107500418"/>
      <w:bookmarkStart w:id="454" w:name="_Toc145580459"/>
      <w:r>
        <w:rPr>
          <w:rFonts w:hint="eastAsia"/>
          <w:spacing w:val="0"/>
        </w:rPr>
        <w:t>7.2.2社会效益分析</w:t>
      </w:r>
      <w:bookmarkEnd w:id="453"/>
      <w:bookmarkEnd w:id="454"/>
    </w:p>
    <w:p>
      <w:pPr>
        <w:pStyle w:val="494"/>
        <w:ind w:firstLine="480"/>
      </w:pPr>
      <w:r>
        <w:rPr>
          <w:rFonts w:hint="eastAsia"/>
        </w:rPr>
        <w:t>本项目实施后的社会效益主要体现在以下几方面：</w:t>
      </w:r>
    </w:p>
    <w:p>
      <w:pPr>
        <w:pStyle w:val="494"/>
        <w:ind w:firstLine="480"/>
      </w:pPr>
      <w:r>
        <w:rPr>
          <w:rFonts w:hint="eastAsia"/>
        </w:rPr>
        <w:t>本项目的建设将大大促进当地经济发展，优化经济结构，为当地居民就业、经济发展做出较大贡献，对该区域的发展规划具有深远的社会经济效益。</w:t>
      </w:r>
    </w:p>
    <w:p>
      <w:pPr>
        <w:pStyle w:val="494"/>
        <w:ind w:firstLine="480"/>
      </w:pPr>
      <w:r>
        <w:t>1</w:t>
      </w:r>
      <w:r>
        <w:rPr>
          <w:rFonts w:hint="eastAsia"/>
        </w:rPr>
        <w:t>、符合国家相关产业政策，为国家经济健康发展做出相应贡献。</w:t>
      </w:r>
    </w:p>
    <w:p>
      <w:pPr>
        <w:pStyle w:val="494"/>
        <w:ind w:firstLine="480"/>
      </w:pPr>
      <w:r>
        <w:t>2</w:t>
      </w:r>
      <w:r>
        <w:rPr>
          <w:rFonts w:hint="eastAsia"/>
        </w:rPr>
        <w:t>、项目建成后，将有效回收和利用董</w:t>
      </w:r>
      <w:r>
        <w:t>701</w:t>
      </w:r>
      <w:r>
        <w:rPr>
          <w:rFonts w:hint="eastAsia"/>
        </w:rPr>
        <w:t>区块董</w:t>
      </w:r>
      <w:r>
        <w:t>701-X1</w:t>
      </w:r>
      <w:r>
        <w:rPr>
          <w:rFonts w:hint="eastAsia"/>
        </w:rPr>
        <w:t>井场油田的放空天然气，增加了项目区天然气的产量。</w:t>
      </w:r>
    </w:p>
    <w:p>
      <w:pPr>
        <w:pStyle w:val="494"/>
        <w:ind w:firstLine="480"/>
      </w:pPr>
      <w:r>
        <w:t>3</w:t>
      </w:r>
      <w:r>
        <w:rPr>
          <w:rFonts w:hint="eastAsia"/>
        </w:rPr>
        <w:t>、项目实施后将促进和带动周边加工业等相关产业的发展。同时，结合本项目的实施，可以进一步促进规划区内基础设施的建设。</w:t>
      </w:r>
    </w:p>
    <w:p>
      <w:pPr>
        <w:pStyle w:val="494"/>
        <w:ind w:firstLine="480"/>
      </w:pPr>
      <w:r>
        <w:t>4</w:t>
      </w:r>
      <w:r>
        <w:rPr>
          <w:rFonts w:hint="eastAsia"/>
        </w:rPr>
        <w:t>、本项目建设后，每年为国家和地方创税，这将低地方经济建设起到推动作用。</w:t>
      </w:r>
    </w:p>
    <w:p>
      <w:pPr>
        <w:pStyle w:val="5"/>
        <w:spacing w:before="120" w:after="120"/>
        <w:rPr>
          <w:spacing w:val="0"/>
        </w:rPr>
      </w:pPr>
      <w:bookmarkStart w:id="455" w:name="_Toc107500419"/>
      <w:bookmarkStart w:id="456" w:name="_Toc145580460"/>
      <w:r>
        <w:rPr>
          <w:rFonts w:hint="eastAsia"/>
          <w:spacing w:val="0"/>
        </w:rPr>
        <w:t>7.2.3环境效益分析</w:t>
      </w:r>
      <w:bookmarkEnd w:id="455"/>
      <w:bookmarkEnd w:id="456"/>
    </w:p>
    <w:p>
      <w:pPr>
        <w:pStyle w:val="494"/>
        <w:ind w:firstLine="480"/>
      </w:pPr>
      <w:r>
        <w:rPr>
          <w:rFonts w:hint="eastAsia"/>
        </w:rPr>
        <w:t>本项目在建设过程中，会带来一定的环境损失。环境损失包括直接损失和间接损失，直接损失指由于项目建设对土壤、地表植被及其生境破坏所造成的环境经济损失，即土地资源破坏的经济损失。间接损失指由土地资源损失而引起的生态问题，如生物多样性及地表植物初级生产力下降等造成的环境经济损失。</w:t>
      </w:r>
    </w:p>
    <w:p>
      <w:pPr>
        <w:pStyle w:val="4"/>
        <w:spacing w:before="120" w:after="120"/>
      </w:pPr>
      <w:bookmarkStart w:id="457" w:name="_Toc107500420"/>
      <w:bookmarkStart w:id="458" w:name="_Toc145580461"/>
      <w:r>
        <w:rPr>
          <w:rFonts w:hint="eastAsia"/>
        </w:rPr>
        <w:t>7.3 环境经济损益分析结论</w:t>
      </w:r>
      <w:bookmarkEnd w:id="457"/>
      <w:bookmarkEnd w:id="458"/>
    </w:p>
    <w:p>
      <w:pPr>
        <w:pStyle w:val="494"/>
        <w:ind w:firstLine="480"/>
      </w:pPr>
      <w:r>
        <w:rPr>
          <w:rFonts w:hint="eastAsia"/>
        </w:rPr>
        <w:t>本项目的建设从社会效益、环保经济效益分析均较好，但是在营运过程中对环境产生损害的可能还是存在的，应当引起建设单位的重视。只要加强污染防治的投资与环境管理，把污染物控制在最低限度，可以保证收到良好的环境效益。只要加强环保措施和环境管理，本项目可以达到社会效益、经济效益、环保效益同步发展。</w:t>
      </w:r>
    </w:p>
    <w:p>
      <w:pPr>
        <w:spacing w:line="460" w:lineRule="exact"/>
        <w:ind w:firstLine="480" w:firstLineChars="200"/>
        <w:rPr>
          <w:sz w:val="24"/>
        </w:rPr>
        <w:sectPr>
          <w:pgSz w:w="11906" w:h="16838"/>
          <w:pgMar w:top="1440" w:right="1701" w:bottom="1440" w:left="1985" w:header="851" w:footer="992" w:gutter="0"/>
          <w:cols w:space="720" w:num="1"/>
          <w:docGrid w:linePitch="312" w:charSpace="0"/>
        </w:sectPr>
      </w:pPr>
    </w:p>
    <w:p>
      <w:pPr>
        <w:pStyle w:val="3"/>
      </w:pPr>
      <w:bookmarkStart w:id="459" w:name="_Toc107500421"/>
      <w:bookmarkStart w:id="460" w:name="_Toc145580462"/>
      <w:r>
        <w:rPr>
          <w:rFonts w:hint="eastAsia"/>
        </w:rPr>
        <w:t xml:space="preserve">8 </w:t>
      </w:r>
      <w:r>
        <w:t>环境管理与</w:t>
      </w:r>
      <w:bookmarkEnd w:id="445"/>
      <w:r>
        <w:t>监测计划</w:t>
      </w:r>
      <w:bookmarkEnd w:id="459"/>
      <w:bookmarkEnd w:id="460"/>
    </w:p>
    <w:p>
      <w:pPr>
        <w:pStyle w:val="494"/>
        <w:ind w:firstLine="480"/>
      </w:pPr>
      <w:bookmarkStart w:id="461" w:name="_Toc309715436"/>
      <w:bookmarkStart w:id="462" w:name="_Toc454899408"/>
      <w:r>
        <w:t>环境管理及环境监测是一项生产监督活动，必须纳入生产管理轨道且需组织机构保证。其主要任务是组织、落实监督企业内的环境保护工作。企业应根据有关规定，建立完善的环境管理、风险预防及监测制度和措施，增添必要的监测分析仪器，在企业生产管理部门统一管理下，开展正常的环境管理及环境监测工作。</w:t>
      </w:r>
    </w:p>
    <w:p>
      <w:pPr>
        <w:pStyle w:val="4"/>
        <w:spacing w:before="120" w:after="120"/>
      </w:pPr>
      <w:bookmarkStart w:id="463" w:name="_Toc107500422"/>
      <w:bookmarkStart w:id="464" w:name="_Toc145580463"/>
      <w:r>
        <w:rPr>
          <w:rFonts w:hint="eastAsia"/>
        </w:rPr>
        <w:t>8</w:t>
      </w:r>
      <w:r>
        <w:t>.1 环境管理</w:t>
      </w:r>
      <w:bookmarkEnd w:id="461"/>
      <w:bookmarkEnd w:id="462"/>
      <w:bookmarkEnd w:id="463"/>
      <w:bookmarkEnd w:id="464"/>
    </w:p>
    <w:p>
      <w:pPr>
        <w:pStyle w:val="494"/>
        <w:ind w:firstLine="480"/>
      </w:pPr>
      <w:r>
        <w:t>根据《中华人民共和国环境保护法》和中华人民共和国国务院令第253号《建设项目环境保护管理条例》，建设单位必须把环境保护工作纳入工作计划，建立环境保护责任制度，采取有效措施，防止环境破坏。</w:t>
      </w:r>
    </w:p>
    <w:p>
      <w:pPr>
        <w:pStyle w:val="494"/>
        <w:ind w:firstLine="480"/>
      </w:pPr>
      <w:r>
        <w:t>环境管理是以环境科学理论为基础，运用经济、法律、技术、行政、教育等手段对经济、社会发展过程中施加给环境的污染和破坏影响进行调节控制，实现经济、社会和环境效益的和谐统一。</w:t>
      </w:r>
    </w:p>
    <w:p>
      <w:pPr>
        <w:pStyle w:val="494"/>
        <w:ind w:firstLine="480"/>
      </w:pPr>
      <w:r>
        <w:t>为全面贯彻和落实国家以及地方环保法律、法规，加强企业内部污染物排放监督控制，有效控制、减轻施工期以及运营期间环境污染影响，保护项目所在地的环境质量，企业内部必须建立行之有效的环境管理机构。</w:t>
      </w:r>
    </w:p>
    <w:p>
      <w:pPr>
        <w:pStyle w:val="5"/>
        <w:spacing w:before="120" w:after="120"/>
        <w:rPr>
          <w:spacing w:val="0"/>
        </w:rPr>
      </w:pPr>
      <w:bookmarkStart w:id="465" w:name="_Toc309715437"/>
      <w:bookmarkStart w:id="466" w:name="_Toc107500423"/>
      <w:bookmarkStart w:id="467" w:name="_Toc145580464"/>
      <w:r>
        <w:rPr>
          <w:rFonts w:hint="eastAsia"/>
          <w:spacing w:val="0"/>
        </w:rPr>
        <w:t>8</w:t>
      </w:r>
      <w:r>
        <w:rPr>
          <w:spacing w:val="0"/>
        </w:rPr>
        <w:t>.1.1环境管理</w:t>
      </w:r>
      <w:bookmarkEnd w:id="465"/>
      <w:r>
        <w:rPr>
          <w:rFonts w:hint="eastAsia"/>
          <w:spacing w:val="0"/>
        </w:rPr>
        <w:t>基本任务</w:t>
      </w:r>
      <w:bookmarkEnd w:id="466"/>
      <w:bookmarkEnd w:id="467"/>
    </w:p>
    <w:p>
      <w:pPr>
        <w:pStyle w:val="494"/>
        <w:ind w:firstLine="480"/>
      </w:pPr>
      <w:r>
        <w:rPr>
          <w:rFonts w:hint="eastAsia"/>
        </w:rPr>
        <w:t>环境管理基本任务有二：一是控制污染物的排放量；二是避免污染物排放对环境质量损害。建设单位应将本企业环境管理作为企业管理重要组成部分，建立环境质量管理系统，制定环境规划，协调发展生产经营与环境保护的关系而达到生产目标与环境目标统一及经济效益与环境效益统一。</w:t>
      </w:r>
    </w:p>
    <w:p>
      <w:pPr>
        <w:pStyle w:val="5"/>
        <w:spacing w:before="120" w:after="120"/>
        <w:rPr>
          <w:spacing w:val="0"/>
        </w:rPr>
      </w:pPr>
      <w:bookmarkStart w:id="468" w:name="_Toc107500424"/>
      <w:bookmarkStart w:id="469" w:name="_Toc145580465"/>
      <w:r>
        <w:rPr>
          <w:rFonts w:hint="eastAsia"/>
          <w:spacing w:val="0"/>
        </w:rPr>
        <w:t>8.1.2环境管理基本原则</w:t>
      </w:r>
      <w:bookmarkEnd w:id="468"/>
      <w:bookmarkEnd w:id="469"/>
    </w:p>
    <w:p>
      <w:pPr>
        <w:pStyle w:val="494"/>
        <w:ind w:firstLine="480"/>
      </w:pPr>
      <w:r>
        <w:rPr>
          <w:rFonts w:hint="eastAsia"/>
        </w:rPr>
        <w:t>本项目环境管理遵循以下原则：</w:t>
      </w:r>
    </w:p>
    <w:p>
      <w:pPr>
        <w:pStyle w:val="494"/>
        <w:ind w:firstLine="480"/>
      </w:pPr>
      <w:r>
        <w:rPr>
          <w:rFonts w:hint="eastAsia"/>
        </w:rPr>
        <w:t>（1）正确处理生产经营与环境保护的关系，在生产经营中做好环境保护，环境教育、环境规划等都是协调企业生产经营与环境保护的重要手段，在本企业环境管理工作中掌握和充分运用这些手段促使生产经营与环境保护协调发展。</w:t>
      </w:r>
    </w:p>
    <w:p>
      <w:pPr>
        <w:pStyle w:val="494"/>
        <w:ind w:firstLine="480"/>
      </w:pPr>
      <w:r>
        <w:rPr>
          <w:rFonts w:hint="eastAsia"/>
        </w:rPr>
        <w:t>（2）正确处理环境管理与污染防治的关系，管治结合，以管促治，把环境管理放在企业环境保护工作首位。</w:t>
      </w:r>
    </w:p>
    <w:p>
      <w:pPr>
        <w:pStyle w:val="494"/>
        <w:ind w:firstLine="480"/>
      </w:pPr>
      <w:r>
        <w:rPr>
          <w:rFonts w:hint="eastAsia"/>
        </w:rPr>
        <w:t>（3）专业环境管理与群众环境管理结合，企业环境管理与生产管理结合，产品质量控制与环境质量控制结合。</w:t>
      </w:r>
    </w:p>
    <w:p>
      <w:pPr>
        <w:pStyle w:val="494"/>
        <w:ind w:firstLine="480"/>
      </w:pPr>
      <w:r>
        <w:rPr>
          <w:rFonts w:hint="eastAsia"/>
        </w:rPr>
        <w:t>（4）企业环境管理渗透到整个生产经营活动中，贯彻在过程始终。</w:t>
      </w:r>
    </w:p>
    <w:p>
      <w:pPr>
        <w:pStyle w:val="494"/>
        <w:ind w:firstLine="480"/>
      </w:pPr>
      <w:r>
        <w:rPr>
          <w:rFonts w:hint="eastAsia"/>
        </w:rPr>
        <w:t>（5）坚持“谁污染，谁治理”原则，企业内部从工厂、部门、工段至班组领导和职工都要对本企业污染与治理负责，收费、罚款、赔偿损失、行政处分等处罚都要落实，实行分片包干，各负其责。</w:t>
      </w:r>
    </w:p>
    <w:p>
      <w:pPr>
        <w:pStyle w:val="5"/>
        <w:spacing w:before="120" w:after="120"/>
        <w:rPr>
          <w:spacing w:val="0"/>
        </w:rPr>
      </w:pPr>
      <w:bookmarkStart w:id="470" w:name="_Toc107500425"/>
      <w:bookmarkStart w:id="471" w:name="_Toc145580466"/>
      <w:r>
        <w:rPr>
          <w:rFonts w:hint="eastAsia"/>
          <w:spacing w:val="0"/>
        </w:rPr>
        <w:t>8.1.3环境管理机构设置</w:t>
      </w:r>
      <w:bookmarkEnd w:id="470"/>
      <w:bookmarkEnd w:id="471"/>
    </w:p>
    <w:p>
      <w:pPr>
        <w:pStyle w:val="494"/>
        <w:ind w:firstLine="480"/>
      </w:pPr>
      <w:r>
        <w:rPr>
          <w:rFonts w:hint="eastAsia"/>
        </w:rPr>
        <w:t>（1）环境管理机构设置目的</w:t>
      </w:r>
    </w:p>
    <w:p>
      <w:pPr>
        <w:pStyle w:val="494"/>
        <w:ind w:firstLine="480"/>
      </w:pPr>
      <w:r>
        <w:rPr>
          <w:rFonts w:hint="eastAsia"/>
        </w:rPr>
        <w:t>环境管理机构设置目的是为贯彻执行《中华人民共和国环境保护法》中相关法律法规以及全面落实《国务院关于环境保护若干问题的决定》中相关规定，对“三废”排放实行管理和监控，确保社会、经济、环境等效益的协调发展，协调地方生态环境部门工作，为企业生产管理和环境管理提供保证，针对本项目具体情况，为加强管理，建设单位应对全厂统一考虑，在公司现有环境管理机构框架下增加本项目的具体环保责任人，并尽相应职责。</w:t>
      </w:r>
    </w:p>
    <w:p>
      <w:pPr>
        <w:pStyle w:val="494"/>
        <w:ind w:firstLine="480"/>
      </w:pPr>
      <w:r>
        <w:rPr>
          <w:rFonts w:hint="eastAsia"/>
        </w:rPr>
        <w:t>（2）环境管理机构组成</w:t>
      </w:r>
    </w:p>
    <w:p>
      <w:pPr>
        <w:pStyle w:val="494"/>
        <w:ind w:firstLine="480"/>
      </w:pPr>
      <w:r>
        <w:rPr>
          <w:rFonts w:hint="eastAsia"/>
        </w:rPr>
        <w:t>本项目运营期间应设置专职或兼职人员负责本项目的安全生产、环境管理、环境监测、事故应急处理等工作。</w:t>
      </w:r>
    </w:p>
    <w:p>
      <w:pPr>
        <w:pStyle w:val="494"/>
        <w:ind w:firstLine="480"/>
      </w:pPr>
      <w:r>
        <w:rPr>
          <w:rFonts w:hint="eastAsia"/>
        </w:rPr>
        <w:t>本项目运营期间，建设单位现有安全环保部门安全环保责任人应同样负责本项目安全生产、环境管理、环境监测、事故应急处理等工作，并接受本项目主管单位及当地生态环境部门监督和指导。</w:t>
      </w:r>
    </w:p>
    <w:p>
      <w:pPr>
        <w:pStyle w:val="494"/>
        <w:ind w:firstLine="480"/>
      </w:pPr>
      <w:r>
        <w:rPr>
          <w:rFonts w:hint="eastAsia"/>
        </w:rPr>
        <w:t>（3）环境管理机构定员</w:t>
      </w:r>
    </w:p>
    <w:p>
      <w:pPr>
        <w:pStyle w:val="494"/>
        <w:ind w:firstLine="480"/>
      </w:pPr>
      <w:r>
        <w:rPr>
          <w:rFonts w:hint="eastAsia"/>
        </w:rPr>
        <w:t>本项目运营期间，本企业现有安全环保部门内部设专职或兼职的环境管理人员</w:t>
      </w:r>
      <w:r>
        <w:t xml:space="preserve">1 </w:t>
      </w:r>
      <w:r>
        <w:rPr>
          <w:rFonts w:hint="eastAsia"/>
        </w:rPr>
        <w:t>名及“三废”处理人员各</w:t>
      </w:r>
      <w:r>
        <w:t xml:space="preserve">1 </w:t>
      </w:r>
      <w:r>
        <w:rPr>
          <w:rFonts w:hint="eastAsia"/>
        </w:rPr>
        <w:t>名，这些人员应有一定环保基础理论知识、组织协调处理能力和较强责任心，对有资质要求特殊岗位从业人员必须做到持证上岗。</w:t>
      </w:r>
    </w:p>
    <w:p>
      <w:pPr>
        <w:pStyle w:val="494"/>
        <w:ind w:firstLine="480"/>
      </w:pPr>
      <w:r>
        <w:rPr>
          <w:rFonts w:hint="eastAsia"/>
        </w:rPr>
        <w:t>（4）环境管理机构职责</w:t>
      </w:r>
    </w:p>
    <w:p>
      <w:pPr>
        <w:pStyle w:val="494"/>
        <w:ind w:firstLine="480"/>
      </w:pPr>
      <w:r>
        <w:rPr>
          <w:rFonts w:hint="eastAsia" w:ascii="宋体" w:hAnsi="宋体" w:cs="宋体"/>
          <w:lang w:eastAsia="ja-JP"/>
        </w:rPr>
        <w:t>①</w:t>
      </w:r>
      <w:r>
        <w:rPr>
          <w:rFonts w:hint="eastAsia"/>
        </w:rPr>
        <w:t>贯彻执行国家和自治区现行各项环保方针、政策、法律法规和标准，认真执行当地生态环境部门下达各项任务；</w:t>
      </w:r>
    </w:p>
    <w:p>
      <w:pPr>
        <w:pStyle w:val="494"/>
        <w:ind w:firstLine="480"/>
        <w:rPr>
          <w:rFonts w:asciiTheme="minorEastAsia" w:hAnsiTheme="minorEastAsia"/>
        </w:rPr>
      </w:pPr>
      <w:r>
        <w:rPr>
          <w:rFonts w:asciiTheme="minorEastAsia" w:hAnsiTheme="minorEastAsia"/>
        </w:rPr>
        <w:t>②</w:t>
      </w:r>
      <w:r>
        <w:rPr>
          <w:rFonts w:hint="eastAsia" w:asciiTheme="minorEastAsia" w:hAnsiTheme="minorEastAsia"/>
        </w:rPr>
        <w:t>组织编制本企业环境保护计划，建立本企业各项环境保护规章制度，并且经常进行监督检查；</w:t>
      </w:r>
    </w:p>
    <w:p>
      <w:pPr>
        <w:pStyle w:val="494"/>
        <w:ind w:firstLine="480"/>
        <w:rPr>
          <w:rFonts w:asciiTheme="minorEastAsia" w:hAnsiTheme="minorEastAsia"/>
        </w:rPr>
      </w:pPr>
      <w:r>
        <w:rPr>
          <w:rFonts w:asciiTheme="minorEastAsia" w:hAnsiTheme="minorEastAsia"/>
        </w:rPr>
        <w:t>③</w:t>
      </w:r>
      <w:r>
        <w:rPr>
          <w:rFonts w:hint="eastAsia" w:asciiTheme="minorEastAsia" w:hAnsiTheme="minorEastAsia"/>
        </w:rPr>
        <w:t>参与本企业环保设施设计论证，监督环保设施安装调试，落实“三同时”措施；</w:t>
      </w:r>
    </w:p>
    <w:p>
      <w:pPr>
        <w:pStyle w:val="494"/>
        <w:ind w:firstLine="480"/>
        <w:rPr>
          <w:rFonts w:asciiTheme="minorEastAsia" w:hAnsiTheme="minorEastAsia"/>
        </w:rPr>
      </w:pPr>
      <w:r>
        <w:rPr>
          <w:rFonts w:asciiTheme="minorEastAsia" w:hAnsiTheme="minorEastAsia"/>
        </w:rPr>
        <w:t>④</w:t>
      </w:r>
      <w:r>
        <w:rPr>
          <w:rFonts w:hint="eastAsia" w:asciiTheme="minorEastAsia" w:hAnsiTheme="minorEastAsia"/>
        </w:rPr>
        <w:t>定期对本企业各污染源进行检查，请有资质的专业环境监测单位对本企业污染源的排放情况进行监测，了解各污染源动态，建立健全污染源档案，并做好环境统计工作，及时发现和掌握企业污染变化情况，从而制订相应处理措施；</w:t>
      </w:r>
    </w:p>
    <w:p>
      <w:pPr>
        <w:pStyle w:val="494"/>
        <w:ind w:firstLine="480"/>
        <w:rPr>
          <w:rFonts w:asciiTheme="minorEastAsia" w:hAnsiTheme="minorEastAsia"/>
        </w:rPr>
      </w:pPr>
      <w:r>
        <w:rPr>
          <w:rFonts w:asciiTheme="minorEastAsia" w:hAnsiTheme="minorEastAsia"/>
        </w:rPr>
        <w:t>⑤</w:t>
      </w:r>
      <w:r>
        <w:rPr>
          <w:rFonts w:hint="eastAsia" w:asciiTheme="minorEastAsia" w:hAnsiTheme="minorEastAsia"/>
        </w:rPr>
        <w:t>加强对污染治理设施的管理、检查及维护，确保污染治理设施正常运行，并将污染治理设施治理效率按照生产指标一样进行考核，防止污染事故发生；</w:t>
      </w:r>
    </w:p>
    <w:p>
      <w:pPr>
        <w:pStyle w:val="494"/>
        <w:ind w:firstLine="480"/>
        <w:rPr>
          <w:rFonts w:asciiTheme="minorEastAsia" w:hAnsiTheme="minorEastAsia"/>
        </w:rPr>
      </w:pPr>
      <w:r>
        <w:rPr>
          <w:rFonts w:asciiTheme="minorEastAsia" w:hAnsiTheme="minorEastAsia"/>
        </w:rPr>
        <w:t>⑥</w:t>
      </w:r>
      <w:r>
        <w:rPr>
          <w:rFonts w:hint="eastAsia" w:asciiTheme="minorEastAsia" w:hAnsiTheme="minorEastAsia"/>
        </w:rPr>
        <w:t>学习并推广应用先进环保技术和经验，推行清洁生产，组织污染治理设施操作人员进行岗前专业技术培训；</w:t>
      </w:r>
    </w:p>
    <w:p>
      <w:pPr>
        <w:pStyle w:val="494"/>
        <w:ind w:firstLine="480"/>
        <w:rPr>
          <w:rFonts w:asciiTheme="minorEastAsia" w:hAnsiTheme="minorEastAsia"/>
        </w:rPr>
      </w:pPr>
      <w:r>
        <w:rPr>
          <w:rFonts w:asciiTheme="minorEastAsia" w:hAnsiTheme="minorEastAsia"/>
        </w:rPr>
        <w:t>⑦</w:t>
      </w:r>
      <w:r>
        <w:rPr>
          <w:rFonts w:hint="eastAsia" w:asciiTheme="minorEastAsia" w:hAnsiTheme="minorEastAsia"/>
        </w:rPr>
        <w:t>加强对职工进行环保法律法规的宣传、教育和学习，增强职工环保意识。</w:t>
      </w:r>
    </w:p>
    <w:p>
      <w:pPr>
        <w:pStyle w:val="5"/>
        <w:spacing w:before="120" w:after="120"/>
        <w:rPr>
          <w:spacing w:val="0"/>
        </w:rPr>
      </w:pPr>
      <w:bookmarkStart w:id="472" w:name="_Toc107500426"/>
      <w:bookmarkStart w:id="473" w:name="_Toc145580467"/>
      <w:r>
        <w:rPr>
          <w:rFonts w:hint="eastAsia"/>
          <w:spacing w:val="0"/>
        </w:rPr>
        <w:t>8.1.4环境管理规章制度</w:t>
      </w:r>
      <w:bookmarkEnd w:id="472"/>
      <w:bookmarkEnd w:id="473"/>
    </w:p>
    <w:p>
      <w:pPr>
        <w:pStyle w:val="494"/>
        <w:ind w:firstLine="480"/>
      </w:pPr>
      <w:r>
        <w:rPr>
          <w:rFonts w:hint="eastAsia"/>
        </w:rPr>
        <w:t>（1）严格执行“三同时”制度</w:t>
      </w:r>
    </w:p>
    <w:p>
      <w:pPr>
        <w:pStyle w:val="494"/>
        <w:ind w:firstLine="480"/>
      </w:pPr>
      <w:r>
        <w:rPr>
          <w:rFonts w:hint="eastAsia"/>
        </w:rPr>
        <w:t>在本项目建设的不同阶段均应严格执行“三同时”制度，确保污染处理设施能够与生产设施“同时设计、同时施工、同时竣工并投入使用”。</w:t>
      </w:r>
    </w:p>
    <w:p>
      <w:pPr>
        <w:pStyle w:val="494"/>
        <w:ind w:firstLine="480"/>
      </w:pPr>
      <w:r>
        <w:rPr>
          <w:rFonts w:hint="eastAsia"/>
        </w:rPr>
        <w:t>（2）建立环境报告制度</w:t>
      </w:r>
    </w:p>
    <w:p>
      <w:pPr>
        <w:pStyle w:val="494"/>
        <w:ind w:firstLine="480"/>
      </w:pPr>
      <w:r>
        <w:rPr>
          <w:rFonts w:hint="eastAsia"/>
        </w:rPr>
        <w:t>应按相关法律法规要求严格执行排污申报制度，此外在本项目排污发生重大变化、污染治理设施发生重大改变或实施新改扩建项目时必须及时向当地的生态环境部门申报。</w:t>
      </w:r>
    </w:p>
    <w:p>
      <w:pPr>
        <w:pStyle w:val="494"/>
        <w:ind w:firstLine="480"/>
      </w:pPr>
      <w:r>
        <w:rPr>
          <w:rFonts w:hint="eastAsia"/>
        </w:rPr>
        <w:t>（3）建立健全污染治理设施管理制度</w:t>
      </w:r>
    </w:p>
    <w:p>
      <w:pPr>
        <w:pStyle w:val="494"/>
        <w:ind w:firstLine="480"/>
      </w:pPr>
      <w:r>
        <w:rPr>
          <w:rFonts w:hint="eastAsia"/>
        </w:rPr>
        <w:t>建立健全污染治理设施的运行、检修、维护保养等作业规程和管理制度，将污染治理设施管理与生产管理一同纳入本企业管理工作范畴，落实责任人，建立管理台帐，避免擅自拆除或闲置污染治理设施的现象发生，严禁故意不正常使用污染治理设施。</w:t>
      </w:r>
    </w:p>
    <w:p>
      <w:pPr>
        <w:pStyle w:val="494"/>
        <w:ind w:firstLine="480"/>
      </w:pPr>
      <w:r>
        <w:rPr>
          <w:rFonts w:hint="eastAsia"/>
        </w:rPr>
        <w:t>（4）建立环境目标管理责任制和奖惩条例</w:t>
      </w:r>
    </w:p>
    <w:p>
      <w:pPr>
        <w:pStyle w:val="494"/>
        <w:ind w:firstLine="480"/>
      </w:pPr>
      <w:r>
        <w:rPr>
          <w:rFonts w:hint="eastAsia"/>
        </w:rPr>
        <w:t>建立并实施各级人员环境目标管理责任制，把环境目标责任完成情况与奖惩制度结合起来。设置环境保护奖惩条例，对爱护环保设施、节能降耗、减少污染物排放、改善环境绩效者给予适当奖励；对环保观念淡薄，不按环保要求管理和操作，造成环保设施非正常损坏、发生污染事故及浪费资源者予以相应处罚。在企业内部形成注重环境管理，持续改进环境绩效的氛围。</w:t>
      </w:r>
    </w:p>
    <w:p>
      <w:pPr>
        <w:pStyle w:val="5"/>
        <w:spacing w:before="120" w:after="120"/>
        <w:rPr>
          <w:spacing w:val="0"/>
        </w:rPr>
      </w:pPr>
      <w:bookmarkStart w:id="474" w:name="_Toc107500427"/>
      <w:bookmarkStart w:id="475" w:name="_Toc145580468"/>
      <w:r>
        <w:rPr>
          <w:rFonts w:hint="eastAsia"/>
          <w:spacing w:val="0"/>
        </w:rPr>
        <w:t>8.1.5环境管理措施</w:t>
      </w:r>
      <w:bookmarkEnd w:id="474"/>
      <w:bookmarkEnd w:id="475"/>
    </w:p>
    <w:p>
      <w:pPr>
        <w:pStyle w:val="694"/>
        <w:spacing w:line="460" w:lineRule="exact"/>
        <w:ind w:firstLine="480"/>
        <w:rPr>
          <w:rFonts w:ascii="Times New Roman" w:hAnsi="Times New Roman" w:cs="Times New Roman"/>
          <w:kern w:val="28"/>
        </w:rPr>
      </w:pPr>
      <w:bookmarkStart w:id="476" w:name="_Toc309715440"/>
      <w:bookmarkStart w:id="477" w:name="_Toc454899410"/>
      <w:r>
        <w:rPr>
          <w:rFonts w:ascii="Times New Roman" w:hAnsi="Times New Roman" w:cs="Times New Roman"/>
          <w:kern w:val="28"/>
        </w:rPr>
        <w:t>为使环境管理工作科学化、规范化、合理化，确保各项环保措施落实到位，在管理方面采取以下措施：</w:t>
      </w:r>
    </w:p>
    <w:p>
      <w:pPr>
        <w:pStyle w:val="694"/>
        <w:spacing w:line="460" w:lineRule="exact"/>
        <w:ind w:firstLine="480"/>
        <w:rPr>
          <w:rFonts w:ascii="Times New Roman" w:hAnsi="Times New Roman" w:cs="Times New Roman"/>
          <w:kern w:val="28"/>
        </w:rPr>
      </w:pPr>
      <w:r>
        <w:rPr>
          <w:rFonts w:ascii="Times New Roman" w:hAnsi="Times New Roman" w:cs="Times New Roman"/>
          <w:kern w:val="28"/>
        </w:rPr>
        <w:t>1、建立IS014000 环境管理体系，并建议同时进行QHSE（质量、健康、安全、环保）审核。</w:t>
      </w:r>
    </w:p>
    <w:p>
      <w:pPr>
        <w:pStyle w:val="694"/>
        <w:spacing w:line="460" w:lineRule="exact"/>
        <w:ind w:firstLine="480"/>
        <w:rPr>
          <w:rFonts w:ascii="Times New Roman" w:hAnsi="Times New Roman" w:cs="Times New Roman"/>
          <w:kern w:val="28"/>
        </w:rPr>
      </w:pPr>
      <w:r>
        <w:rPr>
          <w:rFonts w:ascii="Times New Roman" w:hAnsi="Times New Roman" w:cs="Times New Roman"/>
          <w:kern w:val="28"/>
        </w:rPr>
        <w:t>2、强化对环保设施运行监督管理职能，建立完善的环保设施运行、维护、维修等技术档案，加强对环保设施操作人员技术培训，确保环保设施处于正常的运行情况，污染物排放连续达标。</w:t>
      </w:r>
    </w:p>
    <w:p>
      <w:pPr>
        <w:pStyle w:val="694"/>
        <w:spacing w:line="460" w:lineRule="exact"/>
        <w:ind w:firstLine="480"/>
        <w:rPr>
          <w:rFonts w:ascii="Times New Roman" w:hAnsi="Times New Roman" w:cs="Times New Roman"/>
          <w:kern w:val="28"/>
        </w:rPr>
      </w:pPr>
      <w:r>
        <w:rPr>
          <w:rFonts w:ascii="Times New Roman" w:hAnsi="Times New Roman" w:cs="Times New Roman"/>
          <w:kern w:val="28"/>
        </w:rPr>
        <w:t>3、加强环境监测数据统计工作，建立完善的污染源及物料流失档案，确保污染物排放指标达到设计要求。</w:t>
      </w:r>
    </w:p>
    <w:p>
      <w:pPr>
        <w:pStyle w:val="694"/>
        <w:spacing w:line="460" w:lineRule="exact"/>
        <w:ind w:firstLine="480"/>
        <w:rPr>
          <w:rFonts w:ascii="Times New Roman" w:hAnsi="Times New Roman" w:cs="Times New Roman"/>
          <w:kern w:val="28"/>
        </w:rPr>
      </w:pPr>
      <w:r>
        <w:rPr>
          <w:rFonts w:ascii="Times New Roman" w:hAnsi="Times New Roman" w:cs="Times New Roman"/>
          <w:kern w:val="28"/>
        </w:rPr>
        <w:t>4、制订环境保护岗位目标责任制，将环境管理纳入生产管理体系，将环境评估与经济效益评估相结合，建立严格奖惩机制。</w:t>
      </w:r>
    </w:p>
    <w:p>
      <w:pPr>
        <w:pStyle w:val="694"/>
        <w:spacing w:line="460" w:lineRule="exact"/>
        <w:ind w:firstLine="480"/>
        <w:rPr>
          <w:rFonts w:ascii="Times New Roman" w:hAnsi="Times New Roman" w:cs="Times New Roman"/>
          <w:kern w:val="28"/>
        </w:rPr>
      </w:pPr>
      <w:r>
        <w:rPr>
          <w:rFonts w:ascii="Times New Roman" w:hAnsi="Times New Roman" w:cs="Times New Roman"/>
          <w:kern w:val="28"/>
        </w:rPr>
        <w:t>5、加强对职工进行环保法律法规的宣传、教育和学习，进行岗位培训，使职工意识到环境保护的重要意义，包括与企业生产、生存和发展的关系，企业应具有危机感和责任感，把环保工作落到实处，落实到每一位职工。</w:t>
      </w:r>
    </w:p>
    <w:p>
      <w:pPr>
        <w:pStyle w:val="5"/>
        <w:spacing w:before="120" w:after="120"/>
        <w:rPr>
          <w:spacing w:val="0"/>
        </w:rPr>
      </w:pPr>
      <w:bookmarkStart w:id="478" w:name="_Toc145580469"/>
      <w:r>
        <w:rPr>
          <w:rFonts w:hint="eastAsia"/>
          <w:spacing w:val="0"/>
        </w:rPr>
        <w:t>8.1.</w:t>
      </w:r>
      <w:r>
        <w:rPr>
          <w:spacing w:val="0"/>
        </w:rPr>
        <w:t>6</w:t>
      </w:r>
      <w:r>
        <w:rPr>
          <w:rFonts w:hint="eastAsia"/>
          <w:spacing w:val="0"/>
        </w:rPr>
        <w:t>环境管理计划</w:t>
      </w:r>
      <w:bookmarkEnd w:id="478"/>
    </w:p>
    <w:p>
      <w:pPr>
        <w:pStyle w:val="694"/>
        <w:spacing w:line="460" w:lineRule="exact"/>
        <w:ind w:firstLine="480"/>
        <w:rPr>
          <w:rFonts w:ascii="Times New Roman" w:hAnsi="Times New Roman" w:cs="Times New Roman"/>
          <w:kern w:val="28"/>
        </w:rPr>
      </w:pPr>
      <w:r>
        <w:rPr>
          <w:rFonts w:ascii="Times New Roman" w:hAnsi="Times New Roman" w:cs="Times New Roman"/>
          <w:kern w:val="28"/>
        </w:rPr>
        <w:t>本项目环境管理计划见表8.1-1。</w:t>
      </w:r>
    </w:p>
    <w:p>
      <w:pPr>
        <w:pStyle w:val="672"/>
        <w:spacing w:before="120"/>
        <w:rPr>
          <w:color w:val="auto"/>
        </w:rPr>
      </w:pPr>
      <w:r>
        <w:rPr>
          <w:color w:val="auto"/>
        </w:rPr>
        <w:t>表8.1-1                     环境管理计划</w:t>
      </w: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6237"/>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tcBorders>
              <w:top w:val="single" w:color="auto" w:sz="4" w:space="0"/>
              <w:left w:val="single" w:color="auto" w:sz="4" w:space="0"/>
              <w:bottom w:val="single" w:color="auto" w:sz="4" w:space="0"/>
              <w:right w:val="single" w:color="auto" w:sz="4" w:space="0"/>
            </w:tcBorders>
            <w:vAlign w:val="center"/>
          </w:tcPr>
          <w:p>
            <w:pPr>
              <w:pStyle w:val="670"/>
            </w:pPr>
            <w:r>
              <w:t>时期</w:t>
            </w:r>
          </w:p>
        </w:tc>
        <w:tc>
          <w:tcPr>
            <w:tcW w:w="6237" w:type="dxa"/>
            <w:tcBorders>
              <w:top w:val="single" w:color="auto" w:sz="4" w:space="0"/>
              <w:left w:val="single" w:color="auto" w:sz="4" w:space="0"/>
              <w:bottom w:val="single" w:color="auto" w:sz="4" w:space="0"/>
              <w:right w:val="single" w:color="auto" w:sz="4" w:space="0"/>
            </w:tcBorders>
            <w:vAlign w:val="center"/>
          </w:tcPr>
          <w:p>
            <w:pPr>
              <w:pStyle w:val="670"/>
            </w:pPr>
            <w:r>
              <w:t>管理要求</w:t>
            </w:r>
          </w:p>
        </w:tc>
        <w:tc>
          <w:tcPr>
            <w:tcW w:w="815" w:type="dxa"/>
            <w:tcBorders>
              <w:top w:val="single" w:color="auto" w:sz="4" w:space="0"/>
              <w:left w:val="single" w:color="auto" w:sz="4" w:space="0"/>
              <w:bottom w:val="single" w:color="auto" w:sz="4" w:space="0"/>
              <w:right w:val="single" w:color="auto" w:sz="4" w:space="0"/>
            </w:tcBorders>
            <w:vAlign w:val="center"/>
          </w:tcPr>
          <w:p>
            <w:pPr>
              <w:pStyle w:val="670"/>
            </w:pPr>
            <w:r>
              <w:t>实施机构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tcBorders>
              <w:top w:val="single" w:color="auto" w:sz="4" w:space="0"/>
              <w:left w:val="single" w:color="auto" w:sz="4" w:space="0"/>
              <w:bottom w:val="single" w:color="auto" w:sz="4" w:space="0"/>
              <w:right w:val="single" w:color="auto" w:sz="4" w:space="0"/>
            </w:tcBorders>
            <w:vAlign w:val="center"/>
          </w:tcPr>
          <w:p>
            <w:pPr>
              <w:pStyle w:val="670"/>
            </w:pPr>
            <w:r>
              <w:t>施工期</w:t>
            </w:r>
          </w:p>
        </w:tc>
        <w:tc>
          <w:tcPr>
            <w:tcW w:w="6237" w:type="dxa"/>
            <w:tcBorders>
              <w:top w:val="single" w:color="auto" w:sz="4" w:space="0"/>
              <w:left w:val="single" w:color="auto" w:sz="4" w:space="0"/>
              <w:bottom w:val="single" w:color="auto" w:sz="4" w:space="0"/>
              <w:right w:val="single" w:color="auto" w:sz="4" w:space="0"/>
            </w:tcBorders>
            <w:vAlign w:val="center"/>
          </w:tcPr>
          <w:p>
            <w:pPr>
              <w:pStyle w:val="670"/>
              <w:jc w:val="left"/>
              <w:rPr>
                <w:lang w:eastAsia="zh-CN"/>
              </w:rPr>
            </w:pPr>
            <w:r>
              <w:rPr>
                <w:lang w:eastAsia="zh-CN"/>
              </w:rPr>
              <w:t>1、环保设施严格按设计要求，环保工程与总体工程同步施工；</w:t>
            </w:r>
          </w:p>
          <w:p>
            <w:pPr>
              <w:pStyle w:val="670"/>
              <w:jc w:val="left"/>
              <w:rPr>
                <w:lang w:eastAsia="zh-CN"/>
              </w:rPr>
            </w:pPr>
            <w:r>
              <w:rPr>
                <w:lang w:eastAsia="zh-CN"/>
              </w:rPr>
              <w:t>2、环境管理机构对施工期环境保护工作全面负责，履行施工期各阶段环境管理职责；</w:t>
            </w:r>
          </w:p>
          <w:p>
            <w:pPr>
              <w:pStyle w:val="670"/>
              <w:jc w:val="left"/>
              <w:rPr>
                <w:lang w:eastAsia="zh-CN"/>
              </w:rPr>
            </w:pPr>
            <w:r>
              <w:rPr>
                <w:lang w:eastAsia="zh-CN"/>
              </w:rPr>
              <w:t>3、对施工队伍实行职责管理，要求施工队伍按要求文明施工，并做好监督、检查和教育工作；</w:t>
            </w:r>
          </w:p>
          <w:p>
            <w:pPr>
              <w:pStyle w:val="670"/>
              <w:jc w:val="left"/>
              <w:rPr>
                <w:lang w:eastAsia="zh-CN"/>
              </w:rPr>
            </w:pPr>
            <w:r>
              <w:rPr>
                <w:lang w:eastAsia="zh-CN"/>
              </w:rPr>
              <w:t>4、按照环保主管部门的要求和本报告书中有关环境保护对策措施对施工程序和场地布置实施统一安排；</w:t>
            </w:r>
          </w:p>
          <w:p>
            <w:pPr>
              <w:pStyle w:val="670"/>
              <w:jc w:val="left"/>
              <w:rPr>
                <w:lang w:eastAsia="zh-CN"/>
              </w:rPr>
            </w:pPr>
            <w:r>
              <w:rPr>
                <w:lang w:eastAsia="zh-CN"/>
              </w:rPr>
              <w:t>5、合理布置施工场内的机械和设备，合理安排施工时间；</w:t>
            </w:r>
          </w:p>
        </w:tc>
        <w:tc>
          <w:tcPr>
            <w:tcW w:w="815" w:type="dxa"/>
            <w:tcBorders>
              <w:top w:val="single" w:color="auto" w:sz="4" w:space="0"/>
              <w:left w:val="single" w:color="auto" w:sz="4" w:space="0"/>
              <w:bottom w:val="single" w:color="auto" w:sz="4" w:space="0"/>
              <w:right w:val="single" w:color="auto" w:sz="4" w:space="0"/>
            </w:tcBorders>
            <w:vAlign w:val="center"/>
          </w:tcPr>
          <w:p>
            <w:pPr>
              <w:pStyle w:val="670"/>
            </w:pPr>
            <w: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84" w:type="dxa"/>
            <w:tcBorders>
              <w:top w:val="single" w:color="auto" w:sz="4" w:space="0"/>
              <w:left w:val="single" w:color="auto" w:sz="4" w:space="0"/>
              <w:bottom w:val="single" w:color="auto" w:sz="4" w:space="0"/>
              <w:right w:val="single" w:color="auto" w:sz="4" w:space="0"/>
            </w:tcBorders>
            <w:vAlign w:val="center"/>
          </w:tcPr>
          <w:p>
            <w:pPr>
              <w:pStyle w:val="670"/>
            </w:pPr>
            <w:r>
              <w:t>运营期</w:t>
            </w:r>
          </w:p>
        </w:tc>
        <w:tc>
          <w:tcPr>
            <w:tcW w:w="6237" w:type="dxa"/>
            <w:tcBorders>
              <w:top w:val="single" w:color="auto" w:sz="4" w:space="0"/>
              <w:left w:val="single" w:color="auto" w:sz="4" w:space="0"/>
              <w:bottom w:val="single" w:color="auto" w:sz="4" w:space="0"/>
              <w:right w:val="single" w:color="auto" w:sz="4" w:space="0"/>
            </w:tcBorders>
            <w:vAlign w:val="center"/>
          </w:tcPr>
          <w:p>
            <w:pPr>
              <w:pStyle w:val="670"/>
              <w:jc w:val="left"/>
              <w:rPr>
                <w:lang w:eastAsia="zh-CN"/>
              </w:rPr>
            </w:pPr>
            <w:r>
              <w:rPr>
                <w:lang w:eastAsia="zh-CN"/>
              </w:rPr>
              <w:t>1、本项目设置环境管理机构，建设单位设置环保专职人员对各环保设施进行环保设备的正常运行管理、维护及维修；</w:t>
            </w:r>
          </w:p>
          <w:p>
            <w:pPr>
              <w:pStyle w:val="670"/>
              <w:jc w:val="left"/>
              <w:rPr>
                <w:lang w:eastAsia="zh-CN"/>
              </w:rPr>
            </w:pPr>
            <w:r>
              <w:rPr>
                <w:lang w:eastAsia="zh-CN"/>
              </w:rPr>
              <w:t>2、根据国家环保政策、标准及环境监测要求，制定该项目运行期环境管理规章制度、各种污染物排放指标；</w:t>
            </w:r>
          </w:p>
          <w:p>
            <w:pPr>
              <w:pStyle w:val="670"/>
              <w:jc w:val="left"/>
              <w:rPr>
                <w:lang w:eastAsia="zh-CN"/>
              </w:rPr>
            </w:pPr>
            <w:r>
              <w:rPr>
                <w:lang w:eastAsia="zh-CN"/>
              </w:rPr>
              <w:t>3、对厂区内的生产设备进行定期维护和检修，确保公建设施的正常运行；</w:t>
            </w:r>
          </w:p>
          <w:p>
            <w:pPr>
              <w:pStyle w:val="670"/>
              <w:jc w:val="left"/>
              <w:rPr>
                <w:lang w:eastAsia="zh-CN"/>
              </w:rPr>
            </w:pPr>
            <w:r>
              <w:rPr>
                <w:lang w:eastAsia="zh-CN"/>
              </w:rPr>
              <w:t>4、运行产生的危险废物设置专人负责，并制定相关管理制度及考核要求；</w:t>
            </w:r>
          </w:p>
          <w:p>
            <w:pPr>
              <w:pStyle w:val="670"/>
              <w:jc w:val="left"/>
              <w:rPr>
                <w:lang w:eastAsia="zh-CN"/>
              </w:rPr>
            </w:pPr>
            <w:r>
              <w:rPr>
                <w:lang w:eastAsia="zh-CN"/>
              </w:rPr>
              <w:t>5、生活垃圾的收集管理应由专人负责，交由环卫部门运走，妥善处置；</w:t>
            </w:r>
          </w:p>
          <w:p>
            <w:pPr>
              <w:pStyle w:val="670"/>
              <w:jc w:val="left"/>
              <w:rPr>
                <w:lang w:eastAsia="zh-CN"/>
              </w:rPr>
            </w:pPr>
            <w:r>
              <w:rPr>
                <w:lang w:eastAsia="zh-CN"/>
              </w:rPr>
              <w:t>6、建设单位每年向其划拨环保设施运行维护费用，企业效益较好，可保障其环保设施运行维护经费。</w:t>
            </w:r>
          </w:p>
        </w:tc>
        <w:tc>
          <w:tcPr>
            <w:tcW w:w="815" w:type="dxa"/>
            <w:tcBorders>
              <w:top w:val="single" w:color="auto" w:sz="4" w:space="0"/>
              <w:left w:val="single" w:color="auto" w:sz="4" w:space="0"/>
              <w:bottom w:val="single" w:color="auto" w:sz="4" w:space="0"/>
              <w:right w:val="single" w:color="auto" w:sz="4" w:space="0"/>
            </w:tcBorders>
            <w:vAlign w:val="center"/>
          </w:tcPr>
          <w:p>
            <w:pPr>
              <w:pStyle w:val="670"/>
            </w:pPr>
            <w:r>
              <w:t>建设单位</w:t>
            </w:r>
          </w:p>
        </w:tc>
      </w:tr>
    </w:tbl>
    <w:p>
      <w:pPr>
        <w:pStyle w:val="5"/>
        <w:spacing w:before="120" w:after="120"/>
        <w:rPr>
          <w:szCs w:val="36"/>
        </w:rPr>
      </w:pPr>
      <w:bookmarkStart w:id="479" w:name="_Toc145580470"/>
      <w:bookmarkStart w:id="480" w:name="_Toc107500428"/>
      <w:r>
        <w:rPr>
          <w:rFonts w:hint="eastAsia"/>
        </w:rPr>
        <w:t>8</w:t>
      </w:r>
      <w:r>
        <w:t>.1.7</w:t>
      </w:r>
      <w:r>
        <w:rPr>
          <w:rFonts w:hint="eastAsia"/>
        </w:rPr>
        <w:t>环境管理台账</w:t>
      </w:r>
      <w:bookmarkEnd w:id="479"/>
    </w:p>
    <w:p>
      <w:pPr>
        <w:pStyle w:val="494"/>
        <w:ind w:firstLine="480"/>
        <w:rPr>
          <w:rFonts w:eastAsiaTheme="minorEastAsia"/>
        </w:rPr>
      </w:pPr>
      <w:r>
        <w:rPr>
          <w:rFonts w:hint="eastAsia"/>
        </w:rPr>
        <w:t>根据参照《排污单位环境管理台账及排污许可执行报告技术规范总则》和《排污许可证申请与核发技术规范</w:t>
      </w:r>
      <w:r>
        <w:t xml:space="preserve"> </w:t>
      </w:r>
      <w:r>
        <w:rPr>
          <w:rFonts w:hint="eastAsia"/>
        </w:rPr>
        <w:t>总则》（</w:t>
      </w:r>
      <w:r>
        <w:t>HJ942-2018</w:t>
      </w:r>
      <w:r>
        <w:rPr>
          <w:rFonts w:hint="eastAsia"/>
        </w:rPr>
        <w:t>）要求建设单位建立环境管理台账记录制度，落实环境管理台账记录的责任部门和责任人，明确工作职责，包括台账的记录、整理、维护和管理等，并对环境管理台账的真实性、完整性和规范性负责。</w:t>
      </w:r>
    </w:p>
    <w:p>
      <w:pPr>
        <w:pStyle w:val="494"/>
        <w:ind w:firstLine="480"/>
      </w:pPr>
      <w:r>
        <w:rPr>
          <w:rFonts w:hint="eastAsia"/>
        </w:rPr>
        <w:t>环境管理台账应按照电子化储存和纸质储存两种形式同步管理。环境管理台账应记录基本信息、生产设施运行管理信息和污染防治设施运行管理信息、监测记录信息和其他环境管理信息等。</w:t>
      </w:r>
    </w:p>
    <w:p>
      <w:pPr>
        <w:pStyle w:val="494"/>
        <w:ind w:firstLine="480"/>
      </w:pPr>
      <w:r>
        <w:t>1</w:t>
      </w:r>
      <w:r>
        <w:rPr>
          <w:rFonts w:hint="eastAsia"/>
        </w:rPr>
        <w:t>、基本信息</w:t>
      </w:r>
    </w:p>
    <w:p>
      <w:pPr>
        <w:pStyle w:val="494"/>
        <w:ind w:firstLine="480"/>
      </w:pPr>
      <w:r>
        <w:rPr>
          <w:rFonts w:hint="eastAsia"/>
        </w:rPr>
        <w:t>基本信息主要包括排污单位生产设施基本信息、污染防治设施基本信息。</w:t>
      </w:r>
    </w:p>
    <w:p>
      <w:pPr>
        <w:pStyle w:val="494"/>
        <w:ind w:firstLine="480"/>
      </w:pPr>
      <w:r>
        <w:t>2</w:t>
      </w:r>
      <w:r>
        <w:rPr>
          <w:rFonts w:hint="eastAsia"/>
        </w:rPr>
        <w:t>、生产设施运行管理信息</w:t>
      </w:r>
    </w:p>
    <w:p>
      <w:pPr>
        <w:pStyle w:val="494"/>
        <w:ind w:firstLine="480"/>
      </w:pPr>
      <w:r>
        <w:rPr>
          <w:rFonts w:hint="eastAsia"/>
        </w:rPr>
        <w:t>包括主体工程、公用工程、辅助工程、储运工程等单元的生产设施运行管理信息。分正常工况和非正常工况进行记录，正常工况主要记录运行状态、生产负荷、主要产品产量、原辅料及燃料等；非正常工况主要记录起止时间、产品产量、原辅料及燃料消耗量、时间起因、应对措施、是否报告等。</w:t>
      </w:r>
    </w:p>
    <w:p>
      <w:pPr>
        <w:pStyle w:val="494"/>
        <w:ind w:firstLine="480"/>
      </w:pPr>
      <w:r>
        <w:t>3</w:t>
      </w:r>
      <w:r>
        <w:rPr>
          <w:rFonts w:hint="eastAsia"/>
        </w:rPr>
        <w:t>、污染防治设施运行管理信息</w:t>
      </w:r>
    </w:p>
    <w:p>
      <w:pPr>
        <w:pStyle w:val="494"/>
        <w:ind w:firstLine="480"/>
      </w:pPr>
      <w:r>
        <w:rPr>
          <w:rFonts w:hint="eastAsia"/>
        </w:rPr>
        <w:t>（</w:t>
      </w:r>
      <w:r>
        <w:t>1</w:t>
      </w:r>
      <w:r>
        <w:rPr>
          <w:rFonts w:hint="eastAsia"/>
        </w:rPr>
        <w:t>）正常情况：污染防治设施运行情况、主要药剂添加情况等。</w:t>
      </w:r>
      <w:r>
        <w:t xml:space="preserve"> </w:t>
      </w:r>
    </w:p>
    <w:p>
      <w:pPr>
        <w:pStyle w:val="494"/>
        <w:ind w:firstLine="480"/>
      </w:pPr>
      <w:r>
        <w:rPr>
          <w:rFonts w:hint="eastAsia" w:ascii="宋体" w:hAnsi="宋体" w:cs="宋体"/>
        </w:rPr>
        <w:t>①</w:t>
      </w:r>
      <w:r>
        <w:rPr>
          <w:rFonts w:hint="eastAsia"/>
        </w:rPr>
        <w:t>运行情况：是否正常运行；治理效率、副产物产生量等。</w:t>
      </w:r>
      <w:r>
        <w:t xml:space="preserve"> </w:t>
      </w:r>
    </w:p>
    <w:p>
      <w:pPr>
        <w:pStyle w:val="494"/>
        <w:ind w:firstLine="480"/>
      </w:pPr>
      <w:r>
        <w:rPr>
          <w:rFonts w:hint="eastAsia"/>
        </w:rPr>
        <w:t>（</w:t>
      </w:r>
      <w:r>
        <w:t>2</w:t>
      </w:r>
      <w:r>
        <w:rPr>
          <w:rFonts w:hint="eastAsia"/>
        </w:rPr>
        <w:t>）非正常工况应记录起止时间、污染物排放浓度、异常原因、应对措施、是否报告等。</w:t>
      </w:r>
      <w:r>
        <w:t xml:space="preserve"> </w:t>
      </w:r>
    </w:p>
    <w:p>
      <w:pPr>
        <w:pStyle w:val="494"/>
        <w:ind w:firstLine="480"/>
      </w:pPr>
      <w:r>
        <w:t>5</w:t>
      </w:r>
      <w:r>
        <w:rPr>
          <w:rFonts w:hint="eastAsia"/>
        </w:rPr>
        <w:t>、监测记录信息</w:t>
      </w:r>
    </w:p>
    <w:p>
      <w:pPr>
        <w:pStyle w:val="494"/>
        <w:ind w:firstLine="480"/>
      </w:pPr>
      <w:r>
        <w:rPr>
          <w:rFonts w:hint="eastAsia"/>
        </w:rPr>
        <w:t>监测记录包括有组织废气污染物监测、无组织废气污染物监测、废水污染物监测以及地下水监测。监测记录信息应包括监测日期、监测时间、监测结果、监测期间工况、若有超标记录超标原因。有监测报告的可只记录监测期间工况及超标排放的超标原因。</w:t>
      </w:r>
    </w:p>
    <w:p>
      <w:pPr>
        <w:pStyle w:val="494"/>
        <w:ind w:firstLine="480"/>
      </w:pPr>
      <w:r>
        <w:t>6</w:t>
      </w:r>
      <w:r>
        <w:rPr>
          <w:rFonts w:hint="eastAsia"/>
        </w:rPr>
        <w:t>、其他环境管理信息</w:t>
      </w:r>
    </w:p>
    <w:p>
      <w:pPr>
        <w:pStyle w:val="494"/>
        <w:ind w:firstLine="480"/>
      </w:pPr>
      <w:r>
        <w:rPr>
          <w:rFonts w:hint="eastAsia"/>
        </w:rPr>
        <w:t>排污单位应记录无组织废气污染治理措施运行、维护、管理相关的信息。排污单位在特殊时段应记录管理要求、执行情况（包括特殊时段生产设施运行管理信息和污染防治设施运行管理信息）等。</w:t>
      </w:r>
      <w:r>
        <w:t xml:space="preserve"> </w:t>
      </w:r>
    </w:p>
    <w:p>
      <w:pPr>
        <w:pStyle w:val="494"/>
        <w:ind w:firstLine="480"/>
      </w:pPr>
      <w:r>
        <w:rPr>
          <w:rFonts w:hint="eastAsia"/>
        </w:rPr>
        <w:t>排污单位还应根据管理部门要求和排污单位自行监测内容需求，自行增补记录。</w:t>
      </w:r>
    </w:p>
    <w:p>
      <w:pPr>
        <w:pStyle w:val="494"/>
        <w:ind w:firstLine="480"/>
      </w:pPr>
      <w:r>
        <w:t>7</w:t>
      </w:r>
      <w:r>
        <w:rPr>
          <w:rFonts w:hint="eastAsia"/>
        </w:rPr>
        <w:t>、记录频次</w:t>
      </w:r>
    </w:p>
    <w:p>
      <w:pPr>
        <w:pStyle w:val="494"/>
        <w:ind w:firstLine="480"/>
      </w:pPr>
      <w:r>
        <w:rPr>
          <w:rFonts w:hint="eastAsia"/>
        </w:rPr>
        <w:t>（</w:t>
      </w:r>
      <w:r>
        <w:t>1</w:t>
      </w:r>
      <w:r>
        <w:rPr>
          <w:rFonts w:hint="eastAsia"/>
        </w:rPr>
        <w:t>）基本信息</w:t>
      </w:r>
    </w:p>
    <w:p>
      <w:pPr>
        <w:pStyle w:val="494"/>
        <w:ind w:firstLine="480"/>
      </w:pPr>
      <w:r>
        <w:rPr>
          <w:rFonts w:hint="eastAsia"/>
        </w:rPr>
        <w:t>对于未发生变化的基本信息，按年记录，每年一次；对于发生变化的基本信息，在发生变化时记录一次。</w:t>
      </w:r>
    </w:p>
    <w:p>
      <w:pPr>
        <w:pStyle w:val="494"/>
        <w:ind w:firstLine="480"/>
      </w:pPr>
      <w:r>
        <w:rPr>
          <w:rFonts w:hint="eastAsia"/>
        </w:rPr>
        <w:t>（</w:t>
      </w:r>
      <w:r>
        <w:t>2</w:t>
      </w:r>
      <w:r>
        <w:rPr>
          <w:rFonts w:hint="eastAsia"/>
        </w:rPr>
        <w:t>）生产设施运行管理信息</w:t>
      </w:r>
    </w:p>
    <w:p>
      <w:pPr>
        <w:pStyle w:val="494"/>
        <w:ind w:firstLine="480"/>
      </w:pPr>
      <w:r>
        <w:t>1</w:t>
      </w:r>
      <w:r>
        <w:rPr>
          <w:rFonts w:hint="eastAsia"/>
        </w:rPr>
        <w:t>）正常工况：</w:t>
      </w:r>
      <w:r>
        <w:t xml:space="preserve"> </w:t>
      </w:r>
    </w:p>
    <w:p>
      <w:pPr>
        <w:pStyle w:val="494"/>
        <w:ind w:firstLine="480"/>
      </w:pPr>
      <w:r>
        <w:rPr>
          <w:rFonts w:hint="eastAsia" w:ascii="宋体" w:hAnsi="宋体" w:cs="宋体"/>
        </w:rPr>
        <w:t>①</w:t>
      </w:r>
      <w:r>
        <w:rPr>
          <w:rFonts w:hint="eastAsia"/>
        </w:rPr>
        <w:t>运行状态：一般按日或批次记录，</w:t>
      </w:r>
      <w:r>
        <w:t>1</w:t>
      </w:r>
      <w:r>
        <w:rPr>
          <w:rFonts w:hint="eastAsia"/>
        </w:rPr>
        <w:t>次</w:t>
      </w:r>
      <w:r>
        <w:t>/</w:t>
      </w:r>
      <w:r>
        <w:rPr>
          <w:rFonts w:hint="eastAsia"/>
        </w:rPr>
        <w:t>日或批次。</w:t>
      </w:r>
    </w:p>
    <w:p>
      <w:pPr>
        <w:pStyle w:val="494"/>
        <w:ind w:firstLine="480"/>
      </w:pPr>
      <w:r>
        <w:rPr>
          <w:rFonts w:hint="eastAsia" w:ascii="宋体" w:hAnsi="宋体" w:cs="宋体"/>
        </w:rPr>
        <w:t>②</w:t>
      </w:r>
      <w:r>
        <w:rPr>
          <w:rFonts w:hint="eastAsia"/>
        </w:rPr>
        <w:t>生产负荷：一般按日或批次记录，</w:t>
      </w:r>
      <w:r>
        <w:t>1</w:t>
      </w:r>
      <w:r>
        <w:rPr>
          <w:rFonts w:hint="eastAsia"/>
        </w:rPr>
        <w:t>次</w:t>
      </w:r>
      <w:r>
        <w:t>/</w:t>
      </w:r>
      <w:r>
        <w:rPr>
          <w:rFonts w:hint="eastAsia"/>
        </w:rPr>
        <w:t>日或批次。</w:t>
      </w:r>
      <w:r>
        <w:t xml:space="preserve"> </w:t>
      </w:r>
    </w:p>
    <w:p>
      <w:pPr>
        <w:pStyle w:val="494"/>
        <w:ind w:firstLine="480"/>
      </w:pPr>
      <w:r>
        <w:rPr>
          <w:rFonts w:hint="eastAsia" w:ascii="宋体" w:hAnsi="宋体" w:cs="宋体"/>
        </w:rPr>
        <w:t>③</w:t>
      </w:r>
      <w:r>
        <w:rPr>
          <w:rFonts w:hint="eastAsia"/>
        </w:rPr>
        <w:t>产品产量：连续生产的，按日记录，</w:t>
      </w:r>
      <w:r>
        <w:t>1</w:t>
      </w:r>
      <w:r>
        <w:rPr>
          <w:rFonts w:hint="eastAsia"/>
        </w:rPr>
        <w:t>次</w:t>
      </w:r>
      <w:r>
        <w:t>/</w:t>
      </w:r>
      <w:r>
        <w:rPr>
          <w:rFonts w:hint="eastAsia"/>
        </w:rPr>
        <w:t>日。非连续生产的，按照生产周期记录，</w:t>
      </w:r>
      <w:r>
        <w:t>1</w:t>
      </w:r>
      <w:r>
        <w:rPr>
          <w:rFonts w:hint="eastAsia"/>
        </w:rPr>
        <w:t>次</w:t>
      </w:r>
      <w:r>
        <w:t>/</w:t>
      </w:r>
      <w:r>
        <w:rPr>
          <w:rFonts w:hint="eastAsia"/>
        </w:rPr>
        <w:t>周期；周期小于</w:t>
      </w:r>
      <w:r>
        <w:t>1</w:t>
      </w:r>
      <w:r>
        <w:rPr>
          <w:rFonts w:hint="eastAsia"/>
        </w:rPr>
        <w:t>天的，按日记录，</w:t>
      </w:r>
      <w:r>
        <w:t>1</w:t>
      </w:r>
      <w:r>
        <w:rPr>
          <w:rFonts w:hint="eastAsia"/>
        </w:rPr>
        <w:t>次</w:t>
      </w:r>
      <w:r>
        <w:t>/</w:t>
      </w:r>
      <w:r>
        <w:rPr>
          <w:rFonts w:hint="eastAsia"/>
        </w:rPr>
        <w:t>日。</w:t>
      </w:r>
    </w:p>
    <w:p>
      <w:pPr>
        <w:pStyle w:val="494"/>
        <w:ind w:firstLine="480"/>
      </w:pPr>
      <w:r>
        <w:rPr>
          <w:rFonts w:hint="eastAsia" w:ascii="宋体" w:hAnsi="宋体" w:cs="宋体"/>
        </w:rPr>
        <w:t>④</w:t>
      </w:r>
      <w:r>
        <w:rPr>
          <w:rFonts w:hint="eastAsia"/>
        </w:rPr>
        <w:t>原辅料：按照采购批次记录，</w:t>
      </w:r>
      <w:r>
        <w:t>1</w:t>
      </w:r>
      <w:r>
        <w:rPr>
          <w:rFonts w:hint="eastAsia"/>
        </w:rPr>
        <w:t>次</w:t>
      </w:r>
      <w:r>
        <w:t>/</w:t>
      </w:r>
      <w:r>
        <w:rPr>
          <w:rFonts w:hint="eastAsia"/>
        </w:rPr>
        <w:t>批。</w:t>
      </w:r>
    </w:p>
    <w:p>
      <w:pPr>
        <w:pStyle w:val="494"/>
        <w:ind w:firstLine="480"/>
      </w:pPr>
      <w:r>
        <w:t>2</w:t>
      </w:r>
      <w:r>
        <w:rPr>
          <w:rFonts w:hint="eastAsia"/>
        </w:rPr>
        <w:t>）异常情况：非正常工况开始时刻至工况恢复正常时刻为一个记录工况期。</w:t>
      </w:r>
    </w:p>
    <w:p>
      <w:pPr>
        <w:pStyle w:val="494"/>
        <w:ind w:firstLine="480"/>
      </w:pPr>
      <w:r>
        <w:rPr>
          <w:rFonts w:hint="eastAsia"/>
        </w:rPr>
        <w:t>（</w:t>
      </w:r>
      <w:r>
        <w:t>4</w:t>
      </w:r>
      <w:r>
        <w:rPr>
          <w:rFonts w:hint="eastAsia"/>
        </w:rPr>
        <w:t>）污染防治设施运行管理信息</w:t>
      </w:r>
    </w:p>
    <w:p>
      <w:pPr>
        <w:pStyle w:val="494"/>
        <w:ind w:firstLine="480"/>
      </w:pPr>
      <w:r>
        <w:t>1</w:t>
      </w:r>
      <w:r>
        <w:rPr>
          <w:rFonts w:hint="eastAsia"/>
        </w:rPr>
        <w:t>）正常情况：</w:t>
      </w:r>
      <w:r>
        <w:t xml:space="preserve"> </w:t>
      </w:r>
    </w:p>
    <w:p>
      <w:pPr>
        <w:pStyle w:val="494"/>
        <w:ind w:firstLine="480"/>
      </w:pPr>
      <w:r>
        <w:rPr>
          <w:rFonts w:hint="eastAsia" w:ascii="宋体" w:hAnsi="宋体" w:cs="宋体"/>
        </w:rPr>
        <w:t>①</w:t>
      </w:r>
      <w:r>
        <w:rPr>
          <w:rFonts w:hint="eastAsia"/>
        </w:rPr>
        <w:t>运行情况：按日记录，</w:t>
      </w:r>
      <w:r>
        <w:t>1</w:t>
      </w:r>
      <w:r>
        <w:rPr>
          <w:rFonts w:hint="eastAsia"/>
        </w:rPr>
        <w:t>次</w:t>
      </w:r>
      <w:r>
        <w:t>/</w:t>
      </w:r>
      <w:r>
        <w:rPr>
          <w:rFonts w:hint="eastAsia"/>
        </w:rPr>
        <w:t>日。</w:t>
      </w:r>
      <w:r>
        <w:t xml:space="preserve"> </w:t>
      </w:r>
    </w:p>
    <w:p>
      <w:pPr>
        <w:pStyle w:val="494"/>
        <w:ind w:firstLine="480"/>
      </w:pPr>
      <w:r>
        <w:t>2</w:t>
      </w:r>
      <w:r>
        <w:rPr>
          <w:rFonts w:hint="eastAsia"/>
        </w:rPr>
        <w:t>）异常情况：按照异常情况期记录，</w:t>
      </w:r>
      <w:r>
        <w:t xml:space="preserve">1 </w:t>
      </w:r>
      <w:r>
        <w:rPr>
          <w:rFonts w:hint="eastAsia"/>
        </w:rPr>
        <w:t>次</w:t>
      </w:r>
      <w:r>
        <w:t>/</w:t>
      </w:r>
      <w:r>
        <w:rPr>
          <w:rFonts w:hint="eastAsia"/>
        </w:rPr>
        <w:t>异常情况期。</w:t>
      </w:r>
    </w:p>
    <w:p>
      <w:pPr>
        <w:pStyle w:val="494"/>
        <w:ind w:firstLine="480"/>
      </w:pPr>
      <w:r>
        <w:rPr>
          <w:rFonts w:hint="eastAsia"/>
        </w:rPr>
        <w:t>（</w:t>
      </w:r>
      <w:r>
        <w:t>5</w:t>
      </w:r>
      <w:r>
        <w:rPr>
          <w:rFonts w:hint="eastAsia"/>
        </w:rPr>
        <w:t>）监测记录信息</w:t>
      </w:r>
    </w:p>
    <w:p>
      <w:pPr>
        <w:pStyle w:val="494"/>
        <w:ind w:firstLine="480"/>
      </w:pPr>
      <w:r>
        <w:rPr>
          <w:rFonts w:hint="eastAsia"/>
        </w:rPr>
        <w:t>监测数据的记录频次与本次环境管理监测规定的废气监测频次一致。</w:t>
      </w:r>
    </w:p>
    <w:p>
      <w:pPr>
        <w:pStyle w:val="494"/>
        <w:ind w:firstLine="480"/>
      </w:pPr>
      <w:r>
        <w:rPr>
          <w:rFonts w:hint="eastAsia"/>
        </w:rPr>
        <w:t>（</w:t>
      </w:r>
      <w:r>
        <w:t>6</w:t>
      </w:r>
      <w:r>
        <w:rPr>
          <w:rFonts w:hint="eastAsia"/>
        </w:rPr>
        <w:t>）其他环境管理信息</w:t>
      </w:r>
    </w:p>
    <w:p>
      <w:pPr>
        <w:pStyle w:val="494"/>
        <w:ind w:firstLine="480"/>
      </w:pPr>
      <w:r>
        <w:rPr>
          <w:rFonts w:hint="eastAsia"/>
        </w:rPr>
        <w:t>采取无组织废气污染控制措施的信息记录频次原则上不低于</w:t>
      </w:r>
      <w:r>
        <w:t xml:space="preserve"> 1</w:t>
      </w:r>
      <w:r>
        <w:rPr>
          <w:rFonts w:hint="eastAsia"/>
        </w:rPr>
        <w:t>次</w:t>
      </w:r>
      <w:r>
        <w:t>/d</w:t>
      </w:r>
      <w:r>
        <w:rPr>
          <w:rFonts w:hint="eastAsia"/>
        </w:rPr>
        <w:t>。</w:t>
      </w:r>
      <w:r>
        <w:t xml:space="preserve"> </w:t>
      </w:r>
    </w:p>
    <w:p>
      <w:pPr>
        <w:pStyle w:val="494"/>
        <w:ind w:firstLine="480"/>
      </w:pPr>
      <w:r>
        <w:rPr>
          <w:rFonts w:hint="eastAsia"/>
        </w:rPr>
        <w:t>重污染天气应对期间等特殊时段的台账记录频次原则上与正常生产记录频次一致，涉及特殊时段停产的排污单位或生产工序，该期间原则上仅对起始和结束当天进行</w:t>
      </w:r>
      <w:r>
        <w:t>1</w:t>
      </w:r>
      <w:r>
        <w:rPr>
          <w:rFonts w:hint="eastAsia"/>
        </w:rPr>
        <w:t>次记录，地方生态环境主管部门有特殊要求的，从其规定。</w:t>
      </w:r>
    </w:p>
    <w:p>
      <w:pPr>
        <w:pStyle w:val="494"/>
        <w:ind w:firstLine="480"/>
      </w:pPr>
      <w:r>
        <w:t>8</w:t>
      </w:r>
      <w:r>
        <w:rPr>
          <w:rFonts w:hint="eastAsia"/>
        </w:rPr>
        <w:t>、记录存储及保存</w:t>
      </w:r>
    </w:p>
    <w:p>
      <w:pPr>
        <w:pStyle w:val="494"/>
        <w:ind w:firstLine="480"/>
      </w:pPr>
      <w:r>
        <w:rPr>
          <w:rFonts w:hint="eastAsia"/>
        </w:rPr>
        <w:t>台账应当按照纸质储存和电子化储存两种形式同步管理，台账保存期限不得少于五年。</w:t>
      </w:r>
      <w:r>
        <w:t xml:space="preserve"> </w:t>
      </w:r>
    </w:p>
    <w:p>
      <w:pPr>
        <w:pStyle w:val="494"/>
        <w:ind w:firstLine="480"/>
      </w:pPr>
      <w:r>
        <w:rPr>
          <w:rFonts w:hint="eastAsia"/>
        </w:rPr>
        <w:t>纸质台账应存放于保护袋、卷夹或保护盒等保存媒介中，专人保存于专门的档案保存地点，并由相关人员签字。档案保存应采取防光、防热、防潮、防细菌及防污染等措施。纸质类档案如有破损应随时修补。</w:t>
      </w:r>
      <w:r>
        <w:t xml:space="preserve"> </w:t>
      </w:r>
    </w:p>
    <w:p>
      <w:pPr>
        <w:pStyle w:val="494"/>
        <w:ind w:firstLine="480"/>
      </w:pPr>
      <w:r>
        <w:rPr>
          <w:rFonts w:hint="eastAsia"/>
        </w:rPr>
        <w:t>电子台账保存于专门存贮设备中，并保留备份数据。存贮设备由专人负责管理，定期进行维护。电子台账根据地方生态环境主管部门管理要求定期上传，纸质台账由排污单位留存备查。</w:t>
      </w:r>
    </w:p>
    <w:p>
      <w:pPr>
        <w:pStyle w:val="4"/>
        <w:spacing w:before="120" w:after="120"/>
      </w:pPr>
      <w:bookmarkStart w:id="481" w:name="_Toc145580471"/>
      <w:r>
        <w:rPr>
          <w:rFonts w:hint="eastAsia"/>
        </w:rPr>
        <w:t>8</w:t>
      </w:r>
      <w:r>
        <w:t>.2 环境</w:t>
      </w:r>
      <w:bookmarkEnd w:id="476"/>
      <w:bookmarkEnd w:id="477"/>
      <w:r>
        <w:t>监测</w:t>
      </w:r>
      <w:bookmarkEnd w:id="480"/>
      <w:bookmarkEnd w:id="481"/>
    </w:p>
    <w:p>
      <w:pPr>
        <w:pStyle w:val="5"/>
        <w:spacing w:before="120" w:after="120"/>
        <w:rPr>
          <w:spacing w:val="0"/>
        </w:rPr>
      </w:pPr>
      <w:bookmarkStart w:id="482" w:name="_Toc309715441"/>
      <w:bookmarkStart w:id="483" w:name="_Toc107500429"/>
      <w:bookmarkStart w:id="484" w:name="_Toc145580472"/>
      <w:r>
        <w:rPr>
          <w:rFonts w:hint="eastAsia"/>
          <w:spacing w:val="0"/>
        </w:rPr>
        <w:t>8</w:t>
      </w:r>
      <w:r>
        <w:rPr>
          <w:spacing w:val="0"/>
        </w:rPr>
        <w:t>.2.1</w:t>
      </w:r>
      <w:bookmarkEnd w:id="482"/>
      <w:r>
        <w:rPr>
          <w:rFonts w:hint="eastAsia"/>
          <w:spacing w:val="0"/>
        </w:rPr>
        <w:t>环境监测目的</w:t>
      </w:r>
      <w:bookmarkEnd w:id="483"/>
      <w:bookmarkEnd w:id="484"/>
    </w:p>
    <w:p>
      <w:pPr>
        <w:pStyle w:val="494"/>
        <w:ind w:firstLine="480"/>
      </w:pPr>
      <w:r>
        <w:rPr>
          <w:rFonts w:hint="eastAsia"/>
        </w:rPr>
        <w:t>通过对工程运行中环保设施进行监控，掌握废气、废水、噪声等污染源排放是否符合国家或地方排放标准的要求，做到达标排放，同时对废气、废水、固体废物及噪声防治设施进行监督检查，保证正常运行。</w:t>
      </w:r>
    </w:p>
    <w:p>
      <w:pPr>
        <w:pStyle w:val="5"/>
        <w:spacing w:before="120" w:after="120"/>
        <w:rPr>
          <w:spacing w:val="0"/>
        </w:rPr>
      </w:pPr>
      <w:bookmarkStart w:id="485" w:name="_Toc107500430"/>
      <w:bookmarkStart w:id="486" w:name="_Toc145580473"/>
      <w:r>
        <w:rPr>
          <w:rFonts w:hint="eastAsia"/>
          <w:spacing w:val="0"/>
        </w:rPr>
        <w:t>8.2.2监测计划</w:t>
      </w:r>
      <w:bookmarkEnd w:id="485"/>
      <w:bookmarkEnd w:id="486"/>
    </w:p>
    <w:p>
      <w:pPr>
        <w:pStyle w:val="494"/>
        <w:ind w:firstLine="480"/>
        <w:rPr>
          <w:color w:val="FF0000"/>
        </w:rPr>
      </w:pPr>
      <w:bookmarkStart w:id="487" w:name="_Toc309715442"/>
      <w:r>
        <w:rPr>
          <w:rFonts w:hint="eastAsia"/>
          <w:color w:val="FF0000"/>
        </w:rPr>
        <w:t>根据《排污单位自行监测技术指南总则》（H</w:t>
      </w:r>
      <w:r>
        <w:rPr>
          <w:color w:val="FF0000"/>
        </w:rPr>
        <w:t>J819-2017</w:t>
      </w:r>
      <w:r>
        <w:rPr>
          <w:rFonts w:hint="eastAsia"/>
          <w:color w:val="FF0000"/>
        </w:rPr>
        <w:t>）以及《排污单位自行监测技术指南 陆上石油天然气开采工业》（H</w:t>
      </w:r>
      <w:r>
        <w:rPr>
          <w:color w:val="FF0000"/>
        </w:rPr>
        <w:t>J 1248-2022</w:t>
      </w:r>
      <w:r>
        <w:rPr>
          <w:rFonts w:hint="eastAsia"/>
          <w:color w:val="FF0000"/>
        </w:rPr>
        <w:t>）中相关要求，本项目污染物监测计划详见表8.2-1。</w:t>
      </w:r>
    </w:p>
    <w:p>
      <w:pPr>
        <w:pStyle w:val="400"/>
        <w:ind w:firstLine="420"/>
        <w:rPr>
          <w:color w:val="FF0000"/>
        </w:rPr>
      </w:pPr>
      <w:r>
        <w:rPr>
          <w:color w:val="FF0000"/>
        </w:rPr>
        <w:t>表</w:t>
      </w:r>
      <w:r>
        <w:rPr>
          <w:rFonts w:hint="eastAsia"/>
          <w:color w:val="FF0000"/>
        </w:rPr>
        <w:t>8</w:t>
      </w:r>
      <w:r>
        <w:rPr>
          <w:color w:val="FF0000"/>
        </w:rPr>
        <w:t>.2-1             环境保护监测内容一览表</w:t>
      </w: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114"/>
        <w:gridCol w:w="879"/>
        <w:gridCol w:w="2268"/>
        <w:gridCol w:w="1134"/>
        <w:gridCol w:w="1190"/>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7"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分类</w:t>
            </w:r>
          </w:p>
        </w:tc>
        <w:tc>
          <w:tcPr>
            <w:tcW w:w="1114"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检测对象</w:t>
            </w:r>
          </w:p>
        </w:tc>
        <w:tc>
          <w:tcPr>
            <w:tcW w:w="879"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污染源</w:t>
            </w:r>
          </w:p>
        </w:tc>
        <w:tc>
          <w:tcPr>
            <w:tcW w:w="2268"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监测项目</w:t>
            </w:r>
          </w:p>
        </w:tc>
        <w:tc>
          <w:tcPr>
            <w:tcW w:w="1134"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监测位置</w:t>
            </w:r>
          </w:p>
        </w:tc>
        <w:tc>
          <w:tcPr>
            <w:tcW w:w="1190"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采样频次</w:t>
            </w:r>
          </w:p>
        </w:tc>
        <w:tc>
          <w:tcPr>
            <w:tcW w:w="1184"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监测单位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bidi="en-US"/>
              </w:rPr>
            </w:pPr>
            <w:r>
              <w:rPr>
                <w:rFonts w:hint="eastAsia"/>
                <w:color w:val="FF0000"/>
                <w:kern w:val="0"/>
                <w:szCs w:val="21"/>
                <w:lang w:bidi="en-US"/>
              </w:rPr>
              <w:t>废气</w:t>
            </w:r>
          </w:p>
        </w:tc>
        <w:tc>
          <w:tcPr>
            <w:tcW w:w="1114"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无组织排放</w:t>
            </w:r>
          </w:p>
        </w:tc>
        <w:tc>
          <w:tcPr>
            <w:tcW w:w="879"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生产区</w:t>
            </w:r>
          </w:p>
        </w:tc>
        <w:tc>
          <w:tcPr>
            <w:tcW w:w="2268"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非甲烷总烃</w:t>
            </w:r>
          </w:p>
        </w:tc>
        <w:tc>
          <w:tcPr>
            <w:tcW w:w="1134"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厂界上风向10m处1个点，下风向10m内3个点</w:t>
            </w:r>
          </w:p>
        </w:tc>
        <w:tc>
          <w:tcPr>
            <w:tcW w:w="1190"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1次/</w:t>
            </w:r>
            <w:r>
              <w:rPr>
                <w:rFonts w:hint="eastAsia"/>
                <w:color w:val="FF0000"/>
                <w:lang w:eastAsia="zh-CN"/>
              </w:rPr>
              <w:t>季度</w:t>
            </w:r>
          </w:p>
        </w:tc>
        <w:tc>
          <w:tcPr>
            <w:tcW w:w="1184"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有资质监测单位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7"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噪声</w:t>
            </w:r>
          </w:p>
        </w:tc>
        <w:tc>
          <w:tcPr>
            <w:tcW w:w="1114"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厂界</w:t>
            </w:r>
          </w:p>
        </w:tc>
        <w:tc>
          <w:tcPr>
            <w:tcW w:w="879"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厂界</w:t>
            </w:r>
          </w:p>
        </w:tc>
        <w:tc>
          <w:tcPr>
            <w:tcW w:w="2268"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等效A声级</w:t>
            </w:r>
          </w:p>
        </w:tc>
        <w:tc>
          <w:tcPr>
            <w:tcW w:w="1134"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厂界</w:t>
            </w:r>
          </w:p>
        </w:tc>
        <w:tc>
          <w:tcPr>
            <w:tcW w:w="1190"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1次/季度</w:t>
            </w:r>
          </w:p>
        </w:tc>
        <w:tc>
          <w:tcPr>
            <w:tcW w:w="1184"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有资质监测单位</w:t>
            </w:r>
          </w:p>
        </w:tc>
      </w:tr>
      <w:bookmarkEnd w:id="487"/>
    </w:tbl>
    <w:p>
      <w:pPr>
        <w:pStyle w:val="4"/>
        <w:spacing w:before="120" w:after="120"/>
        <w:rPr>
          <w:kern w:val="44"/>
        </w:rPr>
      </w:pPr>
      <w:bookmarkStart w:id="488" w:name="_Toc73531155"/>
      <w:bookmarkStart w:id="489" w:name="_Toc80375319"/>
      <w:bookmarkStart w:id="490" w:name="_Toc85621118"/>
      <w:bookmarkStart w:id="491" w:name="_Toc145580474"/>
      <w:bookmarkStart w:id="492" w:name="_Toc107500432"/>
      <w:bookmarkStart w:id="493" w:name="_Toc363496105"/>
      <w:bookmarkStart w:id="494" w:name="_Toc399327777"/>
      <w:bookmarkStart w:id="495" w:name="_Toc399496929"/>
      <w:bookmarkStart w:id="496" w:name="_Toc410121582"/>
      <w:r>
        <w:rPr>
          <w:rFonts w:hint="eastAsia"/>
        </w:rPr>
        <w:t>8</w:t>
      </w:r>
      <w:r>
        <w:t>.3</w:t>
      </w:r>
      <w:r>
        <w:rPr>
          <w:rFonts w:hint="eastAsia"/>
        </w:rPr>
        <w:t>环境监理</w:t>
      </w:r>
      <w:bookmarkEnd w:id="488"/>
      <w:bookmarkEnd w:id="489"/>
      <w:bookmarkEnd w:id="490"/>
      <w:bookmarkEnd w:id="491"/>
    </w:p>
    <w:p>
      <w:pPr>
        <w:pStyle w:val="5"/>
        <w:spacing w:before="120" w:after="120"/>
      </w:pPr>
      <w:bookmarkStart w:id="497" w:name="_Toc145580475"/>
      <w:r>
        <w:rPr>
          <w:rFonts w:hint="eastAsia"/>
        </w:rPr>
        <w:t>8</w:t>
      </w:r>
      <w:r>
        <w:t>.3.1</w:t>
      </w:r>
      <w:r>
        <w:rPr>
          <w:rFonts w:hint="eastAsia"/>
        </w:rPr>
        <w:t>环境监理依据</w:t>
      </w:r>
      <w:bookmarkEnd w:id="497"/>
    </w:p>
    <w:p>
      <w:pPr>
        <w:pStyle w:val="494"/>
        <w:ind w:firstLine="480"/>
        <w:rPr>
          <w:kern w:val="28"/>
        </w:rPr>
      </w:pPr>
      <w:r>
        <w:rPr>
          <w:rFonts w:hint="eastAsia"/>
          <w:kern w:val="28"/>
        </w:rPr>
        <w:t>环境监理的依据是国家和相关主管部门制定、颁发的有关法律、法规、政策、技术标准，经批准的设计文件、投标文件和依法签订的监理、施工承包合同，按环境监理服务的范围和内容，履行环境监理义务，独立、公正、科学、有效地服务于工程，实施全面环境监理，使工程在设计、施工、营运等方面达到环境保护要求。</w:t>
      </w:r>
    </w:p>
    <w:p>
      <w:pPr>
        <w:pStyle w:val="5"/>
        <w:spacing w:before="120" w:after="120"/>
        <w:rPr>
          <w:kern w:val="44"/>
        </w:rPr>
      </w:pPr>
      <w:bookmarkStart w:id="498" w:name="_Toc145580476"/>
      <w:r>
        <w:rPr>
          <w:rFonts w:hint="eastAsia"/>
        </w:rPr>
        <w:t>8</w:t>
      </w:r>
      <w:r>
        <w:t>.3.2</w:t>
      </w:r>
      <w:r>
        <w:rPr>
          <w:rFonts w:hint="eastAsia"/>
        </w:rPr>
        <w:t>监理阶段</w:t>
      </w:r>
      <w:bookmarkEnd w:id="498"/>
    </w:p>
    <w:p>
      <w:pPr>
        <w:pStyle w:val="494"/>
        <w:ind w:firstLine="480"/>
        <w:rPr>
          <w:kern w:val="28"/>
        </w:rPr>
      </w:pPr>
      <w:r>
        <w:rPr>
          <w:rFonts w:hint="eastAsia"/>
          <w:kern w:val="28"/>
        </w:rPr>
        <w:t>与主体工程监理阶段划分一致，本项目的工程环境监理阶段分为施工准备阶段、施工阶段以及交工验收与缺陷责任期三个阶段。</w:t>
      </w:r>
    </w:p>
    <w:p>
      <w:pPr>
        <w:pStyle w:val="5"/>
        <w:spacing w:before="120" w:after="120"/>
        <w:rPr>
          <w:kern w:val="44"/>
        </w:rPr>
      </w:pPr>
      <w:bookmarkStart w:id="499" w:name="_Toc145580477"/>
      <w:r>
        <w:rPr>
          <w:rFonts w:hint="eastAsia"/>
        </w:rPr>
        <w:t>8</w:t>
      </w:r>
      <w:r>
        <w:t>.3.3</w:t>
      </w:r>
      <w:r>
        <w:rPr>
          <w:rFonts w:hint="eastAsia"/>
        </w:rPr>
        <w:t>环境监理应遵循的原则</w:t>
      </w:r>
      <w:bookmarkEnd w:id="499"/>
    </w:p>
    <w:p>
      <w:pPr>
        <w:pStyle w:val="494"/>
        <w:ind w:firstLine="480"/>
        <w:rPr>
          <w:kern w:val="28"/>
        </w:rPr>
      </w:pPr>
      <w:r>
        <w:rPr>
          <w:rFonts w:hint="eastAsia"/>
          <w:kern w:val="28"/>
        </w:rPr>
        <w:t>项目建设应在项目设计、施工和运行管理等各个阶段，高度重视生态环境保护和污染防治工作，严格执行建设项目环境保护</w:t>
      </w:r>
      <w:r>
        <w:rPr>
          <w:kern w:val="28"/>
        </w:rPr>
        <w:t>“</w:t>
      </w:r>
      <w:r>
        <w:rPr>
          <w:rFonts w:hint="eastAsia"/>
          <w:kern w:val="28"/>
        </w:rPr>
        <w:t>三同时</w:t>
      </w:r>
      <w:r>
        <w:rPr>
          <w:kern w:val="28"/>
        </w:rPr>
        <w:t>”</w:t>
      </w:r>
      <w:r>
        <w:rPr>
          <w:rFonts w:hint="eastAsia"/>
          <w:kern w:val="28"/>
        </w:rPr>
        <w:t>制度，规范工程建设管理的各项工作，确保符合有关环保要求。</w:t>
      </w:r>
    </w:p>
    <w:p>
      <w:pPr>
        <w:pStyle w:val="494"/>
        <w:ind w:firstLine="480"/>
        <w:rPr>
          <w:kern w:val="28"/>
        </w:rPr>
      </w:pPr>
      <w:r>
        <w:rPr>
          <w:rFonts w:hint="eastAsia"/>
          <w:kern w:val="28"/>
        </w:rPr>
        <w:t>从事工程建设环境监理活动，应当遵循守法、诚信、公正、科学的准则。确立环境监理是</w:t>
      </w:r>
      <w:r>
        <w:rPr>
          <w:kern w:val="28"/>
        </w:rPr>
        <w:t>“</w:t>
      </w:r>
      <w:r>
        <w:rPr>
          <w:rFonts w:hint="eastAsia"/>
          <w:kern w:val="28"/>
        </w:rPr>
        <w:t>第三方</w:t>
      </w:r>
      <w:r>
        <w:rPr>
          <w:kern w:val="28"/>
        </w:rPr>
        <w:t>”</w:t>
      </w:r>
      <w:r>
        <w:rPr>
          <w:rFonts w:hint="eastAsia"/>
          <w:kern w:val="28"/>
        </w:rPr>
        <w:t>的原则，应当将环境监理和建设单位的环境管理、政府部门的环境监督执法严格区分开来，并为建设单位和政府部门的环境管理服务。</w:t>
      </w:r>
    </w:p>
    <w:p>
      <w:pPr>
        <w:pStyle w:val="494"/>
        <w:ind w:firstLine="480"/>
        <w:rPr>
          <w:kern w:val="28"/>
        </w:rPr>
      </w:pPr>
      <w:r>
        <w:rPr>
          <w:rFonts w:hint="eastAsia"/>
          <w:kern w:val="28"/>
        </w:rPr>
        <w:t>环境监理应纳入工程监理和管理体系，不能弱化环境监理的地位。监理工作中应理顺和协调好建设单位、施工单位、工程监理单位、环境监理单位、环境监测单位及政府环境行政主管部门等各方面的关系，为做好环境监理工作创造有利条件。</w:t>
      </w:r>
    </w:p>
    <w:p>
      <w:pPr>
        <w:pStyle w:val="494"/>
        <w:ind w:firstLine="480"/>
        <w:rPr>
          <w:kern w:val="28"/>
        </w:rPr>
      </w:pPr>
      <w:r>
        <w:rPr>
          <w:rFonts w:hint="eastAsia"/>
          <w:kern w:val="28"/>
        </w:rPr>
        <w:t>监理单位应根据工程特点，制定符合工程实际情况规范化的监理制度，使监理工作有序展开。</w:t>
      </w:r>
    </w:p>
    <w:p>
      <w:pPr>
        <w:pStyle w:val="5"/>
        <w:spacing w:before="120" w:after="120"/>
        <w:rPr>
          <w:kern w:val="44"/>
        </w:rPr>
      </w:pPr>
      <w:bookmarkStart w:id="500" w:name="_Toc145580478"/>
      <w:r>
        <w:rPr>
          <w:rFonts w:hint="eastAsia"/>
        </w:rPr>
        <w:t>8</w:t>
      </w:r>
      <w:r>
        <w:t>.3.4</w:t>
      </w:r>
      <w:r>
        <w:rPr>
          <w:rFonts w:hint="eastAsia"/>
        </w:rPr>
        <w:t>监理范围、内容及方式</w:t>
      </w:r>
      <w:bookmarkEnd w:id="500"/>
    </w:p>
    <w:p>
      <w:pPr>
        <w:pStyle w:val="494"/>
        <w:ind w:firstLine="480"/>
        <w:rPr>
          <w:kern w:val="28"/>
        </w:rPr>
      </w:pPr>
      <w:r>
        <w:rPr>
          <w:kern w:val="28"/>
        </w:rPr>
        <w:t>1</w:t>
      </w:r>
      <w:r>
        <w:rPr>
          <w:rFonts w:hint="eastAsia"/>
          <w:kern w:val="28"/>
        </w:rPr>
        <w:t>、环境监理范围</w:t>
      </w:r>
    </w:p>
    <w:p>
      <w:pPr>
        <w:pStyle w:val="494"/>
        <w:ind w:firstLine="480"/>
        <w:rPr>
          <w:kern w:val="28"/>
        </w:rPr>
      </w:pPr>
      <w:r>
        <w:rPr>
          <w:rFonts w:hint="eastAsia"/>
          <w:kern w:val="28"/>
        </w:rPr>
        <w:t>项目建设区与工程直接影响区域，包括生活营地、生产区、施工便道、及施工便道。</w:t>
      </w:r>
    </w:p>
    <w:p>
      <w:pPr>
        <w:pStyle w:val="494"/>
        <w:ind w:firstLine="480"/>
        <w:rPr>
          <w:kern w:val="28"/>
        </w:rPr>
      </w:pPr>
      <w:r>
        <w:rPr>
          <w:kern w:val="28"/>
        </w:rPr>
        <w:t>2</w:t>
      </w:r>
      <w:r>
        <w:rPr>
          <w:rFonts w:hint="eastAsia"/>
          <w:kern w:val="28"/>
        </w:rPr>
        <w:t>、监理内容：</w:t>
      </w:r>
    </w:p>
    <w:p>
      <w:pPr>
        <w:pStyle w:val="494"/>
        <w:ind w:firstLine="480"/>
        <w:rPr>
          <w:kern w:val="28"/>
        </w:rPr>
      </w:pPr>
      <w:r>
        <w:rPr>
          <w:rFonts w:hint="eastAsia"/>
          <w:kern w:val="28"/>
        </w:rPr>
        <w:t>包括生态保护、水土保持、污染物防治等环境保护工作的所有方面。</w:t>
      </w:r>
    </w:p>
    <w:p>
      <w:pPr>
        <w:pStyle w:val="5"/>
        <w:spacing w:before="120" w:after="120"/>
        <w:rPr>
          <w:kern w:val="44"/>
        </w:rPr>
      </w:pPr>
      <w:bookmarkStart w:id="501" w:name="_Toc145580479"/>
      <w:r>
        <w:rPr>
          <w:rFonts w:hint="eastAsia"/>
        </w:rPr>
        <w:t>8</w:t>
      </w:r>
      <w:r>
        <w:t>.3.5</w:t>
      </w:r>
      <w:r>
        <w:rPr>
          <w:rFonts w:hint="eastAsia"/>
        </w:rPr>
        <w:t>环境监理工作内容</w:t>
      </w:r>
      <w:bookmarkEnd w:id="501"/>
    </w:p>
    <w:p>
      <w:pPr>
        <w:pStyle w:val="494"/>
        <w:ind w:firstLine="480"/>
        <w:rPr>
          <w:kern w:val="28"/>
        </w:rPr>
      </w:pPr>
      <w:r>
        <w:rPr>
          <w:rFonts w:hint="eastAsia"/>
          <w:kern w:val="28"/>
        </w:rPr>
        <w:t>本项目工程环境监理的工作内容包括环保达标监理和环保工程监理。</w:t>
      </w:r>
    </w:p>
    <w:p>
      <w:pPr>
        <w:pStyle w:val="494"/>
        <w:ind w:firstLine="480"/>
        <w:rPr>
          <w:kern w:val="28"/>
        </w:rPr>
      </w:pPr>
      <w:r>
        <w:rPr>
          <w:rFonts w:hint="eastAsia"/>
          <w:kern w:val="28"/>
        </w:rPr>
        <w:t>环保达标监理指对主体工程的施工过程是否符合环境保护的要求进行监理，如噪声、废气、污水等排放应达到有关的标准等，施工是否造成水土流失和生态环境破坏，是否符合有关环境保护法律、法规规定等进行监理。</w:t>
      </w:r>
    </w:p>
    <w:p>
      <w:pPr>
        <w:pStyle w:val="494"/>
        <w:ind w:firstLine="480"/>
        <w:rPr>
          <w:kern w:val="28"/>
        </w:rPr>
      </w:pPr>
      <w:r>
        <w:rPr>
          <w:rFonts w:hint="eastAsia"/>
          <w:kern w:val="28"/>
        </w:rPr>
        <w:t>环保工程监理是指对为保护施工和营运期的环境而建设的各项环境保护设施（包括临时工程）进行监理，如污水收纳设施、废气治理设施、固废去向、危废暂存库建设防渗要求等。</w:t>
      </w:r>
    </w:p>
    <w:p>
      <w:pPr>
        <w:pStyle w:val="5"/>
        <w:spacing w:before="120" w:after="120"/>
        <w:rPr>
          <w:kern w:val="44"/>
        </w:rPr>
      </w:pPr>
      <w:bookmarkStart w:id="502" w:name="_Toc145580480"/>
      <w:r>
        <w:rPr>
          <w:rFonts w:hint="eastAsia"/>
        </w:rPr>
        <w:t>8</w:t>
      </w:r>
      <w:r>
        <w:t>.3.6</w:t>
      </w:r>
      <w:r>
        <w:rPr>
          <w:rFonts w:hint="eastAsia"/>
        </w:rPr>
        <w:t>环境监理机构及工作制度</w:t>
      </w:r>
      <w:bookmarkEnd w:id="502"/>
    </w:p>
    <w:p>
      <w:pPr>
        <w:pStyle w:val="494"/>
        <w:ind w:firstLine="480"/>
        <w:rPr>
          <w:kern w:val="28"/>
        </w:rPr>
      </w:pPr>
      <w:r>
        <w:rPr>
          <w:rFonts w:hint="eastAsia"/>
          <w:kern w:val="28"/>
        </w:rPr>
        <w:t>建设单位应按照环境影响评价文件的要求，制定施工期工程环境监理实施方案，在施工招标文件、合同中明确施工单位和监理单位的环境保护责任，将工程环境监理纳入工程监理。</w:t>
      </w:r>
    </w:p>
    <w:p>
      <w:pPr>
        <w:pStyle w:val="494"/>
        <w:ind w:firstLine="480"/>
        <w:rPr>
          <w:kern w:val="28"/>
        </w:rPr>
      </w:pPr>
      <w:r>
        <w:rPr>
          <w:kern w:val="28"/>
        </w:rPr>
        <w:t>1</w:t>
      </w:r>
      <w:r>
        <w:rPr>
          <w:rFonts w:hint="eastAsia"/>
          <w:kern w:val="28"/>
        </w:rPr>
        <w:t>、环境监理组织机构：拟建项目设立环保总监（由总监兼任），主管工程环境监理工作；环监办（由总监办兼）负责组织实施，各环监代表处（由总监代表处兼）和环监驻地办（由驻地办兼）具体承担监理任务。</w:t>
      </w:r>
    </w:p>
    <w:p>
      <w:pPr>
        <w:pStyle w:val="494"/>
        <w:ind w:firstLine="480"/>
        <w:rPr>
          <w:kern w:val="28"/>
        </w:rPr>
      </w:pPr>
      <w:r>
        <w:rPr>
          <w:kern w:val="28"/>
        </w:rPr>
        <w:t>2</w:t>
      </w:r>
      <w:r>
        <w:rPr>
          <w:rFonts w:hint="eastAsia"/>
          <w:kern w:val="28"/>
        </w:rPr>
        <w:t>、工程环境监理的工作制度：主要包括环境监理例会制度、环境监理记录与报告制度、人员培训制度、函件来往制度、环境监理奖惩制度以及环境监理资料归档制度。</w:t>
      </w:r>
    </w:p>
    <w:p>
      <w:pPr>
        <w:pStyle w:val="494"/>
        <w:ind w:firstLine="480"/>
        <w:rPr>
          <w:kern w:val="28"/>
        </w:rPr>
      </w:pPr>
      <w:r>
        <w:rPr>
          <w:rFonts w:hint="eastAsia"/>
          <w:kern w:val="28"/>
        </w:rPr>
        <w:t>环境监理的工作制度同主体工程监理。</w:t>
      </w:r>
    </w:p>
    <w:p>
      <w:pPr>
        <w:pStyle w:val="5"/>
        <w:spacing w:before="120" w:after="120"/>
        <w:rPr>
          <w:kern w:val="44"/>
        </w:rPr>
      </w:pPr>
      <w:bookmarkStart w:id="503" w:name="_Toc145580481"/>
      <w:r>
        <w:rPr>
          <w:rFonts w:hint="eastAsia"/>
        </w:rPr>
        <w:t>8</w:t>
      </w:r>
      <w:r>
        <w:t>.3.7</w:t>
      </w:r>
      <w:r>
        <w:rPr>
          <w:rFonts w:hint="eastAsia"/>
        </w:rPr>
        <w:t>环境监理技术要点</w:t>
      </w:r>
      <w:bookmarkEnd w:id="503"/>
    </w:p>
    <w:p>
      <w:pPr>
        <w:pStyle w:val="494"/>
        <w:ind w:firstLine="480"/>
        <w:rPr>
          <w:kern w:val="28"/>
        </w:rPr>
      </w:pPr>
      <w:r>
        <w:rPr>
          <w:rFonts w:hint="eastAsia"/>
          <w:kern w:val="28"/>
        </w:rPr>
        <w:t>环境监理单位应收集拟建项目的有关资料，包括项目的基本情况，环境影响报告书，水土保持方案，环境保护设计，施工企业的设备、生产管理方式，施工现场的环境情况，施工过程的排污规律，防治措施等。</w:t>
      </w:r>
    </w:p>
    <w:p>
      <w:pPr>
        <w:pStyle w:val="494"/>
        <w:ind w:firstLine="480"/>
        <w:rPr>
          <w:kern w:val="28"/>
        </w:rPr>
      </w:pPr>
      <w:r>
        <w:rPr>
          <w:rFonts w:hint="eastAsia"/>
          <w:kern w:val="28"/>
        </w:rPr>
        <w:t>根据项目施工方法制定施工期环境监理计划。按施工进度计划及排污行为，确定不同时间检查的重点项目和检查方式、方法。监理的技术要点是：施工初期主要检查对植被、景观的保护措施；中期主要检查施工噪声、施工及生活污水排放、弃渣工程行为及其防护情况等；后期检查土地平整、植被恢复情况等。</w:t>
      </w:r>
    </w:p>
    <w:p>
      <w:pPr>
        <w:pStyle w:val="494"/>
        <w:ind w:firstLine="480"/>
        <w:rPr>
          <w:kern w:val="28"/>
        </w:rPr>
      </w:pPr>
      <w:r>
        <w:rPr>
          <w:kern w:val="28"/>
        </w:rPr>
        <w:t>1</w:t>
      </w:r>
      <w:r>
        <w:rPr>
          <w:rFonts w:hint="eastAsia"/>
          <w:kern w:val="28"/>
        </w:rPr>
        <w:t>、施工现场的植被保护措施检查</w:t>
      </w:r>
    </w:p>
    <w:p>
      <w:pPr>
        <w:pStyle w:val="494"/>
        <w:ind w:firstLine="480"/>
        <w:rPr>
          <w:kern w:val="28"/>
        </w:rPr>
      </w:pPr>
      <w:r>
        <w:rPr>
          <w:rFonts w:hint="eastAsia"/>
          <w:kern w:val="28"/>
        </w:rPr>
        <w:t>审查施工企业制定的有关保护措施，并做好现场检查。由于施工过程改变了现场原有的和谐景观，应采取恢复植被及景观美化等方法减少影响。</w:t>
      </w:r>
    </w:p>
    <w:p>
      <w:pPr>
        <w:pStyle w:val="494"/>
        <w:ind w:firstLine="480"/>
        <w:rPr>
          <w:kern w:val="28"/>
        </w:rPr>
      </w:pPr>
      <w:r>
        <w:rPr>
          <w:kern w:val="28"/>
        </w:rPr>
        <w:t>2</w:t>
      </w:r>
      <w:r>
        <w:rPr>
          <w:rFonts w:hint="eastAsia"/>
          <w:kern w:val="28"/>
        </w:rPr>
        <w:t>、施工过程的水土保持检查</w:t>
      </w:r>
    </w:p>
    <w:p>
      <w:pPr>
        <w:pStyle w:val="494"/>
        <w:ind w:firstLine="480"/>
        <w:rPr>
          <w:kern w:val="28"/>
        </w:rPr>
      </w:pPr>
      <w:r>
        <w:rPr>
          <w:rFonts w:hint="eastAsia"/>
          <w:kern w:val="28"/>
        </w:rPr>
        <w:t>对项目区水土保持情况进行巡视检查。</w:t>
      </w:r>
    </w:p>
    <w:p>
      <w:pPr>
        <w:pStyle w:val="494"/>
        <w:ind w:firstLine="480"/>
        <w:rPr>
          <w:kern w:val="28"/>
        </w:rPr>
      </w:pPr>
      <w:r>
        <w:rPr>
          <w:kern w:val="28"/>
        </w:rPr>
        <w:t>3</w:t>
      </w:r>
      <w:r>
        <w:rPr>
          <w:rFonts w:hint="eastAsia"/>
          <w:kern w:val="28"/>
        </w:rPr>
        <w:t>、污水排放检查</w:t>
      </w:r>
    </w:p>
    <w:p>
      <w:pPr>
        <w:pStyle w:val="494"/>
        <w:ind w:firstLine="480"/>
        <w:rPr>
          <w:kern w:val="28"/>
        </w:rPr>
      </w:pPr>
      <w:r>
        <w:rPr>
          <w:rFonts w:hint="eastAsia"/>
          <w:kern w:val="28"/>
        </w:rPr>
        <w:t>首先检查资源利用中的不合理因素，督促排污单位，节约用水，减少污水排放；其次要检查施工单位是否按要求建设化粪池，是否有随意外排现象；洗车台水是否循环使用不外排；检查是否有向泄洪沟排污现象；检查是否有其他排污点。</w:t>
      </w:r>
    </w:p>
    <w:p>
      <w:pPr>
        <w:pStyle w:val="494"/>
        <w:ind w:firstLine="480"/>
        <w:rPr>
          <w:kern w:val="28"/>
        </w:rPr>
      </w:pPr>
      <w:r>
        <w:rPr>
          <w:kern w:val="28"/>
        </w:rPr>
        <w:t>4</w:t>
      </w:r>
      <w:r>
        <w:rPr>
          <w:rFonts w:hint="eastAsia"/>
          <w:kern w:val="28"/>
        </w:rPr>
        <w:t>、施工噪声检查</w:t>
      </w:r>
    </w:p>
    <w:p>
      <w:pPr>
        <w:pStyle w:val="494"/>
        <w:ind w:firstLine="480"/>
        <w:rPr>
          <w:kern w:val="28"/>
        </w:rPr>
      </w:pPr>
      <w:r>
        <w:rPr>
          <w:rFonts w:hint="eastAsia"/>
          <w:kern w:val="28"/>
        </w:rPr>
        <w:t>（</w:t>
      </w:r>
      <w:r>
        <w:rPr>
          <w:kern w:val="28"/>
        </w:rPr>
        <w:t>1</w:t>
      </w:r>
      <w:r>
        <w:rPr>
          <w:rFonts w:hint="eastAsia"/>
          <w:kern w:val="28"/>
        </w:rPr>
        <w:t>）产生噪声的设备检查</w:t>
      </w:r>
    </w:p>
    <w:p>
      <w:pPr>
        <w:pStyle w:val="494"/>
        <w:ind w:firstLine="480"/>
        <w:rPr>
          <w:kern w:val="28"/>
        </w:rPr>
      </w:pPr>
      <w:r>
        <w:rPr>
          <w:rFonts w:hint="eastAsia"/>
          <w:kern w:val="28"/>
        </w:rPr>
        <w:t>检查产生噪声的设备是否为国家禁止生产、销售、进口、使用的淘汰产品。</w:t>
      </w:r>
    </w:p>
    <w:p>
      <w:pPr>
        <w:pStyle w:val="494"/>
        <w:ind w:firstLine="480"/>
        <w:rPr>
          <w:kern w:val="28"/>
        </w:rPr>
      </w:pPr>
      <w:r>
        <w:rPr>
          <w:rFonts w:hint="eastAsia"/>
          <w:kern w:val="28"/>
        </w:rPr>
        <w:t>（</w:t>
      </w:r>
      <w:r>
        <w:rPr>
          <w:kern w:val="28"/>
        </w:rPr>
        <w:t>2</w:t>
      </w:r>
      <w:r>
        <w:rPr>
          <w:rFonts w:hint="eastAsia"/>
          <w:kern w:val="28"/>
        </w:rPr>
        <w:t>）检查产生噪声设备的管理</w:t>
      </w:r>
    </w:p>
    <w:p>
      <w:pPr>
        <w:pStyle w:val="494"/>
        <w:ind w:firstLine="480"/>
        <w:rPr>
          <w:kern w:val="28"/>
        </w:rPr>
      </w:pPr>
      <w:r>
        <w:rPr>
          <w:rFonts w:hint="eastAsia"/>
          <w:kern w:val="28"/>
        </w:rPr>
        <w:t>应监督施工单位加强设备的维护，及时更换磨损部件，降低噪声。产生噪声设备的管理还包括生产时间的合理安排。为减少对环境的影响，应检查施工单位的噪声监测记录，发现问题应及时通知施工单位整改。</w:t>
      </w:r>
    </w:p>
    <w:p>
      <w:pPr>
        <w:pStyle w:val="494"/>
        <w:ind w:firstLine="480"/>
        <w:rPr>
          <w:kern w:val="28"/>
        </w:rPr>
      </w:pPr>
      <w:r>
        <w:rPr>
          <w:rFonts w:hint="eastAsia"/>
          <w:kern w:val="28"/>
        </w:rPr>
        <w:t>（</w:t>
      </w:r>
      <w:r>
        <w:rPr>
          <w:kern w:val="28"/>
        </w:rPr>
        <w:t>3</w:t>
      </w:r>
      <w:r>
        <w:rPr>
          <w:rFonts w:hint="eastAsia"/>
          <w:kern w:val="28"/>
        </w:rPr>
        <w:t>）交通噪声的检查</w:t>
      </w:r>
    </w:p>
    <w:p>
      <w:pPr>
        <w:pStyle w:val="494"/>
        <w:ind w:firstLine="480"/>
        <w:rPr>
          <w:kern w:val="28"/>
        </w:rPr>
      </w:pPr>
      <w:r>
        <w:rPr>
          <w:rFonts w:hint="eastAsia"/>
          <w:kern w:val="28"/>
        </w:rPr>
        <w:t>发现超过功能区标准的要采取措施。可采取措施有：加强交通管理，加强车辆年审，采取防噪声措施等。</w:t>
      </w:r>
    </w:p>
    <w:p>
      <w:pPr>
        <w:pStyle w:val="494"/>
        <w:ind w:firstLine="480"/>
        <w:rPr>
          <w:kern w:val="28"/>
        </w:rPr>
      </w:pPr>
      <w:r>
        <w:rPr>
          <w:kern w:val="28"/>
        </w:rPr>
        <w:t>5</w:t>
      </w:r>
      <w:r>
        <w:rPr>
          <w:rFonts w:hint="eastAsia"/>
          <w:kern w:val="28"/>
        </w:rPr>
        <w:t>、大气污染控制检查</w:t>
      </w:r>
    </w:p>
    <w:p>
      <w:pPr>
        <w:pStyle w:val="494"/>
        <w:ind w:firstLine="480"/>
        <w:rPr>
          <w:kern w:val="28"/>
        </w:rPr>
      </w:pPr>
      <w:r>
        <w:rPr>
          <w:rFonts w:hint="eastAsia"/>
          <w:kern w:val="28"/>
        </w:rPr>
        <w:t>施工扬尘主要有交通扬尘、工地扬尘、堆放扬尘等。要求施工单位采取防扬尘的措施，如喷雾机</w:t>
      </w:r>
      <w:r>
        <w:rPr>
          <w:kern w:val="28"/>
        </w:rPr>
        <w:t>+</w:t>
      </w:r>
      <w:r>
        <w:rPr>
          <w:rFonts w:hint="eastAsia"/>
          <w:kern w:val="28"/>
        </w:rPr>
        <w:t>洒水车降尘；临时堆场覆盖防尘网；施工周界设置围栏等措施。</w:t>
      </w:r>
    </w:p>
    <w:p>
      <w:pPr>
        <w:pStyle w:val="494"/>
        <w:ind w:firstLine="480"/>
        <w:rPr>
          <w:kern w:val="28"/>
        </w:rPr>
      </w:pPr>
      <w:r>
        <w:rPr>
          <w:kern w:val="28"/>
        </w:rPr>
        <w:t>6</w:t>
      </w:r>
      <w:r>
        <w:rPr>
          <w:rFonts w:hint="eastAsia"/>
          <w:kern w:val="28"/>
        </w:rPr>
        <w:t>、环评</w:t>
      </w:r>
      <w:r>
        <w:rPr>
          <w:kern w:val="28"/>
        </w:rPr>
        <w:t>“</w:t>
      </w:r>
      <w:r>
        <w:rPr>
          <w:rFonts w:hint="eastAsia"/>
          <w:kern w:val="28"/>
        </w:rPr>
        <w:t>三同时</w:t>
      </w:r>
      <w:r>
        <w:rPr>
          <w:kern w:val="28"/>
        </w:rPr>
        <w:t>”</w:t>
      </w:r>
      <w:r>
        <w:rPr>
          <w:rFonts w:hint="eastAsia"/>
          <w:kern w:val="28"/>
        </w:rPr>
        <w:t>环保设施建设与措施落实建立</w:t>
      </w:r>
    </w:p>
    <w:p>
      <w:pPr>
        <w:pStyle w:val="494"/>
        <w:ind w:firstLine="480"/>
        <w:rPr>
          <w:kern w:val="28"/>
        </w:rPr>
      </w:pPr>
      <w:r>
        <w:rPr>
          <w:rFonts w:hint="eastAsia"/>
          <w:kern w:val="28"/>
        </w:rPr>
        <w:t>监督检查项目施工建设过程中环境污染治理设施按照环境影响评价文件及其批复的要求建设情况。检查环评文件及其批复中所提出的各项污染治理工程的工艺、设备、能力、规模、防渗要求等按照设计文件的要求得到落实，监督检查各项目环保措施的有效实施。</w:t>
      </w:r>
    </w:p>
    <w:p>
      <w:pPr>
        <w:pStyle w:val="4"/>
        <w:spacing w:before="120" w:after="120"/>
      </w:pPr>
      <w:bookmarkStart w:id="504" w:name="_Toc145580482"/>
      <w:r>
        <w:rPr>
          <w:rFonts w:hint="eastAsia"/>
        </w:rPr>
        <w:t>8.</w:t>
      </w:r>
      <w:r>
        <w:t>4</w:t>
      </w:r>
      <w:r>
        <w:rPr>
          <w:rFonts w:hint="eastAsia"/>
        </w:rPr>
        <w:t xml:space="preserve"> 污染物排放清单</w:t>
      </w:r>
      <w:bookmarkEnd w:id="492"/>
      <w:bookmarkEnd w:id="504"/>
    </w:p>
    <w:p>
      <w:pPr>
        <w:pStyle w:val="694"/>
        <w:spacing w:line="460" w:lineRule="exact"/>
        <w:ind w:firstLine="480"/>
        <w:rPr>
          <w:rFonts w:ascii="Times New Roman" w:hAnsi="Times New Roman" w:cs="Times New Roman"/>
          <w:kern w:val="28"/>
        </w:rPr>
      </w:pPr>
      <w:r>
        <w:rPr>
          <w:rFonts w:ascii="Times New Roman" w:hAnsi="Times New Roman" w:cs="Times New Roman"/>
          <w:kern w:val="28"/>
        </w:rPr>
        <w:t>环境影响评价文件及其批复是建设项目排污许可证管理、环境监测等事中事后管理的技术依据，结合《排污许可证管理暂行规定》、《排污许可证申请与核发技术规范 总则》（HJ942-2018）中相关规定，本项目污染物排放清单内容如下。</w:t>
      </w:r>
    </w:p>
    <w:p>
      <w:pPr>
        <w:pStyle w:val="694"/>
        <w:spacing w:line="460" w:lineRule="exact"/>
        <w:ind w:firstLine="480"/>
        <w:rPr>
          <w:rFonts w:ascii="Times New Roman" w:hAnsi="Times New Roman" w:cs="Times New Roman"/>
          <w:kern w:val="28"/>
        </w:rPr>
      </w:pPr>
      <w:r>
        <w:rPr>
          <w:rFonts w:ascii="Times New Roman" w:hAnsi="Times New Roman" w:cs="Times New Roman"/>
          <w:kern w:val="28"/>
        </w:rPr>
        <w:t>1、工程组成</w:t>
      </w:r>
    </w:p>
    <w:p>
      <w:pPr>
        <w:pStyle w:val="694"/>
        <w:spacing w:line="460" w:lineRule="exact"/>
        <w:ind w:firstLine="480"/>
        <w:rPr>
          <w:rFonts w:ascii="Times New Roman" w:hAnsi="Times New Roman" w:cs="Times New Roman"/>
          <w:kern w:val="28"/>
        </w:rPr>
      </w:pPr>
      <w:r>
        <w:rPr>
          <w:rFonts w:ascii="Times New Roman" w:hAnsi="Times New Roman" w:cs="Times New Roman"/>
          <w:kern w:val="28"/>
        </w:rPr>
        <w:t>工程主要内容有：项目建设一座天然气处理站及其他辅助设施。</w:t>
      </w:r>
    </w:p>
    <w:p>
      <w:pPr>
        <w:pStyle w:val="694"/>
        <w:spacing w:line="460" w:lineRule="exact"/>
        <w:ind w:firstLine="480"/>
        <w:rPr>
          <w:rFonts w:ascii="Times New Roman" w:hAnsi="Times New Roman" w:cs="Times New Roman"/>
          <w:kern w:val="28"/>
        </w:rPr>
      </w:pPr>
      <w:r>
        <w:rPr>
          <w:rFonts w:ascii="Times New Roman" w:hAnsi="Times New Roman" w:cs="Times New Roman"/>
          <w:kern w:val="28"/>
        </w:rPr>
        <w:t>环保工程包括废气、废水、噪声、固废治理措施等。</w:t>
      </w:r>
    </w:p>
    <w:p>
      <w:pPr>
        <w:pStyle w:val="694"/>
        <w:spacing w:line="460" w:lineRule="exact"/>
        <w:ind w:firstLine="480"/>
        <w:rPr>
          <w:rFonts w:ascii="Times New Roman" w:hAnsi="Times New Roman" w:cs="Times New Roman"/>
          <w:kern w:val="28"/>
        </w:rPr>
      </w:pPr>
      <w:r>
        <w:rPr>
          <w:rFonts w:ascii="Times New Roman" w:hAnsi="Times New Roman" w:cs="Times New Roman"/>
          <w:kern w:val="28"/>
        </w:rPr>
        <w:t>2、污染物排放信息</w:t>
      </w:r>
    </w:p>
    <w:p>
      <w:pPr>
        <w:pStyle w:val="494"/>
        <w:ind w:firstLine="480"/>
      </w:pPr>
      <w:r>
        <w:t>本项目污染物排放信息见表</w:t>
      </w:r>
      <w:r>
        <w:rPr>
          <w:rFonts w:hint="eastAsia"/>
        </w:rPr>
        <w:t>8.</w:t>
      </w:r>
      <w:r>
        <w:t>4-1。</w:t>
      </w:r>
    </w:p>
    <w:p>
      <w:pPr>
        <w:pStyle w:val="488"/>
        <w:spacing w:line="360" w:lineRule="auto"/>
        <w:ind w:firstLine="480"/>
      </w:pPr>
    </w:p>
    <w:p>
      <w:pPr>
        <w:pStyle w:val="488"/>
        <w:spacing w:line="360" w:lineRule="auto"/>
        <w:ind w:firstLine="480"/>
      </w:pPr>
    </w:p>
    <w:p>
      <w:pPr>
        <w:pStyle w:val="488"/>
        <w:spacing w:line="360" w:lineRule="auto"/>
        <w:ind w:firstLine="480"/>
      </w:pPr>
    </w:p>
    <w:p>
      <w:pPr>
        <w:pStyle w:val="488"/>
        <w:spacing w:line="360" w:lineRule="auto"/>
        <w:ind w:firstLine="480"/>
      </w:pPr>
    </w:p>
    <w:p>
      <w:pPr>
        <w:pStyle w:val="488"/>
        <w:spacing w:line="360" w:lineRule="auto"/>
        <w:ind w:firstLine="480"/>
      </w:pPr>
    </w:p>
    <w:p>
      <w:pPr>
        <w:pStyle w:val="488"/>
        <w:spacing w:line="360" w:lineRule="auto"/>
        <w:ind w:firstLine="480"/>
      </w:pPr>
    </w:p>
    <w:p>
      <w:pPr>
        <w:pStyle w:val="488"/>
        <w:spacing w:line="360" w:lineRule="auto"/>
        <w:ind w:firstLine="480"/>
      </w:pPr>
    </w:p>
    <w:p>
      <w:pPr>
        <w:pStyle w:val="488"/>
        <w:spacing w:line="360" w:lineRule="auto"/>
        <w:ind w:firstLine="480"/>
      </w:pPr>
    </w:p>
    <w:p>
      <w:pPr>
        <w:pStyle w:val="488"/>
        <w:spacing w:line="360" w:lineRule="auto"/>
        <w:ind w:firstLine="480"/>
        <w:sectPr>
          <w:pgSz w:w="11906" w:h="16838"/>
          <w:pgMar w:top="1440" w:right="1701" w:bottom="1440" w:left="1985" w:header="851" w:footer="992" w:gutter="0"/>
          <w:cols w:space="720" w:num="1"/>
          <w:docGrid w:linePitch="312" w:charSpace="0"/>
        </w:sectPr>
      </w:pPr>
    </w:p>
    <w:p>
      <w:pPr>
        <w:pStyle w:val="400"/>
        <w:ind w:firstLine="420"/>
      </w:pPr>
      <w:r>
        <w:rPr>
          <w:rFonts w:hint="eastAsia"/>
        </w:rPr>
        <w:t>表8.</w:t>
      </w:r>
      <w:r>
        <w:t>4</w:t>
      </w:r>
      <w:r>
        <w:rPr>
          <w:rFonts w:hint="eastAsia"/>
        </w:rPr>
        <w:t>-</w:t>
      </w:r>
      <w:r>
        <w:t>1</w:t>
      </w:r>
      <w:r>
        <w:rPr>
          <w:rFonts w:hint="eastAsia"/>
        </w:rPr>
        <w:t xml:space="preserve">            </w:t>
      </w:r>
      <w:r>
        <w:t xml:space="preserve"> </w:t>
      </w:r>
      <w:r>
        <w:rPr>
          <w:rFonts w:hint="eastAsia"/>
        </w:rPr>
        <w:t xml:space="preserve">                               污染物排放清单</w:t>
      </w:r>
    </w:p>
    <w:tbl>
      <w:tblPr>
        <w:tblStyle w:val="55"/>
        <w:tblW w:w="14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709"/>
        <w:gridCol w:w="1134"/>
        <w:gridCol w:w="851"/>
        <w:gridCol w:w="708"/>
        <w:gridCol w:w="2127"/>
        <w:gridCol w:w="1134"/>
        <w:gridCol w:w="850"/>
        <w:gridCol w:w="851"/>
        <w:gridCol w:w="1134"/>
        <w:gridCol w:w="61"/>
        <w:gridCol w:w="970"/>
        <w:gridCol w:w="2229"/>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restart"/>
            <w:tcBorders>
              <w:top w:val="single" w:color="auto" w:sz="4" w:space="0"/>
              <w:left w:val="single" w:color="auto" w:sz="4" w:space="0"/>
              <w:bottom w:val="single" w:color="auto" w:sz="4" w:space="0"/>
              <w:right w:val="single" w:color="auto" w:sz="4" w:space="0"/>
            </w:tcBorders>
            <w:vAlign w:val="center"/>
          </w:tcPr>
          <w:p>
            <w:pPr>
              <w:pStyle w:val="670"/>
            </w:pPr>
            <w:r>
              <w:t>污染物类型</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pStyle w:val="670"/>
            </w:pPr>
            <w:r>
              <w:t>工程 组成</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pStyle w:val="670"/>
            </w:pPr>
            <w:r>
              <w:t>产污</w:t>
            </w:r>
          </w:p>
          <w:p>
            <w:pPr>
              <w:pStyle w:val="670"/>
            </w:pPr>
            <w:r>
              <w:t>环节</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pStyle w:val="670"/>
            </w:pPr>
            <w:r>
              <w:t>污染物 类型</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pStyle w:val="670"/>
            </w:pPr>
            <w:r>
              <w:t>排放形式</w:t>
            </w:r>
          </w:p>
        </w:tc>
        <w:tc>
          <w:tcPr>
            <w:tcW w:w="2127" w:type="dxa"/>
            <w:vMerge w:val="restar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拟采取的环境保护措施</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pStyle w:val="670"/>
            </w:pPr>
            <w:r>
              <w:t>排放浓度</w:t>
            </w:r>
          </w:p>
          <w:p>
            <w:pPr>
              <w:pStyle w:val="670"/>
            </w:pPr>
            <w:r>
              <w:t>（mg/m</w:t>
            </w:r>
            <w:r>
              <w:rPr>
                <w:vertAlign w:val="superscript"/>
              </w:rPr>
              <w:t>3</w:t>
            </w:r>
            <w:r>
              <w:t>）</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pStyle w:val="670"/>
            </w:pPr>
            <w:r>
              <w:t>排放量</w:t>
            </w:r>
          </w:p>
          <w:p>
            <w:pPr>
              <w:pStyle w:val="670"/>
            </w:pPr>
            <w:r>
              <w:t>（t/a）　</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pStyle w:val="670"/>
            </w:pPr>
            <w:r>
              <w:t>总量指标</w:t>
            </w:r>
          </w:p>
          <w:p>
            <w:pPr>
              <w:pStyle w:val="670"/>
            </w:pPr>
            <w:r>
              <w:t>（t/a）</w:t>
            </w:r>
          </w:p>
        </w:tc>
        <w:tc>
          <w:tcPr>
            <w:tcW w:w="2165" w:type="dxa"/>
            <w:gridSpan w:val="3"/>
            <w:tcBorders>
              <w:top w:val="single" w:color="auto" w:sz="4" w:space="0"/>
              <w:left w:val="single" w:color="auto" w:sz="4" w:space="0"/>
              <w:bottom w:val="single" w:color="auto" w:sz="4" w:space="0"/>
              <w:right w:val="single" w:color="auto" w:sz="4" w:space="0"/>
            </w:tcBorders>
            <w:vAlign w:val="center"/>
          </w:tcPr>
          <w:p>
            <w:pPr>
              <w:pStyle w:val="670"/>
            </w:pPr>
            <w:r>
              <w:t>排放标准</w:t>
            </w:r>
          </w:p>
        </w:tc>
        <w:tc>
          <w:tcPr>
            <w:tcW w:w="2229" w:type="dxa"/>
            <w:vMerge w:val="restart"/>
            <w:tcBorders>
              <w:top w:val="single" w:color="auto" w:sz="4" w:space="0"/>
              <w:left w:val="single" w:color="auto" w:sz="4" w:space="0"/>
              <w:bottom w:val="single" w:color="auto" w:sz="4" w:space="0"/>
              <w:right w:val="single" w:color="auto" w:sz="4" w:space="0"/>
            </w:tcBorders>
            <w:vAlign w:val="center"/>
          </w:tcPr>
          <w:p>
            <w:pPr>
              <w:pStyle w:val="670"/>
            </w:pPr>
            <w:r>
              <w:t>执行标准</w:t>
            </w:r>
          </w:p>
        </w:tc>
        <w:tc>
          <w:tcPr>
            <w:tcW w:w="704" w:type="dxa"/>
            <w:vMerge w:val="restart"/>
            <w:tcBorders>
              <w:top w:val="single" w:color="auto" w:sz="4" w:space="0"/>
              <w:left w:val="single" w:color="auto" w:sz="4" w:space="0"/>
              <w:bottom w:val="single" w:color="auto" w:sz="4" w:space="0"/>
              <w:right w:val="single" w:color="auto" w:sz="4" w:space="0"/>
            </w:tcBorders>
            <w:vAlign w:val="center"/>
          </w:tcPr>
          <w:p>
            <w:pPr>
              <w:pStyle w:val="670"/>
            </w:pPr>
            <w:r>
              <w:t>环境风险防范措施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212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70"/>
            </w:pPr>
            <w:r>
              <w:t>排放浓度</w:t>
            </w:r>
          </w:p>
          <w:p>
            <w:pPr>
              <w:pStyle w:val="670"/>
            </w:pPr>
            <w:r>
              <w:t>（mg/m</w:t>
            </w:r>
            <w:r>
              <w:rPr>
                <w:vertAlign w:val="superscript"/>
              </w:rPr>
              <w:t>3</w:t>
            </w:r>
            <w:r>
              <w:t>）</w:t>
            </w:r>
          </w:p>
        </w:tc>
        <w:tc>
          <w:tcPr>
            <w:tcW w:w="1031" w:type="dxa"/>
            <w:gridSpan w:val="2"/>
            <w:tcBorders>
              <w:top w:val="single" w:color="auto" w:sz="4" w:space="0"/>
              <w:left w:val="single" w:color="auto" w:sz="4" w:space="0"/>
              <w:bottom w:val="single" w:color="auto" w:sz="4" w:space="0"/>
              <w:right w:val="single" w:color="auto" w:sz="4" w:space="0"/>
            </w:tcBorders>
            <w:vAlign w:val="center"/>
          </w:tcPr>
          <w:p>
            <w:pPr>
              <w:pStyle w:val="670"/>
            </w:pPr>
            <w:r>
              <w:t>排放速率（kg/h）</w:t>
            </w:r>
          </w:p>
        </w:tc>
        <w:tc>
          <w:tcPr>
            <w:tcW w:w="22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r>
              <w:rPr>
                <w:rFonts w:hint="eastAsia"/>
              </w:rPr>
              <w:t>大气</w:t>
            </w:r>
            <w:r>
              <w:t xml:space="preserve"> </w:t>
            </w:r>
            <w:r>
              <w:rPr>
                <w:rFonts w:hint="eastAsia"/>
              </w:rPr>
              <w:t>污染</w:t>
            </w:r>
            <w:r>
              <w:t xml:space="preserve"> </w:t>
            </w:r>
            <w:r>
              <w:rPr>
                <w:rFonts w:hint="eastAsia"/>
              </w:rPr>
              <w:t>物</w:t>
            </w:r>
          </w:p>
        </w:tc>
        <w:tc>
          <w:tcPr>
            <w:tcW w:w="709" w:type="dxa"/>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eastAsia="en-US" w:bidi="en-US"/>
              </w:rPr>
            </w:pPr>
            <w:r>
              <w:rPr>
                <w:rFonts w:hint="eastAsia"/>
              </w:rPr>
              <w:t>主体工程</w:t>
            </w:r>
          </w:p>
        </w:tc>
        <w:tc>
          <w:tcPr>
            <w:tcW w:w="1134" w:type="dxa"/>
            <w:tcBorders>
              <w:top w:val="single" w:color="auto" w:sz="4" w:space="0"/>
              <w:left w:val="single" w:color="auto" w:sz="4" w:space="0"/>
              <w:bottom w:val="single" w:color="auto" w:sz="4" w:space="0"/>
              <w:right w:val="single" w:color="auto" w:sz="4" w:space="0"/>
            </w:tcBorders>
            <w:vAlign w:val="center"/>
          </w:tcPr>
          <w:p>
            <w:pPr>
              <w:pStyle w:val="670"/>
            </w:pPr>
            <w:r>
              <w:t>生产区</w:t>
            </w:r>
          </w:p>
        </w:tc>
        <w:tc>
          <w:tcPr>
            <w:tcW w:w="851" w:type="dxa"/>
            <w:tcBorders>
              <w:top w:val="single" w:color="auto" w:sz="4" w:space="0"/>
              <w:left w:val="single" w:color="auto" w:sz="4" w:space="0"/>
              <w:bottom w:val="single" w:color="auto" w:sz="4" w:space="0"/>
              <w:right w:val="single" w:color="auto" w:sz="4" w:space="0"/>
            </w:tcBorders>
            <w:vAlign w:val="center"/>
          </w:tcPr>
          <w:p>
            <w:pPr>
              <w:pStyle w:val="670"/>
            </w:pPr>
            <w:r>
              <w:t>非甲烷总烃</w:t>
            </w:r>
          </w:p>
        </w:tc>
        <w:tc>
          <w:tcPr>
            <w:tcW w:w="708" w:type="dxa"/>
            <w:tcBorders>
              <w:top w:val="single" w:color="auto" w:sz="4" w:space="0"/>
              <w:left w:val="single" w:color="auto" w:sz="4" w:space="0"/>
              <w:bottom w:val="single" w:color="auto" w:sz="4" w:space="0"/>
              <w:right w:val="single" w:color="auto" w:sz="4" w:space="0"/>
            </w:tcBorders>
            <w:vAlign w:val="center"/>
          </w:tcPr>
          <w:p>
            <w:pPr>
              <w:pStyle w:val="670"/>
            </w:pPr>
            <w:r>
              <w:t>无组织</w:t>
            </w:r>
          </w:p>
        </w:tc>
        <w:tc>
          <w:tcPr>
            <w:tcW w:w="2127" w:type="dxa"/>
            <w:tcBorders>
              <w:top w:val="single" w:color="auto" w:sz="4" w:space="0"/>
              <w:left w:val="single" w:color="auto" w:sz="4" w:space="0"/>
              <w:bottom w:val="single" w:color="auto" w:sz="4" w:space="0"/>
              <w:right w:val="single" w:color="auto" w:sz="4" w:space="0"/>
            </w:tcBorders>
            <w:vAlign w:val="center"/>
          </w:tcPr>
          <w:p>
            <w:pPr>
              <w:pStyle w:val="670"/>
            </w:pPr>
            <w:r>
              <w:t>/</w:t>
            </w:r>
          </w:p>
        </w:tc>
        <w:tc>
          <w:tcPr>
            <w:tcW w:w="1134" w:type="dxa"/>
            <w:tcBorders>
              <w:top w:val="single" w:color="auto" w:sz="4" w:space="0"/>
              <w:left w:val="single" w:color="auto" w:sz="4" w:space="0"/>
              <w:bottom w:val="single" w:color="auto" w:sz="4" w:space="0"/>
              <w:right w:val="single" w:color="auto" w:sz="4" w:space="0"/>
            </w:tcBorders>
            <w:vAlign w:val="center"/>
          </w:tcPr>
          <w:p>
            <w:pPr>
              <w:pStyle w:val="670"/>
            </w:pPr>
            <w:r>
              <w:t>/</w:t>
            </w:r>
          </w:p>
        </w:tc>
        <w:tc>
          <w:tcPr>
            <w:tcW w:w="850" w:type="dxa"/>
            <w:tcBorders>
              <w:top w:val="single" w:color="auto" w:sz="4" w:space="0"/>
              <w:left w:val="single" w:color="auto" w:sz="4" w:space="0"/>
              <w:bottom w:val="single" w:color="auto" w:sz="4" w:space="0"/>
              <w:right w:val="single" w:color="auto" w:sz="4" w:space="0"/>
            </w:tcBorders>
            <w:vAlign w:val="center"/>
          </w:tcPr>
          <w:p>
            <w:pPr>
              <w:pStyle w:val="670"/>
            </w:pPr>
            <w:r>
              <w:t>0.028</w:t>
            </w:r>
          </w:p>
        </w:tc>
        <w:tc>
          <w:tcPr>
            <w:tcW w:w="851"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rFonts w:hint="eastAsia"/>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pStyle w:val="670"/>
            </w:pPr>
            <w:r>
              <w:t>4.0</w:t>
            </w:r>
          </w:p>
        </w:tc>
        <w:tc>
          <w:tcPr>
            <w:tcW w:w="1031" w:type="dxa"/>
            <w:gridSpan w:val="2"/>
            <w:tcBorders>
              <w:top w:val="single" w:color="auto" w:sz="4" w:space="0"/>
              <w:left w:val="single" w:color="auto" w:sz="4" w:space="0"/>
              <w:bottom w:val="single" w:color="auto" w:sz="4" w:space="0"/>
              <w:right w:val="single" w:color="auto" w:sz="4" w:space="0"/>
            </w:tcBorders>
            <w:vAlign w:val="center"/>
          </w:tcPr>
          <w:p>
            <w:pPr>
              <w:pStyle w:val="670"/>
            </w:pPr>
            <w:r>
              <w:t>/</w:t>
            </w:r>
          </w:p>
        </w:tc>
        <w:tc>
          <w:tcPr>
            <w:tcW w:w="2229"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《陆上石油天然气开采工业大气污染物排放标准》（GB39728-2020）</w:t>
            </w:r>
          </w:p>
        </w:tc>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4100" w:type="dxa"/>
            <w:gridSpan w:val="14"/>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　废气总量控制指标</w:t>
            </w:r>
            <w:r>
              <w:rPr>
                <w:rFonts w:hint="eastAsia"/>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pPr>
              <w:pStyle w:val="670"/>
            </w:pPr>
            <w:r>
              <w:t>水污 染物　</w:t>
            </w:r>
          </w:p>
        </w:tc>
        <w:tc>
          <w:tcPr>
            <w:tcW w:w="709" w:type="dxa"/>
            <w:tcBorders>
              <w:top w:val="single" w:color="auto" w:sz="4" w:space="0"/>
              <w:left w:val="single" w:color="auto" w:sz="4" w:space="0"/>
              <w:bottom w:val="single" w:color="auto" w:sz="4" w:space="0"/>
              <w:right w:val="single" w:color="auto" w:sz="4" w:space="0"/>
            </w:tcBorders>
            <w:vAlign w:val="center"/>
          </w:tcPr>
          <w:p>
            <w:pPr>
              <w:pStyle w:val="670"/>
            </w:pPr>
            <w:r>
              <w:t>生产</w:t>
            </w:r>
          </w:p>
        </w:tc>
        <w:tc>
          <w:tcPr>
            <w:tcW w:w="1134" w:type="dxa"/>
            <w:tcBorders>
              <w:top w:val="single" w:color="auto" w:sz="4" w:space="0"/>
              <w:left w:val="single" w:color="auto" w:sz="4" w:space="0"/>
              <w:bottom w:val="single" w:color="auto" w:sz="4" w:space="0"/>
              <w:right w:val="single" w:color="auto" w:sz="4" w:space="0"/>
            </w:tcBorders>
            <w:vAlign w:val="center"/>
          </w:tcPr>
          <w:p>
            <w:pPr>
              <w:pStyle w:val="670"/>
            </w:pPr>
            <w:r>
              <w:t>生产废水</w:t>
            </w:r>
          </w:p>
        </w:tc>
        <w:tc>
          <w:tcPr>
            <w:tcW w:w="851" w:type="dxa"/>
            <w:tcBorders>
              <w:top w:val="single" w:color="auto" w:sz="4" w:space="0"/>
              <w:left w:val="single" w:color="auto" w:sz="4" w:space="0"/>
              <w:bottom w:val="single" w:color="auto" w:sz="4" w:space="0"/>
              <w:right w:val="single" w:color="auto" w:sz="4" w:space="0"/>
            </w:tcBorders>
            <w:vAlign w:val="center"/>
          </w:tcPr>
          <w:p>
            <w:pPr>
              <w:pStyle w:val="670"/>
            </w:pPr>
            <w:r>
              <w:t>生产废水</w:t>
            </w:r>
          </w:p>
        </w:tc>
        <w:tc>
          <w:tcPr>
            <w:tcW w:w="708" w:type="dxa"/>
            <w:tcBorders>
              <w:top w:val="single" w:color="auto" w:sz="4" w:space="0"/>
              <w:left w:val="single" w:color="auto" w:sz="4" w:space="0"/>
              <w:bottom w:val="single" w:color="auto" w:sz="4" w:space="0"/>
              <w:right w:val="single" w:color="auto" w:sz="4" w:space="0"/>
            </w:tcBorders>
            <w:vAlign w:val="center"/>
          </w:tcPr>
          <w:p>
            <w:pPr>
              <w:pStyle w:val="670"/>
            </w:pPr>
            <w:r>
              <w:t>不外排</w:t>
            </w:r>
          </w:p>
        </w:tc>
        <w:tc>
          <w:tcPr>
            <w:tcW w:w="2127"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rFonts w:hint="eastAsia"/>
                <w:lang w:eastAsia="zh-CN"/>
              </w:rPr>
              <w:t>依托现有</w:t>
            </w:r>
            <w:r>
              <w:rPr>
                <w:lang w:eastAsia="zh-CN"/>
              </w:rPr>
              <w:t>一座54m</w:t>
            </w:r>
            <w:r>
              <w:rPr>
                <w:vertAlign w:val="superscript"/>
                <w:lang w:eastAsia="zh-CN"/>
              </w:rPr>
              <w:t>3</w:t>
            </w:r>
            <w:r>
              <w:rPr>
                <w:lang w:eastAsia="zh-CN"/>
              </w:rPr>
              <w:t>排污罐储存后定期拉运至春风一号联合站处理达标后进行回注处置</w:t>
            </w:r>
          </w:p>
        </w:tc>
        <w:tc>
          <w:tcPr>
            <w:tcW w:w="1134" w:type="dxa"/>
            <w:tcBorders>
              <w:top w:val="single" w:color="auto" w:sz="4" w:space="0"/>
              <w:left w:val="single" w:color="auto" w:sz="4" w:space="0"/>
              <w:bottom w:val="single" w:color="auto" w:sz="4" w:space="0"/>
              <w:right w:val="single" w:color="auto" w:sz="4" w:space="0"/>
            </w:tcBorders>
            <w:vAlign w:val="center"/>
          </w:tcPr>
          <w:p>
            <w:pPr>
              <w:pStyle w:val="670"/>
            </w:pPr>
            <w:r>
              <w:t>/</w:t>
            </w:r>
          </w:p>
        </w:tc>
        <w:tc>
          <w:tcPr>
            <w:tcW w:w="850" w:type="dxa"/>
            <w:tcBorders>
              <w:top w:val="single" w:color="auto" w:sz="4" w:space="0"/>
              <w:left w:val="single" w:color="auto" w:sz="4" w:space="0"/>
              <w:bottom w:val="single" w:color="auto" w:sz="4" w:space="0"/>
              <w:right w:val="single" w:color="auto" w:sz="4" w:space="0"/>
            </w:tcBorders>
            <w:vAlign w:val="center"/>
          </w:tcPr>
          <w:p>
            <w:pPr>
              <w:pStyle w:val="670"/>
            </w:pPr>
            <w:r>
              <w:t>/</w:t>
            </w:r>
          </w:p>
        </w:tc>
        <w:tc>
          <w:tcPr>
            <w:tcW w:w="851" w:type="dxa"/>
            <w:tcBorders>
              <w:top w:val="single" w:color="auto" w:sz="4" w:space="0"/>
              <w:left w:val="single" w:color="auto" w:sz="4" w:space="0"/>
              <w:bottom w:val="single" w:color="auto" w:sz="4" w:space="0"/>
              <w:right w:val="single" w:color="auto" w:sz="4" w:space="0"/>
            </w:tcBorders>
            <w:vAlign w:val="center"/>
          </w:tcPr>
          <w:p>
            <w:pPr>
              <w:pStyle w:val="670"/>
            </w:pPr>
            <w:r>
              <w:t>/</w:t>
            </w:r>
          </w:p>
        </w:tc>
        <w:tc>
          <w:tcPr>
            <w:tcW w:w="1195" w:type="dxa"/>
            <w:gridSpan w:val="2"/>
            <w:tcBorders>
              <w:top w:val="single" w:color="auto" w:sz="4" w:space="0"/>
              <w:left w:val="single" w:color="auto" w:sz="4" w:space="0"/>
              <w:bottom w:val="single" w:color="auto" w:sz="4" w:space="0"/>
              <w:right w:val="single" w:color="auto" w:sz="4" w:space="0"/>
            </w:tcBorders>
            <w:vAlign w:val="center"/>
          </w:tcPr>
          <w:p>
            <w:pPr>
              <w:pStyle w:val="670"/>
            </w:pPr>
            <w:r>
              <w:t>/</w:t>
            </w:r>
          </w:p>
        </w:tc>
        <w:tc>
          <w:tcPr>
            <w:tcW w:w="970" w:type="dxa"/>
            <w:tcBorders>
              <w:top w:val="single" w:color="auto" w:sz="4" w:space="0"/>
              <w:left w:val="single" w:color="auto" w:sz="4" w:space="0"/>
              <w:bottom w:val="single" w:color="auto" w:sz="4" w:space="0"/>
              <w:right w:val="single" w:color="auto" w:sz="4" w:space="0"/>
            </w:tcBorders>
            <w:vAlign w:val="center"/>
          </w:tcPr>
          <w:p>
            <w:pPr>
              <w:pStyle w:val="670"/>
            </w:pPr>
            <w:r>
              <w:t>/</w:t>
            </w:r>
          </w:p>
        </w:tc>
        <w:tc>
          <w:tcPr>
            <w:tcW w:w="2229" w:type="dxa"/>
            <w:tcBorders>
              <w:top w:val="single" w:color="auto" w:sz="4" w:space="0"/>
              <w:left w:val="single" w:color="auto" w:sz="4" w:space="0"/>
              <w:bottom w:val="single" w:color="auto" w:sz="4" w:space="0"/>
              <w:right w:val="single" w:color="auto" w:sz="4" w:space="0"/>
            </w:tcBorders>
            <w:vAlign w:val="center"/>
          </w:tcPr>
          <w:p>
            <w:pPr>
              <w:pStyle w:val="670"/>
            </w:pPr>
            <w:r>
              <w:t>/</w:t>
            </w:r>
          </w:p>
        </w:tc>
        <w:tc>
          <w:tcPr>
            <w:tcW w:w="704" w:type="dxa"/>
            <w:vMerge w:val="restar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做好场区 防渗，以防污染地下水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3396" w:type="dxa"/>
            <w:gridSpan w:val="13"/>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　废水总量控制指标：无</w:t>
            </w:r>
          </w:p>
        </w:tc>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restart"/>
            <w:tcBorders>
              <w:top w:val="single" w:color="auto" w:sz="4" w:space="0"/>
              <w:left w:val="single" w:color="auto" w:sz="4" w:space="0"/>
              <w:bottom w:val="single" w:color="auto" w:sz="4" w:space="0"/>
              <w:right w:val="single" w:color="auto" w:sz="4" w:space="0"/>
            </w:tcBorders>
            <w:vAlign w:val="center"/>
          </w:tcPr>
          <w:p>
            <w:pPr>
              <w:pStyle w:val="670"/>
            </w:pPr>
            <w:r>
              <w:t>固体废物</w:t>
            </w:r>
          </w:p>
        </w:tc>
        <w:tc>
          <w:tcPr>
            <w:tcW w:w="1843" w:type="dxa"/>
            <w:gridSpan w:val="2"/>
            <w:vMerge w:val="restart"/>
            <w:tcBorders>
              <w:top w:val="single" w:color="auto" w:sz="4" w:space="0"/>
              <w:left w:val="single" w:color="auto" w:sz="4" w:space="0"/>
              <w:right w:val="single" w:color="auto" w:sz="4" w:space="0"/>
            </w:tcBorders>
            <w:vAlign w:val="center"/>
          </w:tcPr>
          <w:p>
            <w:pPr>
              <w:pStyle w:val="670"/>
            </w:pPr>
            <w:r>
              <w:t>生产区</w:t>
            </w:r>
          </w:p>
        </w:tc>
        <w:tc>
          <w:tcPr>
            <w:tcW w:w="851" w:type="dxa"/>
            <w:tcBorders>
              <w:top w:val="single" w:color="auto" w:sz="4" w:space="0"/>
              <w:left w:val="single" w:color="auto" w:sz="4" w:space="0"/>
              <w:bottom w:val="single" w:color="auto" w:sz="4" w:space="0"/>
              <w:right w:val="single" w:color="auto" w:sz="4" w:space="0"/>
            </w:tcBorders>
            <w:vAlign w:val="center"/>
          </w:tcPr>
          <w:p>
            <w:pPr>
              <w:pStyle w:val="670"/>
            </w:pPr>
            <w:r>
              <w:t>废分子筛</w:t>
            </w:r>
          </w:p>
        </w:tc>
        <w:tc>
          <w:tcPr>
            <w:tcW w:w="708" w:type="dxa"/>
            <w:tcBorders>
              <w:top w:val="single" w:color="auto" w:sz="4" w:space="0"/>
              <w:left w:val="single" w:color="auto" w:sz="4" w:space="0"/>
              <w:bottom w:val="single" w:color="auto" w:sz="4" w:space="0"/>
              <w:right w:val="single" w:color="auto" w:sz="4" w:space="0"/>
            </w:tcBorders>
            <w:vAlign w:val="center"/>
          </w:tcPr>
          <w:p>
            <w:pPr>
              <w:pStyle w:val="670"/>
            </w:pPr>
            <w:r>
              <w:t>危险废物</w:t>
            </w:r>
          </w:p>
        </w:tc>
        <w:tc>
          <w:tcPr>
            <w:tcW w:w="2127"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暂存于设置的危废暂存库，定期交由</w:t>
            </w:r>
            <w:r>
              <w:rPr>
                <w:rFonts w:hint="eastAsia"/>
                <w:lang w:eastAsia="zh-CN"/>
              </w:rPr>
              <w:t>新疆诺客蒙鑫环境技术有限公司</w:t>
            </w:r>
            <w:r>
              <w:rPr>
                <w:lang w:eastAsia="zh-CN"/>
              </w:rPr>
              <w:t>处置</w:t>
            </w:r>
          </w:p>
        </w:tc>
        <w:tc>
          <w:tcPr>
            <w:tcW w:w="1134" w:type="dxa"/>
            <w:tcBorders>
              <w:top w:val="single" w:color="auto" w:sz="4" w:space="0"/>
              <w:left w:val="single" w:color="auto" w:sz="4" w:space="0"/>
              <w:bottom w:val="single" w:color="auto" w:sz="4" w:space="0"/>
              <w:right w:val="single" w:color="auto" w:sz="4" w:space="0"/>
            </w:tcBorders>
            <w:vAlign w:val="center"/>
          </w:tcPr>
          <w:p>
            <w:pPr>
              <w:pStyle w:val="670"/>
            </w:pPr>
            <w:r>
              <w:t>/</w:t>
            </w:r>
          </w:p>
        </w:tc>
        <w:tc>
          <w:tcPr>
            <w:tcW w:w="850" w:type="dxa"/>
            <w:tcBorders>
              <w:top w:val="single" w:color="auto" w:sz="4" w:space="0"/>
              <w:left w:val="single" w:color="auto" w:sz="4" w:space="0"/>
              <w:bottom w:val="single" w:color="auto" w:sz="4" w:space="0"/>
              <w:right w:val="single" w:color="auto" w:sz="4" w:space="0"/>
            </w:tcBorders>
            <w:vAlign w:val="center"/>
          </w:tcPr>
          <w:p>
            <w:pPr>
              <w:pStyle w:val="670"/>
            </w:pPr>
            <w:r>
              <w:t>2</w:t>
            </w:r>
          </w:p>
        </w:tc>
        <w:tc>
          <w:tcPr>
            <w:tcW w:w="851" w:type="dxa"/>
            <w:tcBorders>
              <w:top w:val="single" w:color="auto" w:sz="4" w:space="0"/>
              <w:left w:val="single" w:color="auto" w:sz="4" w:space="0"/>
              <w:bottom w:val="single" w:color="auto" w:sz="4" w:space="0"/>
              <w:right w:val="single" w:color="auto" w:sz="4" w:space="0"/>
            </w:tcBorders>
            <w:vAlign w:val="center"/>
          </w:tcPr>
          <w:p>
            <w:pPr>
              <w:pStyle w:val="670"/>
            </w:pPr>
            <w:r>
              <w:t>/</w:t>
            </w:r>
          </w:p>
        </w:tc>
        <w:tc>
          <w:tcPr>
            <w:tcW w:w="1195" w:type="dxa"/>
            <w:gridSpan w:val="2"/>
            <w:tcBorders>
              <w:top w:val="single" w:color="auto" w:sz="4" w:space="0"/>
              <w:left w:val="single" w:color="auto" w:sz="4" w:space="0"/>
              <w:bottom w:val="single" w:color="auto" w:sz="4" w:space="0"/>
              <w:right w:val="single" w:color="auto" w:sz="4" w:space="0"/>
            </w:tcBorders>
            <w:vAlign w:val="center"/>
          </w:tcPr>
          <w:p>
            <w:pPr>
              <w:pStyle w:val="670"/>
            </w:pPr>
            <w:r>
              <w:t>/</w:t>
            </w:r>
          </w:p>
        </w:tc>
        <w:tc>
          <w:tcPr>
            <w:tcW w:w="970" w:type="dxa"/>
            <w:tcBorders>
              <w:top w:val="single" w:color="auto" w:sz="4" w:space="0"/>
              <w:left w:val="single" w:color="auto" w:sz="4" w:space="0"/>
              <w:bottom w:val="single" w:color="auto" w:sz="4" w:space="0"/>
              <w:right w:val="single" w:color="auto" w:sz="4" w:space="0"/>
            </w:tcBorders>
            <w:vAlign w:val="center"/>
          </w:tcPr>
          <w:p>
            <w:pPr>
              <w:pStyle w:val="670"/>
            </w:pPr>
            <w:r>
              <w:t>/</w:t>
            </w:r>
          </w:p>
        </w:tc>
        <w:tc>
          <w:tcPr>
            <w:tcW w:w="2229" w:type="dxa"/>
            <w:vMerge w:val="restart"/>
            <w:tcBorders>
              <w:top w:val="single" w:color="auto" w:sz="4" w:space="0"/>
              <w:left w:val="single" w:color="auto" w:sz="4" w:space="0"/>
              <w:right w:val="single" w:color="auto" w:sz="4" w:space="0"/>
            </w:tcBorders>
            <w:vAlign w:val="center"/>
          </w:tcPr>
          <w:p>
            <w:pPr>
              <w:pStyle w:val="670"/>
              <w:rPr>
                <w:lang w:eastAsia="zh-CN"/>
              </w:rPr>
            </w:pPr>
            <w:r>
              <w:rPr>
                <w:lang w:eastAsia="zh-CN"/>
              </w:rPr>
              <w:t>《危险废物贮存污染控制标准》（GB18597-2023）</w:t>
            </w:r>
          </w:p>
        </w:tc>
        <w:tc>
          <w:tcPr>
            <w:tcW w:w="704" w:type="dxa"/>
            <w:vMerge w:val="restart"/>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做好场区 防渗，以防污染地下水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c>
          <w:tcPr>
            <w:tcW w:w="1843" w:type="dxa"/>
            <w:gridSpan w:val="2"/>
            <w:vMerge w:val="continue"/>
            <w:tcBorders>
              <w:left w:val="single" w:color="auto" w:sz="4" w:space="0"/>
              <w:bottom w:val="single" w:color="auto" w:sz="4" w:space="0"/>
              <w:right w:val="single" w:color="auto" w:sz="4" w:space="0"/>
            </w:tcBorders>
            <w:vAlign w:val="center"/>
          </w:tcPr>
          <w:p>
            <w:pPr>
              <w:pStyle w:val="670"/>
              <w:rPr>
                <w:lang w:eastAsia="zh-CN"/>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670"/>
            </w:pPr>
            <w:r>
              <w:t>废润滑油</w:t>
            </w:r>
          </w:p>
        </w:tc>
        <w:tc>
          <w:tcPr>
            <w:tcW w:w="708" w:type="dxa"/>
            <w:tcBorders>
              <w:top w:val="single" w:color="auto" w:sz="4" w:space="0"/>
              <w:left w:val="single" w:color="auto" w:sz="4" w:space="0"/>
              <w:bottom w:val="single" w:color="auto" w:sz="4" w:space="0"/>
              <w:right w:val="single" w:color="auto" w:sz="4" w:space="0"/>
            </w:tcBorders>
            <w:vAlign w:val="center"/>
          </w:tcPr>
          <w:p>
            <w:pPr>
              <w:pStyle w:val="670"/>
            </w:pPr>
            <w:r>
              <w:t>危险废物</w:t>
            </w:r>
          </w:p>
        </w:tc>
        <w:tc>
          <w:tcPr>
            <w:tcW w:w="2127" w:type="dxa"/>
            <w:tcBorders>
              <w:top w:val="single" w:color="auto" w:sz="4" w:space="0"/>
              <w:left w:val="single" w:color="auto" w:sz="4" w:space="0"/>
              <w:bottom w:val="single" w:color="auto" w:sz="4" w:space="0"/>
              <w:right w:val="single" w:color="auto" w:sz="4" w:space="0"/>
            </w:tcBorders>
            <w:vAlign w:val="center"/>
          </w:tcPr>
          <w:p>
            <w:pPr>
              <w:pStyle w:val="670"/>
              <w:rPr>
                <w:lang w:eastAsia="zh-CN"/>
              </w:rPr>
            </w:pPr>
            <w:r>
              <w:rPr>
                <w:lang w:eastAsia="zh-CN"/>
              </w:rPr>
              <w:t>暂存于设置的危废暂存库，定期交由</w:t>
            </w:r>
            <w:r>
              <w:rPr>
                <w:rFonts w:hint="eastAsia"/>
                <w:lang w:eastAsia="zh-CN"/>
              </w:rPr>
              <w:t>新疆诺客蒙鑫环境技术有限公司</w:t>
            </w:r>
            <w:r>
              <w:rPr>
                <w:lang w:eastAsia="zh-CN"/>
              </w:rPr>
              <w:t>处置</w:t>
            </w:r>
          </w:p>
        </w:tc>
        <w:tc>
          <w:tcPr>
            <w:tcW w:w="1134" w:type="dxa"/>
            <w:tcBorders>
              <w:top w:val="single" w:color="auto" w:sz="4" w:space="0"/>
              <w:left w:val="single" w:color="auto" w:sz="4" w:space="0"/>
              <w:bottom w:val="single" w:color="auto" w:sz="4" w:space="0"/>
              <w:right w:val="single" w:color="auto" w:sz="4" w:space="0"/>
            </w:tcBorders>
            <w:vAlign w:val="center"/>
          </w:tcPr>
          <w:p>
            <w:pPr>
              <w:pStyle w:val="670"/>
            </w:pPr>
            <w:r>
              <w:t>/</w:t>
            </w:r>
          </w:p>
        </w:tc>
        <w:tc>
          <w:tcPr>
            <w:tcW w:w="850" w:type="dxa"/>
            <w:tcBorders>
              <w:top w:val="single" w:color="auto" w:sz="4" w:space="0"/>
              <w:left w:val="single" w:color="auto" w:sz="4" w:space="0"/>
              <w:bottom w:val="single" w:color="auto" w:sz="4" w:space="0"/>
              <w:right w:val="single" w:color="auto" w:sz="4" w:space="0"/>
            </w:tcBorders>
            <w:vAlign w:val="center"/>
          </w:tcPr>
          <w:p>
            <w:pPr>
              <w:pStyle w:val="670"/>
            </w:pPr>
            <w:r>
              <w:t>0.25</w:t>
            </w:r>
          </w:p>
        </w:tc>
        <w:tc>
          <w:tcPr>
            <w:tcW w:w="851" w:type="dxa"/>
            <w:tcBorders>
              <w:top w:val="single" w:color="auto" w:sz="4" w:space="0"/>
              <w:left w:val="single" w:color="auto" w:sz="4" w:space="0"/>
              <w:bottom w:val="single" w:color="auto" w:sz="4" w:space="0"/>
              <w:right w:val="single" w:color="auto" w:sz="4" w:space="0"/>
            </w:tcBorders>
            <w:vAlign w:val="center"/>
          </w:tcPr>
          <w:p>
            <w:pPr>
              <w:pStyle w:val="670"/>
            </w:pPr>
            <w:r>
              <w:t>/</w:t>
            </w:r>
          </w:p>
        </w:tc>
        <w:tc>
          <w:tcPr>
            <w:tcW w:w="1195" w:type="dxa"/>
            <w:gridSpan w:val="2"/>
            <w:tcBorders>
              <w:top w:val="single" w:color="auto" w:sz="4" w:space="0"/>
              <w:left w:val="single" w:color="auto" w:sz="4" w:space="0"/>
              <w:bottom w:val="single" w:color="auto" w:sz="4" w:space="0"/>
              <w:right w:val="single" w:color="auto" w:sz="4" w:space="0"/>
            </w:tcBorders>
            <w:vAlign w:val="center"/>
          </w:tcPr>
          <w:p>
            <w:pPr>
              <w:pStyle w:val="670"/>
            </w:pPr>
            <w:r>
              <w:t>/</w:t>
            </w:r>
          </w:p>
        </w:tc>
        <w:tc>
          <w:tcPr>
            <w:tcW w:w="970" w:type="dxa"/>
            <w:tcBorders>
              <w:top w:val="single" w:color="auto" w:sz="4" w:space="0"/>
              <w:left w:val="single" w:color="auto" w:sz="4" w:space="0"/>
              <w:bottom w:val="single" w:color="auto" w:sz="4" w:space="0"/>
              <w:right w:val="single" w:color="auto" w:sz="4" w:space="0"/>
            </w:tcBorders>
            <w:vAlign w:val="center"/>
          </w:tcPr>
          <w:p>
            <w:pPr>
              <w:pStyle w:val="670"/>
            </w:pPr>
            <w:r>
              <w:t>/</w:t>
            </w:r>
          </w:p>
        </w:tc>
        <w:tc>
          <w:tcPr>
            <w:tcW w:w="2229" w:type="dxa"/>
            <w:vMerge w:val="continue"/>
            <w:tcBorders>
              <w:left w:val="single" w:color="auto" w:sz="4" w:space="0"/>
              <w:bottom w:val="single" w:color="auto" w:sz="4" w:space="0"/>
              <w:right w:val="single" w:color="auto" w:sz="4" w:space="0"/>
            </w:tcBorders>
            <w:vAlign w:val="center"/>
          </w:tcPr>
          <w:p>
            <w:pPr>
              <w:pStyle w:val="670"/>
              <w:rPr>
                <w:lang w:eastAsia="zh-CN"/>
              </w:rPr>
            </w:pPr>
          </w:p>
        </w:tc>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lang w:bidi="en-US"/>
              </w:rPr>
            </w:pPr>
          </w:p>
        </w:tc>
      </w:tr>
    </w:tbl>
    <w:p>
      <w:pPr>
        <w:pStyle w:val="488"/>
        <w:spacing w:line="360" w:lineRule="auto"/>
        <w:ind w:firstLine="198" w:firstLineChars="94"/>
        <w:rPr>
          <w:b/>
          <w:sz w:val="21"/>
          <w:szCs w:val="21"/>
        </w:rPr>
        <w:sectPr>
          <w:pgSz w:w="16838" w:h="11906" w:orient="landscape"/>
          <w:pgMar w:top="1701" w:right="1440" w:bottom="1985" w:left="1440" w:header="851" w:footer="992" w:gutter="0"/>
          <w:cols w:space="720" w:num="1"/>
          <w:docGrid w:linePitch="312" w:charSpace="0"/>
        </w:sectPr>
      </w:pPr>
    </w:p>
    <w:p>
      <w:pPr>
        <w:pStyle w:val="4"/>
        <w:spacing w:before="120" w:after="120"/>
      </w:pPr>
      <w:bookmarkStart w:id="505" w:name="_Toc107500433"/>
      <w:bookmarkStart w:id="506" w:name="_Toc145580483"/>
      <w:r>
        <w:rPr>
          <w:rFonts w:hint="eastAsia"/>
        </w:rPr>
        <w:t>8.</w:t>
      </w:r>
      <w:r>
        <w:t>5</w:t>
      </w:r>
      <w:r>
        <w:rPr>
          <w:rFonts w:hint="eastAsia"/>
        </w:rPr>
        <w:t xml:space="preserve"> </w:t>
      </w:r>
      <w:r>
        <w:t>排污口规范化管理</w:t>
      </w:r>
      <w:bookmarkEnd w:id="493"/>
      <w:bookmarkEnd w:id="494"/>
      <w:bookmarkEnd w:id="495"/>
      <w:bookmarkEnd w:id="496"/>
      <w:bookmarkEnd w:id="505"/>
      <w:bookmarkEnd w:id="506"/>
    </w:p>
    <w:p>
      <w:pPr>
        <w:pStyle w:val="494"/>
        <w:ind w:firstLine="480"/>
      </w:pPr>
      <w:r>
        <w:rPr>
          <w:rFonts w:hint="eastAsia"/>
        </w:rPr>
        <w:t>根据国家标准《环境保护图形标志</w:t>
      </w:r>
      <w:r>
        <w:t xml:space="preserve"> </w:t>
      </w:r>
      <w:r>
        <w:rPr>
          <w:rFonts w:hint="eastAsia"/>
        </w:rPr>
        <w:t>排放口（源）》和国家环境保护总局《污染物规范化治理要求（试行）》的文件要求，企业所有排放口（包括水、气、声、渣）必须按照</w:t>
      </w:r>
      <w:r>
        <w:t>“</w:t>
      </w:r>
      <w:r>
        <w:rPr>
          <w:rFonts w:hint="eastAsia"/>
        </w:rPr>
        <w:t>便于采样、便于计量检测、便于日常现场监督检查</w:t>
      </w:r>
      <w:r>
        <w:t>”</w:t>
      </w:r>
      <w:r>
        <w:rPr>
          <w:rFonts w:hint="eastAsia"/>
        </w:rPr>
        <w:t>的原则和规范，设置与之相适应的环境保护图形标志牌。</w:t>
      </w:r>
    </w:p>
    <w:p>
      <w:pPr>
        <w:pStyle w:val="494"/>
        <w:ind w:firstLine="480"/>
      </w:pPr>
      <w:r>
        <w:rPr>
          <w:rFonts w:hint="eastAsia"/>
        </w:rPr>
        <w:t>（</w:t>
      </w:r>
      <w:r>
        <w:t>1</w:t>
      </w:r>
      <w:r>
        <w:rPr>
          <w:rFonts w:hint="eastAsia"/>
        </w:rPr>
        <w:t>）固体废物贮存、堆放场规范化</w:t>
      </w:r>
    </w:p>
    <w:p>
      <w:pPr>
        <w:pStyle w:val="494"/>
        <w:ind w:firstLine="480"/>
      </w:pPr>
      <w:r>
        <w:rPr>
          <w:rFonts w:hint="eastAsia"/>
        </w:rPr>
        <w:t>生产车间、仓库均设置防雨、防渗设施，并采用水泥硬化。仓库应设置明显的警示标志。</w:t>
      </w:r>
    </w:p>
    <w:p>
      <w:pPr>
        <w:pStyle w:val="494"/>
        <w:ind w:firstLine="480"/>
      </w:pPr>
      <w:r>
        <w:rPr>
          <w:rFonts w:hint="eastAsia"/>
        </w:rPr>
        <w:t>（</w:t>
      </w:r>
      <w:r>
        <w:t>2</w:t>
      </w:r>
      <w:r>
        <w:rPr>
          <w:rFonts w:hint="eastAsia"/>
        </w:rPr>
        <w:t>）排污口设置标志牌要求</w:t>
      </w:r>
    </w:p>
    <w:p>
      <w:pPr>
        <w:pStyle w:val="494"/>
        <w:ind w:firstLine="480"/>
      </w:pPr>
      <w:r>
        <w:rPr>
          <w:rFonts w:hint="eastAsia"/>
        </w:rPr>
        <w:t>环境保护图形标志牌设置位置应距离污染物排放口及固体废物处置场或采样点较近且醒目处，设置高度一般为标志牌上缘距离地面约</w:t>
      </w:r>
      <w:r>
        <w:t>2m</w:t>
      </w:r>
      <w:r>
        <w:rPr>
          <w:rFonts w:hint="eastAsia"/>
        </w:rPr>
        <w:t>。</w:t>
      </w:r>
    </w:p>
    <w:p>
      <w:pPr>
        <w:pStyle w:val="494"/>
        <w:ind w:firstLine="480"/>
      </w:pPr>
      <w:r>
        <w:rPr>
          <w:rFonts w:hint="eastAsia"/>
        </w:rPr>
        <w:t>规范化排污口的有关设置（如图形标志牌、计量装置、监控装置等）属环保设施，排污单位必须负责日常的维护保养，任何单位和个人不得擅自拆除，如需要变更的需报环境管理部门同意并办理变更手续</w:t>
      </w:r>
      <w:r>
        <w:t>。</w:t>
      </w:r>
    </w:p>
    <w:p>
      <w:pPr>
        <w:pStyle w:val="400"/>
        <w:ind w:firstLine="420"/>
      </w:pPr>
      <w:r>
        <w:t>表</w:t>
      </w:r>
      <w:r>
        <w:rPr>
          <w:rFonts w:hint="eastAsia"/>
        </w:rPr>
        <w:t>8</w:t>
      </w:r>
      <w:r>
        <w:t>.</w:t>
      </w:r>
      <w:r>
        <w:rPr>
          <w:rFonts w:hint="eastAsia"/>
        </w:rPr>
        <w:t>4</w:t>
      </w:r>
      <w:r>
        <w:t>-</w:t>
      </w:r>
      <w:r>
        <w:rPr>
          <w:rFonts w:hint="eastAsia"/>
        </w:rPr>
        <w:t xml:space="preserve">1                   </w:t>
      </w:r>
      <w:r>
        <w:t>环境保护图形标志的形状及颜色</w:t>
      </w:r>
    </w:p>
    <w:tbl>
      <w:tblPr>
        <w:tblStyle w:val="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5"/>
        <w:gridCol w:w="2467"/>
        <w:gridCol w:w="2593"/>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0" w:type="pct"/>
            <w:vAlign w:val="center"/>
          </w:tcPr>
          <w:p>
            <w:pPr>
              <w:pStyle w:val="687"/>
              <w:rPr>
                <w:sz w:val="21"/>
              </w:rPr>
            </w:pPr>
            <w:r>
              <w:rPr>
                <w:sz w:val="21"/>
              </w:rPr>
              <w:t>标志名称</w:t>
            </w:r>
          </w:p>
        </w:tc>
        <w:tc>
          <w:tcPr>
            <w:tcW w:w="1462" w:type="pct"/>
            <w:vAlign w:val="center"/>
          </w:tcPr>
          <w:p>
            <w:pPr>
              <w:pStyle w:val="687"/>
              <w:rPr>
                <w:sz w:val="21"/>
              </w:rPr>
            </w:pPr>
            <w:r>
              <w:rPr>
                <w:sz w:val="21"/>
              </w:rPr>
              <w:t>形状</w:t>
            </w:r>
          </w:p>
        </w:tc>
        <w:tc>
          <w:tcPr>
            <w:tcW w:w="1537" w:type="pct"/>
            <w:vAlign w:val="center"/>
          </w:tcPr>
          <w:p>
            <w:pPr>
              <w:pStyle w:val="687"/>
              <w:rPr>
                <w:sz w:val="21"/>
              </w:rPr>
            </w:pPr>
            <w:r>
              <w:rPr>
                <w:sz w:val="21"/>
              </w:rPr>
              <w:t>背景颜色</w:t>
            </w:r>
          </w:p>
        </w:tc>
        <w:tc>
          <w:tcPr>
            <w:tcW w:w="961" w:type="pct"/>
            <w:vAlign w:val="center"/>
          </w:tcPr>
          <w:p>
            <w:pPr>
              <w:pStyle w:val="687"/>
              <w:rPr>
                <w:sz w:val="21"/>
              </w:rPr>
            </w:pPr>
            <w:r>
              <w:rPr>
                <w:sz w:val="21"/>
              </w:rPr>
              <w:t>图形颜色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0" w:type="pct"/>
            <w:vAlign w:val="center"/>
          </w:tcPr>
          <w:p>
            <w:pPr>
              <w:pStyle w:val="687"/>
              <w:rPr>
                <w:sz w:val="21"/>
              </w:rPr>
            </w:pPr>
            <w:r>
              <w:rPr>
                <w:sz w:val="21"/>
              </w:rPr>
              <w:t>警告标志</w:t>
            </w:r>
          </w:p>
        </w:tc>
        <w:tc>
          <w:tcPr>
            <w:tcW w:w="1462" w:type="pct"/>
            <w:vAlign w:val="center"/>
          </w:tcPr>
          <w:p>
            <w:pPr>
              <w:pStyle w:val="687"/>
              <w:rPr>
                <w:sz w:val="21"/>
              </w:rPr>
            </w:pPr>
            <w:r>
              <w:rPr>
                <w:sz w:val="21"/>
              </w:rPr>
              <w:t>三角形边框</w:t>
            </w:r>
          </w:p>
        </w:tc>
        <w:tc>
          <w:tcPr>
            <w:tcW w:w="1537" w:type="pct"/>
            <w:vAlign w:val="center"/>
          </w:tcPr>
          <w:p>
            <w:pPr>
              <w:pStyle w:val="687"/>
              <w:rPr>
                <w:sz w:val="21"/>
              </w:rPr>
            </w:pPr>
            <w:r>
              <w:rPr>
                <w:sz w:val="21"/>
              </w:rPr>
              <w:t>黄色</w:t>
            </w:r>
          </w:p>
        </w:tc>
        <w:tc>
          <w:tcPr>
            <w:tcW w:w="961" w:type="pct"/>
            <w:vAlign w:val="center"/>
          </w:tcPr>
          <w:p>
            <w:pPr>
              <w:pStyle w:val="687"/>
              <w:rPr>
                <w:sz w:val="21"/>
              </w:rPr>
            </w:pPr>
            <w:r>
              <w:rPr>
                <w:sz w:val="21"/>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0" w:type="pct"/>
            <w:vAlign w:val="center"/>
          </w:tcPr>
          <w:p>
            <w:pPr>
              <w:pStyle w:val="687"/>
              <w:rPr>
                <w:sz w:val="21"/>
              </w:rPr>
            </w:pPr>
            <w:r>
              <w:rPr>
                <w:sz w:val="21"/>
              </w:rPr>
              <w:t>提示标志</w:t>
            </w:r>
          </w:p>
        </w:tc>
        <w:tc>
          <w:tcPr>
            <w:tcW w:w="1462" w:type="pct"/>
            <w:vAlign w:val="center"/>
          </w:tcPr>
          <w:p>
            <w:pPr>
              <w:pStyle w:val="687"/>
              <w:rPr>
                <w:sz w:val="21"/>
              </w:rPr>
            </w:pPr>
            <w:r>
              <w:rPr>
                <w:sz w:val="21"/>
              </w:rPr>
              <w:t>正方形边框</w:t>
            </w:r>
          </w:p>
        </w:tc>
        <w:tc>
          <w:tcPr>
            <w:tcW w:w="1537" w:type="pct"/>
            <w:vAlign w:val="center"/>
          </w:tcPr>
          <w:p>
            <w:pPr>
              <w:pStyle w:val="687"/>
              <w:rPr>
                <w:sz w:val="21"/>
              </w:rPr>
            </w:pPr>
            <w:r>
              <w:rPr>
                <w:sz w:val="21"/>
              </w:rPr>
              <w:t>绿色</w:t>
            </w:r>
          </w:p>
        </w:tc>
        <w:tc>
          <w:tcPr>
            <w:tcW w:w="961" w:type="pct"/>
            <w:vAlign w:val="center"/>
          </w:tcPr>
          <w:p>
            <w:pPr>
              <w:pStyle w:val="687"/>
              <w:rPr>
                <w:sz w:val="21"/>
              </w:rPr>
            </w:pPr>
            <w:r>
              <w:rPr>
                <w:sz w:val="21"/>
              </w:rPr>
              <w:t>白色</w:t>
            </w:r>
          </w:p>
        </w:tc>
      </w:tr>
    </w:tbl>
    <w:p>
      <w:pPr>
        <w:pStyle w:val="400"/>
        <w:ind w:firstLine="420"/>
      </w:pPr>
      <w:r>
        <w:t>表</w:t>
      </w:r>
      <w:r>
        <w:rPr>
          <w:rFonts w:hint="eastAsia"/>
        </w:rPr>
        <w:t>8</w:t>
      </w:r>
      <w:r>
        <w:t>.</w:t>
      </w:r>
      <w:r>
        <w:rPr>
          <w:rFonts w:hint="eastAsia"/>
        </w:rPr>
        <w:t>4</w:t>
      </w:r>
      <w:r>
        <w:t>-2</w:t>
      </w:r>
      <w:r>
        <w:rPr>
          <w:rFonts w:hint="eastAsia"/>
        </w:rPr>
        <w:t xml:space="preserve">                 环境保护图形符号一览表</w:t>
      </w:r>
    </w:p>
    <w:tbl>
      <w:tblPr>
        <w:tblStyle w:val="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2786"/>
        <w:gridCol w:w="2787"/>
        <w:gridCol w:w="1134"/>
        <w:gridCol w:w="54"/>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0" w:type="pct"/>
            <w:vAlign w:val="center"/>
          </w:tcPr>
          <w:p>
            <w:pPr>
              <w:pStyle w:val="687"/>
              <w:rPr>
                <w:sz w:val="21"/>
                <w:lang w:eastAsia="zh-CN"/>
              </w:rPr>
            </w:pPr>
            <w:r>
              <w:rPr>
                <w:rFonts w:hint="eastAsia"/>
                <w:sz w:val="21"/>
                <w:lang w:eastAsia="zh-CN"/>
              </w:rPr>
              <w:t>序号</w:t>
            </w:r>
          </w:p>
        </w:tc>
        <w:tc>
          <w:tcPr>
            <w:tcW w:w="1651" w:type="pct"/>
            <w:vAlign w:val="center"/>
          </w:tcPr>
          <w:p>
            <w:pPr>
              <w:pStyle w:val="687"/>
              <w:rPr>
                <w:sz w:val="21"/>
              </w:rPr>
            </w:pPr>
            <w:r>
              <w:rPr>
                <w:rFonts w:hint="eastAsia"/>
                <w:sz w:val="21"/>
                <w:lang w:eastAsia="zh-CN"/>
              </w:rPr>
              <w:t>提示图形符合</w:t>
            </w:r>
          </w:p>
        </w:tc>
        <w:tc>
          <w:tcPr>
            <w:tcW w:w="1652" w:type="pct"/>
            <w:vAlign w:val="center"/>
          </w:tcPr>
          <w:p>
            <w:pPr>
              <w:pStyle w:val="687"/>
              <w:rPr>
                <w:sz w:val="21"/>
                <w:lang w:eastAsia="zh-CN"/>
              </w:rPr>
            </w:pPr>
            <w:r>
              <w:rPr>
                <w:rFonts w:hint="eastAsia"/>
                <w:sz w:val="21"/>
                <w:lang w:eastAsia="zh-CN"/>
              </w:rPr>
              <w:t>警告图形符号</w:t>
            </w:r>
          </w:p>
        </w:tc>
        <w:tc>
          <w:tcPr>
            <w:tcW w:w="672" w:type="pct"/>
            <w:vAlign w:val="center"/>
          </w:tcPr>
          <w:p>
            <w:pPr>
              <w:pStyle w:val="687"/>
              <w:rPr>
                <w:sz w:val="21"/>
                <w:lang w:eastAsia="zh-CN"/>
              </w:rPr>
            </w:pPr>
            <w:r>
              <w:rPr>
                <w:rFonts w:hint="eastAsia"/>
                <w:sz w:val="21"/>
                <w:lang w:eastAsia="zh-CN"/>
              </w:rPr>
              <w:t>名称</w:t>
            </w:r>
          </w:p>
        </w:tc>
        <w:tc>
          <w:tcPr>
            <w:tcW w:w="735" w:type="pct"/>
            <w:gridSpan w:val="2"/>
            <w:vAlign w:val="center"/>
          </w:tcPr>
          <w:p>
            <w:pPr>
              <w:pStyle w:val="687"/>
              <w:rPr>
                <w:sz w:val="21"/>
                <w:lang w:eastAsia="zh-CN"/>
              </w:rPr>
            </w:pPr>
            <w:r>
              <w:rPr>
                <w:rFonts w:hint="eastAsia"/>
                <w:sz w:val="21"/>
                <w:lang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0" w:type="pct"/>
            <w:vAlign w:val="center"/>
          </w:tcPr>
          <w:p>
            <w:pPr>
              <w:pStyle w:val="687"/>
              <w:rPr>
                <w:sz w:val="21"/>
                <w:lang w:eastAsia="zh-CN"/>
              </w:rPr>
            </w:pPr>
            <w:r>
              <w:rPr>
                <w:rFonts w:hint="eastAsia"/>
                <w:sz w:val="21"/>
                <w:lang w:eastAsia="zh-CN"/>
              </w:rPr>
              <w:t>1</w:t>
            </w:r>
          </w:p>
        </w:tc>
        <w:tc>
          <w:tcPr>
            <w:tcW w:w="1651" w:type="pct"/>
            <w:vAlign w:val="center"/>
          </w:tcPr>
          <w:p>
            <w:pPr>
              <w:pStyle w:val="687"/>
              <w:spacing w:before="48" w:beforeLines="20" w:after="48" w:afterLines="20"/>
              <w:rPr>
                <w:sz w:val="21"/>
              </w:rPr>
            </w:pPr>
            <w:r>
              <w:rPr>
                <w:sz w:val="20"/>
                <w:lang w:eastAsia="zh-CN" w:bidi="ar-SA"/>
              </w:rPr>
              <w:drawing>
                <wp:inline distT="0" distB="0" distL="0" distR="0">
                  <wp:extent cx="1094740" cy="1101725"/>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02540" cy="1109495"/>
                          </a:xfrm>
                          <a:prstGeom prst="rect">
                            <a:avLst/>
                          </a:prstGeom>
                        </pic:spPr>
                      </pic:pic>
                    </a:graphicData>
                  </a:graphic>
                </wp:inline>
              </w:drawing>
            </w:r>
          </w:p>
        </w:tc>
        <w:tc>
          <w:tcPr>
            <w:tcW w:w="1652" w:type="pct"/>
            <w:vAlign w:val="center"/>
          </w:tcPr>
          <w:p>
            <w:pPr>
              <w:pStyle w:val="687"/>
              <w:rPr>
                <w:sz w:val="21"/>
              </w:rPr>
            </w:pPr>
            <w:r>
              <w:rPr>
                <w:sz w:val="20"/>
                <w:lang w:eastAsia="zh-CN" w:bidi="ar-SA"/>
              </w:rPr>
              <w:drawing>
                <wp:inline distT="0" distB="0" distL="0" distR="0">
                  <wp:extent cx="1073785" cy="107378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79860" cy="1079508"/>
                          </a:xfrm>
                          <a:prstGeom prst="rect">
                            <a:avLst/>
                          </a:prstGeom>
                        </pic:spPr>
                      </pic:pic>
                    </a:graphicData>
                  </a:graphic>
                </wp:inline>
              </w:drawing>
            </w:r>
          </w:p>
        </w:tc>
        <w:tc>
          <w:tcPr>
            <w:tcW w:w="672" w:type="pct"/>
            <w:vAlign w:val="center"/>
          </w:tcPr>
          <w:p>
            <w:pPr>
              <w:pStyle w:val="687"/>
              <w:rPr>
                <w:sz w:val="21"/>
                <w:lang w:eastAsia="zh-CN"/>
              </w:rPr>
            </w:pPr>
            <w:r>
              <w:rPr>
                <w:rFonts w:hint="eastAsia"/>
                <w:sz w:val="21"/>
                <w:lang w:eastAsia="zh-CN"/>
              </w:rPr>
              <w:t>废气排放口</w:t>
            </w:r>
          </w:p>
        </w:tc>
        <w:tc>
          <w:tcPr>
            <w:tcW w:w="735" w:type="pct"/>
            <w:gridSpan w:val="2"/>
            <w:vAlign w:val="center"/>
          </w:tcPr>
          <w:p>
            <w:pPr>
              <w:pStyle w:val="687"/>
              <w:rPr>
                <w:sz w:val="21"/>
                <w:lang w:eastAsia="zh-CN"/>
              </w:rPr>
            </w:pPr>
            <w:r>
              <w:rPr>
                <w:rFonts w:hint="eastAsia"/>
                <w:sz w:val="21"/>
                <w:lang w:eastAsia="zh-CN"/>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0" w:type="pct"/>
            <w:vAlign w:val="center"/>
          </w:tcPr>
          <w:p>
            <w:pPr>
              <w:pStyle w:val="687"/>
              <w:rPr>
                <w:sz w:val="21"/>
                <w:lang w:eastAsia="zh-CN"/>
              </w:rPr>
            </w:pPr>
            <w:r>
              <w:rPr>
                <w:rFonts w:hint="eastAsia"/>
                <w:sz w:val="21"/>
                <w:lang w:eastAsia="zh-CN"/>
              </w:rPr>
              <w:t>2</w:t>
            </w:r>
          </w:p>
        </w:tc>
        <w:tc>
          <w:tcPr>
            <w:tcW w:w="1651" w:type="pct"/>
            <w:vAlign w:val="center"/>
          </w:tcPr>
          <w:p>
            <w:pPr>
              <w:pStyle w:val="687"/>
              <w:spacing w:before="48" w:beforeLines="20" w:after="48" w:afterLines="20"/>
              <w:rPr>
                <w:sz w:val="21"/>
              </w:rPr>
            </w:pPr>
            <w:r>
              <w:rPr>
                <w:sz w:val="20"/>
                <w:lang w:eastAsia="zh-CN" w:bidi="ar-SA"/>
              </w:rPr>
              <w:drawing>
                <wp:inline distT="0" distB="0" distL="0" distR="0">
                  <wp:extent cx="1190625" cy="1198245"/>
                  <wp:effectExtent l="0" t="0" r="9525"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99899" cy="1207469"/>
                          </a:xfrm>
                          <a:prstGeom prst="rect">
                            <a:avLst/>
                          </a:prstGeom>
                        </pic:spPr>
                      </pic:pic>
                    </a:graphicData>
                  </a:graphic>
                </wp:inline>
              </w:drawing>
            </w:r>
          </w:p>
        </w:tc>
        <w:tc>
          <w:tcPr>
            <w:tcW w:w="1652" w:type="pct"/>
            <w:vAlign w:val="center"/>
          </w:tcPr>
          <w:p>
            <w:pPr>
              <w:pStyle w:val="687"/>
              <w:rPr>
                <w:sz w:val="21"/>
              </w:rPr>
            </w:pPr>
            <w:r>
              <w:rPr>
                <w:sz w:val="20"/>
                <w:lang w:eastAsia="zh-CN" w:bidi="ar-SA"/>
              </w:rPr>
              <w:drawing>
                <wp:inline distT="0" distB="0" distL="0" distR="0">
                  <wp:extent cx="1186180" cy="1198880"/>
                  <wp:effectExtent l="0" t="0" r="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95856" cy="1208569"/>
                          </a:xfrm>
                          <a:prstGeom prst="rect">
                            <a:avLst/>
                          </a:prstGeom>
                        </pic:spPr>
                      </pic:pic>
                    </a:graphicData>
                  </a:graphic>
                </wp:inline>
              </w:drawing>
            </w:r>
          </w:p>
        </w:tc>
        <w:tc>
          <w:tcPr>
            <w:tcW w:w="672" w:type="pct"/>
            <w:vAlign w:val="center"/>
          </w:tcPr>
          <w:p>
            <w:pPr>
              <w:pStyle w:val="687"/>
              <w:rPr>
                <w:sz w:val="21"/>
                <w:lang w:eastAsia="zh-CN"/>
              </w:rPr>
            </w:pPr>
            <w:r>
              <w:rPr>
                <w:rFonts w:hint="eastAsia"/>
                <w:sz w:val="21"/>
                <w:lang w:eastAsia="zh-CN"/>
              </w:rPr>
              <w:t>废水排放口</w:t>
            </w:r>
          </w:p>
        </w:tc>
        <w:tc>
          <w:tcPr>
            <w:tcW w:w="735" w:type="pct"/>
            <w:gridSpan w:val="2"/>
            <w:vAlign w:val="center"/>
          </w:tcPr>
          <w:p>
            <w:pPr>
              <w:pStyle w:val="687"/>
              <w:rPr>
                <w:sz w:val="21"/>
                <w:lang w:eastAsia="zh-CN"/>
              </w:rPr>
            </w:pPr>
            <w:r>
              <w:rPr>
                <w:rFonts w:hint="eastAsia"/>
                <w:sz w:val="21"/>
                <w:lang w:eastAsia="zh-CN"/>
              </w:rPr>
              <w:t>表示废水向水体排放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0" w:type="pct"/>
            <w:vAlign w:val="center"/>
          </w:tcPr>
          <w:p>
            <w:pPr>
              <w:pStyle w:val="687"/>
              <w:rPr>
                <w:sz w:val="21"/>
                <w:lang w:eastAsia="zh-CN"/>
              </w:rPr>
            </w:pPr>
            <w:r>
              <w:rPr>
                <w:rFonts w:hint="eastAsia"/>
                <w:sz w:val="21"/>
                <w:lang w:eastAsia="zh-CN"/>
              </w:rPr>
              <w:t>3</w:t>
            </w:r>
          </w:p>
        </w:tc>
        <w:tc>
          <w:tcPr>
            <w:tcW w:w="1651" w:type="pct"/>
            <w:vAlign w:val="center"/>
          </w:tcPr>
          <w:p>
            <w:pPr>
              <w:pStyle w:val="687"/>
              <w:spacing w:before="48" w:beforeLines="20" w:after="48" w:afterLines="20"/>
              <w:rPr>
                <w:sz w:val="21"/>
              </w:rPr>
            </w:pPr>
            <w:r>
              <w:rPr>
                <w:sz w:val="20"/>
                <w:lang w:eastAsia="zh-CN" w:bidi="ar-SA"/>
              </w:rPr>
              <w:drawing>
                <wp:inline distT="0" distB="0" distL="0" distR="0">
                  <wp:extent cx="1158875" cy="1158875"/>
                  <wp:effectExtent l="0" t="0" r="3175"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166982" cy="1166982"/>
                          </a:xfrm>
                          <a:prstGeom prst="rect">
                            <a:avLst/>
                          </a:prstGeom>
                        </pic:spPr>
                      </pic:pic>
                    </a:graphicData>
                  </a:graphic>
                </wp:inline>
              </w:drawing>
            </w:r>
          </w:p>
        </w:tc>
        <w:tc>
          <w:tcPr>
            <w:tcW w:w="1652" w:type="pct"/>
            <w:vAlign w:val="center"/>
          </w:tcPr>
          <w:p>
            <w:pPr>
              <w:pStyle w:val="687"/>
              <w:rPr>
                <w:sz w:val="21"/>
              </w:rPr>
            </w:pPr>
            <w:r>
              <w:rPr>
                <w:sz w:val="20"/>
                <w:lang w:eastAsia="zh-CN" w:bidi="ar-SA"/>
              </w:rPr>
              <w:drawing>
                <wp:inline distT="0" distB="0" distL="0" distR="0">
                  <wp:extent cx="1239520" cy="110553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51127" cy="1115630"/>
                          </a:xfrm>
                          <a:prstGeom prst="rect">
                            <a:avLst/>
                          </a:prstGeom>
                        </pic:spPr>
                      </pic:pic>
                    </a:graphicData>
                  </a:graphic>
                </wp:inline>
              </w:drawing>
            </w:r>
          </w:p>
        </w:tc>
        <w:tc>
          <w:tcPr>
            <w:tcW w:w="672" w:type="pct"/>
            <w:vAlign w:val="center"/>
          </w:tcPr>
          <w:p>
            <w:pPr>
              <w:pStyle w:val="687"/>
              <w:rPr>
                <w:sz w:val="21"/>
                <w:lang w:eastAsia="zh-CN"/>
              </w:rPr>
            </w:pPr>
            <w:r>
              <w:rPr>
                <w:rFonts w:hint="eastAsia"/>
                <w:sz w:val="21"/>
                <w:lang w:eastAsia="zh-CN"/>
              </w:rPr>
              <w:t>噪声排放源</w:t>
            </w:r>
          </w:p>
        </w:tc>
        <w:tc>
          <w:tcPr>
            <w:tcW w:w="735" w:type="pct"/>
            <w:gridSpan w:val="2"/>
            <w:vAlign w:val="center"/>
          </w:tcPr>
          <w:p>
            <w:pPr>
              <w:pStyle w:val="687"/>
              <w:rPr>
                <w:sz w:val="21"/>
                <w:lang w:eastAsia="zh-CN"/>
              </w:rPr>
            </w:pPr>
            <w:r>
              <w:rPr>
                <w:rFonts w:hint="eastAsia"/>
                <w:sz w:val="21"/>
                <w:lang w:eastAsia="zh-CN"/>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0" w:type="pct"/>
            <w:vAlign w:val="center"/>
          </w:tcPr>
          <w:p>
            <w:pPr>
              <w:pStyle w:val="687"/>
              <w:rPr>
                <w:sz w:val="21"/>
                <w:lang w:eastAsia="zh-CN"/>
              </w:rPr>
            </w:pPr>
            <w:r>
              <w:rPr>
                <w:rFonts w:hint="eastAsia"/>
                <w:sz w:val="21"/>
                <w:lang w:eastAsia="zh-CN"/>
              </w:rPr>
              <w:t>4</w:t>
            </w:r>
          </w:p>
        </w:tc>
        <w:tc>
          <w:tcPr>
            <w:tcW w:w="1651" w:type="pct"/>
            <w:vAlign w:val="center"/>
          </w:tcPr>
          <w:p>
            <w:pPr>
              <w:pStyle w:val="687"/>
              <w:spacing w:before="48" w:beforeLines="20" w:after="48" w:afterLines="20"/>
              <w:rPr>
                <w:sz w:val="21"/>
              </w:rPr>
            </w:pPr>
            <w:r>
              <w:rPr>
                <w:sz w:val="20"/>
                <w:lang w:eastAsia="zh-CN" w:bidi="ar-SA"/>
              </w:rPr>
              <w:drawing>
                <wp:inline distT="0" distB="0" distL="0" distR="0">
                  <wp:extent cx="1158875" cy="1165860"/>
                  <wp:effectExtent l="0" t="0" r="317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64386" cy="1171731"/>
                          </a:xfrm>
                          <a:prstGeom prst="rect">
                            <a:avLst/>
                          </a:prstGeom>
                        </pic:spPr>
                      </pic:pic>
                    </a:graphicData>
                  </a:graphic>
                </wp:inline>
              </w:drawing>
            </w:r>
          </w:p>
        </w:tc>
        <w:tc>
          <w:tcPr>
            <w:tcW w:w="1652" w:type="pct"/>
            <w:vAlign w:val="center"/>
          </w:tcPr>
          <w:p>
            <w:pPr>
              <w:pStyle w:val="687"/>
              <w:rPr>
                <w:sz w:val="21"/>
              </w:rPr>
            </w:pPr>
            <w:r>
              <w:rPr>
                <w:sz w:val="20"/>
                <w:lang w:eastAsia="zh-CN" w:bidi="ar-SA"/>
              </w:rPr>
              <w:drawing>
                <wp:inline distT="0" distB="0" distL="0" distR="0">
                  <wp:extent cx="1233170" cy="1146810"/>
                  <wp:effectExtent l="0" t="0" r="50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50482" cy="1163340"/>
                          </a:xfrm>
                          <a:prstGeom prst="rect">
                            <a:avLst/>
                          </a:prstGeom>
                        </pic:spPr>
                      </pic:pic>
                    </a:graphicData>
                  </a:graphic>
                </wp:inline>
              </w:drawing>
            </w:r>
          </w:p>
        </w:tc>
        <w:tc>
          <w:tcPr>
            <w:tcW w:w="672" w:type="pct"/>
            <w:vAlign w:val="center"/>
          </w:tcPr>
          <w:p>
            <w:pPr>
              <w:pStyle w:val="687"/>
              <w:rPr>
                <w:sz w:val="21"/>
              </w:rPr>
            </w:pPr>
            <w:r>
              <w:rPr>
                <w:rFonts w:hint="eastAsia"/>
                <w:sz w:val="21"/>
              </w:rPr>
              <w:t>一般固体废物</w:t>
            </w:r>
          </w:p>
        </w:tc>
        <w:tc>
          <w:tcPr>
            <w:tcW w:w="735" w:type="pct"/>
            <w:gridSpan w:val="2"/>
            <w:vAlign w:val="center"/>
          </w:tcPr>
          <w:p>
            <w:pPr>
              <w:pStyle w:val="687"/>
              <w:rPr>
                <w:sz w:val="21"/>
                <w:lang w:eastAsia="zh-CN"/>
              </w:rPr>
            </w:pPr>
            <w:r>
              <w:rPr>
                <w:rFonts w:hint="eastAsia"/>
                <w:sz w:val="21"/>
                <w:lang w:eastAsia="zh-CN"/>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vAlign w:val="center"/>
          </w:tcPr>
          <w:p>
            <w:pPr>
              <w:pStyle w:val="687"/>
              <w:rPr>
                <w:sz w:val="21"/>
                <w:lang w:eastAsia="zh-CN"/>
              </w:rPr>
            </w:pPr>
            <w:r>
              <w:rPr>
                <w:rFonts w:hint="eastAsia"/>
                <w:sz w:val="21"/>
                <w:lang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0" w:type="pct"/>
            <w:vAlign w:val="center"/>
          </w:tcPr>
          <w:p>
            <w:pPr>
              <w:pStyle w:val="687"/>
              <w:rPr>
                <w:sz w:val="21"/>
                <w:lang w:eastAsia="zh-CN"/>
              </w:rPr>
            </w:pPr>
            <w:r>
              <w:rPr>
                <w:rFonts w:hint="eastAsia"/>
                <w:sz w:val="21"/>
                <w:lang w:eastAsia="zh-CN"/>
              </w:rPr>
              <w:t>5</w:t>
            </w:r>
          </w:p>
        </w:tc>
        <w:tc>
          <w:tcPr>
            <w:tcW w:w="4007" w:type="pct"/>
            <w:gridSpan w:val="4"/>
            <w:vAlign w:val="center"/>
          </w:tcPr>
          <w:p>
            <w:pPr>
              <w:pStyle w:val="687"/>
              <w:rPr>
                <w:sz w:val="20"/>
                <w:lang w:eastAsia="zh-CN"/>
              </w:rPr>
            </w:pPr>
            <w:r>
              <w:rPr>
                <w:sz w:val="20"/>
                <w:lang w:eastAsia="zh-CN" w:bidi="ar-SA"/>
              </w:rPr>
              <w:drawing>
                <wp:inline distT="0" distB="0" distL="0" distR="0">
                  <wp:extent cx="2838450" cy="28384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48787" cy="2848787"/>
                          </a:xfrm>
                          <a:prstGeom prst="rect">
                            <a:avLst/>
                          </a:prstGeom>
                        </pic:spPr>
                      </pic:pic>
                    </a:graphicData>
                  </a:graphic>
                </wp:inline>
              </w:drawing>
            </w:r>
          </w:p>
        </w:tc>
        <w:tc>
          <w:tcPr>
            <w:tcW w:w="703" w:type="pct"/>
            <w:vAlign w:val="center"/>
          </w:tcPr>
          <w:p>
            <w:pPr>
              <w:pStyle w:val="687"/>
              <w:rPr>
                <w:sz w:val="21"/>
                <w:lang w:eastAsia="zh-CN"/>
              </w:rPr>
            </w:pPr>
            <w:r>
              <w:rPr>
                <w:rFonts w:hint="eastAsia"/>
                <w:sz w:val="21"/>
                <w:lang w:eastAsia="zh-CN"/>
              </w:rPr>
              <w:t>危险废物标签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0" w:type="pct"/>
            <w:vAlign w:val="center"/>
          </w:tcPr>
          <w:p>
            <w:pPr>
              <w:pStyle w:val="687"/>
              <w:rPr>
                <w:sz w:val="21"/>
                <w:lang w:eastAsia="zh-CN"/>
              </w:rPr>
            </w:pPr>
            <w:r>
              <w:rPr>
                <w:rFonts w:hint="eastAsia"/>
                <w:sz w:val="21"/>
                <w:lang w:eastAsia="zh-CN"/>
              </w:rPr>
              <w:t>6</w:t>
            </w:r>
          </w:p>
        </w:tc>
        <w:tc>
          <w:tcPr>
            <w:tcW w:w="4007" w:type="pct"/>
            <w:gridSpan w:val="4"/>
            <w:vAlign w:val="center"/>
          </w:tcPr>
          <w:p>
            <w:pPr>
              <w:pStyle w:val="687"/>
              <w:rPr>
                <w:sz w:val="20"/>
                <w:lang w:eastAsia="zh-CN"/>
              </w:rPr>
            </w:pPr>
            <w:r>
              <w:rPr>
                <w:sz w:val="20"/>
                <w:lang w:eastAsia="zh-CN" w:bidi="ar-SA"/>
              </w:rPr>
              <w:drawing>
                <wp:inline distT="0" distB="0" distL="0" distR="0">
                  <wp:extent cx="3093720" cy="1953895"/>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17403" cy="1969075"/>
                          </a:xfrm>
                          <a:prstGeom prst="rect">
                            <a:avLst/>
                          </a:prstGeom>
                        </pic:spPr>
                      </pic:pic>
                    </a:graphicData>
                  </a:graphic>
                </wp:inline>
              </w:drawing>
            </w:r>
          </w:p>
        </w:tc>
        <w:tc>
          <w:tcPr>
            <w:tcW w:w="703" w:type="pct"/>
            <w:vAlign w:val="center"/>
          </w:tcPr>
          <w:p>
            <w:pPr>
              <w:pStyle w:val="687"/>
              <w:rPr>
                <w:sz w:val="21"/>
                <w:lang w:eastAsia="zh-CN"/>
              </w:rPr>
            </w:pPr>
            <w:r>
              <w:rPr>
                <w:rFonts w:hint="eastAsia"/>
                <w:sz w:val="21"/>
                <w:lang w:eastAsia="zh-CN"/>
              </w:rPr>
              <w:t>危险废物贮存设施标志</w:t>
            </w:r>
          </w:p>
        </w:tc>
      </w:tr>
    </w:tbl>
    <w:p>
      <w:pPr>
        <w:pStyle w:val="4"/>
        <w:spacing w:before="120" w:after="120"/>
      </w:pPr>
      <w:bookmarkStart w:id="507" w:name="_Toc145580484"/>
      <w:bookmarkStart w:id="508" w:name="_Toc117333574"/>
      <w:bookmarkStart w:id="509" w:name="_Toc107500434"/>
      <w:r>
        <w:t>8.6 环境影响评价制度与排污许可制衔接分析</w:t>
      </w:r>
      <w:bookmarkEnd w:id="507"/>
      <w:bookmarkEnd w:id="508"/>
    </w:p>
    <w:p>
      <w:pPr>
        <w:spacing w:line="460" w:lineRule="exact"/>
        <w:ind w:firstLine="480" w:firstLineChars="200"/>
        <w:rPr>
          <w:sz w:val="24"/>
        </w:rPr>
      </w:pPr>
      <w:r>
        <w:rPr>
          <w:sz w:val="24"/>
        </w:rPr>
        <w:t>根据环办环评[2017]84号《关于做好环境影响评价制度与排污许可制衔接相关工作的通知》，为贯彻落实《国务院办公厅关于印发控制污染物排放许可制实施方案的通知》（国办发〔2016〕81 号）和《环境保护部关于印发〈“十三五”环境影响评价改革实施方案〉的通知》（环环评〔2016〕95 号），推进环境质量改善，依据《</w:t>
      </w:r>
      <w:r>
        <w:rPr>
          <w:bCs/>
          <w:sz w:val="24"/>
        </w:rPr>
        <w:t>排污许可管理条例</w:t>
      </w:r>
      <w:r>
        <w:rPr>
          <w:sz w:val="24"/>
        </w:rPr>
        <w:t>》（国令第736号）做好建设项目环境影响评价制度与排污许可制有机衔接相关工作。</w:t>
      </w:r>
    </w:p>
    <w:p>
      <w:pPr>
        <w:spacing w:line="460" w:lineRule="exact"/>
        <w:ind w:firstLine="480" w:firstLineChars="200"/>
        <w:rPr>
          <w:sz w:val="24"/>
        </w:rPr>
      </w:pPr>
      <w:r>
        <w:rPr>
          <w:sz w:val="24"/>
        </w:rPr>
        <w:t>建设项目发生实际排污行为之前，排污单位应当按照国家环境保护相关法律法规以及</w:t>
      </w:r>
      <w:r>
        <w:rPr>
          <w:rFonts w:hint="eastAsia"/>
          <w:bCs/>
          <w:sz w:val="24"/>
        </w:rPr>
        <w:t>《排污许可证申请与核发技术规范 总则》（HJ</w:t>
      </w:r>
      <w:r>
        <w:rPr>
          <w:bCs/>
          <w:sz w:val="24"/>
        </w:rPr>
        <w:t>942-2018</w:t>
      </w:r>
      <w:r>
        <w:rPr>
          <w:rFonts w:hint="eastAsia"/>
          <w:bCs/>
          <w:sz w:val="24"/>
        </w:rPr>
        <w:t>）</w:t>
      </w:r>
      <w:r>
        <w:rPr>
          <w:bCs/>
          <w:sz w:val="24"/>
        </w:rPr>
        <w:t>中相关规定</w:t>
      </w:r>
      <w:r>
        <w:rPr>
          <w:rFonts w:hint="eastAsia"/>
          <w:sz w:val="24"/>
        </w:rPr>
        <w:t>变更</w:t>
      </w:r>
      <w:r>
        <w:rPr>
          <w:sz w:val="24"/>
        </w:rPr>
        <w:t>排污许可证，不得不按证排污。污染物排放相关的主要内容应当纳入排污许可证。</w:t>
      </w:r>
    </w:p>
    <w:p>
      <w:pPr>
        <w:spacing w:line="460" w:lineRule="exact"/>
        <w:ind w:firstLine="480" w:firstLineChars="200"/>
        <w:rPr>
          <w:sz w:val="24"/>
        </w:rPr>
      </w:pPr>
      <w:r>
        <w:rPr>
          <w:rFonts w:hint="eastAsia"/>
          <w:sz w:val="24"/>
        </w:rPr>
        <w:t>建设单位应于项目排污前变更排污登记，不得不按证排污。</w:t>
      </w:r>
    </w:p>
    <w:p>
      <w:pPr>
        <w:pStyle w:val="4"/>
        <w:spacing w:before="120" w:after="120"/>
      </w:pPr>
      <w:bookmarkStart w:id="510" w:name="_Toc145580485"/>
      <w:r>
        <w:rPr>
          <w:rFonts w:hint="eastAsia"/>
        </w:rPr>
        <w:t>8.</w:t>
      </w:r>
      <w:r>
        <w:t xml:space="preserve">7 </w:t>
      </w:r>
      <w:r>
        <w:rPr>
          <w:rFonts w:hint="eastAsia"/>
        </w:rPr>
        <w:t>企业环境信息公开</w:t>
      </w:r>
      <w:bookmarkEnd w:id="509"/>
      <w:bookmarkEnd w:id="510"/>
    </w:p>
    <w:p>
      <w:pPr>
        <w:pStyle w:val="694"/>
        <w:spacing w:line="460" w:lineRule="exact"/>
        <w:ind w:firstLine="480"/>
        <w:rPr>
          <w:rFonts w:ascii="Times New Roman" w:hAnsi="Times New Roman" w:cs="Times New Roman"/>
          <w:kern w:val="28"/>
        </w:rPr>
      </w:pPr>
      <w:r>
        <w:rPr>
          <w:rFonts w:ascii="Times New Roman" w:hAnsi="Times New Roman" w:cs="Times New Roman"/>
          <w:kern w:val="28"/>
        </w:rPr>
        <w:t>根据《企业事业单位环境信息公开办法》（环境保护部第31号）相关规定，企业事业单位应当建立健全本单位环境信息公开制度，制定机构负责本单位环境信息公开日常工作。根据企业特点，</w:t>
      </w:r>
      <w:r>
        <w:rPr>
          <w:rFonts w:ascii="Times New Roman" w:hAnsi="Times New Roman" w:cs="Times New Roman"/>
          <w:kern w:val="28"/>
          <w:lang w:bidi="en-US"/>
        </w:rPr>
        <w:t>新疆天安鑫业油气技术服务有限公司</w:t>
      </w:r>
      <w:r>
        <w:rPr>
          <w:rFonts w:ascii="Times New Roman" w:hAnsi="Times New Roman" w:cs="Times New Roman"/>
          <w:kern w:val="28"/>
        </w:rPr>
        <w:t>网站或本单位的资料索取点、信息公开栏、信息亭、电子屏幕或其他便于公众及时、准确获得信息的场所和方式公开下列信息：</w:t>
      </w:r>
    </w:p>
    <w:p>
      <w:pPr>
        <w:pStyle w:val="694"/>
        <w:spacing w:line="460" w:lineRule="exact"/>
        <w:ind w:firstLine="480"/>
        <w:rPr>
          <w:rFonts w:ascii="Times New Roman" w:hAnsi="Times New Roman" w:cs="Times New Roman"/>
          <w:kern w:val="28"/>
        </w:rPr>
      </w:pPr>
      <w:r>
        <w:rPr>
          <w:rFonts w:ascii="Times New Roman" w:hAnsi="Times New Roman" w:cs="Times New Roman"/>
          <w:kern w:val="28"/>
        </w:rPr>
        <w:t>1、项目基础信息：包括单位名称、组织机构代码、法定代表人、生产地址、联系方式，以及生产经营和管理服务的主要内容、产品及规模。</w:t>
      </w:r>
    </w:p>
    <w:p>
      <w:pPr>
        <w:pStyle w:val="694"/>
        <w:spacing w:line="460" w:lineRule="exact"/>
        <w:ind w:firstLine="480"/>
        <w:rPr>
          <w:rFonts w:ascii="Times New Roman" w:hAnsi="Times New Roman" w:cs="Times New Roman"/>
          <w:kern w:val="28"/>
        </w:rPr>
      </w:pPr>
      <w:r>
        <w:rPr>
          <w:rFonts w:ascii="Times New Roman" w:hAnsi="Times New Roman" w:cs="Times New Roman"/>
          <w:kern w:val="28"/>
        </w:rPr>
        <w:t>2、排污信息：包括主要污染物及特征污染物的名称、排放方式、排放口数量和分布情况、排放浓度和总量、超标情况，及执行的污染物排放标准、核定的排放总量。</w:t>
      </w:r>
    </w:p>
    <w:p>
      <w:pPr>
        <w:pStyle w:val="694"/>
        <w:spacing w:line="460" w:lineRule="exact"/>
        <w:ind w:firstLine="480"/>
        <w:rPr>
          <w:rFonts w:ascii="Times New Roman" w:hAnsi="Times New Roman" w:cs="Times New Roman"/>
          <w:kern w:val="28"/>
        </w:rPr>
      </w:pPr>
      <w:r>
        <w:rPr>
          <w:rFonts w:ascii="Times New Roman" w:hAnsi="Times New Roman" w:cs="Times New Roman"/>
          <w:kern w:val="28"/>
        </w:rPr>
        <w:t>3、防治污染设施的建设和运行情况。</w:t>
      </w:r>
    </w:p>
    <w:p>
      <w:pPr>
        <w:pStyle w:val="694"/>
        <w:spacing w:line="460" w:lineRule="exact"/>
        <w:ind w:firstLine="480"/>
        <w:rPr>
          <w:rFonts w:ascii="Times New Roman" w:hAnsi="Times New Roman" w:cs="Times New Roman"/>
          <w:kern w:val="28"/>
        </w:rPr>
      </w:pPr>
      <w:r>
        <w:rPr>
          <w:rFonts w:ascii="Times New Roman" w:hAnsi="Times New Roman" w:cs="Times New Roman"/>
          <w:kern w:val="28"/>
        </w:rPr>
        <w:t>4、建设项目环境影响评价及其他环境保护行政许可情况。</w:t>
      </w:r>
    </w:p>
    <w:p>
      <w:pPr>
        <w:pStyle w:val="694"/>
        <w:spacing w:line="460" w:lineRule="exact"/>
        <w:ind w:firstLine="480"/>
        <w:rPr>
          <w:rFonts w:ascii="Times New Roman" w:hAnsi="Times New Roman" w:cs="Times New Roman"/>
          <w:kern w:val="28"/>
        </w:rPr>
      </w:pPr>
      <w:r>
        <w:rPr>
          <w:rFonts w:ascii="Times New Roman" w:hAnsi="Times New Roman" w:cs="Times New Roman"/>
          <w:kern w:val="28"/>
        </w:rPr>
        <w:t>5、突发环境事件应急预案。</w:t>
      </w:r>
    </w:p>
    <w:p>
      <w:pPr>
        <w:pStyle w:val="694"/>
        <w:spacing w:line="460" w:lineRule="exact"/>
        <w:ind w:firstLine="480"/>
        <w:rPr>
          <w:rFonts w:ascii="Times New Roman" w:hAnsi="Times New Roman" w:cs="Times New Roman"/>
          <w:kern w:val="28"/>
        </w:rPr>
      </w:pPr>
      <w:r>
        <w:rPr>
          <w:rFonts w:ascii="Times New Roman" w:hAnsi="Times New Roman" w:cs="Times New Roman"/>
          <w:kern w:val="28"/>
        </w:rPr>
        <w:t>6、其他应当公开的环境信息。</w:t>
      </w:r>
    </w:p>
    <w:p>
      <w:pPr>
        <w:pStyle w:val="694"/>
        <w:spacing w:line="460" w:lineRule="exact"/>
        <w:ind w:firstLine="480"/>
        <w:rPr>
          <w:rFonts w:ascii="Times New Roman" w:hAnsi="Times New Roman" w:cs="Times New Roman"/>
          <w:kern w:val="28"/>
        </w:rPr>
      </w:pPr>
      <w:r>
        <w:rPr>
          <w:rFonts w:ascii="Times New Roman" w:hAnsi="Times New Roman" w:cs="Times New Roman"/>
          <w:kern w:val="28"/>
        </w:rPr>
        <w:t>如若公司的环境信息发生变更或有新生成时，应在环境信息生成或者变更之日起三十日内予以公开。环境保护主管部门应当宣传和引导公众监督企业事业单位环境信息公开工作。</w:t>
      </w:r>
    </w:p>
    <w:p>
      <w:pPr>
        <w:pStyle w:val="4"/>
        <w:spacing w:before="120" w:after="120"/>
      </w:pPr>
      <w:bookmarkStart w:id="511" w:name="_Toc454899409"/>
      <w:bookmarkStart w:id="512" w:name="_Toc107500435"/>
      <w:bookmarkStart w:id="513" w:name="_Toc145580486"/>
      <w:r>
        <w:rPr>
          <w:rFonts w:hint="eastAsia"/>
        </w:rPr>
        <w:t>8</w:t>
      </w:r>
      <w:r>
        <w:t>.</w:t>
      </w:r>
      <w:bookmarkEnd w:id="511"/>
      <w:r>
        <w:t>7</w:t>
      </w:r>
      <w:r>
        <w:rPr>
          <w:rFonts w:hint="eastAsia"/>
        </w:rPr>
        <w:t xml:space="preserve"> 竣工验收管理</w:t>
      </w:r>
      <w:bookmarkEnd w:id="512"/>
      <w:bookmarkEnd w:id="513"/>
    </w:p>
    <w:p>
      <w:pPr>
        <w:pStyle w:val="5"/>
        <w:spacing w:before="120" w:after="120"/>
        <w:rPr>
          <w:spacing w:val="0"/>
        </w:rPr>
      </w:pPr>
      <w:bookmarkStart w:id="514" w:name="_Toc145580487"/>
      <w:bookmarkStart w:id="515" w:name="_Toc107500436"/>
      <w:r>
        <w:rPr>
          <w:rFonts w:hint="eastAsia"/>
          <w:spacing w:val="0"/>
        </w:rPr>
        <w:t>8.</w:t>
      </w:r>
      <w:r>
        <w:rPr>
          <w:spacing w:val="0"/>
        </w:rPr>
        <w:t>7.</w:t>
      </w:r>
      <w:r>
        <w:rPr>
          <w:rFonts w:hint="eastAsia"/>
          <w:spacing w:val="0"/>
        </w:rPr>
        <w:t>1竣工验收管理及要求</w:t>
      </w:r>
      <w:bookmarkEnd w:id="514"/>
      <w:bookmarkEnd w:id="515"/>
    </w:p>
    <w:p>
      <w:pPr>
        <w:pStyle w:val="494"/>
        <w:ind w:firstLine="480"/>
      </w:pPr>
      <w:r>
        <w:rPr>
          <w:rFonts w:hint="eastAsia"/>
        </w:rPr>
        <w:t>根据《建设项目环境保护管理条例》、《建设项目竣工环境保护验收暂行办法》及《建设项目竣工环境保护验收技术规范》的规定，在建设项目正式投入生产或使用之前，建设单位必须组织环境保护竣工验收，提交环境保护验收监测报告。</w:t>
      </w:r>
    </w:p>
    <w:p>
      <w:pPr>
        <w:pStyle w:val="5"/>
        <w:spacing w:before="120" w:after="120"/>
        <w:rPr>
          <w:spacing w:val="0"/>
        </w:rPr>
      </w:pPr>
      <w:bookmarkStart w:id="516" w:name="_Toc145580488"/>
      <w:bookmarkStart w:id="517" w:name="_Toc107500437"/>
      <w:r>
        <w:rPr>
          <w:rFonts w:hint="eastAsia"/>
          <w:spacing w:val="0"/>
        </w:rPr>
        <w:t>8.</w:t>
      </w:r>
      <w:r>
        <w:rPr>
          <w:spacing w:val="0"/>
        </w:rPr>
        <w:t>7</w:t>
      </w:r>
      <w:r>
        <w:rPr>
          <w:rFonts w:hint="eastAsia"/>
          <w:spacing w:val="0"/>
        </w:rPr>
        <w:t>.2环境保护“三同时”验收</w:t>
      </w:r>
      <w:bookmarkEnd w:id="516"/>
      <w:bookmarkEnd w:id="517"/>
    </w:p>
    <w:p>
      <w:pPr>
        <w:pStyle w:val="494"/>
        <w:ind w:firstLine="480"/>
        <w:rPr>
          <w:color w:val="FF0000"/>
        </w:rPr>
      </w:pPr>
      <w:r>
        <w:rPr>
          <w:rFonts w:hint="eastAsia"/>
          <w:color w:val="FF0000"/>
        </w:rPr>
        <w:t>根据建设项目环境管理办法，环境污染物防治设施必须与主体工程同时设计、同时施工、同时投入使用。项目完成后，应对环境保护设施进行验收。项目运营期“三同时”环保设施验收一览表见表8</w:t>
      </w:r>
      <w:r>
        <w:rPr>
          <w:color w:val="FF0000"/>
        </w:rPr>
        <w:t>.7-1</w:t>
      </w:r>
      <w:r>
        <w:rPr>
          <w:rFonts w:hint="eastAsia"/>
          <w:color w:val="FF0000"/>
        </w:rPr>
        <w:t>。</w:t>
      </w:r>
    </w:p>
    <w:p>
      <w:pPr>
        <w:pStyle w:val="400"/>
        <w:ind w:firstLine="420"/>
        <w:rPr>
          <w:color w:val="FF0000"/>
        </w:rPr>
      </w:pPr>
      <w:r>
        <w:rPr>
          <w:rFonts w:hint="eastAsia"/>
          <w:color w:val="FF0000"/>
        </w:rPr>
        <w:t>表8.</w:t>
      </w:r>
      <w:r>
        <w:rPr>
          <w:color w:val="FF0000"/>
        </w:rPr>
        <w:t>7</w:t>
      </w:r>
      <w:r>
        <w:rPr>
          <w:rFonts w:hint="eastAsia"/>
          <w:color w:val="FF0000"/>
        </w:rPr>
        <w:t xml:space="preserve">-1     </w:t>
      </w:r>
      <w:r>
        <w:rPr>
          <w:color w:val="FF0000"/>
        </w:rPr>
        <w:t xml:space="preserve">  </w:t>
      </w:r>
      <w:r>
        <w:rPr>
          <w:rFonts w:hint="eastAsia"/>
          <w:color w:val="FF0000"/>
        </w:rPr>
        <w:t xml:space="preserve"> 项目环境保护设施“三同时”验收一览表</w:t>
      </w:r>
    </w:p>
    <w:tbl>
      <w:tblPr>
        <w:tblStyle w:val="55"/>
        <w:tblW w:w="8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850"/>
        <w:gridCol w:w="2693"/>
        <w:gridCol w:w="2692"/>
        <w:gridCol w:w="2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bookmarkStart w:id="518" w:name="_Toc309715508"/>
            <w:bookmarkStart w:id="519" w:name="_Toc454899423"/>
            <w:r>
              <w:rPr>
                <w:color w:val="FF0000"/>
              </w:rPr>
              <w:t>类别</w:t>
            </w:r>
          </w:p>
        </w:tc>
        <w:tc>
          <w:tcPr>
            <w:tcW w:w="850"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污染  工序</w:t>
            </w:r>
          </w:p>
        </w:tc>
        <w:tc>
          <w:tcPr>
            <w:tcW w:w="2693"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主要设施</w:t>
            </w:r>
          </w:p>
        </w:tc>
        <w:tc>
          <w:tcPr>
            <w:tcW w:w="2692"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处理效果</w:t>
            </w:r>
          </w:p>
        </w:tc>
        <w:tc>
          <w:tcPr>
            <w:tcW w:w="2073"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bidi="en-US"/>
              </w:rPr>
            </w:pPr>
            <w:r>
              <w:rPr>
                <w:rFonts w:hint="eastAsia"/>
                <w:color w:val="FF0000"/>
                <w:kern w:val="0"/>
                <w:szCs w:val="21"/>
                <w:lang w:bidi="en-US"/>
              </w:rPr>
              <w:t>废气</w:t>
            </w:r>
          </w:p>
        </w:tc>
        <w:tc>
          <w:tcPr>
            <w:tcW w:w="850"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生产区</w:t>
            </w:r>
          </w:p>
        </w:tc>
        <w:tc>
          <w:tcPr>
            <w:tcW w:w="2693"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加强管理</w:t>
            </w:r>
          </w:p>
        </w:tc>
        <w:tc>
          <w:tcPr>
            <w:tcW w:w="2692"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厂界非甲烷总烃满足《陆上石油天然气开采工业大气污染物排放标准》（GB39728-2020）</w:t>
            </w:r>
          </w:p>
        </w:tc>
        <w:tc>
          <w:tcPr>
            <w:tcW w:w="2073"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《陆上石油天然气开采工业大气污染物排放标准》（GB39728-2020）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restar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废水</w:t>
            </w:r>
          </w:p>
        </w:tc>
        <w:tc>
          <w:tcPr>
            <w:tcW w:w="850"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生产废水</w:t>
            </w:r>
          </w:p>
        </w:tc>
        <w:tc>
          <w:tcPr>
            <w:tcW w:w="2693"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依托现有</w:t>
            </w:r>
            <w:r>
              <w:rPr>
                <w:color w:val="FF0000"/>
                <w:lang w:eastAsia="zh-CN"/>
              </w:rPr>
              <w:t>一座54m</w:t>
            </w:r>
            <w:r>
              <w:rPr>
                <w:color w:val="FF0000"/>
                <w:vertAlign w:val="superscript"/>
                <w:lang w:eastAsia="zh-CN"/>
              </w:rPr>
              <w:t>3</w:t>
            </w:r>
            <w:r>
              <w:rPr>
                <w:color w:val="FF0000"/>
                <w:lang w:eastAsia="zh-CN"/>
              </w:rPr>
              <w:t>排污罐储存后定期拉运至春风一号联合站处理达标后进行回注处置</w:t>
            </w:r>
          </w:p>
        </w:tc>
        <w:tc>
          <w:tcPr>
            <w:tcW w:w="2692"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全部经污水处理站处置后回用，不外排</w:t>
            </w:r>
          </w:p>
        </w:tc>
        <w:tc>
          <w:tcPr>
            <w:tcW w:w="2073"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按照环评要求处置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eastAsia="en-US" w:bidi="en-US"/>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污水下渗</w:t>
            </w:r>
          </w:p>
        </w:tc>
        <w:tc>
          <w:tcPr>
            <w:tcW w:w="2693"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rPr>
              <w:t>对厂区分区防渗</w:t>
            </w:r>
          </w:p>
        </w:tc>
        <w:tc>
          <w:tcPr>
            <w:tcW w:w="2692"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按照环评要求分区防渗处置</w:t>
            </w:r>
          </w:p>
        </w:tc>
        <w:tc>
          <w:tcPr>
            <w:tcW w:w="2073"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按照环评要求进行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restar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固体废物</w:t>
            </w:r>
          </w:p>
        </w:tc>
        <w:tc>
          <w:tcPr>
            <w:tcW w:w="850"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废分子筛</w:t>
            </w:r>
          </w:p>
        </w:tc>
        <w:tc>
          <w:tcPr>
            <w:tcW w:w="2693" w:type="dxa"/>
            <w:vMerge w:val="restart"/>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rFonts w:hint="eastAsia"/>
                <w:color w:val="FF0000"/>
                <w:lang w:eastAsia="zh-CN"/>
              </w:rPr>
              <w:t>依托现有</w:t>
            </w:r>
            <w:r>
              <w:rPr>
                <w:color w:val="FF0000"/>
                <w:lang w:eastAsia="zh-CN"/>
              </w:rPr>
              <w:t>危废暂存间，危险废物采用专用容器储存后，在危废暂存间分区存放，并设置标识、标牌及管理台账，定期交由</w:t>
            </w:r>
            <w:r>
              <w:rPr>
                <w:rFonts w:hint="eastAsia"/>
                <w:color w:val="FF0000"/>
                <w:lang w:eastAsia="zh-CN"/>
              </w:rPr>
              <w:t>新疆诺客蒙鑫环境技术有限公司</w:t>
            </w:r>
            <w:r>
              <w:rPr>
                <w:color w:val="FF0000"/>
                <w:lang w:eastAsia="zh-CN"/>
              </w:rPr>
              <w:t>处置</w:t>
            </w:r>
          </w:p>
        </w:tc>
        <w:tc>
          <w:tcPr>
            <w:tcW w:w="2692" w:type="dxa"/>
            <w:vMerge w:val="restar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按照环评要求进行</w:t>
            </w:r>
          </w:p>
        </w:tc>
        <w:tc>
          <w:tcPr>
            <w:tcW w:w="2073" w:type="dxa"/>
            <w:vMerge w:val="restart"/>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按照环评要求进行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eastAsia="en-US" w:bidi="en-US"/>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废润滑油</w:t>
            </w:r>
          </w:p>
        </w:tc>
        <w:tc>
          <w:tcPr>
            <w:tcW w:w="26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bidi="en-US"/>
              </w:rPr>
            </w:pPr>
          </w:p>
        </w:tc>
        <w:tc>
          <w:tcPr>
            <w:tcW w:w="26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eastAsia="en-US" w:bidi="en-US"/>
              </w:rPr>
            </w:pPr>
          </w:p>
        </w:tc>
        <w:tc>
          <w:tcPr>
            <w:tcW w:w="20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FF0000"/>
                <w:kern w:val="0"/>
                <w:szCs w:val="21"/>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噪声</w:t>
            </w:r>
          </w:p>
        </w:tc>
        <w:tc>
          <w:tcPr>
            <w:tcW w:w="850" w:type="dxa"/>
            <w:tcBorders>
              <w:top w:val="single" w:color="auto" w:sz="4" w:space="0"/>
              <w:left w:val="single" w:color="auto" w:sz="4" w:space="0"/>
              <w:bottom w:val="single" w:color="auto" w:sz="4" w:space="0"/>
              <w:right w:val="single" w:color="auto" w:sz="4" w:space="0"/>
            </w:tcBorders>
            <w:vAlign w:val="center"/>
          </w:tcPr>
          <w:p>
            <w:pPr>
              <w:pStyle w:val="670"/>
              <w:rPr>
                <w:color w:val="FF0000"/>
              </w:rPr>
            </w:pPr>
            <w:r>
              <w:rPr>
                <w:color w:val="FF0000"/>
              </w:rPr>
              <w:t>生产 设备</w:t>
            </w:r>
          </w:p>
        </w:tc>
        <w:tc>
          <w:tcPr>
            <w:tcW w:w="2693"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采取基础减振、隔声罩、消声器等措施</w:t>
            </w:r>
          </w:p>
        </w:tc>
        <w:tc>
          <w:tcPr>
            <w:tcW w:w="2692"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厂界噪声：</w:t>
            </w:r>
          </w:p>
          <w:p>
            <w:pPr>
              <w:pStyle w:val="670"/>
              <w:rPr>
                <w:color w:val="FF0000"/>
                <w:lang w:eastAsia="zh-CN"/>
              </w:rPr>
            </w:pPr>
            <w:r>
              <w:rPr>
                <w:color w:val="FF0000"/>
                <w:lang w:eastAsia="zh-CN"/>
              </w:rPr>
              <w:t>昼间≤60dB（A）</w:t>
            </w:r>
          </w:p>
          <w:p>
            <w:pPr>
              <w:pStyle w:val="670"/>
              <w:rPr>
                <w:color w:val="FF0000"/>
              </w:rPr>
            </w:pPr>
            <w:r>
              <w:rPr>
                <w:color w:val="FF0000"/>
              </w:rPr>
              <w:t>夜间≤50dB（A）</w:t>
            </w:r>
          </w:p>
        </w:tc>
        <w:tc>
          <w:tcPr>
            <w:tcW w:w="2073" w:type="dxa"/>
            <w:tcBorders>
              <w:top w:val="single" w:color="auto" w:sz="4" w:space="0"/>
              <w:left w:val="single" w:color="auto" w:sz="4" w:space="0"/>
              <w:bottom w:val="single" w:color="auto" w:sz="4" w:space="0"/>
              <w:right w:val="single" w:color="auto" w:sz="4" w:space="0"/>
            </w:tcBorders>
            <w:vAlign w:val="center"/>
          </w:tcPr>
          <w:p>
            <w:pPr>
              <w:pStyle w:val="670"/>
              <w:rPr>
                <w:color w:val="FF0000"/>
                <w:lang w:eastAsia="zh-CN"/>
              </w:rPr>
            </w:pPr>
            <w:r>
              <w:rPr>
                <w:color w:val="FF0000"/>
                <w:lang w:eastAsia="zh-CN"/>
              </w:rPr>
              <w:t>符合《工业企业厂界环境噪声排放标准》</w:t>
            </w:r>
          </w:p>
          <w:p>
            <w:pPr>
              <w:pStyle w:val="670"/>
              <w:rPr>
                <w:color w:val="FF0000"/>
              </w:rPr>
            </w:pPr>
            <w:r>
              <w:rPr>
                <w:color w:val="FF0000"/>
              </w:rPr>
              <w:t>(GB12348-2008)中2类标准</w:t>
            </w:r>
          </w:p>
        </w:tc>
      </w:tr>
    </w:tbl>
    <w:p>
      <w:pPr>
        <w:pStyle w:val="3"/>
      </w:pPr>
      <w:r>
        <w:br w:type="column"/>
      </w:r>
      <w:bookmarkStart w:id="520" w:name="_Toc145580489"/>
      <w:bookmarkStart w:id="521" w:name="_Toc107500438"/>
      <w:r>
        <w:rPr>
          <w:rFonts w:hint="eastAsia"/>
        </w:rPr>
        <w:t>9</w:t>
      </w:r>
      <w:r>
        <w:t>环境影响评价结论</w:t>
      </w:r>
      <w:bookmarkEnd w:id="518"/>
      <w:bookmarkEnd w:id="519"/>
      <w:bookmarkEnd w:id="520"/>
      <w:bookmarkEnd w:id="521"/>
    </w:p>
    <w:p>
      <w:pPr>
        <w:pStyle w:val="4"/>
        <w:spacing w:before="120" w:after="120"/>
      </w:pPr>
      <w:bookmarkStart w:id="522" w:name="_Toc145580490"/>
      <w:bookmarkStart w:id="523" w:name="_Toc107500439"/>
      <w:bookmarkStart w:id="524" w:name="_Toc309715510"/>
      <w:r>
        <w:rPr>
          <w:rFonts w:hint="eastAsia"/>
        </w:rPr>
        <w:t>9</w:t>
      </w:r>
      <w:r>
        <w:t>.1</w:t>
      </w:r>
      <w:r>
        <w:rPr>
          <w:rFonts w:hint="eastAsia"/>
        </w:rPr>
        <w:t xml:space="preserve"> </w:t>
      </w:r>
      <w:r>
        <w:t>结论</w:t>
      </w:r>
      <w:bookmarkEnd w:id="522"/>
      <w:bookmarkEnd w:id="523"/>
    </w:p>
    <w:p>
      <w:pPr>
        <w:pStyle w:val="5"/>
        <w:spacing w:before="120" w:after="120"/>
        <w:rPr>
          <w:spacing w:val="0"/>
        </w:rPr>
      </w:pPr>
      <w:bookmarkStart w:id="525" w:name="_Toc107500440"/>
      <w:bookmarkStart w:id="526" w:name="_Toc145580491"/>
      <w:r>
        <w:rPr>
          <w:rFonts w:hint="eastAsia"/>
          <w:spacing w:val="0"/>
        </w:rPr>
        <w:t>9</w:t>
      </w:r>
      <w:r>
        <w:rPr>
          <w:spacing w:val="0"/>
        </w:rPr>
        <w:t>.1.1 项目概况</w:t>
      </w:r>
      <w:bookmarkEnd w:id="525"/>
      <w:bookmarkEnd w:id="526"/>
    </w:p>
    <w:p>
      <w:pPr>
        <w:pStyle w:val="488"/>
        <w:ind w:firstLine="480"/>
        <w:rPr>
          <w:rFonts w:ascii="Times New Roman" w:hAnsi="Times New Roman" w:cs="Times New Roman"/>
        </w:rPr>
      </w:pPr>
      <w:bookmarkStart w:id="527" w:name="_Toc107500441"/>
      <w:r>
        <w:rPr>
          <w:rFonts w:ascii="Times New Roman" w:hAnsi="Times New Roman" w:cs="Times New Roman"/>
        </w:rPr>
        <w:t>（1）项目名称：新疆天安鑫业油气技术服务有限公司董701区块零散天然气回收项目</w:t>
      </w:r>
      <w:r>
        <w:rPr>
          <w:rFonts w:hint="eastAsia" w:ascii="Times New Roman" w:hAnsi="Times New Roman" w:cs="Times New Roman"/>
        </w:rPr>
        <w:t>技改项目</w:t>
      </w:r>
    </w:p>
    <w:p>
      <w:pPr>
        <w:pStyle w:val="488"/>
        <w:ind w:firstLine="480"/>
        <w:rPr>
          <w:rFonts w:ascii="Times New Roman" w:hAnsi="Times New Roman" w:cs="Times New Roman"/>
        </w:rPr>
      </w:pPr>
      <w:r>
        <w:rPr>
          <w:rFonts w:ascii="Times New Roman" w:hAnsi="Times New Roman" w:cs="Times New Roman"/>
        </w:rPr>
        <w:t>（2）建设性质：</w:t>
      </w:r>
      <w:r>
        <w:rPr>
          <w:rFonts w:hint="eastAsia" w:ascii="Times New Roman" w:hAnsi="Times New Roman" w:cs="Times New Roman"/>
        </w:rPr>
        <w:t>技术改造</w:t>
      </w:r>
    </w:p>
    <w:p>
      <w:pPr>
        <w:pStyle w:val="488"/>
        <w:ind w:firstLine="480"/>
        <w:rPr>
          <w:rFonts w:ascii="Times New Roman" w:hAnsi="Times New Roman" w:cs="Times New Roman"/>
        </w:rPr>
      </w:pPr>
      <w:r>
        <w:rPr>
          <w:rFonts w:ascii="Times New Roman" w:hAnsi="Times New Roman" w:cs="Times New Roman"/>
        </w:rPr>
        <w:t>（3）建设单位：新疆天安鑫业油气技术服务有限公司</w:t>
      </w:r>
    </w:p>
    <w:p>
      <w:pPr>
        <w:pStyle w:val="488"/>
        <w:ind w:firstLine="480"/>
        <w:rPr>
          <w:rFonts w:ascii="Times New Roman" w:hAnsi="Times New Roman" w:cs="Times New Roman"/>
        </w:rPr>
      </w:pPr>
      <w:r>
        <w:rPr>
          <w:rFonts w:ascii="Times New Roman" w:hAnsi="Times New Roman" w:cs="Times New Roman"/>
        </w:rPr>
        <w:t>（4）建设地点：</w:t>
      </w:r>
      <w:r>
        <w:rPr>
          <w:rFonts w:hint="eastAsia" w:ascii="Times New Roman" w:hAnsi="Times New Roman" w:cs="Times New Roman"/>
          <w:lang w:bidi="en-US"/>
        </w:rPr>
        <w:t>新疆天安鑫业油气技术服务有限公司现有厂区</w:t>
      </w:r>
      <w:r>
        <w:rPr>
          <w:rFonts w:ascii="Times New Roman" w:hAnsi="Times New Roman" w:cs="Times New Roman"/>
        </w:rPr>
        <w:t>位于新疆维吾尔自治区昌吉回族自治州阜康市境内北部沙漠区，阜康市董701区块董701-X1井场东侧</w:t>
      </w:r>
      <w:r>
        <w:rPr>
          <w:rFonts w:hint="eastAsia" w:ascii="Times New Roman" w:hAnsi="Times New Roman" w:cs="Times New Roman"/>
        </w:rPr>
        <w:t>22m处</w:t>
      </w:r>
      <w:r>
        <w:rPr>
          <w:rFonts w:ascii="Times New Roman" w:hAnsi="Times New Roman" w:cs="Times New Roman"/>
        </w:rPr>
        <w:t>，距离阜康市中心约34km，区域构造位置位于准噶尔盆地中央坳陷阜康凹陷东部的北斜坡，构造区划上属于中央坳陷，开发层系为侏罗系头屯河组J</w:t>
      </w:r>
      <w:r>
        <w:rPr>
          <w:rFonts w:ascii="Times New Roman" w:hAnsi="Times New Roman" w:cs="Times New Roman"/>
          <w:vertAlign w:val="subscript"/>
        </w:rPr>
        <w:t>2</w:t>
      </w:r>
      <w:r>
        <w:rPr>
          <w:rFonts w:ascii="Times New Roman" w:hAnsi="Times New Roman" w:cs="Times New Roman"/>
        </w:rPr>
        <w:t>t</w:t>
      </w:r>
      <w:r>
        <w:rPr>
          <w:rFonts w:ascii="Times New Roman" w:hAnsi="Times New Roman" w:cs="Times New Roman"/>
          <w:vertAlign w:val="subscript"/>
        </w:rPr>
        <w:t>3</w:t>
      </w:r>
      <w:r>
        <w:rPr>
          <w:rFonts w:ascii="Times New Roman" w:hAnsi="Times New Roman" w:cs="Times New Roman"/>
        </w:rPr>
        <w:t>5砂体。</w:t>
      </w:r>
      <w:r>
        <w:rPr>
          <w:rFonts w:hint="eastAsia" w:ascii="Times New Roman" w:hAnsi="Times New Roman" w:cs="Times New Roman"/>
        </w:rPr>
        <w:t>本项目位于</w:t>
      </w:r>
      <w:r>
        <w:rPr>
          <w:rFonts w:hint="eastAsia" w:ascii="Times New Roman" w:hAnsi="Times New Roman" w:cs="Times New Roman"/>
          <w:lang w:bidi="en-US"/>
        </w:rPr>
        <w:t>新疆天安鑫业油气技术服务有限公司现有厂区内</w:t>
      </w:r>
      <w:r>
        <w:rPr>
          <w:rFonts w:ascii="Times New Roman" w:hAnsi="Times New Roman" w:cs="Times New Roman"/>
          <w:lang w:bidi="en-US"/>
        </w:rPr>
        <w:t>。</w:t>
      </w:r>
      <w:r>
        <w:rPr>
          <w:rFonts w:ascii="Times New Roman" w:hAnsi="Times New Roman" w:cs="Times New Roman"/>
        </w:rPr>
        <w:t>厂区中心地理位置坐标为：88°2′15.49″E，44°27′47.76″N。</w:t>
      </w:r>
    </w:p>
    <w:p>
      <w:pPr>
        <w:pStyle w:val="488"/>
        <w:ind w:firstLine="480"/>
        <w:rPr>
          <w:rFonts w:ascii="Times New Roman" w:hAnsi="Times New Roman" w:cs="Times New Roman"/>
        </w:rPr>
      </w:pPr>
      <w:r>
        <w:rPr>
          <w:rFonts w:ascii="Times New Roman" w:hAnsi="Times New Roman" w:cs="Times New Roman"/>
        </w:rPr>
        <w:t>（5）建设规模：设计天然气日处理规模6×10</w:t>
      </w:r>
      <w:r>
        <w:rPr>
          <w:rFonts w:ascii="Times New Roman" w:hAnsi="Times New Roman" w:cs="Times New Roman"/>
          <w:vertAlign w:val="superscript"/>
        </w:rPr>
        <w:t>4</w:t>
      </w:r>
      <w:r>
        <w:rPr>
          <w:rFonts w:ascii="Times New Roman" w:hAnsi="Times New Roman" w:cs="Times New Roman"/>
        </w:rPr>
        <w:t>Nm</w:t>
      </w:r>
      <w:r>
        <w:rPr>
          <w:rFonts w:ascii="Times New Roman" w:hAnsi="Times New Roman" w:cs="Times New Roman"/>
          <w:vertAlign w:val="superscript"/>
        </w:rPr>
        <w:t>3</w:t>
      </w:r>
      <w:r>
        <w:rPr>
          <w:rFonts w:ascii="Times New Roman" w:hAnsi="Times New Roman" w:cs="Times New Roman"/>
        </w:rPr>
        <w:t>。</w:t>
      </w:r>
    </w:p>
    <w:p>
      <w:pPr>
        <w:pStyle w:val="488"/>
        <w:ind w:firstLine="480"/>
        <w:rPr>
          <w:rFonts w:ascii="Times New Roman" w:hAnsi="Times New Roman" w:cs="Times New Roman"/>
        </w:rPr>
      </w:pPr>
      <w:r>
        <w:rPr>
          <w:rFonts w:ascii="Times New Roman" w:hAnsi="Times New Roman" w:cs="Times New Roman"/>
        </w:rPr>
        <w:t>（6）工程总投资：项目总投资800万元。</w:t>
      </w:r>
    </w:p>
    <w:p>
      <w:pPr>
        <w:pStyle w:val="488"/>
        <w:ind w:firstLine="480"/>
        <w:rPr>
          <w:rFonts w:ascii="Times New Roman" w:hAnsi="Times New Roman" w:cs="Times New Roman"/>
        </w:rPr>
      </w:pPr>
      <w:r>
        <w:rPr>
          <w:rFonts w:ascii="Times New Roman" w:hAnsi="Times New Roman" w:cs="Times New Roman"/>
        </w:rPr>
        <w:t>（7）占地面积：</w:t>
      </w:r>
      <w:r>
        <w:rPr>
          <w:rFonts w:hint="eastAsia"/>
        </w:rPr>
        <w:t>本项目在现有厂区内进行</w:t>
      </w:r>
      <w:r>
        <w:t>建设，</w:t>
      </w:r>
      <w:r>
        <w:rPr>
          <w:rFonts w:hint="eastAsia"/>
        </w:rPr>
        <w:t>不新增</w:t>
      </w:r>
      <w:r>
        <w:t>占地面积</w:t>
      </w:r>
      <w:r>
        <w:rPr>
          <w:rFonts w:hint="eastAsia"/>
        </w:rPr>
        <w:t>。</w:t>
      </w:r>
    </w:p>
    <w:p>
      <w:pPr>
        <w:pStyle w:val="488"/>
        <w:ind w:firstLine="480"/>
        <w:rPr>
          <w:rFonts w:ascii="Times New Roman" w:hAnsi="Times New Roman" w:cs="Times New Roman"/>
        </w:rPr>
      </w:pPr>
      <w:r>
        <w:rPr>
          <w:rFonts w:ascii="Times New Roman" w:hAnsi="Times New Roman" w:cs="Times New Roman"/>
        </w:rPr>
        <w:t>（8）劳动定员及工作制度：本项目</w:t>
      </w:r>
      <w:r>
        <w:rPr>
          <w:rFonts w:hint="eastAsia" w:ascii="Times New Roman" w:hAnsi="Times New Roman" w:cs="Times New Roman"/>
        </w:rPr>
        <w:t>不新增工作人员</w:t>
      </w:r>
      <w:r>
        <w:rPr>
          <w:rFonts w:ascii="Times New Roman" w:hAnsi="Times New Roman" w:cs="Times New Roman"/>
        </w:rPr>
        <w:t>，年工作时间为330天，采用两班制，每班工作12h。</w:t>
      </w:r>
    </w:p>
    <w:p>
      <w:pPr>
        <w:pStyle w:val="5"/>
        <w:spacing w:before="120" w:after="120"/>
        <w:rPr>
          <w:spacing w:val="0"/>
        </w:rPr>
      </w:pPr>
      <w:bookmarkStart w:id="528" w:name="_Toc145580492"/>
      <w:r>
        <w:rPr>
          <w:rFonts w:hint="eastAsia"/>
          <w:spacing w:val="0"/>
        </w:rPr>
        <w:t>9</w:t>
      </w:r>
      <w:r>
        <w:rPr>
          <w:spacing w:val="0"/>
        </w:rPr>
        <w:t>.1.2</w:t>
      </w:r>
      <w:bookmarkStart w:id="529" w:name="_Toc309715512"/>
      <w:r>
        <w:rPr>
          <w:spacing w:val="0"/>
        </w:rPr>
        <w:t>环境质量现状</w:t>
      </w:r>
      <w:bookmarkEnd w:id="527"/>
      <w:bookmarkEnd w:id="528"/>
      <w:bookmarkEnd w:id="529"/>
    </w:p>
    <w:p>
      <w:pPr>
        <w:pStyle w:val="494"/>
        <w:ind w:firstLine="480"/>
      </w:pPr>
      <w:r>
        <w:rPr>
          <w:rFonts w:hint="eastAsia"/>
        </w:rPr>
        <w:t>（1）</w:t>
      </w:r>
      <w:r>
        <w:t>环境空气质量现状</w:t>
      </w:r>
    </w:p>
    <w:p>
      <w:pPr>
        <w:pStyle w:val="494"/>
        <w:ind w:firstLine="480"/>
      </w:pPr>
      <w:r>
        <w:rPr>
          <w:rFonts w:hint="eastAsia"/>
        </w:rPr>
        <w:t>项目所在区域PM</w:t>
      </w:r>
      <w:r>
        <w:rPr>
          <w:rFonts w:hint="eastAsia"/>
          <w:vertAlign w:val="subscript"/>
        </w:rPr>
        <w:t>10</w:t>
      </w:r>
      <w:r>
        <w:rPr>
          <w:rFonts w:hint="eastAsia"/>
        </w:rPr>
        <w:t>和PM</w:t>
      </w:r>
      <w:r>
        <w:rPr>
          <w:rFonts w:hint="eastAsia"/>
          <w:vertAlign w:val="subscript"/>
        </w:rPr>
        <w:t>2.5</w:t>
      </w:r>
      <w:r>
        <w:rPr>
          <w:rFonts w:hint="eastAsia"/>
        </w:rPr>
        <w:t xml:space="preserve"> 的年平均浓度均超过《环境空气质量标准》（GB3095-2012）的二级标准要求； CO 第 95 百分位数日平均浓度、O</w:t>
      </w:r>
      <w:r>
        <w:rPr>
          <w:rFonts w:hint="eastAsia"/>
          <w:vertAlign w:val="subscript"/>
        </w:rPr>
        <w:t>3</w:t>
      </w:r>
      <w:r>
        <w:rPr>
          <w:rFonts w:hint="eastAsia"/>
        </w:rPr>
        <w:t xml:space="preserve"> 最大 8 小时第 90 百分位数日平均浓度和SO</w:t>
      </w:r>
      <w:r>
        <w:rPr>
          <w:rFonts w:hint="eastAsia"/>
          <w:vertAlign w:val="subscript"/>
        </w:rPr>
        <w:t>2</w:t>
      </w:r>
      <w:r>
        <w:rPr>
          <w:rFonts w:hint="eastAsia"/>
        </w:rPr>
        <w:t>、NO</w:t>
      </w:r>
      <w:r>
        <w:rPr>
          <w:rFonts w:hint="eastAsia"/>
          <w:vertAlign w:val="subscript"/>
        </w:rPr>
        <w:t>2</w:t>
      </w:r>
      <w:r>
        <w:rPr>
          <w:rFonts w:hint="eastAsia"/>
        </w:rPr>
        <w:t>的年均浓度均满足《环境空气质量标准》（GB3095-2012）的二级标准要求，故本项目所在区域为不达标区域。</w:t>
      </w:r>
      <w:r>
        <w:t>项目所在区域非甲烷总烃的1小时浓度值满足《大气污染物综合排放标准详解》中的环境管理推荐限值</w:t>
      </w:r>
      <w:r>
        <w:rPr>
          <w:rFonts w:hint="eastAsia"/>
        </w:rPr>
        <w:t>，</w:t>
      </w:r>
      <w:r>
        <w:t>项目所在地非甲烷总烃达标</w:t>
      </w:r>
      <w:r>
        <w:rPr>
          <w:rFonts w:hint="eastAsia"/>
        </w:rPr>
        <w:t>。</w:t>
      </w:r>
    </w:p>
    <w:p>
      <w:pPr>
        <w:pStyle w:val="494"/>
        <w:ind w:firstLine="480"/>
      </w:pPr>
      <w:r>
        <w:rPr>
          <w:rFonts w:hint="eastAsia"/>
        </w:rPr>
        <w:t>（2）</w:t>
      </w:r>
      <w:r>
        <w:t>地下水环境质量现状</w:t>
      </w:r>
    </w:p>
    <w:p>
      <w:pPr>
        <w:pStyle w:val="488"/>
        <w:ind w:firstLine="480"/>
        <w:rPr>
          <w:rFonts w:ascii="Times New Roman" w:hAnsi="Times New Roman" w:cs="Times New Roman"/>
        </w:rPr>
      </w:pPr>
      <w:r>
        <w:rPr>
          <w:rFonts w:ascii="Times New Roman" w:hAnsi="Times New Roman" w:cs="Times New Roman"/>
        </w:rPr>
        <w:t>评价区域内三工河哈萨克民族乡、222团自来水厂</w:t>
      </w:r>
      <w:r>
        <w:rPr>
          <w:rFonts w:hint="eastAsia" w:ascii="Times New Roman" w:hAnsi="Times New Roman" w:cs="Times New Roman"/>
        </w:rPr>
        <w:t>和</w:t>
      </w:r>
      <w:r>
        <w:rPr>
          <w:rFonts w:ascii="Times New Roman" w:hAnsi="Times New Roman" w:cs="Times New Roman"/>
        </w:rPr>
        <w:t>董7井的各项监测因子均满足《地下水质量标准》（GB/T14848-2017）</w:t>
      </w:r>
      <w:r>
        <w:rPr>
          <w:rFonts w:hint="eastAsia" w:eastAsia="宋体"/>
        </w:rPr>
        <w:t>Ⅲ</w:t>
      </w:r>
      <w:r>
        <w:rPr>
          <w:rFonts w:ascii="Times New Roman" w:hAnsi="Times New Roman" w:cs="Times New Roman"/>
        </w:rPr>
        <w:t>类标准的要求</w:t>
      </w:r>
      <w:r>
        <w:rPr>
          <w:rFonts w:hint="eastAsia" w:ascii="Times New Roman" w:hAnsi="Times New Roman" w:cs="Times New Roman"/>
        </w:rPr>
        <w:t>，</w:t>
      </w:r>
      <w:r>
        <w:rPr>
          <w:rFonts w:ascii="Times New Roman" w:hAnsi="Times New Roman" w:cs="Times New Roman"/>
        </w:rPr>
        <w:t>项目区域地下水质量良好。</w:t>
      </w:r>
    </w:p>
    <w:p>
      <w:pPr>
        <w:pStyle w:val="494"/>
        <w:ind w:firstLine="480"/>
      </w:pPr>
      <w:r>
        <w:rPr>
          <w:rFonts w:hint="eastAsia"/>
        </w:rPr>
        <w:t>（3）</w:t>
      </w:r>
      <w:r>
        <w:t>声环境质量现状</w:t>
      </w:r>
    </w:p>
    <w:p>
      <w:pPr>
        <w:pStyle w:val="488"/>
        <w:ind w:firstLine="480"/>
        <w:rPr>
          <w:rFonts w:ascii="Times New Roman" w:hAnsi="Times New Roman" w:cs="Times New Roman"/>
        </w:rPr>
      </w:pPr>
      <w:r>
        <w:rPr>
          <w:rFonts w:ascii="Times New Roman" w:hAnsi="Times New Roman" w:cs="Times New Roman"/>
        </w:rPr>
        <w:t>由监测结果可知，本项目声环境质量满足《声环境质量标准》（GB3096-2008）中2类标准，说明项目所在地环境质量较好。</w:t>
      </w:r>
    </w:p>
    <w:p>
      <w:pPr>
        <w:pStyle w:val="494"/>
        <w:ind w:firstLine="480"/>
      </w:pPr>
      <w:r>
        <w:rPr>
          <w:rFonts w:hint="eastAsia"/>
        </w:rPr>
        <w:t>（4）土壤环境质量现状</w:t>
      </w:r>
    </w:p>
    <w:p>
      <w:pPr>
        <w:pStyle w:val="494"/>
        <w:ind w:firstLine="480"/>
      </w:pPr>
      <w:r>
        <w:rPr>
          <w:rFonts w:hint="eastAsia"/>
        </w:rPr>
        <w:t>项目各监测点位</w:t>
      </w:r>
      <w:r>
        <w:t>土壤各项监测因子均能满足《土壤环境质量 建设用地土壤污染风险管控标准》(GB36600－2018)中的第二类用地筛选值标准</w:t>
      </w:r>
      <w:r>
        <w:rPr>
          <w:rFonts w:hint="eastAsia"/>
        </w:rPr>
        <w:t>。</w:t>
      </w:r>
    </w:p>
    <w:bookmarkEnd w:id="524"/>
    <w:p>
      <w:pPr>
        <w:pStyle w:val="5"/>
        <w:spacing w:before="120" w:after="120"/>
        <w:rPr>
          <w:spacing w:val="0"/>
        </w:rPr>
      </w:pPr>
      <w:bookmarkStart w:id="530" w:name="_Toc309715513"/>
      <w:bookmarkStart w:id="531" w:name="_Toc107500442"/>
      <w:bookmarkStart w:id="532" w:name="_Toc145580493"/>
      <w:r>
        <w:rPr>
          <w:rFonts w:hint="eastAsia"/>
          <w:spacing w:val="0"/>
        </w:rPr>
        <w:t>9</w:t>
      </w:r>
      <w:r>
        <w:rPr>
          <w:spacing w:val="0"/>
        </w:rPr>
        <w:t>.1.3环境影响分析结论</w:t>
      </w:r>
      <w:bookmarkEnd w:id="530"/>
      <w:bookmarkEnd w:id="531"/>
      <w:bookmarkEnd w:id="532"/>
    </w:p>
    <w:p>
      <w:pPr>
        <w:pStyle w:val="494"/>
        <w:ind w:firstLine="480"/>
      </w:pPr>
      <w:r>
        <w:rPr>
          <w:rFonts w:hint="eastAsia"/>
        </w:rPr>
        <w:t>（1）施工期环境影响分析</w:t>
      </w:r>
    </w:p>
    <w:p>
      <w:pPr>
        <w:pStyle w:val="494"/>
        <w:ind w:firstLine="480"/>
      </w:pPr>
      <w:r>
        <w:rPr>
          <w:rFonts w:hint="eastAsia"/>
        </w:rPr>
        <w:t>本项目</w:t>
      </w:r>
      <w:r>
        <w:t>施工期污染主要为拆除现有设备</w:t>
      </w:r>
      <w:r>
        <w:rPr>
          <w:rFonts w:hint="eastAsia"/>
        </w:rPr>
        <w:t>及安装设备过程</w:t>
      </w:r>
      <w:r>
        <w:t>中产生的施工扬尘、施工噪声、施工废水、施工期固体废物</w:t>
      </w:r>
      <w:r>
        <w:rPr>
          <w:rFonts w:hint="eastAsia"/>
        </w:rPr>
        <w:t>。施工内容较少，</w:t>
      </w:r>
      <w:r>
        <w:t>施工期主要是噪声</w:t>
      </w:r>
      <w:r>
        <w:rPr>
          <w:rFonts w:hint="eastAsia"/>
        </w:rPr>
        <w:t>、废水</w:t>
      </w:r>
      <w:r>
        <w:t>和扬尘对环境的影响，</w:t>
      </w:r>
      <w:r>
        <w:rPr>
          <w:rFonts w:hint="eastAsia"/>
        </w:rPr>
        <w:t>施工期</w:t>
      </w:r>
      <w:r>
        <w:t>的影响是短暂和间歇的，且</w:t>
      </w:r>
      <w:r>
        <w:rPr>
          <w:rFonts w:hint="eastAsia"/>
        </w:rPr>
        <w:t>项目区</w:t>
      </w:r>
      <w:r>
        <w:t>周围环境简单，</w:t>
      </w:r>
      <w:r>
        <w:rPr>
          <w:rFonts w:hint="eastAsia"/>
        </w:rPr>
        <w:t>施工期</w:t>
      </w:r>
      <w:r>
        <w:t>在采取一定的</w:t>
      </w:r>
      <w:r>
        <w:rPr>
          <w:rFonts w:hint="eastAsia"/>
        </w:rPr>
        <w:t>污染防治</w:t>
      </w:r>
      <w:r>
        <w:t>措施后，</w:t>
      </w:r>
      <w:r>
        <w:rPr>
          <w:rFonts w:hint="eastAsia"/>
        </w:rPr>
        <w:t>可将施工期对外环境的影响</w:t>
      </w:r>
      <w:r>
        <w:t>降至最小程度。</w:t>
      </w:r>
    </w:p>
    <w:p>
      <w:pPr>
        <w:pStyle w:val="494"/>
        <w:ind w:firstLine="480"/>
      </w:pPr>
      <w:r>
        <w:rPr>
          <w:rFonts w:hint="eastAsia"/>
        </w:rPr>
        <w:t xml:space="preserve">（2）运营期环境影响评价 </w:t>
      </w:r>
    </w:p>
    <w:p>
      <w:pPr>
        <w:pStyle w:val="494"/>
        <w:ind w:firstLine="480"/>
      </w:pPr>
      <w:r>
        <w:rPr>
          <w:rFonts w:hint="eastAsia" w:ascii="宋体" w:hAnsi="宋体" w:cs="宋体"/>
          <w:lang w:eastAsia="ja-JP"/>
        </w:rPr>
        <w:t>①</w:t>
      </w:r>
      <w:r>
        <w:t>大气环境影响</w:t>
      </w:r>
      <w:r>
        <w:rPr>
          <w:rFonts w:hint="eastAsia"/>
        </w:rPr>
        <w:t>评价结论</w:t>
      </w:r>
    </w:p>
    <w:p>
      <w:pPr>
        <w:pStyle w:val="494"/>
        <w:ind w:firstLine="480"/>
        <w:rPr>
          <w:lang w:bidi="en-US"/>
        </w:rPr>
      </w:pPr>
      <w:r>
        <w:rPr>
          <w:rFonts w:hint="eastAsia"/>
          <w:lang w:bidi="en-US"/>
        </w:rPr>
        <w:t>项目正常运营期间非甲烷总烃最大落地浓度均远小于《大气污染物综合排放标准详解》中的环境管理推荐值要求。</w:t>
      </w:r>
    </w:p>
    <w:p>
      <w:pPr>
        <w:pStyle w:val="494"/>
        <w:ind w:firstLine="480"/>
      </w:pPr>
      <w:r>
        <w:rPr>
          <w:rFonts w:hint="eastAsia" w:ascii="宋体" w:hAnsi="宋体" w:cs="宋体"/>
          <w:lang w:eastAsia="ja-JP"/>
        </w:rPr>
        <w:t>②</w:t>
      </w:r>
      <w:r>
        <w:rPr>
          <w:rFonts w:hint="eastAsia"/>
        </w:rPr>
        <w:t>水环境影响分析结论</w:t>
      </w:r>
    </w:p>
    <w:p>
      <w:pPr>
        <w:pStyle w:val="494"/>
        <w:ind w:firstLine="480"/>
      </w:pPr>
      <w:r>
        <w:rPr>
          <w:rFonts w:hint="eastAsia"/>
        </w:rPr>
        <w:t>本项目生产废水主要为三相分离器中产生的含油污水、缓冲罐废水、干燥塔分子筛再生过程中脱离出的废水，根据工程分析计算，生产废水产生量为</w:t>
      </w:r>
      <w:r>
        <w:t>60m</w:t>
      </w:r>
      <w:r>
        <w:rPr>
          <w:vertAlign w:val="superscript"/>
        </w:rPr>
        <w:t>3</w:t>
      </w:r>
      <w:r>
        <w:t>/d</w:t>
      </w:r>
      <w:r>
        <w:rPr>
          <w:rFonts w:hint="eastAsia"/>
        </w:rPr>
        <w:t>，项目厂区设置有一座</w:t>
      </w:r>
      <w:r>
        <w:t>54m</w:t>
      </w:r>
      <w:r>
        <w:rPr>
          <w:vertAlign w:val="superscript"/>
        </w:rPr>
        <w:t>3</w:t>
      </w:r>
      <w:r>
        <w:rPr>
          <w:rFonts w:hint="eastAsia"/>
        </w:rPr>
        <w:t>排污罐，生产废水全部排入罐中，定期由罐车拉运至春风一号联合站处理达标后进行回注处置（约一天拉运2次），不会对周围水环境产生不良影响。项目建设期间对厂区进行分区防渗处理，废水均得到合理处置，采取上述措施后对项目区地下水环境的影响较小。</w:t>
      </w:r>
    </w:p>
    <w:p>
      <w:pPr>
        <w:pStyle w:val="494"/>
        <w:ind w:firstLine="480"/>
      </w:pPr>
      <w:r>
        <w:rPr>
          <w:rFonts w:hint="eastAsia" w:ascii="宋体" w:hAnsi="宋体" w:cs="宋体"/>
          <w:lang w:eastAsia="ja-JP"/>
        </w:rPr>
        <w:t>③</w:t>
      </w:r>
      <w:r>
        <w:rPr>
          <w:rFonts w:hint="eastAsia"/>
        </w:rPr>
        <w:t>运营期噪声环境影响分析结论</w:t>
      </w:r>
    </w:p>
    <w:p>
      <w:pPr>
        <w:pStyle w:val="494"/>
        <w:ind w:firstLine="480"/>
      </w:pPr>
      <w:r>
        <w:rPr>
          <w:rFonts w:hint="eastAsia"/>
        </w:rPr>
        <w:t>项目噪声源</w:t>
      </w:r>
      <w:r>
        <w:rPr>
          <w:rFonts w:hint="eastAsia"/>
          <w:bCs/>
        </w:rPr>
        <w:t>主要来自风机等动力噪声和工艺设备产生的机械噪声，噪声源强在</w:t>
      </w:r>
      <w:r>
        <w:rPr>
          <w:bCs/>
        </w:rPr>
        <w:t>7</w:t>
      </w:r>
      <w:r>
        <w:rPr>
          <w:rFonts w:hint="eastAsia"/>
          <w:bCs/>
        </w:rPr>
        <w:t>5dB(A)～9</w:t>
      </w:r>
      <w:r>
        <w:rPr>
          <w:bCs/>
        </w:rPr>
        <w:t>0</w:t>
      </w:r>
      <w:r>
        <w:rPr>
          <w:rFonts w:hint="eastAsia"/>
          <w:bCs/>
        </w:rPr>
        <w:t>dB(A)之间</w:t>
      </w:r>
      <w:r>
        <w:rPr>
          <w:rFonts w:hint="eastAsia"/>
        </w:rPr>
        <w:t>。采取选用低噪声设备，</w:t>
      </w:r>
      <w:r>
        <w:rPr>
          <w:lang w:bidi="en-US"/>
        </w:rPr>
        <w:t>基础减振、安装隔</w:t>
      </w:r>
      <w:r>
        <w:t>音罩、厂房隔声</w:t>
      </w:r>
      <w:r>
        <w:rPr>
          <w:rFonts w:hint="eastAsia"/>
        </w:rPr>
        <w:t>等措施后，根据预测结果显示，项目运营期厂界噪声值贡献值满足《工业企业厂界环境噪声排放标准》（</w:t>
      </w:r>
      <w:r>
        <w:t>GB12348-2008</w:t>
      </w:r>
      <w:r>
        <w:rPr>
          <w:rFonts w:hint="eastAsia"/>
        </w:rPr>
        <w:t>）中</w:t>
      </w:r>
      <w:r>
        <w:t>2</w:t>
      </w:r>
      <w:r>
        <w:rPr>
          <w:rFonts w:hint="eastAsia"/>
        </w:rPr>
        <w:t>类标准，对周围声环境影响较小。</w:t>
      </w:r>
    </w:p>
    <w:p>
      <w:pPr>
        <w:pStyle w:val="494"/>
        <w:ind w:firstLine="480"/>
      </w:pPr>
      <w:r>
        <w:rPr>
          <w:rFonts w:hint="eastAsia" w:ascii="宋体" w:hAnsi="宋体" w:cs="宋体"/>
          <w:lang w:eastAsia="ja-JP"/>
        </w:rPr>
        <w:t>④</w:t>
      </w:r>
      <w:r>
        <w:t>固体废弃物环境影响分析</w:t>
      </w:r>
    </w:p>
    <w:p>
      <w:pPr>
        <w:pStyle w:val="494"/>
        <w:ind w:firstLine="480"/>
      </w:pPr>
      <w:r>
        <w:rPr>
          <w:rFonts w:hint="eastAsia"/>
        </w:rPr>
        <w:t>根据分析，本项目产生的固体废物主要为</w:t>
      </w:r>
      <w:r>
        <w:t>废分子筛、废润滑油</w:t>
      </w:r>
      <w:r>
        <w:rPr>
          <w:rFonts w:hint="eastAsia"/>
        </w:rPr>
        <w:t>。</w:t>
      </w:r>
      <w:r>
        <w:rPr>
          <w:rFonts w:cs="Times New Roman"/>
          <w:kern w:val="28"/>
        </w:rPr>
        <w:t>废分子筛、废润滑油</w:t>
      </w:r>
      <w:r>
        <w:rPr>
          <w:rFonts w:hint="eastAsia" w:cs="Times New Roman"/>
          <w:kern w:val="28"/>
        </w:rPr>
        <w:t>暂存于现有危废暂存间后，委托</w:t>
      </w:r>
      <w:r>
        <w:rPr>
          <w:rFonts w:hint="eastAsia"/>
        </w:rPr>
        <w:t>新疆诺客蒙鑫环境技术有限公司处置。</w:t>
      </w:r>
    </w:p>
    <w:p>
      <w:pPr>
        <w:pStyle w:val="494"/>
        <w:ind w:firstLine="480"/>
      </w:pPr>
      <w:r>
        <w:rPr>
          <w:rFonts w:hint="eastAsia"/>
        </w:rPr>
        <w:t>本项目产生的固体废物在采取相应处置措施后，均得到合理处置与利用，对周围环境影响较小。</w:t>
      </w:r>
    </w:p>
    <w:p>
      <w:pPr>
        <w:pStyle w:val="5"/>
        <w:spacing w:before="120" w:after="120"/>
        <w:rPr>
          <w:spacing w:val="0"/>
        </w:rPr>
      </w:pPr>
      <w:bookmarkStart w:id="533" w:name="_Toc145580494"/>
      <w:bookmarkStart w:id="534" w:name="_Toc107500443"/>
      <w:r>
        <w:rPr>
          <w:rFonts w:hint="eastAsia"/>
          <w:spacing w:val="0"/>
        </w:rPr>
        <w:t>9</w:t>
      </w:r>
      <w:r>
        <w:rPr>
          <w:spacing w:val="0"/>
        </w:rPr>
        <w:t>.1.4</w:t>
      </w:r>
      <w:r>
        <w:rPr>
          <w:rFonts w:hint="eastAsia"/>
          <w:spacing w:val="0"/>
        </w:rPr>
        <w:t>运营期</w:t>
      </w:r>
      <w:r>
        <w:rPr>
          <w:spacing w:val="0"/>
        </w:rPr>
        <w:t>污染防治措施</w:t>
      </w:r>
      <w:r>
        <w:rPr>
          <w:rFonts w:hint="eastAsia"/>
          <w:spacing w:val="0"/>
        </w:rPr>
        <w:t>可行性</w:t>
      </w:r>
      <w:r>
        <w:rPr>
          <w:spacing w:val="0"/>
        </w:rPr>
        <w:t>评价结论</w:t>
      </w:r>
      <w:bookmarkEnd w:id="533"/>
      <w:bookmarkEnd w:id="534"/>
    </w:p>
    <w:p>
      <w:pPr>
        <w:pStyle w:val="494"/>
        <w:ind w:firstLine="480"/>
      </w:pPr>
      <w:r>
        <w:rPr>
          <w:rFonts w:hint="eastAsia"/>
        </w:rPr>
        <w:t>（1）</w:t>
      </w:r>
      <w:r>
        <w:t>废气污染防治措施</w:t>
      </w:r>
    </w:p>
    <w:p>
      <w:pPr>
        <w:pStyle w:val="494"/>
        <w:ind w:firstLine="480"/>
        <w:rPr>
          <w:bCs/>
        </w:rPr>
      </w:pPr>
      <w:r>
        <w:rPr>
          <w:rFonts w:hint="eastAsia"/>
        </w:rPr>
        <w:t>通过加强管理，根据预测，本项目</w:t>
      </w:r>
      <w:r>
        <w:rPr>
          <w:rFonts w:hint="eastAsia"/>
          <w:lang w:bidi="en-US"/>
        </w:rPr>
        <w:t>非甲烷总烃最大落地浓度均远小于《大气污染物综合排放标准详解》中的环境管理推荐值要求</w:t>
      </w:r>
      <w:r>
        <w:rPr>
          <w:rFonts w:hint="eastAsia"/>
          <w:bCs/>
        </w:rPr>
        <w:t>。</w:t>
      </w:r>
    </w:p>
    <w:p>
      <w:pPr>
        <w:pStyle w:val="494"/>
        <w:ind w:firstLine="480"/>
      </w:pPr>
      <w:r>
        <w:rPr>
          <w:rFonts w:hint="eastAsia"/>
        </w:rPr>
        <w:t>（2）</w:t>
      </w:r>
      <w:r>
        <w:t>废水污染防治措施</w:t>
      </w:r>
    </w:p>
    <w:p>
      <w:pPr>
        <w:pStyle w:val="494"/>
        <w:ind w:firstLine="480"/>
      </w:pPr>
      <w:r>
        <w:rPr>
          <w:rFonts w:hint="eastAsia"/>
        </w:rPr>
        <w:t>本项目生产废水主要为三相分离器中产生的含油污水、缓冲罐废水、干燥塔分子筛再生过程中脱离出的废水，根据工程分析计算，生产废水产生量为</w:t>
      </w:r>
      <w:r>
        <w:t>60m</w:t>
      </w:r>
      <w:r>
        <w:rPr>
          <w:vertAlign w:val="superscript"/>
        </w:rPr>
        <w:t>3</w:t>
      </w:r>
      <w:r>
        <w:t>/d</w:t>
      </w:r>
      <w:r>
        <w:rPr>
          <w:rFonts w:hint="eastAsia"/>
        </w:rPr>
        <w:t>，项目厂区设置有一座</w:t>
      </w:r>
      <w:r>
        <w:t>54m</w:t>
      </w:r>
      <w:r>
        <w:rPr>
          <w:vertAlign w:val="superscript"/>
        </w:rPr>
        <w:t>3</w:t>
      </w:r>
      <w:r>
        <w:rPr>
          <w:rFonts w:hint="eastAsia"/>
        </w:rPr>
        <w:t>排污罐，生产废水全部排入罐中，定期由罐车拉运至春风一号联合站处理达标后进行回注处置（约一天拉运2次），不会对周围水环境产生不良影响。项目建设期间对厂区进行分区防渗处理，废水均得到合理处置，采取上述措施后对项目区地下水环境的影响较小。</w:t>
      </w:r>
    </w:p>
    <w:p>
      <w:pPr>
        <w:pStyle w:val="494"/>
        <w:ind w:firstLine="480"/>
      </w:pPr>
      <w:r>
        <w:rPr>
          <w:rFonts w:hint="eastAsia"/>
        </w:rPr>
        <w:t>（3）</w:t>
      </w:r>
      <w:r>
        <w:t>噪声污染防治措施</w:t>
      </w:r>
    </w:p>
    <w:p>
      <w:pPr>
        <w:pStyle w:val="494"/>
        <w:ind w:firstLine="480"/>
      </w:pPr>
      <w:r>
        <w:rPr>
          <w:rFonts w:hint="eastAsia" w:ascii="宋体" w:hAnsi="宋体" w:cs="宋体"/>
          <w:lang w:eastAsia="ja-JP"/>
        </w:rPr>
        <w:t>①</w:t>
      </w:r>
      <w:r>
        <w:rPr>
          <w:rFonts w:hint="eastAsia"/>
        </w:rPr>
        <w:t>合理布置噪声源：将高噪声设备尽可能布置远离厂界，加大了噪声的距离衰减，并采取相应的降噪措施，确保实现厂界达标。</w:t>
      </w:r>
    </w:p>
    <w:p>
      <w:pPr>
        <w:pStyle w:val="494"/>
        <w:ind w:firstLine="480"/>
      </w:pPr>
      <w:r>
        <w:rPr>
          <w:rFonts w:hint="eastAsia" w:ascii="宋体" w:hAnsi="宋体" w:cs="宋体"/>
          <w:lang w:eastAsia="ja-JP"/>
        </w:rPr>
        <w:t>②</w:t>
      </w:r>
      <w:r>
        <w:rPr>
          <w:rFonts w:hint="eastAsia"/>
        </w:rPr>
        <w:t>选择低噪声设备：源头控制，设备选用低噪声、低振动设备，设备设有减振基础并采用消声措施。对空气流动噪声采用在气流通道上安装消声器装置以降低噪声。加强设备的运营维护，减少设备在非正常工况下运转产生噪声的影响。</w:t>
      </w:r>
    </w:p>
    <w:p>
      <w:pPr>
        <w:pStyle w:val="494"/>
        <w:ind w:firstLine="480"/>
      </w:pPr>
      <w:r>
        <w:rPr>
          <w:rFonts w:hint="eastAsia"/>
        </w:rPr>
        <w:t>通过采取以上措施后，设备噪声经隔声和距离衰减后，厂界噪声贡献值很低，厂界噪声满足《工业企业厂界环境噪声排放标准》（</w:t>
      </w:r>
      <w:r>
        <w:t>GB12348-2008</w:t>
      </w:r>
      <w:r>
        <w:rPr>
          <w:rFonts w:hint="eastAsia"/>
        </w:rPr>
        <w:t>）中</w:t>
      </w:r>
      <w:r>
        <w:t>2</w:t>
      </w:r>
      <w:r>
        <w:rPr>
          <w:rFonts w:hint="eastAsia"/>
        </w:rPr>
        <w:t>类标准限值要求，因此，噪声防治措施是有效、可行的。</w:t>
      </w:r>
    </w:p>
    <w:p>
      <w:pPr>
        <w:pStyle w:val="494"/>
        <w:ind w:firstLine="480"/>
      </w:pPr>
      <w:r>
        <w:rPr>
          <w:rFonts w:hint="eastAsia"/>
        </w:rPr>
        <w:t>（4）</w:t>
      </w:r>
      <w:r>
        <w:t>固废污染防治措施</w:t>
      </w:r>
    </w:p>
    <w:p>
      <w:pPr>
        <w:pStyle w:val="494"/>
        <w:ind w:firstLine="480"/>
      </w:pPr>
      <w:r>
        <w:rPr>
          <w:rFonts w:hint="eastAsia"/>
        </w:rPr>
        <w:t>本项目产生的固体废物主要为</w:t>
      </w:r>
      <w:r>
        <w:t>废分子筛、废润滑油</w:t>
      </w:r>
      <w:r>
        <w:rPr>
          <w:rFonts w:hint="eastAsia"/>
        </w:rPr>
        <w:t>。</w:t>
      </w:r>
    </w:p>
    <w:p>
      <w:pPr>
        <w:pStyle w:val="494"/>
        <w:ind w:firstLine="480"/>
      </w:pPr>
      <w:r>
        <w:rPr>
          <w:rFonts w:cs="Times New Roman"/>
          <w:kern w:val="28"/>
        </w:rPr>
        <w:t>废分子筛、废润滑油</w:t>
      </w:r>
      <w:r>
        <w:rPr>
          <w:rFonts w:hint="eastAsia" w:cs="Times New Roman"/>
          <w:kern w:val="28"/>
        </w:rPr>
        <w:t>暂存于现有危废暂存间后，委托</w:t>
      </w:r>
      <w:r>
        <w:rPr>
          <w:rFonts w:hint="eastAsia"/>
        </w:rPr>
        <w:t>新疆诺客蒙鑫环境技术有限公司处置。本项目产生的固体废物在采取上述处置措施后，均得到合理处置与利用，对周围环境影响较小。</w:t>
      </w:r>
    </w:p>
    <w:p>
      <w:pPr>
        <w:pStyle w:val="494"/>
        <w:ind w:firstLine="480"/>
      </w:pPr>
      <w:r>
        <w:t>综上所述，企业在严格落实环评所提固废处置措施后，各类固废均得到综合利用，固废对环境影响很小，固废处置措施可行。</w:t>
      </w:r>
    </w:p>
    <w:p>
      <w:pPr>
        <w:pStyle w:val="5"/>
        <w:spacing w:before="120" w:after="120"/>
        <w:rPr>
          <w:spacing w:val="0"/>
        </w:rPr>
      </w:pPr>
      <w:bookmarkStart w:id="535" w:name="_Toc107500444"/>
      <w:bookmarkStart w:id="536" w:name="_Toc145580495"/>
      <w:r>
        <w:rPr>
          <w:rFonts w:hint="eastAsia"/>
          <w:spacing w:val="0"/>
        </w:rPr>
        <w:t>9</w:t>
      </w:r>
      <w:r>
        <w:rPr>
          <w:spacing w:val="0"/>
        </w:rPr>
        <w:t>.1.5</w:t>
      </w:r>
      <w:r>
        <w:rPr>
          <w:rFonts w:hint="eastAsia"/>
          <w:spacing w:val="0"/>
        </w:rPr>
        <w:t>总量控制指标</w:t>
      </w:r>
      <w:bookmarkEnd w:id="535"/>
      <w:bookmarkEnd w:id="536"/>
    </w:p>
    <w:p>
      <w:pPr>
        <w:pStyle w:val="494"/>
        <w:ind w:firstLine="480"/>
      </w:pPr>
      <w:r>
        <w:rPr>
          <w:rFonts w:hint="eastAsia"/>
        </w:rPr>
        <w:t>本项目无需设置总量控制指标。</w:t>
      </w:r>
      <w:bookmarkStart w:id="537" w:name="_Toc107500445"/>
    </w:p>
    <w:p>
      <w:pPr>
        <w:pStyle w:val="5"/>
        <w:spacing w:before="120" w:after="120"/>
        <w:rPr>
          <w:spacing w:val="0"/>
        </w:rPr>
      </w:pPr>
      <w:bookmarkStart w:id="538" w:name="_Toc145580496"/>
      <w:r>
        <w:rPr>
          <w:rFonts w:hint="eastAsia"/>
          <w:spacing w:val="0"/>
        </w:rPr>
        <w:t>9.1.6</w:t>
      </w:r>
      <w:r>
        <w:rPr>
          <w:spacing w:val="0"/>
        </w:rPr>
        <w:t>风险评价结论</w:t>
      </w:r>
      <w:bookmarkEnd w:id="537"/>
      <w:bookmarkEnd w:id="538"/>
    </w:p>
    <w:p>
      <w:pPr>
        <w:pStyle w:val="494"/>
        <w:ind w:firstLine="480"/>
      </w:pPr>
      <w:r>
        <w:rPr>
          <w:rFonts w:cs="Times New Roman"/>
        </w:rPr>
        <w:t>风险评价的结果表明，本项目环境风险主要来自主要为甲烷、丙烷、丁烷、戊烷，全部位于生产区及罐区。本项目周边无居民区，在进一步采取安全防范措施和事故应急预案、在落实各项环保措施和采取本报告书提出的有关建议的前提下，基本满足国家相关环境保护和安全法规、标准的要求，该项目发生风险事故的可能进一步降低，其潜在的环境风险是可以接受的。但企业仍需要提高风险管理水平和强化风险防范措施，降低环境风险事故发生的概率</w:t>
      </w:r>
      <w:r>
        <w:rPr>
          <w:rFonts w:hint="eastAsia"/>
        </w:rPr>
        <w:t>。</w:t>
      </w:r>
    </w:p>
    <w:p>
      <w:pPr>
        <w:pStyle w:val="5"/>
        <w:spacing w:before="120" w:after="120"/>
        <w:rPr>
          <w:spacing w:val="0"/>
        </w:rPr>
      </w:pPr>
      <w:bookmarkStart w:id="539" w:name="_Toc107500446"/>
      <w:bookmarkStart w:id="540" w:name="_Toc145580497"/>
      <w:r>
        <w:rPr>
          <w:rFonts w:hint="eastAsia"/>
          <w:spacing w:val="0"/>
        </w:rPr>
        <w:t>9</w:t>
      </w:r>
      <w:r>
        <w:rPr>
          <w:spacing w:val="0"/>
        </w:rPr>
        <w:t>.1.</w:t>
      </w:r>
      <w:r>
        <w:rPr>
          <w:rFonts w:hint="eastAsia"/>
          <w:spacing w:val="0"/>
        </w:rPr>
        <w:t>7</w:t>
      </w:r>
      <w:r>
        <w:rPr>
          <w:spacing w:val="0"/>
        </w:rPr>
        <w:t>公众参与</w:t>
      </w:r>
      <w:bookmarkEnd w:id="539"/>
      <w:bookmarkEnd w:id="540"/>
    </w:p>
    <w:p>
      <w:pPr>
        <w:pStyle w:val="494"/>
        <w:ind w:firstLine="480"/>
        <w:rPr>
          <w:color w:val="FF0000"/>
        </w:rPr>
      </w:pPr>
      <w:bookmarkStart w:id="541" w:name="_Hlk147594521"/>
      <w:r>
        <w:rPr>
          <w:color w:val="FF0000"/>
        </w:rPr>
        <w:t>在</w:t>
      </w:r>
      <w:r>
        <w:rPr>
          <w:rFonts w:hint="eastAsia"/>
          <w:color w:val="FF0000"/>
        </w:rPr>
        <w:t>编制</w:t>
      </w:r>
      <w:r>
        <w:rPr>
          <w:color w:val="FF0000"/>
        </w:rPr>
        <w:t>项目环境影响评价</w:t>
      </w:r>
      <w:r>
        <w:rPr>
          <w:rFonts w:hint="eastAsia"/>
          <w:color w:val="FF0000"/>
        </w:rPr>
        <w:t>报告</w:t>
      </w:r>
      <w:r>
        <w:rPr>
          <w:color w:val="FF0000"/>
        </w:rPr>
        <w:t>期间，建设单位于20</w:t>
      </w:r>
      <w:r>
        <w:rPr>
          <w:rFonts w:hint="eastAsia"/>
          <w:color w:val="FF0000"/>
        </w:rPr>
        <w:t>2</w:t>
      </w:r>
      <w:r>
        <w:rPr>
          <w:color w:val="FF0000"/>
        </w:rPr>
        <w:t>3年3月</w:t>
      </w:r>
      <w:r>
        <w:rPr>
          <w:rFonts w:hint="eastAsia"/>
          <w:color w:val="FF0000"/>
        </w:rPr>
        <w:t>2</w:t>
      </w:r>
      <w:r>
        <w:rPr>
          <w:color w:val="FF0000"/>
        </w:rPr>
        <w:t>1日在新疆维吾尔自治区生态环境保护产业协会网站（网址：www.xjhbcy.cn）上对项目信息进行了第一次公示，</w:t>
      </w:r>
      <w:r>
        <w:rPr>
          <w:rFonts w:hint="eastAsia"/>
          <w:color w:val="FF0000"/>
        </w:rPr>
        <w:t>公示期间</w:t>
      </w:r>
      <w:r>
        <w:rPr>
          <w:color w:val="FF0000"/>
        </w:rPr>
        <w:t>没有人对项目建设提出意见</w:t>
      </w:r>
      <w:r>
        <w:rPr>
          <w:rFonts w:hint="eastAsia"/>
          <w:color w:val="FF0000"/>
        </w:rPr>
        <w:t>；建设单位在我单位</w:t>
      </w:r>
      <w:r>
        <w:rPr>
          <w:rFonts w:cs="Times New Roman" w:eastAsiaTheme="minorEastAsia"/>
          <w:color w:val="FF0000"/>
        </w:rPr>
        <w:t>编制完成《</w:t>
      </w:r>
      <w:r>
        <w:rPr>
          <w:rFonts w:hint="eastAsia" w:cs="宋体"/>
          <w:bCs/>
          <w:color w:val="FF0000"/>
        </w:rPr>
        <w:t>新疆天安鑫业油气技术服务有限公司董701区块零散天然气回收项目技改项目</w:t>
      </w:r>
      <w:r>
        <w:rPr>
          <w:rFonts w:hint="eastAsia" w:cs="Times New Roman" w:eastAsiaTheme="minorEastAsia"/>
          <w:color w:val="FF0000"/>
        </w:rPr>
        <w:t>环境影响报告书</w:t>
      </w:r>
      <w:r>
        <w:rPr>
          <w:rFonts w:cs="Times New Roman" w:eastAsiaTheme="minorEastAsia"/>
          <w:color w:val="FF0000"/>
        </w:rPr>
        <w:t>》（征求意见稿）后</w:t>
      </w:r>
      <w:r>
        <w:rPr>
          <w:rFonts w:hint="eastAsia" w:cs="Times New Roman" w:eastAsiaTheme="minorEastAsia"/>
          <w:color w:val="FF0000"/>
        </w:rPr>
        <w:t>，</w:t>
      </w:r>
      <w:r>
        <w:rPr>
          <w:color w:val="FF0000"/>
        </w:rPr>
        <w:t>于2023</w:t>
      </w:r>
      <w:r>
        <w:rPr>
          <w:rFonts w:hint="eastAsia"/>
          <w:color w:val="FF0000"/>
        </w:rPr>
        <w:t>年</w:t>
      </w:r>
      <w:r>
        <w:rPr>
          <w:color w:val="FF0000"/>
        </w:rPr>
        <w:t>8</w:t>
      </w:r>
      <w:r>
        <w:rPr>
          <w:rFonts w:hint="eastAsia"/>
          <w:color w:val="FF0000"/>
        </w:rPr>
        <w:t>月</w:t>
      </w:r>
      <w:r>
        <w:rPr>
          <w:color w:val="FF0000"/>
        </w:rPr>
        <w:t>25</w:t>
      </w:r>
      <w:r>
        <w:rPr>
          <w:rFonts w:hint="eastAsia"/>
          <w:color w:val="FF0000"/>
        </w:rPr>
        <w:t>日</w:t>
      </w:r>
      <w:r>
        <w:rPr>
          <w:color w:val="FF0000"/>
        </w:rPr>
        <w:t>在</w:t>
      </w:r>
      <w:r>
        <w:rPr>
          <w:rFonts w:hint="eastAsia"/>
          <w:color w:val="FF0000"/>
        </w:rPr>
        <w:t>新疆维吾尔自治区生态环境产业协会网站</w:t>
      </w:r>
      <w:r>
        <w:rPr>
          <w:color w:val="FF0000"/>
        </w:rPr>
        <w:t>（</w:t>
      </w:r>
      <w:bookmarkStart w:id="542" w:name="_Hlk130201531"/>
      <w:r>
        <w:rPr>
          <w:color w:val="FF0000"/>
        </w:rPr>
        <w:t>http://www.xjhbcy.cn/blog/article/7513</w:t>
      </w:r>
      <w:bookmarkEnd w:id="542"/>
      <w:r>
        <w:rPr>
          <w:color w:val="FF0000"/>
        </w:rPr>
        <w:t>）</w:t>
      </w:r>
      <w:r>
        <w:rPr>
          <w:rFonts w:hint="eastAsia"/>
          <w:color w:val="FF0000"/>
        </w:rPr>
        <w:t>公示了</w:t>
      </w:r>
      <w:r>
        <w:rPr>
          <w:color w:val="FF0000"/>
        </w:rPr>
        <w:t>《</w:t>
      </w:r>
      <w:r>
        <w:rPr>
          <w:rFonts w:hint="eastAsia"/>
          <w:color w:val="FF0000"/>
        </w:rPr>
        <w:t>新疆天安鑫业油气技术服务有限公司董701区块零散天然气回收项目技改项目</w:t>
      </w:r>
      <w:r>
        <w:rPr>
          <w:color w:val="FF0000"/>
        </w:rPr>
        <w:t>环境影响评价第二次信息公示》的网络连接及相关信息，征求与本项目环境影响有关的意见，公示时限为10个工作日</w:t>
      </w:r>
      <w:r>
        <w:rPr>
          <w:rFonts w:hint="eastAsia"/>
          <w:color w:val="FF0000"/>
        </w:rPr>
        <w:t>，公示期间</w:t>
      </w:r>
      <w:r>
        <w:rPr>
          <w:color w:val="FF0000"/>
        </w:rPr>
        <w:t>没有人对项目建设提出意见</w:t>
      </w:r>
      <w:r>
        <w:rPr>
          <w:rFonts w:hint="eastAsia"/>
          <w:color w:val="FF0000"/>
        </w:rPr>
        <w:t>；建设单位</w:t>
      </w:r>
      <w:r>
        <w:rPr>
          <w:color w:val="FF0000"/>
        </w:rPr>
        <w:t>在环评单位编制完成《</w:t>
      </w:r>
      <w:r>
        <w:rPr>
          <w:bCs/>
          <w:color w:val="FF0000"/>
        </w:rPr>
        <w:t>新疆天安鑫业油气技术服务有限公司董701区块零散天然气回收项目技改项目环境影响评价报告书</w:t>
      </w:r>
      <w:r>
        <w:rPr>
          <w:color w:val="FF0000"/>
        </w:rPr>
        <w:t>》（拟报批稿）后，于2023 年9月11日在新疆维吾尔自治区生态环境保护产业协会网站进行公示，公示</w:t>
      </w:r>
      <w:r>
        <w:rPr>
          <w:rFonts w:hint="eastAsia"/>
          <w:color w:val="FF0000"/>
        </w:rPr>
        <w:t>了</w:t>
      </w:r>
      <w:r>
        <w:rPr>
          <w:color w:val="FF0000"/>
        </w:rPr>
        <w:t>《</w:t>
      </w:r>
      <w:r>
        <w:rPr>
          <w:bCs/>
          <w:color w:val="FF0000"/>
        </w:rPr>
        <w:t>新疆天安鑫业油气技术服务有限公司董701区块零散天然气回收项目技改项目</w:t>
      </w:r>
      <w:r>
        <w:rPr>
          <w:color w:val="FF0000"/>
        </w:rPr>
        <w:t>公众参与说明》和《</w:t>
      </w:r>
      <w:r>
        <w:rPr>
          <w:bCs/>
          <w:color w:val="FF0000"/>
        </w:rPr>
        <w:t>新疆天安鑫业油气技术服务有限公司董701区块零散天然气回收项目技改项目环境影响评价报告书</w:t>
      </w:r>
      <w:r>
        <w:rPr>
          <w:color w:val="FF0000"/>
        </w:rPr>
        <w:t>（拟报批稿）》</w:t>
      </w:r>
      <w:r>
        <w:rPr>
          <w:rFonts w:hint="eastAsia"/>
          <w:color w:val="FF0000"/>
        </w:rPr>
        <w:t>，</w:t>
      </w:r>
      <w:r>
        <w:rPr>
          <w:color w:val="FF0000"/>
        </w:rPr>
        <w:t>公示时间为2023年</w:t>
      </w:r>
      <w:r>
        <w:rPr>
          <w:rFonts w:hint="eastAsia"/>
          <w:color w:val="FF0000"/>
        </w:rPr>
        <w:t>9</w:t>
      </w:r>
      <w:r>
        <w:rPr>
          <w:color w:val="FF0000"/>
        </w:rPr>
        <w:t>月11日，公示网址为：</w:t>
      </w:r>
      <w:r>
        <w:fldChar w:fldCharType="begin"/>
      </w:r>
      <w:r>
        <w:instrText xml:space="preserve"> HYPERLINK "http://www.xjhbcy.cn/blog/article/12067" </w:instrText>
      </w:r>
      <w:r>
        <w:fldChar w:fldCharType="separate"/>
      </w:r>
      <w:r>
        <w:rPr>
          <w:rStyle w:val="63"/>
          <w:rFonts w:ascii="Times New Roman" w:hAnsi="Times New Roman" w:cstheme="minorBidi"/>
          <w:color w:val="FF0000"/>
          <w:szCs w:val="24"/>
        </w:rPr>
        <w:t>http://www.xjhbcy.cn/blog/article/12067</w:t>
      </w:r>
      <w:r>
        <w:rPr>
          <w:rStyle w:val="63"/>
          <w:rFonts w:ascii="Times New Roman" w:hAnsi="Times New Roman" w:cstheme="minorBidi"/>
          <w:color w:val="FF0000"/>
          <w:szCs w:val="24"/>
        </w:rPr>
        <w:fldChar w:fldCharType="end"/>
      </w:r>
      <w:r>
        <w:rPr>
          <w:rFonts w:hint="eastAsia"/>
          <w:color w:val="FF0000"/>
        </w:rPr>
        <w:t>，公示期间</w:t>
      </w:r>
      <w:r>
        <w:rPr>
          <w:color w:val="FF0000"/>
        </w:rPr>
        <w:t>没有人对项目建设提出意见</w:t>
      </w:r>
      <w:r>
        <w:rPr>
          <w:rFonts w:hint="eastAsia"/>
          <w:color w:val="FF0000"/>
        </w:rPr>
        <w:t>。</w:t>
      </w:r>
    </w:p>
    <w:bookmarkEnd w:id="541"/>
    <w:p>
      <w:pPr>
        <w:pStyle w:val="4"/>
        <w:spacing w:before="120" w:after="120"/>
      </w:pPr>
      <w:bookmarkStart w:id="543" w:name="_Toc107500447"/>
      <w:bookmarkStart w:id="544" w:name="_Toc145580498"/>
      <w:bookmarkStart w:id="545" w:name="_Toc454899431"/>
      <w:r>
        <w:rPr>
          <w:rFonts w:hint="eastAsia"/>
        </w:rPr>
        <w:t>9</w:t>
      </w:r>
      <w:r>
        <w:t>.2 综合评价结论</w:t>
      </w:r>
      <w:bookmarkEnd w:id="543"/>
      <w:bookmarkEnd w:id="544"/>
      <w:bookmarkEnd w:id="545"/>
    </w:p>
    <w:p>
      <w:pPr>
        <w:pStyle w:val="494"/>
        <w:ind w:firstLine="480"/>
      </w:pPr>
      <w:r>
        <w:t>本项目为天然气开采类项目，属于《产业结构调整指导目录</w:t>
      </w:r>
      <w:r>
        <w:rPr>
          <w:rFonts w:hint="eastAsia"/>
        </w:rPr>
        <w:t>（2</w:t>
      </w:r>
      <w:r>
        <w:t>019年本</w:t>
      </w:r>
      <w:r>
        <w:rPr>
          <w:rFonts w:hint="eastAsia"/>
        </w:rPr>
        <w:t>）（2</w:t>
      </w:r>
      <w:r>
        <w:t>021</w:t>
      </w:r>
      <w:r>
        <w:rPr>
          <w:rFonts w:hint="eastAsia"/>
        </w:rPr>
        <w:t>年修订）</w:t>
      </w:r>
      <w:r>
        <w:t>》中的鼓励类项目，符合国家产业政策要求。本工程采取了行之有效的环境保护措施，总体布局合理，在坚持“三同时”原则的基础上，严格执行国家和自治区的环境保护要求，切实落实报告书中提出的各项环保措施后，可以做到达标排放。</w:t>
      </w:r>
      <w:r>
        <w:rPr>
          <w:rFonts w:hint="eastAsia"/>
        </w:rPr>
        <w:t>。</w:t>
      </w:r>
    </w:p>
    <w:p>
      <w:pPr>
        <w:pStyle w:val="494"/>
        <w:ind w:firstLine="480"/>
      </w:pPr>
      <w:r>
        <w:t>本工程具有很好的环境效益和社会效益，场区布置合理，从环境现状监测结果和环境空气、地下水环境、生态环境和声环境预测及评价结果看，在严格执行国家和自治区的环境保护要求，切实落实报告书中提出的各项环保措施的前提下，区域内的环境质量不会因为本工程的建设而改变。本工程建设后，排放的各种污染物对周围环境造成的影响较小，不会导致本地区环境质量的下降，环境空气质量、水环境质量、声环境质量可以符合相应的环境功能区划要求。</w:t>
      </w:r>
    </w:p>
    <w:p>
      <w:pPr>
        <w:pStyle w:val="494"/>
        <w:ind w:firstLine="480"/>
      </w:pPr>
      <w:r>
        <w:t>综上所述，本项目符合国家的产业政策导向，选址合理。只要有效实施本环评报告所提出的有关防治措施，保证废弃物资源化利用，对周围环境影响较小。因此，从环保角度来讲，本建设项目实施是可行的。</w:t>
      </w:r>
    </w:p>
    <w:p>
      <w:pPr>
        <w:pStyle w:val="4"/>
        <w:spacing w:before="120" w:after="120"/>
      </w:pPr>
      <w:bookmarkStart w:id="546" w:name="_Toc454899432"/>
      <w:bookmarkStart w:id="547" w:name="_Toc394997559"/>
      <w:bookmarkStart w:id="548" w:name="_Toc414348646"/>
      <w:bookmarkStart w:id="549" w:name="_Toc419798822"/>
      <w:bookmarkStart w:id="550" w:name="_Toc145580499"/>
      <w:bookmarkStart w:id="551" w:name="_Toc107500448"/>
      <w:r>
        <w:rPr>
          <w:rFonts w:hint="eastAsia"/>
        </w:rPr>
        <w:t>9</w:t>
      </w:r>
      <w:r>
        <w:t>.3</w:t>
      </w:r>
      <w:bookmarkEnd w:id="546"/>
      <w:bookmarkEnd w:id="547"/>
      <w:bookmarkEnd w:id="548"/>
      <w:bookmarkEnd w:id="549"/>
      <w:r>
        <w:t>建议</w:t>
      </w:r>
      <w:bookmarkEnd w:id="550"/>
      <w:bookmarkEnd w:id="551"/>
    </w:p>
    <w:p>
      <w:pPr>
        <w:pStyle w:val="494"/>
        <w:ind w:firstLine="480"/>
      </w:pPr>
      <w:r>
        <w:rPr>
          <w:rFonts w:hint="eastAsia"/>
        </w:rPr>
        <w:t>（1）</w:t>
      </w:r>
      <w:r>
        <w:t>在进行设备选型上，要认真考查和论证，</w:t>
      </w:r>
      <w:r>
        <w:rPr>
          <w:rFonts w:hint="eastAsia"/>
        </w:rPr>
        <w:t>选用国家推荐设备名录中的先进技术设备</w:t>
      </w:r>
      <w:r>
        <w:t>，保证工程正常运行的同时，最大限度地减少各种污染物的产生，减轻项目对环境的影响。</w:t>
      </w:r>
      <w:r>
        <w:rPr>
          <w:rFonts w:hint="eastAsia"/>
        </w:rPr>
        <w:t>。</w:t>
      </w:r>
    </w:p>
    <w:p>
      <w:pPr>
        <w:pStyle w:val="494"/>
        <w:ind w:firstLine="480"/>
      </w:pPr>
      <w:r>
        <w:rPr>
          <w:rFonts w:hint="eastAsia"/>
        </w:rPr>
        <w:t>（2）</w:t>
      </w:r>
      <w:r>
        <w:t>加强生产管理和日常维护及监控工作，保证项目的安全运行，并根据日常监控情况，对项目产生的污染进行防范控制</w:t>
      </w:r>
      <w:r>
        <w:rPr>
          <w:rFonts w:hint="eastAsia"/>
        </w:rPr>
        <w:t>。</w:t>
      </w:r>
    </w:p>
    <w:sectPr>
      <w:pgSz w:w="11906" w:h="16838"/>
      <w:pgMar w:top="1440" w:right="1701" w:bottom="1440" w:left="1985"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swiss"/>
    <w:pitch w:val="default"/>
    <w:sig w:usb0="00000001" w:usb1="080E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华文仿宋">
    <w:altName w:val="仿宋"/>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2FF" w:usb1="400004FF" w:usb2="00000000" w:usb3="00000000" w:csb0="2000019F" w:csb1="00000000"/>
  </w:font>
  <w:font w:name="Monospac821 BT">
    <w:altName w:val="Segoe Print"/>
    <w:panose1 w:val="020B0609020202020204"/>
    <w:charset w:val="00"/>
    <w:family w:val="modern"/>
    <w:pitch w:val="default"/>
    <w:sig w:usb0="00000000" w:usb1="00000000" w:usb2="00000000" w:usb3="00000000" w:csb0="0000001B" w:csb1="00000000"/>
  </w:font>
  <w:font w:name="汉鼎简书宋">
    <w:altName w:val="宋体"/>
    <w:panose1 w:val="00000000000000000000"/>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Arial Unicode MS">
    <w:altName w:val="Arial"/>
    <w:panose1 w:val="020B0604020202020204"/>
    <w:charset w:val="00"/>
    <w:family w:val="roman"/>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A10006FF" w:usb1="4000205B" w:usb2="00000010" w:usb3="00000000" w:csb0="2000019F" w:csb1="00000000"/>
  </w:font>
  <w:font w:name="MingLiU">
    <w:panose1 w:val="02020509000000000000"/>
    <w:charset w:val="88"/>
    <w:family w:val="modern"/>
    <w:pitch w:val="default"/>
    <w:sig w:usb0="A00002FF" w:usb1="28CFFCFA" w:usb2="00000016" w:usb3="00000000" w:csb0="00100001" w:csb1="00000000"/>
  </w:font>
  <w:font w:name="Noto Sans CJK JP Regular">
    <w:altName w:val="Arial"/>
    <w:panose1 w:val="00000000000000000000"/>
    <w:charset w:val="00"/>
    <w:family w:val="swiss"/>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Cambria Math">
    <w:panose1 w:val="02040503050406030204"/>
    <w:charset w:val="00"/>
    <w:family w:val="roman"/>
    <w:pitch w:val="default"/>
    <w:sig w:usb0="E00002FF" w:usb1="420024FF" w:usb2="00000000" w:usb3="00000000" w:csb0="2000019F" w:csb1="00000000"/>
  </w:font>
  <w:font w:name="Segoe UI Symbol">
    <w:panose1 w:val="020B0502040204020203"/>
    <w:charset w:val="00"/>
    <w:family w:val="swiss"/>
    <w:pitch w:val="default"/>
    <w:sig w:usb0="8000006F" w:usb1="1200FBEF" w:usb2="0064C000" w:usb3="00000002" w:csb0="00000001" w:csb1="40000000"/>
  </w:font>
  <w:font w:name="MS Mincho">
    <w:panose1 w:val="020206090402050803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34950" cy="131445"/>
              <wp:effectExtent l="0" t="0" r="3175" b="1905"/>
              <wp:wrapNone/>
              <wp:docPr id="3" name="文本框 8"/>
              <wp:cNvGraphicFramePr/>
              <a:graphic xmlns:a="http://schemas.openxmlformats.org/drawingml/2006/main">
                <a:graphicData uri="http://schemas.microsoft.com/office/word/2010/wordprocessingShape">
                  <wps:wsp>
                    <wps:cNvSpPr txBox="1">
                      <a:spLocks noChangeArrowheads="1"/>
                    </wps:cNvSpPr>
                    <wps:spPr bwMode="auto">
                      <a:xfrm>
                        <a:off x="0" y="0"/>
                        <a:ext cx="234950" cy="131445"/>
                      </a:xfrm>
                      <a:prstGeom prst="rect">
                        <a:avLst/>
                      </a:prstGeom>
                      <a:noFill/>
                      <a:ln>
                        <a:noFill/>
                      </a:ln>
                    </wps:spPr>
                    <wps:txbx>
                      <w:txbxContent>
                        <w:p>
                          <w:pPr>
                            <w:pStyle w:val="34"/>
                          </w:pPr>
                          <w:r>
                            <w:fldChar w:fldCharType="begin"/>
                          </w:r>
                          <w:r>
                            <w:instrText xml:space="preserve"> PAGE  \* MERGEFORMAT </w:instrText>
                          </w:r>
                          <w:r>
                            <w:fldChar w:fldCharType="separate"/>
                          </w:r>
                          <w:r>
                            <w:t>V</w:t>
                          </w:r>
                          <w:r>
                            <w:fldChar w:fldCharType="end"/>
                          </w:r>
                        </w:p>
                      </w:txbxContent>
                    </wps:txbx>
                    <wps:bodyPr rot="0" vert="horz" wrap="square" lIns="0" tIns="0" rIns="0" bIns="0" anchor="t" anchorCtr="0" upright="1">
                      <a:spAutoFit/>
                    </wps:bodyPr>
                  </wps:wsp>
                </a:graphicData>
              </a:graphic>
            </wp:anchor>
          </w:drawing>
        </mc:Choice>
        <mc:Fallback>
          <w:pict>
            <v:shape id="文本框 8" o:spid="_x0000_s1026" o:spt="202" type="#_x0000_t202" style="position:absolute;left:0pt;margin-top:0pt;height:10.35pt;width:18.5pt;mso-position-horizontal:center;mso-position-horizontal-relative:margin;z-index:251659264;mso-width-relative:page;mso-height-relative:page;" filled="f" stroked="f" coordsize="21600,21600" o:gfxdata="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pAtpNEAAAADAQAADwAAAAAAAAABACAAAAAiAAAAZHJz&#10;L2Rvd25yZXYueG1sUEsBAhQAFAAAAAgAh07iQBaUuMELAgAABAQAAA4AAAAAAAAAAQAgAAAAIAEA&#10;AGRycy9lMm9Eb2MueG1sUEsFBgAAAAAGAAYAWQEAAJ0FAAAAAA==&#10;">
              <v:fill on="f" focussize="0,0"/>
              <v:stroke on="f"/>
              <v:imagedata o:title=""/>
              <o:lock v:ext="edit" aspectratio="f"/>
              <v:textbox inset="0mm,0mm,0mm,0mm" style="mso-fit-shape-to-text:t;">
                <w:txbxContent>
                  <w:p>
                    <w:pPr>
                      <w:pStyle w:val="34"/>
                    </w:pPr>
                    <w:r>
                      <w:fldChar w:fldCharType="begin"/>
                    </w:r>
                    <w:r>
                      <w:instrText xml:space="preserve"> PAGE  \* MERGEFORMAT </w:instrText>
                    </w:r>
                    <w:r>
                      <w:fldChar w:fldCharType="separate"/>
                    </w:r>
                    <w:r>
                      <w:t>V</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jc w:val="righ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15900" cy="131445"/>
              <wp:effectExtent l="0" t="0" r="3175" b="1905"/>
              <wp:wrapNone/>
              <wp:docPr id="1"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215900" cy="131445"/>
                      </a:xfrm>
                      <a:prstGeom prst="rect">
                        <a:avLst/>
                      </a:prstGeom>
                      <a:noFill/>
                      <a:ln>
                        <a:noFill/>
                      </a:ln>
                    </wps:spPr>
                    <wps:txbx>
                      <w:txbxContent>
                        <w:p>
                          <w:pPr>
                            <w:pStyle w:val="34"/>
                          </w:pPr>
                          <w:r>
                            <w:fldChar w:fldCharType="begin"/>
                          </w:r>
                          <w:r>
                            <w:instrText xml:space="preserve"> PAGE  \* MERGEFORMAT </w:instrText>
                          </w:r>
                          <w:r>
                            <w:fldChar w:fldCharType="separate"/>
                          </w:r>
                          <w:r>
                            <w:t>108</w:t>
                          </w:r>
                          <w:r>
                            <w:fldChar w:fldCharType="end"/>
                          </w:r>
                        </w:p>
                      </w:txbxContent>
                    </wps:txbx>
                    <wps:bodyPr rot="0" vert="horz" wrap="square" lIns="0" tIns="0" rIns="0" bIns="0" anchor="t" anchorCtr="0" upright="1">
                      <a:spAutoFit/>
                    </wps:bodyPr>
                  </wps:wsp>
                </a:graphicData>
              </a:graphic>
            </wp:anchor>
          </w:drawing>
        </mc:Choice>
        <mc:Fallback>
          <w:pict>
            <v:shape id="文本框 13" o:spid="_x0000_s1026" o:spt="202" type="#_x0000_t202" style="position:absolute;left:0pt;margin-top:0pt;height:10.35pt;width:17pt;mso-position-horizontal:center;mso-position-horizontal-relative:margin;z-index:251660288;mso-width-relative:page;mso-height-relative:page;" filled="f" stroked="f" coordsize="21600,21600" o:gfxdata="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2X86bRAAAAAwEAAA8AAAAAAAAAAQAgAAAAIgAAAGRy&#10;cy9kb3ducmV2LnhtbFBLAQIUABQAAAAIAIdO4kAU+XbRDAIAAAUEAAAOAAAAAAAAAAEAIAAAACAB&#10;AABkcnMvZTJvRG9jLnhtbFBLBQYAAAAABgAGAFkBAACeBQAAAAA=&#10;">
              <v:fill on="f" focussize="0,0"/>
              <v:stroke on="f"/>
              <v:imagedata o:title=""/>
              <o:lock v:ext="edit" aspectratio="f"/>
              <v:textbox inset="0mm,0mm,0mm,0mm" style="mso-fit-shape-to-text:t;">
                <w:txbxContent>
                  <w:p>
                    <w:pPr>
                      <w:pStyle w:val="34"/>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b/>
        <w:bCs/>
        <w:szCs w:val="21"/>
      </w:rPr>
    </w:pPr>
    <w:r>
      <w:rPr>
        <w:rFonts w:hint="eastAsia"/>
        <w:b/>
        <w:bCs/>
        <w:szCs w:val="21"/>
      </w:rPr>
      <w:t>新疆天安鑫业油气技术服务有限公司董701区块零散天然气回收项目技改项目环境影响报告书</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84C"/>
    <w:rsid w:val="00000641"/>
    <w:rsid w:val="00000672"/>
    <w:rsid w:val="0000088E"/>
    <w:rsid w:val="00000ABD"/>
    <w:rsid w:val="00000BE3"/>
    <w:rsid w:val="00001046"/>
    <w:rsid w:val="000012D9"/>
    <w:rsid w:val="00002283"/>
    <w:rsid w:val="00002291"/>
    <w:rsid w:val="00002727"/>
    <w:rsid w:val="00002C77"/>
    <w:rsid w:val="000030A2"/>
    <w:rsid w:val="0000313D"/>
    <w:rsid w:val="00003288"/>
    <w:rsid w:val="000034A8"/>
    <w:rsid w:val="000034EC"/>
    <w:rsid w:val="00003A71"/>
    <w:rsid w:val="00003DC6"/>
    <w:rsid w:val="00004367"/>
    <w:rsid w:val="00004CE2"/>
    <w:rsid w:val="00004D5B"/>
    <w:rsid w:val="0000514A"/>
    <w:rsid w:val="0000538C"/>
    <w:rsid w:val="00005774"/>
    <w:rsid w:val="00005790"/>
    <w:rsid w:val="00005A77"/>
    <w:rsid w:val="00005ED3"/>
    <w:rsid w:val="00005F37"/>
    <w:rsid w:val="00006C83"/>
    <w:rsid w:val="00007072"/>
    <w:rsid w:val="00007784"/>
    <w:rsid w:val="000078F8"/>
    <w:rsid w:val="000079F9"/>
    <w:rsid w:val="00007CF8"/>
    <w:rsid w:val="0001014E"/>
    <w:rsid w:val="00010299"/>
    <w:rsid w:val="00010615"/>
    <w:rsid w:val="000117C1"/>
    <w:rsid w:val="00011C0A"/>
    <w:rsid w:val="00011F7B"/>
    <w:rsid w:val="000121B3"/>
    <w:rsid w:val="000122F8"/>
    <w:rsid w:val="0001303A"/>
    <w:rsid w:val="00013097"/>
    <w:rsid w:val="00013D0F"/>
    <w:rsid w:val="00013FF4"/>
    <w:rsid w:val="000146F7"/>
    <w:rsid w:val="00014768"/>
    <w:rsid w:val="00014F8E"/>
    <w:rsid w:val="00015261"/>
    <w:rsid w:val="000162F2"/>
    <w:rsid w:val="0001666A"/>
    <w:rsid w:val="0001710F"/>
    <w:rsid w:val="000173F2"/>
    <w:rsid w:val="000174A2"/>
    <w:rsid w:val="00017A4F"/>
    <w:rsid w:val="00017FE2"/>
    <w:rsid w:val="000202E4"/>
    <w:rsid w:val="00020303"/>
    <w:rsid w:val="00020361"/>
    <w:rsid w:val="000203ED"/>
    <w:rsid w:val="0002262C"/>
    <w:rsid w:val="00022CC2"/>
    <w:rsid w:val="00022CE0"/>
    <w:rsid w:val="0002333D"/>
    <w:rsid w:val="000234D5"/>
    <w:rsid w:val="000235B0"/>
    <w:rsid w:val="00023734"/>
    <w:rsid w:val="000237C8"/>
    <w:rsid w:val="000239E6"/>
    <w:rsid w:val="0002449A"/>
    <w:rsid w:val="00024643"/>
    <w:rsid w:val="000248EA"/>
    <w:rsid w:val="00024C80"/>
    <w:rsid w:val="00025228"/>
    <w:rsid w:val="0002543C"/>
    <w:rsid w:val="000257C6"/>
    <w:rsid w:val="00025E09"/>
    <w:rsid w:val="00025EBA"/>
    <w:rsid w:val="00026006"/>
    <w:rsid w:val="00026032"/>
    <w:rsid w:val="00026272"/>
    <w:rsid w:val="00026537"/>
    <w:rsid w:val="00027086"/>
    <w:rsid w:val="000272CC"/>
    <w:rsid w:val="000272F7"/>
    <w:rsid w:val="00027760"/>
    <w:rsid w:val="00027AA7"/>
    <w:rsid w:val="00030141"/>
    <w:rsid w:val="00030189"/>
    <w:rsid w:val="00030B33"/>
    <w:rsid w:val="000314DF"/>
    <w:rsid w:val="00031CE0"/>
    <w:rsid w:val="00031DA8"/>
    <w:rsid w:val="000321D2"/>
    <w:rsid w:val="00032CFA"/>
    <w:rsid w:val="0003303A"/>
    <w:rsid w:val="0003306E"/>
    <w:rsid w:val="000330C3"/>
    <w:rsid w:val="00033176"/>
    <w:rsid w:val="000334E8"/>
    <w:rsid w:val="000336AE"/>
    <w:rsid w:val="00033E1E"/>
    <w:rsid w:val="00034057"/>
    <w:rsid w:val="0003440D"/>
    <w:rsid w:val="000344F8"/>
    <w:rsid w:val="000345A8"/>
    <w:rsid w:val="000346F5"/>
    <w:rsid w:val="000347F5"/>
    <w:rsid w:val="0003525A"/>
    <w:rsid w:val="00035386"/>
    <w:rsid w:val="000356EB"/>
    <w:rsid w:val="00035BB7"/>
    <w:rsid w:val="000363EA"/>
    <w:rsid w:val="0003659A"/>
    <w:rsid w:val="000368AF"/>
    <w:rsid w:val="00036B6E"/>
    <w:rsid w:val="00036C93"/>
    <w:rsid w:val="000370C8"/>
    <w:rsid w:val="00037502"/>
    <w:rsid w:val="00037C83"/>
    <w:rsid w:val="0004003B"/>
    <w:rsid w:val="000400FC"/>
    <w:rsid w:val="00040227"/>
    <w:rsid w:val="00040500"/>
    <w:rsid w:val="00040A3C"/>
    <w:rsid w:val="00041465"/>
    <w:rsid w:val="0004156A"/>
    <w:rsid w:val="0004174F"/>
    <w:rsid w:val="00041AEC"/>
    <w:rsid w:val="00041C69"/>
    <w:rsid w:val="00041E23"/>
    <w:rsid w:val="00041E4B"/>
    <w:rsid w:val="000420E1"/>
    <w:rsid w:val="000422DC"/>
    <w:rsid w:val="000434C2"/>
    <w:rsid w:val="000436EC"/>
    <w:rsid w:val="000439E8"/>
    <w:rsid w:val="00043C39"/>
    <w:rsid w:val="00043D1A"/>
    <w:rsid w:val="00044084"/>
    <w:rsid w:val="0004409C"/>
    <w:rsid w:val="0004475D"/>
    <w:rsid w:val="00044792"/>
    <w:rsid w:val="00044847"/>
    <w:rsid w:val="00044B56"/>
    <w:rsid w:val="00044D50"/>
    <w:rsid w:val="00044E98"/>
    <w:rsid w:val="00045469"/>
    <w:rsid w:val="00045E73"/>
    <w:rsid w:val="000465C5"/>
    <w:rsid w:val="000467DD"/>
    <w:rsid w:val="000467E9"/>
    <w:rsid w:val="00046B67"/>
    <w:rsid w:val="00046DC0"/>
    <w:rsid w:val="00046DFB"/>
    <w:rsid w:val="000470D8"/>
    <w:rsid w:val="000470DA"/>
    <w:rsid w:val="000472A1"/>
    <w:rsid w:val="000472E9"/>
    <w:rsid w:val="00047885"/>
    <w:rsid w:val="00047950"/>
    <w:rsid w:val="00047E99"/>
    <w:rsid w:val="0005020A"/>
    <w:rsid w:val="00050526"/>
    <w:rsid w:val="00050698"/>
    <w:rsid w:val="00050981"/>
    <w:rsid w:val="00050BC7"/>
    <w:rsid w:val="00050D8B"/>
    <w:rsid w:val="00050E60"/>
    <w:rsid w:val="000511F3"/>
    <w:rsid w:val="000517D6"/>
    <w:rsid w:val="000517E8"/>
    <w:rsid w:val="000517F4"/>
    <w:rsid w:val="00051E71"/>
    <w:rsid w:val="00052490"/>
    <w:rsid w:val="00052939"/>
    <w:rsid w:val="00052B19"/>
    <w:rsid w:val="00052CDB"/>
    <w:rsid w:val="00052D43"/>
    <w:rsid w:val="00052DB5"/>
    <w:rsid w:val="00052F08"/>
    <w:rsid w:val="000530A6"/>
    <w:rsid w:val="00053602"/>
    <w:rsid w:val="0005379A"/>
    <w:rsid w:val="000538F3"/>
    <w:rsid w:val="00053E6A"/>
    <w:rsid w:val="00054607"/>
    <w:rsid w:val="000548D2"/>
    <w:rsid w:val="00055243"/>
    <w:rsid w:val="000552DA"/>
    <w:rsid w:val="00055461"/>
    <w:rsid w:val="00055C31"/>
    <w:rsid w:val="00055D61"/>
    <w:rsid w:val="00055E29"/>
    <w:rsid w:val="00055FD8"/>
    <w:rsid w:val="0005636D"/>
    <w:rsid w:val="000565A6"/>
    <w:rsid w:val="000565B1"/>
    <w:rsid w:val="0005662F"/>
    <w:rsid w:val="000567C3"/>
    <w:rsid w:val="000569D3"/>
    <w:rsid w:val="00057071"/>
    <w:rsid w:val="00057480"/>
    <w:rsid w:val="00057526"/>
    <w:rsid w:val="00057A81"/>
    <w:rsid w:val="000601B1"/>
    <w:rsid w:val="000603A7"/>
    <w:rsid w:val="00060875"/>
    <w:rsid w:val="00060B2A"/>
    <w:rsid w:val="00060EA0"/>
    <w:rsid w:val="000611D0"/>
    <w:rsid w:val="00061239"/>
    <w:rsid w:val="000616BC"/>
    <w:rsid w:val="000618EB"/>
    <w:rsid w:val="00061F79"/>
    <w:rsid w:val="00062346"/>
    <w:rsid w:val="0006256C"/>
    <w:rsid w:val="00062BC7"/>
    <w:rsid w:val="00062D1F"/>
    <w:rsid w:val="00063377"/>
    <w:rsid w:val="0006363E"/>
    <w:rsid w:val="00063CDC"/>
    <w:rsid w:val="00063FE4"/>
    <w:rsid w:val="00064564"/>
    <w:rsid w:val="000645F5"/>
    <w:rsid w:val="000646E7"/>
    <w:rsid w:val="00064BF9"/>
    <w:rsid w:val="00064C91"/>
    <w:rsid w:val="00064E87"/>
    <w:rsid w:val="0006505E"/>
    <w:rsid w:val="000655E4"/>
    <w:rsid w:val="00065D77"/>
    <w:rsid w:val="0006614C"/>
    <w:rsid w:val="0006635C"/>
    <w:rsid w:val="00066C26"/>
    <w:rsid w:val="0006703E"/>
    <w:rsid w:val="0006743B"/>
    <w:rsid w:val="00067735"/>
    <w:rsid w:val="000678A1"/>
    <w:rsid w:val="000678DF"/>
    <w:rsid w:val="0007023D"/>
    <w:rsid w:val="0007050D"/>
    <w:rsid w:val="000706C2"/>
    <w:rsid w:val="00070710"/>
    <w:rsid w:val="00070D75"/>
    <w:rsid w:val="000713FC"/>
    <w:rsid w:val="00071488"/>
    <w:rsid w:val="000717DD"/>
    <w:rsid w:val="00071BD4"/>
    <w:rsid w:val="000720AD"/>
    <w:rsid w:val="000720B4"/>
    <w:rsid w:val="00072913"/>
    <w:rsid w:val="00072E89"/>
    <w:rsid w:val="00072F56"/>
    <w:rsid w:val="000731C1"/>
    <w:rsid w:val="00073208"/>
    <w:rsid w:val="00073429"/>
    <w:rsid w:val="00073580"/>
    <w:rsid w:val="000739F8"/>
    <w:rsid w:val="00073CDF"/>
    <w:rsid w:val="00074A49"/>
    <w:rsid w:val="00074E5D"/>
    <w:rsid w:val="000754A4"/>
    <w:rsid w:val="000759A5"/>
    <w:rsid w:val="00076C53"/>
    <w:rsid w:val="00076D19"/>
    <w:rsid w:val="00076DA6"/>
    <w:rsid w:val="00076E78"/>
    <w:rsid w:val="00077304"/>
    <w:rsid w:val="00077AB4"/>
    <w:rsid w:val="00077CEE"/>
    <w:rsid w:val="00080112"/>
    <w:rsid w:val="00080728"/>
    <w:rsid w:val="00080C1C"/>
    <w:rsid w:val="00081137"/>
    <w:rsid w:val="0008123A"/>
    <w:rsid w:val="00081559"/>
    <w:rsid w:val="00081FC5"/>
    <w:rsid w:val="000823E3"/>
    <w:rsid w:val="000826A5"/>
    <w:rsid w:val="0008272D"/>
    <w:rsid w:val="00082C95"/>
    <w:rsid w:val="00083229"/>
    <w:rsid w:val="00083483"/>
    <w:rsid w:val="000837DF"/>
    <w:rsid w:val="00083865"/>
    <w:rsid w:val="0008387C"/>
    <w:rsid w:val="00083E95"/>
    <w:rsid w:val="00083FF4"/>
    <w:rsid w:val="000851FD"/>
    <w:rsid w:val="00085409"/>
    <w:rsid w:val="00085685"/>
    <w:rsid w:val="00086255"/>
    <w:rsid w:val="00086510"/>
    <w:rsid w:val="000869FF"/>
    <w:rsid w:val="00086AB6"/>
    <w:rsid w:val="00086FF1"/>
    <w:rsid w:val="00087B5C"/>
    <w:rsid w:val="00087E8C"/>
    <w:rsid w:val="000902AB"/>
    <w:rsid w:val="000907FB"/>
    <w:rsid w:val="00090CA7"/>
    <w:rsid w:val="00090DAE"/>
    <w:rsid w:val="000910CC"/>
    <w:rsid w:val="000910DC"/>
    <w:rsid w:val="0009111A"/>
    <w:rsid w:val="000918D0"/>
    <w:rsid w:val="00092020"/>
    <w:rsid w:val="0009229F"/>
    <w:rsid w:val="00092362"/>
    <w:rsid w:val="00092373"/>
    <w:rsid w:val="00092666"/>
    <w:rsid w:val="00092753"/>
    <w:rsid w:val="00092885"/>
    <w:rsid w:val="00092AA6"/>
    <w:rsid w:val="00092B18"/>
    <w:rsid w:val="00093065"/>
    <w:rsid w:val="000931E5"/>
    <w:rsid w:val="00093821"/>
    <w:rsid w:val="00093939"/>
    <w:rsid w:val="00093B96"/>
    <w:rsid w:val="000951DC"/>
    <w:rsid w:val="00095E09"/>
    <w:rsid w:val="0009604E"/>
    <w:rsid w:val="000960A4"/>
    <w:rsid w:val="000965A5"/>
    <w:rsid w:val="000965BE"/>
    <w:rsid w:val="00096617"/>
    <w:rsid w:val="00096AB0"/>
    <w:rsid w:val="000974DB"/>
    <w:rsid w:val="000976FE"/>
    <w:rsid w:val="00097841"/>
    <w:rsid w:val="000979BB"/>
    <w:rsid w:val="00097EBA"/>
    <w:rsid w:val="000A02A3"/>
    <w:rsid w:val="000A046A"/>
    <w:rsid w:val="000A0796"/>
    <w:rsid w:val="000A0DA4"/>
    <w:rsid w:val="000A0E98"/>
    <w:rsid w:val="000A1408"/>
    <w:rsid w:val="000A154B"/>
    <w:rsid w:val="000A1654"/>
    <w:rsid w:val="000A1922"/>
    <w:rsid w:val="000A1F43"/>
    <w:rsid w:val="000A221F"/>
    <w:rsid w:val="000A248D"/>
    <w:rsid w:val="000A2A4D"/>
    <w:rsid w:val="000A3126"/>
    <w:rsid w:val="000A33A9"/>
    <w:rsid w:val="000A430E"/>
    <w:rsid w:val="000A4359"/>
    <w:rsid w:val="000A437E"/>
    <w:rsid w:val="000A439F"/>
    <w:rsid w:val="000A43D5"/>
    <w:rsid w:val="000A4464"/>
    <w:rsid w:val="000A457B"/>
    <w:rsid w:val="000A46A1"/>
    <w:rsid w:val="000A4A10"/>
    <w:rsid w:val="000A4DBB"/>
    <w:rsid w:val="000A4FB2"/>
    <w:rsid w:val="000A5094"/>
    <w:rsid w:val="000A534F"/>
    <w:rsid w:val="000A5A70"/>
    <w:rsid w:val="000A6568"/>
    <w:rsid w:val="000A6600"/>
    <w:rsid w:val="000A68CF"/>
    <w:rsid w:val="000A6CAE"/>
    <w:rsid w:val="000A6E3C"/>
    <w:rsid w:val="000A70EC"/>
    <w:rsid w:val="000A735D"/>
    <w:rsid w:val="000A7CCD"/>
    <w:rsid w:val="000B00F4"/>
    <w:rsid w:val="000B01C7"/>
    <w:rsid w:val="000B03EE"/>
    <w:rsid w:val="000B0E45"/>
    <w:rsid w:val="000B1545"/>
    <w:rsid w:val="000B18CF"/>
    <w:rsid w:val="000B1D47"/>
    <w:rsid w:val="000B1FAA"/>
    <w:rsid w:val="000B2507"/>
    <w:rsid w:val="000B28FE"/>
    <w:rsid w:val="000B2BAF"/>
    <w:rsid w:val="000B2EAA"/>
    <w:rsid w:val="000B2ED4"/>
    <w:rsid w:val="000B3102"/>
    <w:rsid w:val="000B3337"/>
    <w:rsid w:val="000B37F6"/>
    <w:rsid w:val="000B3AC6"/>
    <w:rsid w:val="000B3B1B"/>
    <w:rsid w:val="000B3E45"/>
    <w:rsid w:val="000B4083"/>
    <w:rsid w:val="000B44E9"/>
    <w:rsid w:val="000B47DE"/>
    <w:rsid w:val="000B4C5E"/>
    <w:rsid w:val="000B4DE3"/>
    <w:rsid w:val="000B563A"/>
    <w:rsid w:val="000B5856"/>
    <w:rsid w:val="000B5BC7"/>
    <w:rsid w:val="000B5C8D"/>
    <w:rsid w:val="000B6219"/>
    <w:rsid w:val="000B6247"/>
    <w:rsid w:val="000B67FE"/>
    <w:rsid w:val="000B69CD"/>
    <w:rsid w:val="000B6D74"/>
    <w:rsid w:val="000B6F2C"/>
    <w:rsid w:val="000B7326"/>
    <w:rsid w:val="000B73EF"/>
    <w:rsid w:val="000B7410"/>
    <w:rsid w:val="000C0257"/>
    <w:rsid w:val="000C0787"/>
    <w:rsid w:val="000C0915"/>
    <w:rsid w:val="000C0CF4"/>
    <w:rsid w:val="000C0E08"/>
    <w:rsid w:val="000C1434"/>
    <w:rsid w:val="000C1508"/>
    <w:rsid w:val="000C15D7"/>
    <w:rsid w:val="000C22F6"/>
    <w:rsid w:val="000C28B0"/>
    <w:rsid w:val="000C2BD4"/>
    <w:rsid w:val="000C2D89"/>
    <w:rsid w:val="000C30BE"/>
    <w:rsid w:val="000C4157"/>
    <w:rsid w:val="000C49B8"/>
    <w:rsid w:val="000C4B10"/>
    <w:rsid w:val="000C4C0E"/>
    <w:rsid w:val="000C5647"/>
    <w:rsid w:val="000C5F03"/>
    <w:rsid w:val="000C6D7C"/>
    <w:rsid w:val="000C7257"/>
    <w:rsid w:val="000C726A"/>
    <w:rsid w:val="000C7C13"/>
    <w:rsid w:val="000D00A1"/>
    <w:rsid w:val="000D1979"/>
    <w:rsid w:val="000D19D0"/>
    <w:rsid w:val="000D1A82"/>
    <w:rsid w:val="000D1D05"/>
    <w:rsid w:val="000D310D"/>
    <w:rsid w:val="000D3424"/>
    <w:rsid w:val="000D3A17"/>
    <w:rsid w:val="000D503B"/>
    <w:rsid w:val="000D5097"/>
    <w:rsid w:val="000D57DA"/>
    <w:rsid w:val="000D591C"/>
    <w:rsid w:val="000D59A3"/>
    <w:rsid w:val="000D5A4B"/>
    <w:rsid w:val="000D5BC3"/>
    <w:rsid w:val="000D5CA6"/>
    <w:rsid w:val="000D5CDE"/>
    <w:rsid w:val="000D653D"/>
    <w:rsid w:val="000D65F7"/>
    <w:rsid w:val="000D6602"/>
    <w:rsid w:val="000D66D5"/>
    <w:rsid w:val="000D6AF3"/>
    <w:rsid w:val="000D6B1E"/>
    <w:rsid w:val="000D71BC"/>
    <w:rsid w:val="000D7401"/>
    <w:rsid w:val="000D7537"/>
    <w:rsid w:val="000D7615"/>
    <w:rsid w:val="000D76F7"/>
    <w:rsid w:val="000D7766"/>
    <w:rsid w:val="000D77F5"/>
    <w:rsid w:val="000D7E5B"/>
    <w:rsid w:val="000D7E97"/>
    <w:rsid w:val="000E0642"/>
    <w:rsid w:val="000E0B37"/>
    <w:rsid w:val="000E0D12"/>
    <w:rsid w:val="000E1483"/>
    <w:rsid w:val="000E183F"/>
    <w:rsid w:val="000E1849"/>
    <w:rsid w:val="000E1A14"/>
    <w:rsid w:val="000E2061"/>
    <w:rsid w:val="000E2416"/>
    <w:rsid w:val="000E2C26"/>
    <w:rsid w:val="000E2C69"/>
    <w:rsid w:val="000E33A9"/>
    <w:rsid w:val="000E34C9"/>
    <w:rsid w:val="000E3BD1"/>
    <w:rsid w:val="000E45CA"/>
    <w:rsid w:val="000E4AAA"/>
    <w:rsid w:val="000E4AE2"/>
    <w:rsid w:val="000E4BEF"/>
    <w:rsid w:val="000E54FF"/>
    <w:rsid w:val="000E620F"/>
    <w:rsid w:val="000E6406"/>
    <w:rsid w:val="000E65C1"/>
    <w:rsid w:val="000E66D7"/>
    <w:rsid w:val="000E696F"/>
    <w:rsid w:val="000E6C0D"/>
    <w:rsid w:val="000E6C42"/>
    <w:rsid w:val="000E6D51"/>
    <w:rsid w:val="000E7213"/>
    <w:rsid w:val="000E724C"/>
    <w:rsid w:val="000E7B0A"/>
    <w:rsid w:val="000F03AB"/>
    <w:rsid w:val="000F0974"/>
    <w:rsid w:val="000F0F44"/>
    <w:rsid w:val="000F10D7"/>
    <w:rsid w:val="000F152A"/>
    <w:rsid w:val="000F16B8"/>
    <w:rsid w:val="000F1775"/>
    <w:rsid w:val="000F180F"/>
    <w:rsid w:val="000F1883"/>
    <w:rsid w:val="000F190B"/>
    <w:rsid w:val="000F1C1B"/>
    <w:rsid w:val="000F1C62"/>
    <w:rsid w:val="000F1DCC"/>
    <w:rsid w:val="000F253B"/>
    <w:rsid w:val="000F2A25"/>
    <w:rsid w:val="000F2DB6"/>
    <w:rsid w:val="000F2FF5"/>
    <w:rsid w:val="000F3083"/>
    <w:rsid w:val="000F33EA"/>
    <w:rsid w:val="000F3451"/>
    <w:rsid w:val="000F3642"/>
    <w:rsid w:val="000F36AA"/>
    <w:rsid w:val="000F3BEB"/>
    <w:rsid w:val="000F3CD6"/>
    <w:rsid w:val="000F3E37"/>
    <w:rsid w:val="000F41F3"/>
    <w:rsid w:val="000F509A"/>
    <w:rsid w:val="000F51B8"/>
    <w:rsid w:val="000F589D"/>
    <w:rsid w:val="000F5AC8"/>
    <w:rsid w:val="000F5F44"/>
    <w:rsid w:val="000F684C"/>
    <w:rsid w:val="000F6E3C"/>
    <w:rsid w:val="000F705C"/>
    <w:rsid w:val="000F70E0"/>
    <w:rsid w:val="000F771C"/>
    <w:rsid w:val="000F7C58"/>
    <w:rsid w:val="00100208"/>
    <w:rsid w:val="0010060F"/>
    <w:rsid w:val="00100E79"/>
    <w:rsid w:val="00100F59"/>
    <w:rsid w:val="00101006"/>
    <w:rsid w:val="00101358"/>
    <w:rsid w:val="001014A2"/>
    <w:rsid w:val="001014C0"/>
    <w:rsid w:val="00101B46"/>
    <w:rsid w:val="00101BD4"/>
    <w:rsid w:val="00101D6E"/>
    <w:rsid w:val="00101D79"/>
    <w:rsid w:val="00102057"/>
    <w:rsid w:val="00102121"/>
    <w:rsid w:val="00102391"/>
    <w:rsid w:val="0010245B"/>
    <w:rsid w:val="00102AB6"/>
    <w:rsid w:val="00102D5D"/>
    <w:rsid w:val="0010321A"/>
    <w:rsid w:val="0010364E"/>
    <w:rsid w:val="00103673"/>
    <w:rsid w:val="001036B3"/>
    <w:rsid w:val="00103A41"/>
    <w:rsid w:val="00103C16"/>
    <w:rsid w:val="00103EF9"/>
    <w:rsid w:val="00104009"/>
    <w:rsid w:val="001046F4"/>
    <w:rsid w:val="00105376"/>
    <w:rsid w:val="0010550F"/>
    <w:rsid w:val="001055CF"/>
    <w:rsid w:val="0010572B"/>
    <w:rsid w:val="00105A05"/>
    <w:rsid w:val="00105D3B"/>
    <w:rsid w:val="00105D5E"/>
    <w:rsid w:val="00105E46"/>
    <w:rsid w:val="00105E8B"/>
    <w:rsid w:val="00106811"/>
    <w:rsid w:val="00106866"/>
    <w:rsid w:val="00106EB6"/>
    <w:rsid w:val="00106ECD"/>
    <w:rsid w:val="0010769A"/>
    <w:rsid w:val="00107B5E"/>
    <w:rsid w:val="00107DEA"/>
    <w:rsid w:val="00110383"/>
    <w:rsid w:val="0011049D"/>
    <w:rsid w:val="00110660"/>
    <w:rsid w:val="001107E8"/>
    <w:rsid w:val="00110846"/>
    <w:rsid w:val="001109EC"/>
    <w:rsid w:val="00110C0C"/>
    <w:rsid w:val="00110D02"/>
    <w:rsid w:val="00110D7F"/>
    <w:rsid w:val="0011157F"/>
    <w:rsid w:val="001116B4"/>
    <w:rsid w:val="001119D7"/>
    <w:rsid w:val="00111BBE"/>
    <w:rsid w:val="0011308F"/>
    <w:rsid w:val="0011355F"/>
    <w:rsid w:val="00113B7E"/>
    <w:rsid w:val="0011450B"/>
    <w:rsid w:val="001147F2"/>
    <w:rsid w:val="001149BF"/>
    <w:rsid w:val="001149C0"/>
    <w:rsid w:val="00114C4A"/>
    <w:rsid w:val="0011549A"/>
    <w:rsid w:val="00115AEC"/>
    <w:rsid w:val="00116056"/>
    <w:rsid w:val="00116342"/>
    <w:rsid w:val="001167FB"/>
    <w:rsid w:val="001176A1"/>
    <w:rsid w:val="001179B5"/>
    <w:rsid w:val="00117A4A"/>
    <w:rsid w:val="00117A84"/>
    <w:rsid w:val="00117CCB"/>
    <w:rsid w:val="00117D0E"/>
    <w:rsid w:val="00117F96"/>
    <w:rsid w:val="00120509"/>
    <w:rsid w:val="00120F94"/>
    <w:rsid w:val="001212DB"/>
    <w:rsid w:val="00121AB5"/>
    <w:rsid w:val="00121E82"/>
    <w:rsid w:val="00121ECA"/>
    <w:rsid w:val="00122743"/>
    <w:rsid w:val="00122C48"/>
    <w:rsid w:val="00122CB5"/>
    <w:rsid w:val="0012385A"/>
    <w:rsid w:val="001239D2"/>
    <w:rsid w:val="0012411C"/>
    <w:rsid w:val="0012413D"/>
    <w:rsid w:val="00124584"/>
    <w:rsid w:val="00124628"/>
    <w:rsid w:val="00124958"/>
    <w:rsid w:val="00124A98"/>
    <w:rsid w:val="00124FB7"/>
    <w:rsid w:val="00125376"/>
    <w:rsid w:val="0012542A"/>
    <w:rsid w:val="0012553B"/>
    <w:rsid w:val="00125D5D"/>
    <w:rsid w:val="001261E4"/>
    <w:rsid w:val="001262C9"/>
    <w:rsid w:val="00126731"/>
    <w:rsid w:val="00126805"/>
    <w:rsid w:val="00126B8E"/>
    <w:rsid w:val="00126F17"/>
    <w:rsid w:val="00127206"/>
    <w:rsid w:val="00127993"/>
    <w:rsid w:val="00127A3F"/>
    <w:rsid w:val="00127E7B"/>
    <w:rsid w:val="00127F9C"/>
    <w:rsid w:val="00130477"/>
    <w:rsid w:val="001306FE"/>
    <w:rsid w:val="0013085C"/>
    <w:rsid w:val="00130D9E"/>
    <w:rsid w:val="00130DDA"/>
    <w:rsid w:val="00131499"/>
    <w:rsid w:val="00132C46"/>
    <w:rsid w:val="0013381F"/>
    <w:rsid w:val="00133912"/>
    <w:rsid w:val="00133C14"/>
    <w:rsid w:val="00133C1D"/>
    <w:rsid w:val="00133EAB"/>
    <w:rsid w:val="00134D34"/>
    <w:rsid w:val="00134DCD"/>
    <w:rsid w:val="00134EDE"/>
    <w:rsid w:val="001350B1"/>
    <w:rsid w:val="0013522F"/>
    <w:rsid w:val="00135436"/>
    <w:rsid w:val="0013587D"/>
    <w:rsid w:val="001359A0"/>
    <w:rsid w:val="00135A40"/>
    <w:rsid w:val="001360A3"/>
    <w:rsid w:val="0013620B"/>
    <w:rsid w:val="001365C1"/>
    <w:rsid w:val="00136640"/>
    <w:rsid w:val="001372FC"/>
    <w:rsid w:val="00137488"/>
    <w:rsid w:val="00137C9C"/>
    <w:rsid w:val="00137D2E"/>
    <w:rsid w:val="0014036E"/>
    <w:rsid w:val="0014115E"/>
    <w:rsid w:val="001417D7"/>
    <w:rsid w:val="00141BCE"/>
    <w:rsid w:val="00142D28"/>
    <w:rsid w:val="00142DCB"/>
    <w:rsid w:val="00142E9A"/>
    <w:rsid w:val="00142FAE"/>
    <w:rsid w:val="0014358B"/>
    <w:rsid w:val="00143815"/>
    <w:rsid w:val="00143C93"/>
    <w:rsid w:val="0014402A"/>
    <w:rsid w:val="00144162"/>
    <w:rsid w:val="00144346"/>
    <w:rsid w:val="00144693"/>
    <w:rsid w:val="001447A4"/>
    <w:rsid w:val="00144CFE"/>
    <w:rsid w:val="00144DDD"/>
    <w:rsid w:val="0014505D"/>
    <w:rsid w:val="00145555"/>
    <w:rsid w:val="00146328"/>
    <w:rsid w:val="001463DD"/>
    <w:rsid w:val="00146402"/>
    <w:rsid w:val="00146C69"/>
    <w:rsid w:val="00146F42"/>
    <w:rsid w:val="0014765E"/>
    <w:rsid w:val="00147689"/>
    <w:rsid w:val="00147940"/>
    <w:rsid w:val="00147B4D"/>
    <w:rsid w:val="00147B6F"/>
    <w:rsid w:val="00150381"/>
    <w:rsid w:val="0015090A"/>
    <w:rsid w:val="0015097B"/>
    <w:rsid w:val="00150993"/>
    <w:rsid w:val="001516A7"/>
    <w:rsid w:val="00151BBC"/>
    <w:rsid w:val="00152334"/>
    <w:rsid w:val="001524CA"/>
    <w:rsid w:val="001525CF"/>
    <w:rsid w:val="00152ED4"/>
    <w:rsid w:val="001532B2"/>
    <w:rsid w:val="00153396"/>
    <w:rsid w:val="001539CE"/>
    <w:rsid w:val="00153AB5"/>
    <w:rsid w:val="00153AE3"/>
    <w:rsid w:val="0015413A"/>
    <w:rsid w:val="001542D6"/>
    <w:rsid w:val="00154476"/>
    <w:rsid w:val="0015462A"/>
    <w:rsid w:val="00154B8F"/>
    <w:rsid w:val="00154D04"/>
    <w:rsid w:val="00154FD1"/>
    <w:rsid w:val="00155293"/>
    <w:rsid w:val="001552DA"/>
    <w:rsid w:val="0015544B"/>
    <w:rsid w:val="001554B9"/>
    <w:rsid w:val="001555B6"/>
    <w:rsid w:val="001558F1"/>
    <w:rsid w:val="00155FDF"/>
    <w:rsid w:val="001569B5"/>
    <w:rsid w:val="00156A6A"/>
    <w:rsid w:val="00156A9C"/>
    <w:rsid w:val="00156F52"/>
    <w:rsid w:val="001570D2"/>
    <w:rsid w:val="00157231"/>
    <w:rsid w:val="001573B9"/>
    <w:rsid w:val="001573E6"/>
    <w:rsid w:val="001574DD"/>
    <w:rsid w:val="001576E0"/>
    <w:rsid w:val="00157F33"/>
    <w:rsid w:val="001601B4"/>
    <w:rsid w:val="00160333"/>
    <w:rsid w:val="0016043B"/>
    <w:rsid w:val="001605BF"/>
    <w:rsid w:val="0016090A"/>
    <w:rsid w:val="00160A38"/>
    <w:rsid w:val="00160B73"/>
    <w:rsid w:val="001613DE"/>
    <w:rsid w:val="00161944"/>
    <w:rsid w:val="00161C8F"/>
    <w:rsid w:val="001620E9"/>
    <w:rsid w:val="001621A3"/>
    <w:rsid w:val="001625EC"/>
    <w:rsid w:val="001626F4"/>
    <w:rsid w:val="00162B8D"/>
    <w:rsid w:val="00162E39"/>
    <w:rsid w:val="001635B7"/>
    <w:rsid w:val="001636D6"/>
    <w:rsid w:val="0016378C"/>
    <w:rsid w:val="001639FB"/>
    <w:rsid w:val="00163B79"/>
    <w:rsid w:val="00163B7C"/>
    <w:rsid w:val="00163E29"/>
    <w:rsid w:val="001641F0"/>
    <w:rsid w:val="00164A2C"/>
    <w:rsid w:val="00164BEA"/>
    <w:rsid w:val="00164EC6"/>
    <w:rsid w:val="00164FC4"/>
    <w:rsid w:val="00165289"/>
    <w:rsid w:val="00165784"/>
    <w:rsid w:val="00165C86"/>
    <w:rsid w:val="00165F3F"/>
    <w:rsid w:val="001669B8"/>
    <w:rsid w:val="00166D8B"/>
    <w:rsid w:val="00167346"/>
    <w:rsid w:val="001678BD"/>
    <w:rsid w:val="00170563"/>
    <w:rsid w:val="00170A28"/>
    <w:rsid w:val="00170BC3"/>
    <w:rsid w:val="001712BD"/>
    <w:rsid w:val="00171AA9"/>
    <w:rsid w:val="001725E5"/>
    <w:rsid w:val="0017267B"/>
    <w:rsid w:val="001726D9"/>
    <w:rsid w:val="0017270B"/>
    <w:rsid w:val="001728C7"/>
    <w:rsid w:val="00172A83"/>
    <w:rsid w:val="00173346"/>
    <w:rsid w:val="001733E1"/>
    <w:rsid w:val="00173414"/>
    <w:rsid w:val="0017387F"/>
    <w:rsid w:val="0017393A"/>
    <w:rsid w:val="00173958"/>
    <w:rsid w:val="001740F9"/>
    <w:rsid w:val="00174151"/>
    <w:rsid w:val="00174196"/>
    <w:rsid w:val="001744D8"/>
    <w:rsid w:val="001745B0"/>
    <w:rsid w:val="00174CB1"/>
    <w:rsid w:val="00174F26"/>
    <w:rsid w:val="00174F3E"/>
    <w:rsid w:val="00175355"/>
    <w:rsid w:val="0017541A"/>
    <w:rsid w:val="0017589D"/>
    <w:rsid w:val="00175E03"/>
    <w:rsid w:val="001763D0"/>
    <w:rsid w:val="001768AA"/>
    <w:rsid w:val="00176C06"/>
    <w:rsid w:val="0017712D"/>
    <w:rsid w:val="001777BE"/>
    <w:rsid w:val="001778B9"/>
    <w:rsid w:val="00180142"/>
    <w:rsid w:val="001802D5"/>
    <w:rsid w:val="00180E20"/>
    <w:rsid w:val="0018116C"/>
    <w:rsid w:val="001812A2"/>
    <w:rsid w:val="00181562"/>
    <w:rsid w:val="00181B71"/>
    <w:rsid w:val="00181C9E"/>
    <w:rsid w:val="00181E22"/>
    <w:rsid w:val="00181F18"/>
    <w:rsid w:val="0018235F"/>
    <w:rsid w:val="0018248F"/>
    <w:rsid w:val="001825DD"/>
    <w:rsid w:val="00182EF9"/>
    <w:rsid w:val="00183D09"/>
    <w:rsid w:val="00184068"/>
    <w:rsid w:val="0018443C"/>
    <w:rsid w:val="0018458D"/>
    <w:rsid w:val="00184739"/>
    <w:rsid w:val="00184761"/>
    <w:rsid w:val="00184A16"/>
    <w:rsid w:val="00184A40"/>
    <w:rsid w:val="00184AD7"/>
    <w:rsid w:val="00184DDF"/>
    <w:rsid w:val="0018528A"/>
    <w:rsid w:val="00185920"/>
    <w:rsid w:val="001859F8"/>
    <w:rsid w:val="00185D58"/>
    <w:rsid w:val="00185D83"/>
    <w:rsid w:val="0018607C"/>
    <w:rsid w:val="0018639E"/>
    <w:rsid w:val="00186A42"/>
    <w:rsid w:val="00186AC7"/>
    <w:rsid w:val="00186FF2"/>
    <w:rsid w:val="00187D65"/>
    <w:rsid w:val="00187E47"/>
    <w:rsid w:val="0019008A"/>
    <w:rsid w:val="00190A9E"/>
    <w:rsid w:val="00190BFE"/>
    <w:rsid w:val="00191B08"/>
    <w:rsid w:val="0019217F"/>
    <w:rsid w:val="001925EE"/>
    <w:rsid w:val="00192BF1"/>
    <w:rsid w:val="0019344B"/>
    <w:rsid w:val="001934EB"/>
    <w:rsid w:val="001936E9"/>
    <w:rsid w:val="001939AE"/>
    <w:rsid w:val="00193CEA"/>
    <w:rsid w:val="00193ED4"/>
    <w:rsid w:val="001943DE"/>
    <w:rsid w:val="001948A4"/>
    <w:rsid w:val="00194EBC"/>
    <w:rsid w:val="00195128"/>
    <w:rsid w:val="00195146"/>
    <w:rsid w:val="00195666"/>
    <w:rsid w:val="001958D5"/>
    <w:rsid w:val="00195934"/>
    <w:rsid w:val="00196427"/>
    <w:rsid w:val="0019666D"/>
    <w:rsid w:val="001966E2"/>
    <w:rsid w:val="00196DAC"/>
    <w:rsid w:val="00197A8E"/>
    <w:rsid w:val="00197B59"/>
    <w:rsid w:val="001A0464"/>
    <w:rsid w:val="001A07F8"/>
    <w:rsid w:val="001A0870"/>
    <w:rsid w:val="001A10B7"/>
    <w:rsid w:val="001A1A40"/>
    <w:rsid w:val="001A1AE6"/>
    <w:rsid w:val="001A1F25"/>
    <w:rsid w:val="001A22A4"/>
    <w:rsid w:val="001A2442"/>
    <w:rsid w:val="001A2509"/>
    <w:rsid w:val="001A2D1E"/>
    <w:rsid w:val="001A3234"/>
    <w:rsid w:val="001A332A"/>
    <w:rsid w:val="001A3765"/>
    <w:rsid w:val="001A39EB"/>
    <w:rsid w:val="001A3B71"/>
    <w:rsid w:val="001A4428"/>
    <w:rsid w:val="001A4660"/>
    <w:rsid w:val="001A4E5A"/>
    <w:rsid w:val="001A4FA7"/>
    <w:rsid w:val="001A55FB"/>
    <w:rsid w:val="001A56DD"/>
    <w:rsid w:val="001A5A78"/>
    <w:rsid w:val="001A5B2B"/>
    <w:rsid w:val="001A5BBD"/>
    <w:rsid w:val="001A5C9F"/>
    <w:rsid w:val="001A621C"/>
    <w:rsid w:val="001A64B5"/>
    <w:rsid w:val="001A66BD"/>
    <w:rsid w:val="001A6CCC"/>
    <w:rsid w:val="001A7250"/>
    <w:rsid w:val="001A75E5"/>
    <w:rsid w:val="001A765B"/>
    <w:rsid w:val="001A768A"/>
    <w:rsid w:val="001A791B"/>
    <w:rsid w:val="001A7D77"/>
    <w:rsid w:val="001A7DA6"/>
    <w:rsid w:val="001A7F6D"/>
    <w:rsid w:val="001B0007"/>
    <w:rsid w:val="001B0C22"/>
    <w:rsid w:val="001B13C5"/>
    <w:rsid w:val="001B1618"/>
    <w:rsid w:val="001B1862"/>
    <w:rsid w:val="001B1B31"/>
    <w:rsid w:val="001B1C33"/>
    <w:rsid w:val="001B1DF5"/>
    <w:rsid w:val="001B1F9E"/>
    <w:rsid w:val="001B2183"/>
    <w:rsid w:val="001B21BC"/>
    <w:rsid w:val="001B3151"/>
    <w:rsid w:val="001B3237"/>
    <w:rsid w:val="001B33A9"/>
    <w:rsid w:val="001B3AC4"/>
    <w:rsid w:val="001B3C2E"/>
    <w:rsid w:val="001B4556"/>
    <w:rsid w:val="001B4650"/>
    <w:rsid w:val="001B49C9"/>
    <w:rsid w:val="001B4F21"/>
    <w:rsid w:val="001B4FC9"/>
    <w:rsid w:val="001B50F5"/>
    <w:rsid w:val="001B512E"/>
    <w:rsid w:val="001B51FF"/>
    <w:rsid w:val="001B5B0D"/>
    <w:rsid w:val="001B5E62"/>
    <w:rsid w:val="001B6133"/>
    <w:rsid w:val="001B6610"/>
    <w:rsid w:val="001B67BB"/>
    <w:rsid w:val="001B6AB3"/>
    <w:rsid w:val="001B7114"/>
    <w:rsid w:val="001B76A3"/>
    <w:rsid w:val="001B7718"/>
    <w:rsid w:val="001B7894"/>
    <w:rsid w:val="001C04B4"/>
    <w:rsid w:val="001C08F9"/>
    <w:rsid w:val="001C0A40"/>
    <w:rsid w:val="001C0ADE"/>
    <w:rsid w:val="001C1056"/>
    <w:rsid w:val="001C10CE"/>
    <w:rsid w:val="001C1182"/>
    <w:rsid w:val="001C18AD"/>
    <w:rsid w:val="001C19AC"/>
    <w:rsid w:val="001C1A1E"/>
    <w:rsid w:val="001C1F31"/>
    <w:rsid w:val="001C1FDD"/>
    <w:rsid w:val="001C20F9"/>
    <w:rsid w:val="001C2523"/>
    <w:rsid w:val="001C2CC0"/>
    <w:rsid w:val="001C2EDF"/>
    <w:rsid w:val="001C3545"/>
    <w:rsid w:val="001C35D3"/>
    <w:rsid w:val="001C3B7E"/>
    <w:rsid w:val="001C3E36"/>
    <w:rsid w:val="001C4065"/>
    <w:rsid w:val="001C521C"/>
    <w:rsid w:val="001C560D"/>
    <w:rsid w:val="001C5698"/>
    <w:rsid w:val="001C5A70"/>
    <w:rsid w:val="001C6442"/>
    <w:rsid w:val="001C66C1"/>
    <w:rsid w:val="001C69C2"/>
    <w:rsid w:val="001C7966"/>
    <w:rsid w:val="001C7D41"/>
    <w:rsid w:val="001D1006"/>
    <w:rsid w:val="001D124D"/>
    <w:rsid w:val="001D1350"/>
    <w:rsid w:val="001D167F"/>
    <w:rsid w:val="001D16A1"/>
    <w:rsid w:val="001D1BAB"/>
    <w:rsid w:val="001D1DEE"/>
    <w:rsid w:val="001D20C3"/>
    <w:rsid w:val="001D236A"/>
    <w:rsid w:val="001D242C"/>
    <w:rsid w:val="001D280A"/>
    <w:rsid w:val="001D2B42"/>
    <w:rsid w:val="001D2CAB"/>
    <w:rsid w:val="001D3022"/>
    <w:rsid w:val="001D3506"/>
    <w:rsid w:val="001D3602"/>
    <w:rsid w:val="001D37AC"/>
    <w:rsid w:val="001D3A64"/>
    <w:rsid w:val="001D3A9F"/>
    <w:rsid w:val="001D3BBB"/>
    <w:rsid w:val="001D3F0B"/>
    <w:rsid w:val="001D422A"/>
    <w:rsid w:val="001D431D"/>
    <w:rsid w:val="001D4794"/>
    <w:rsid w:val="001D4852"/>
    <w:rsid w:val="001D48EE"/>
    <w:rsid w:val="001D49E2"/>
    <w:rsid w:val="001D4A70"/>
    <w:rsid w:val="001D523B"/>
    <w:rsid w:val="001D5EE3"/>
    <w:rsid w:val="001D68C3"/>
    <w:rsid w:val="001D6A07"/>
    <w:rsid w:val="001D6FD0"/>
    <w:rsid w:val="001D7A4E"/>
    <w:rsid w:val="001D7AB1"/>
    <w:rsid w:val="001D7F0A"/>
    <w:rsid w:val="001D7F4D"/>
    <w:rsid w:val="001D7FE3"/>
    <w:rsid w:val="001E0595"/>
    <w:rsid w:val="001E0729"/>
    <w:rsid w:val="001E14FD"/>
    <w:rsid w:val="001E1588"/>
    <w:rsid w:val="001E1B88"/>
    <w:rsid w:val="001E2313"/>
    <w:rsid w:val="001E2345"/>
    <w:rsid w:val="001E24D6"/>
    <w:rsid w:val="001E26A8"/>
    <w:rsid w:val="001E2BBA"/>
    <w:rsid w:val="001E3140"/>
    <w:rsid w:val="001E3880"/>
    <w:rsid w:val="001E3C8D"/>
    <w:rsid w:val="001E418E"/>
    <w:rsid w:val="001E45A8"/>
    <w:rsid w:val="001E471E"/>
    <w:rsid w:val="001E5593"/>
    <w:rsid w:val="001E55F4"/>
    <w:rsid w:val="001E5DF8"/>
    <w:rsid w:val="001E5E9B"/>
    <w:rsid w:val="001E5F8B"/>
    <w:rsid w:val="001E60D5"/>
    <w:rsid w:val="001E612E"/>
    <w:rsid w:val="001E6162"/>
    <w:rsid w:val="001E644B"/>
    <w:rsid w:val="001E6810"/>
    <w:rsid w:val="001E68B4"/>
    <w:rsid w:val="001E696E"/>
    <w:rsid w:val="001E6A33"/>
    <w:rsid w:val="001E7059"/>
    <w:rsid w:val="001E72B7"/>
    <w:rsid w:val="001E78BE"/>
    <w:rsid w:val="001E7919"/>
    <w:rsid w:val="001E7BD4"/>
    <w:rsid w:val="001E7C2D"/>
    <w:rsid w:val="001F071E"/>
    <w:rsid w:val="001F0987"/>
    <w:rsid w:val="001F0E13"/>
    <w:rsid w:val="001F0FAA"/>
    <w:rsid w:val="001F1488"/>
    <w:rsid w:val="001F14B1"/>
    <w:rsid w:val="001F26A2"/>
    <w:rsid w:val="001F300D"/>
    <w:rsid w:val="001F3169"/>
    <w:rsid w:val="001F34B2"/>
    <w:rsid w:val="001F3577"/>
    <w:rsid w:val="001F37BC"/>
    <w:rsid w:val="001F38A5"/>
    <w:rsid w:val="001F3C90"/>
    <w:rsid w:val="001F3F34"/>
    <w:rsid w:val="001F4364"/>
    <w:rsid w:val="001F457B"/>
    <w:rsid w:val="001F4813"/>
    <w:rsid w:val="001F4DE0"/>
    <w:rsid w:val="001F51B9"/>
    <w:rsid w:val="001F57D4"/>
    <w:rsid w:val="001F5974"/>
    <w:rsid w:val="001F5CD6"/>
    <w:rsid w:val="001F5E68"/>
    <w:rsid w:val="001F6515"/>
    <w:rsid w:val="001F723A"/>
    <w:rsid w:val="001F74E5"/>
    <w:rsid w:val="001F7539"/>
    <w:rsid w:val="001F7B5F"/>
    <w:rsid w:val="001F7D69"/>
    <w:rsid w:val="001F7F01"/>
    <w:rsid w:val="002001EF"/>
    <w:rsid w:val="002002F9"/>
    <w:rsid w:val="002006D0"/>
    <w:rsid w:val="00200972"/>
    <w:rsid w:val="002009C7"/>
    <w:rsid w:val="00200C20"/>
    <w:rsid w:val="00200F5C"/>
    <w:rsid w:val="0020100D"/>
    <w:rsid w:val="0020106B"/>
    <w:rsid w:val="00201DD9"/>
    <w:rsid w:val="00201E95"/>
    <w:rsid w:val="00202021"/>
    <w:rsid w:val="00202374"/>
    <w:rsid w:val="0020239C"/>
    <w:rsid w:val="0020250F"/>
    <w:rsid w:val="00202852"/>
    <w:rsid w:val="00202ED7"/>
    <w:rsid w:val="002032E8"/>
    <w:rsid w:val="002033BB"/>
    <w:rsid w:val="00203BA9"/>
    <w:rsid w:val="002041D2"/>
    <w:rsid w:val="00204A9B"/>
    <w:rsid w:val="00204CEB"/>
    <w:rsid w:val="00204FCA"/>
    <w:rsid w:val="00205606"/>
    <w:rsid w:val="002066D2"/>
    <w:rsid w:val="00206A7A"/>
    <w:rsid w:val="00206C25"/>
    <w:rsid w:val="00206F68"/>
    <w:rsid w:val="002070A2"/>
    <w:rsid w:val="002072F6"/>
    <w:rsid w:val="0020741A"/>
    <w:rsid w:val="0020757E"/>
    <w:rsid w:val="00207638"/>
    <w:rsid w:val="002076AF"/>
    <w:rsid w:val="0020786F"/>
    <w:rsid w:val="00207E64"/>
    <w:rsid w:val="0021009C"/>
    <w:rsid w:val="002100F0"/>
    <w:rsid w:val="0021015C"/>
    <w:rsid w:val="00210313"/>
    <w:rsid w:val="00210A66"/>
    <w:rsid w:val="00210C16"/>
    <w:rsid w:val="0021181F"/>
    <w:rsid w:val="00211895"/>
    <w:rsid w:val="00211A79"/>
    <w:rsid w:val="00211AC4"/>
    <w:rsid w:val="00212218"/>
    <w:rsid w:val="00212377"/>
    <w:rsid w:val="00212524"/>
    <w:rsid w:val="00212597"/>
    <w:rsid w:val="00212E8E"/>
    <w:rsid w:val="00212FBF"/>
    <w:rsid w:val="002132F2"/>
    <w:rsid w:val="00213665"/>
    <w:rsid w:val="00213715"/>
    <w:rsid w:val="00213827"/>
    <w:rsid w:val="00213D04"/>
    <w:rsid w:val="00214054"/>
    <w:rsid w:val="002145B9"/>
    <w:rsid w:val="0021477C"/>
    <w:rsid w:val="00214B35"/>
    <w:rsid w:val="00214CC4"/>
    <w:rsid w:val="002152CD"/>
    <w:rsid w:val="002158C0"/>
    <w:rsid w:val="00215C3C"/>
    <w:rsid w:val="002164E0"/>
    <w:rsid w:val="002169AF"/>
    <w:rsid w:val="00216F75"/>
    <w:rsid w:val="002170C5"/>
    <w:rsid w:val="00217713"/>
    <w:rsid w:val="00217DAF"/>
    <w:rsid w:val="00217F8D"/>
    <w:rsid w:val="0022030B"/>
    <w:rsid w:val="002204F8"/>
    <w:rsid w:val="002205E7"/>
    <w:rsid w:val="002205ED"/>
    <w:rsid w:val="00220A75"/>
    <w:rsid w:val="00220B60"/>
    <w:rsid w:val="00220E9C"/>
    <w:rsid w:val="00221065"/>
    <w:rsid w:val="002210AA"/>
    <w:rsid w:val="0022145D"/>
    <w:rsid w:val="0022173D"/>
    <w:rsid w:val="00221742"/>
    <w:rsid w:val="00221F48"/>
    <w:rsid w:val="00222250"/>
    <w:rsid w:val="002223E4"/>
    <w:rsid w:val="002228DE"/>
    <w:rsid w:val="002229A8"/>
    <w:rsid w:val="00222B45"/>
    <w:rsid w:val="00223322"/>
    <w:rsid w:val="002237E5"/>
    <w:rsid w:val="0022386B"/>
    <w:rsid w:val="00224019"/>
    <w:rsid w:val="00224303"/>
    <w:rsid w:val="00225489"/>
    <w:rsid w:val="002258E0"/>
    <w:rsid w:val="002259EF"/>
    <w:rsid w:val="00225AE1"/>
    <w:rsid w:val="00225D33"/>
    <w:rsid w:val="00225E1D"/>
    <w:rsid w:val="00226104"/>
    <w:rsid w:val="00226358"/>
    <w:rsid w:val="0022656F"/>
    <w:rsid w:val="0022680A"/>
    <w:rsid w:val="0022686C"/>
    <w:rsid w:val="002268B9"/>
    <w:rsid w:val="00226A79"/>
    <w:rsid w:val="00226BBD"/>
    <w:rsid w:val="002276AC"/>
    <w:rsid w:val="00227A5E"/>
    <w:rsid w:val="00227C13"/>
    <w:rsid w:val="00227F07"/>
    <w:rsid w:val="00227FC9"/>
    <w:rsid w:val="002301B8"/>
    <w:rsid w:val="002302FA"/>
    <w:rsid w:val="00230582"/>
    <w:rsid w:val="00230EAF"/>
    <w:rsid w:val="00231360"/>
    <w:rsid w:val="00231EAF"/>
    <w:rsid w:val="002321FF"/>
    <w:rsid w:val="00232315"/>
    <w:rsid w:val="002324B1"/>
    <w:rsid w:val="00232683"/>
    <w:rsid w:val="002333B0"/>
    <w:rsid w:val="0023395A"/>
    <w:rsid w:val="00233A32"/>
    <w:rsid w:val="00233C9D"/>
    <w:rsid w:val="00233DA6"/>
    <w:rsid w:val="00234806"/>
    <w:rsid w:val="00234B6F"/>
    <w:rsid w:val="00234F0A"/>
    <w:rsid w:val="00234F31"/>
    <w:rsid w:val="00235030"/>
    <w:rsid w:val="00235145"/>
    <w:rsid w:val="0023538A"/>
    <w:rsid w:val="00235395"/>
    <w:rsid w:val="002353B3"/>
    <w:rsid w:val="0023570D"/>
    <w:rsid w:val="00235A1F"/>
    <w:rsid w:val="00235BA8"/>
    <w:rsid w:val="00235DCD"/>
    <w:rsid w:val="002360C8"/>
    <w:rsid w:val="00236554"/>
    <w:rsid w:val="002365BB"/>
    <w:rsid w:val="002368A7"/>
    <w:rsid w:val="002368B6"/>
    <w:rsid w:val="00236AEE"/>
    <w:rsid w:val="00236CDA"/>
    <w:rsid w:val="002372D3"/>
    <w:rsid w:val="00237633"/>
    <w:rsid w:val="00237F24"/>
    <w:rsid w:val="00240BB9"/>
    <w:rsid w:val="0024120F"/>
    <w:rsid w:val="0024124D"/>
    <w:rsid w:val="002413AD"/>
    <w:rsid w:val="0024147C"/>
    <w:rsid w:val="002414E7"/>
    <w:rsid w:val="00241570"/>
    <w:rsid w:val="00241AB6"/>
    <w:rsid w:val="00241B74"/>
    <w:rsid w:val="00241E1F"/>
    <w:rsid w:val="00241E54"/>
    <w:rsid w:val="00241EF9"/>
    <w:rsid w:val="0024226D"/>
    <w:rsid w:val="00242270"/>
    <w:rsid w:val="00242316"/>
    <w:rsid w:val="0024291F"/>
    <w:rsid w:val="00242CF8"/>
    <w:rsid w:val="00243050"/>
    <w:rsid w:val="002431C0"/>
    <w:rsid w:val="00243546"/>
    <w:rsid w:val="002439DE"/>
    <w:rsid w:val="002441FD"/>
    <w:rsid w:val="002446B4"/>
    <w:rsid w:val="00244D2D"/>
    <w:rsid w:val="00245889"/>
    <w:rsid w:val="002459F7"/>
    <w:rsid w:val="00245C05"/>
    <w:rsid w:val="00245CA8"/>
    <w:rsid w:val="00245E5C"/>
    <w:rsid w:val="00246513"/>
    <w:rsid w:val="0024672D"/>
    <w:rsid w:val="0024687A"/>
    <w:rsid w:val="00247076"/>
    <w:rsid w:val="0024740E"/>
    <w:rsid w:val="002474B7"/>
    <w:rsid w:val="0024754B"/>
    <w:rsid w:val="00247550"/>
    <w:rsid w:val="0024778B"/>
    <w:rsid w:val="00247A70"/>
    <w:rsid w:val="00247BC4"/>
    <w:rsid w:val="0025017F"/>
    <w:rsid w:val="00250B62"/>
    <w:rsid w:val="00250BBE"/>
    <w:rsid w:val="002518C0"/>
    <w:rsid w:val="00251A78"/>
    <w:rsid w:val="00251C90"/>
    <w:rsid w:val="00251CB3"/>
    <w:rsid w:val="00251D1B"/>
    <w:rsid w:val="0025217F"/>
    <w:rsid w:val="002522FE"/>
    <w:rsid w:val="002523BC"/>
    <w:rsid w:val="0025287B"/>
    <w:rsid w:val="00252D6C"/>
    <w:rsid w:val="00253202"/>
    <w:rsid w:val="00253240"/>
    <w:rsid w:val="00253510"/>
    <w:rsid w:val="00253586"/>
    <w:rsid w:val="0025392C"/>
    <w:rsid w:val="0025429D"/>
    <w:rsid w:val="0025483F"/>
    <w:rsid w:val="002550D6"/>
    <w:rsid w:val="0025596E"/>
    <w:rsid w:val="002559DF"/>
    <w:rsid w:val="00255A78"/>
    <w:rsid w:val="00255EFD"/>
    <w:rsid w:val="00256AB0"/>
    <w:rsid w:val="0025719F"/>
    <w:rsid w:val="00257399"/>
    <w:rsid w:val="002578A0"/>
    <w:rsid w:val="002578DA"/>
    <w:rsid w:val="00257FB0"/>
    <w:rsid w:val="002601AE"/>
    <w:rsid w:val="00260556"/>
    <w:rsid w:val="002606AF"/>
    <w:rsid w:val="002610C0"/>
    <w:rsid w:val="00261405"/>
    <w:rsid w:val="00261484"/>
    <w:rsid w:val="00261A08"/>
    <w:rsid w:val="002621EA"/>
    <w:rsid w:val="00262209"/>
    <w:rsid w:val="002628BC"/>
    <w:rsid w:val="00262C61"/>
    <w:rsid w:val="00262DD5"/>
    <w:rsid w:val="00262E2F"/>
    <w:rsid w:val="0026311C"/>
    <w:rsid w:val="00263244"/>
    <w:rsid w:val="002632B9"/>
    <w:rsid w:val="00264060"/>
    <w:rsid w:val="00264E49"/>
    <w:rsid w:val="0026560E"/>
    <w:rsid w:val="002658EF"/>
    <w:rsid w:val="00265DCE"/>
    <w:rsid w:val="00265E73"/>
    <w:rsid w:val="00265FB0"/>
    <w:rsid w:val="0026621B"/>
    <w:rsid w:val="00266689"/>
    <w:rsid w:val="00266746"/>
    <w:rsid w:val="00266817"/>
    <w:rsid w:val="00266E35"/>
    <w:rsid w:val="002670F7"/>
    <w:rsid w:val="00267137"/>
    <w:rsid w:val="0026726F"/>
    <w:rsid w:val="00267470"/>
    <w:rsid w:val="00267DB1"/>
    <w:rsid w:val="00267E40"/>
    <w:rsid w:val="00267E6C"/>
    <w:rsid w:val="00267F10"/>
    <w:rsid w:val="002701E4"/>
    <w:rsid w:val="0027029D"/>
    <w:rsid w:val="00270982"/>
    <w:rsid w:val="00270A39"/>
    <w:rsid w:val="00270CC1"/>
    <w:rsid w:val="0027119C"/>
    <w:rsid w:val="00271579"/>
    <w:rsid w:val="0027184B"/>
    <w:rsid w:val="002719BC"/>
    <w:rsid w:val="00271B42"/>
    <w:rsid w:val="00271E3E"/>
    <w:rsid w:val="00271E58"/>
    <w:rsid w:val="00272116"/>
    <w:rsid w:val="0027228F"/>
    <w:rsid w:val="00272EC7"/>
    <w:rsid w:val="0027313C"/>
    <w:rsid w:val="00273B2E"/>
    <w:rsid w:val="00273E58"/>
    <w:rsid w:val="0027411C"/>
    <w:rsid w:val="00274182"/>
    <w:rsid w:val="00274363"/>
    <w:rsid w:val="00274E49"/>
    <w:rsid w:val="00274EBF"/>
    <w:rsid w:val="0027508E"/>
    <w:rsid w:val="00275252"/>
    <w:rsid w:val="00275CFC"/>
    <w:rsid w:val="00276646"/>
    <w:rsid w:val="002766DE"/>
    <w:rsid w:val="002767AB"/>
    <w:rsid w:val="00276CCC"/>
    <w:rsid w:val="00276EB1"/>
    <w:rsid w:val="00277715"/>
    <w:rsid w:val="002779FF"/>
    <w:rsid w:val="00277C79"/>
    <w:rsid w:val="00277F28"/>
    <w:rsid w:val="00280333"/>
    <w:rsid w:val="0028060C"/>
    <w:rsid w:val="00280DCB"/>
    <w:rsid w:val="002811F1"/>
    <w:rsid w:val="00281347"/>
    <w:rsid w:val="00281386"/>
    <w:rsid w:val="002816A3"/>
    <w:rsid w:val="002823F6"/>
    <w:rsid w:val="0028283E"/>
    <w:rsid w:val="002829E2"/>
    <w:rsid w:val="00282A70"/>
    <w:rsid w:val="00282B37"/>
    <w:rsid w:val="00283163"/>
    <w:rsid w:val="0028331D"/>
    <w:rsid w:val="00283515"/>
    <w:rsid w:val="00283595"/>
    <w:rsid w:val="00283BAB"/>
    <w:rsid w:val="00283D98"/>
    <w:rsid w:val="00284615"/>
    <w:rsid w:val="00284860"/>
    <w:rsid w:val="00285186"/>
    <w:rsid w:val="00285304"/>
    <w:rsid w:val="00285579"/>
    <w:rsid w:val="00285987"/>
    <w:rsid w:val="002867D6"/>
    <w:rsid w:val="002869CB"/>
    <w:rsid w:val="00286A45"/>
    <w:rsid w:val="0028790B"/>
    <w:rsid w:val="00287924"/>
    <w:rsid w:val="00287E07"/>
    <w:rsid w:val="002904E5"/>
    <w:rsid w:val="002914E4"/>
    <w:rsid w:val="002918D1"/>
    <w:rsid w:val="00291FD3"/>
    <w:rsid w:val="00292213"/>
    <w:rsid w:val="002922B2"/>
    <w:rsid w:val="00292429"/>
    <w:rsid w:val="002927EF"/>
    <w:rsid w:val="00292B2C"/>
    <w:rsid w:val="00292F30"/>
    <w:rsid w:val="002932AB"/>
    <w:rsid w:val="00293646"/>
    <w:rsid w:val="00293A52"/>
    <w:rsid w:val="00294150"/>
    <w:rsid w:val="0029415E"/>
    <w:rsid w:val="0029459A"/>
    <w:rsid w:val="002946B9"/>
    <w:rsid w:val="00294F26"/>
    <w:rsid w:val="00295114"/>
    <w:rsid w:val="00295A7A"/>
    <w:rsid w:val="00296BC5"/>
    <w:rsid w:val="00296FE4"/>
    <w:rsid w:val="00297892"/>
    <w:rsid w:val="00297D97"/>
    <w:rsid w:val="002A02FB"/>
    <w:rsid w:val="002A07CB"/>
    <w:rsid w:val="002A0D21"/>
    <w:rsid w:val="002A1105"/>
    <w:rsid w:val="002A1B6B"/>
    <w:rsid w:val="002A1CC6"/>
    <w:rsid w:val="002A1DA0"/>
    <w:rsid w:val="002A1EA3"/>
    <w:rsid w:val="002A256E"/>
    <w:rsid w:val="002A272B"/>
    <w:rsid w:val="002A280A"/>
    <w:rsid w:val="002A2AB6"/>
    <w:rsid w:val="002A32D2"/>
    <w:rsid w:val="002A32E0"/>
    <w:rsid w:val="002A3640"/>
    <w:rsid w:val="002A36F8"/>
    <w:rsid w:val="002A38B2"/>
    <w:rsid w:val="002A39B7"/>
    <w:rsid w:val="002A3AE7"/>
    <w:rsid w:val="002A402B"/>
    <w:rsid w:val="002A405F"/>
    <w:rsid w:val="002A41B8"/>
    <w:rsid w:val="002A4557"/>
    <w:rsid w:val="002A46EC"/>
    <w:rsid w:val="002A496C"/>
    <w:rsid w:val="002A4AA5"/>
    <w:rsid w:val="002A4CD5"/>
    <w:rsid w:val="002A4FCD"/>
    <w:rsid w:val="002A51CE"/>
    <w:rsid w:val="002A53C0"/>
    <w:rsid w:val="002A54F9"/>
    <w:rsid w:val="002A59DD"/>
    <w:rsid w:val="002A5B1F"/>
    <w:rsid w:val="002A6D58"/>
    <w:rsid w:val="002A746D"/>
    <w:rsid w:val="002A789A"/>
    <w:rsid w:val="002A789E"/>
    <w:rsid w:val="002A7D2B"/>
    <w:rsid w:val="002A7FEC"/>
    <w:rsid w:val="002B003F"/>
    <w:rsid w:val="002B0461"/>
    <w:rsid w:val="002B0580"/>
    <w:rsid w:val="002B05AF"/>
    <w:rsid w:val="002B09BE"/>
    <w:rsid w:val="002B149D"/>
    <w:rsid w:val="002B1CC0"/>
    <w:rsid w:val="002B1E07"/>
    <w:rsid w:val="002B1ECF"/>
    <w:rsid w:val="002B1FF7"/>
    <w:rsid w:val="002B22D7"/>
    <w:rsid w:val="002B25C5"/>
    <w:rsid w:val="002B2B3F"/>
    <w:rsid w:val="002B2C8B"/>
    <w:rsid w:val="002B3134"/>
    <w:rsid w:val="002B3B0F"/>
    <w:rsid w:val="002B3F28"/>
    <w:rsid w:val="002B493D"/>
    <w:rsid w:val="002B49E6"/>
    <w:rsid w:val="002B4D27"/>
    <w:rsid w:val="002B4DF2"/>
    <w:rsid w:val="002B5010"/>
    <w:rsid w:val="002B523A"/>
    <w:rsid w:val="002B5846"/>
    <w:rsid w:val="002B5853"/>
    <w:rsid w:val="002B5FA4"/>
    <w:rsid w:val="002B64D5"/>
    <w:rsid w:val="002B6935"/>
    <w:rsid w:val="002B70E1"/>
    <w:rsid w:val="002B7B33"/>
    <w:rsid w:val="002B7E9F"/>
    <w:rsid w:val="002B7F54"/>
    <w:rsid w:val="002C0265"/>
    <w:rsid w:val="002C044A"/>
    <w:rsid w:val="002C06F8"/>
    <w:rsid w:val="002C0997"/>
    <w:rsid w:val="002C0BD8"/>
    <w:rsid w:val="002C10AB"/>
    <w:rsid w:val="002C12F1"/>
    <w:rsid w:val="002C1325"/>
    <w:rsid w:val="002C13CD"/>
    <w:rsid w:val="002C1733"/>
    <w:rsid w:val="002C1CBD"/>
    <w:rsid w:val="002C2A2D"/>
    <w:rsid w:val="002C2A49"/>
    <w:rsid w:val="002C3320"/>
    <w:rsid w:val="002C361C"/>
    <w:rsid w:val="002C3969"/>
    <w:rsid w:val="002C4289"/>
    <w:rsid w:val="002C473F"/>
    <w:rsid w:val="002C4A48"/>
    <w:rsid w:val="002C4EE4"/>
    <w:rsid w:val="002C4FA5"/>
    <w:rsid w:val="002C5094"/>
    <w:rsid w:val="002C50A0"/>
    <w:rsid w:val="002C56D2"/>
    <w:rsid w:val="002C59A9"/>
    <w:rsid w:val="002C5B1E"/>
    <w:rsid w:val="002C5D2E"/>
    <w:rsid w:val="002C5F7D"/>
    <w:rsid w:val="002C6355"/>
    <w:rsid w:val="002C63EF"/>
    <w:rsid w:val="002C6EEC"/>
    <w:rsid w:val="002C6F96"/>
    <w:rsid w:val="002C7050"/>
    <w:rsid w:val="002C76AB"/>
    <w:rsid w:val="002C7CCE"/>
    <w:rsid w:val="002D02A8"/>
    <w:rsid w:val="002D090C"/>
    <w:rsid w:val="002D0C22"/>
    <w:rsid w:val="002D0DE8"/>
    <w:rsid w:val="002D0FDD"/>
    <w:rsid w:val="002D1189"/>
    <w:rsid w:val="002D14D3"/>
    <w:rsid w:val="002D1AD9"/>
    <w:rsid w:val="002D1E4F"/>
    <w:rsid w:val="002D20C6"/>
    <w:rsid w:val="002D2A81"/>
    <w:rsid w:val="002D2D2F"/>
    <w:rsid w:val="002D2E2F"/>
    <w:rsid w:val="002D31A5"/>
    <w:rsid w:val="002D4259"/>
    <w:rsid w:val="002D4592"/>
    <w:rsid w:val="002D4705"/>
    <w:rsid w:val="002D495A"/>
    <w:rsid w:val="002D4BAB"/>
    <w:rsid w:val="002D4BCE"/>
    <w:rsid w:val="002D4C4C"/>
    <w:rsid w:val="002D5434"/>
    <w:rsid w:val="002D5C52"/>
    <w:rsid w:val="002D5E1E"/>
    <w:rsid w:val="002D5F4E"/>
    <w:rsid w:val="002D6246"/>
    <w:rsid w:val="002D68D8"/>
    <w:rsid w:val="002D6B69"/>
    <w:rsid w:val="002D70DF"/>
    <w:rsid w:val="002D71F5"/>
    <w:rsid w:val="002D7381"/>
    <w:rsid w:val="002D782B"/>
    <w:rsid w:val="002D7DBC"/>
    <w:rsid w:val="002E0A51"/>
    <w:rsid w:val="002E131F"/>
    <w:rsid w:val="002E14A9"/>
    <w:rsid w:val="002E14E9"/>
    <w:rsid w:val="002E166D"/>
    <w:rsid w:val="002E188F"/>
    <w:rsid w:val="002E18FC"/>
    <w:rsid w:val="002E1C97"/>
    <w:rsid w:val="002E1D52"/>
    <w:rsid w:val="002E206E"/>
    <w:rsid w:val="002E216B"/>
    <w:rsid w:val="002E24D7"/>
    <w:rsid w:val="002E25FE"/>
    <w:rsid w:val="002E26CF"/>
    <w:rsid w:val="002E297B"/>
    <w:rsid w:val="002E2D4F"/>
    <w:rsid w:val="002E2D56"/>
    <w:rsid w:val="002E3182"/>
    <w:rsid w:val="002E32CD"/>
    <w:rsid w:val="002E32EF"/>
    <w:rsid w:val="002E3607"/>
    <w:rsid w:val="002E3715"/>
    <w:rsid w:val="002E379F"/>
    <w:rsid w:val="002E3A47"/>
    <w:rsid w:val="002E3D6D"/>
    <w:rsid w:val="002E4288"/>
    <w:rsid w:val="002E44B1"/>
    <w:rsid w:val="002E465A"/>
    <w:rsid w:val="002E4815"/>
    <w:rsid w:val="002E4B54"/>
    <w:rsid w:val="002E4C5F"/>
    <w:rsid w:val="002E501F"/>
    <w:rsid w:val="002E5348"/>
    <w:rsid w:val="002E534A"/>
    <w:rsid w:val="002E57D6"/>
    <w:rsid w:val="002E5967"/>
    <w:rsid w:val="002E60E7"/>
    <w:rsid w:val="002E6445"/>
    <w:rsid w:val="002E6720"/>
    <w:rsid w:val="002E67A4"/>
    <w:rsid w:val="002E6939"/>
    <w:rsid w:val="002E6D8D"/>
    <w:rsid w:val="002E70F4"/>
    <w:rsid w:val="002E71ED"/>
    <w:rsid w:val="002E71FE"/>
    <w:rsid w:val="002E7252"/>
    <w:rsid w:val="002E73ED"/>
    <w:rsid w:val="002E758D"/>
    <w:rsid w:val="002E7657"/>
    <w:rsid w:val="002E7A70"/>
    <w:rsid w:val="002E7CB5"/>
    <w:rsid w:val="002E7FF7"/>
    <w:rsid w:val="002F014A"/>
    <w:rsid w:val="002F0177"/>
    <w:rsid w:val="002F041E"/>
    <w:rsid w:val="002F0674"/>
    <w:rsid w:val="002F0CCE"/>
    <w:rsid w:val="002F0E67"/>
    <w:rsid w:val="002F117E"/>
    <w:rsid w:val="002F1289"/>
    <w:rsid w:val="002F175A"/>
    <w:rsid w:val="002F1AC0"/>
    <w:rsid w:val="002F238A"/>
    <w:rsid w:val="002F2775"/>
    <w:rsid w:val="002F27DF"/>
    <w:rsid w:val="002F2CCD"/>
    <w:rsid w:val="002F2CD5"/>
    <w:rsid w:val="002F3094"/>
    <w:rsid w:val="002F3388"/>
    <w:rsid w:val="002F34AF"/>
    <w:rsid w:val="002F3693"/>
    <w:rsid w:val="002F39C8"/>
    <w:rsid w:val="002F4411"/>
    <w:rsid w:val="002F48CD"/>
    <w:rsid w:val="002F4983"/>
    <w:rsid w:val="002F5311"/>
    <w:rsid w:val="002F5881"/>
    <w:rsid w:val="002F58C2"/>
    <w:rsid w:val="002F5C02"/>
    <w:rsid w:val="002F5CDD"/>
    <w:rsid w:val="002F61B9"/>
    <w:rsid w:val="002F6463"/>
    <w:rsid w:val="002F67A9"/>
    <w:rsid w:val="002F6896"/>
    <w:rsid w:val="002F69C4"/>
    <w:rsid w:val="002F6AF5"/>
    <w:rsid w:val="002F6DD2"/>
    <w:rsid w:val="002F73E9"/>
    <w:rsid w:val="002F75F2"/>
    <w:rsid w:val="002F7775"/>
    <w:rsid w:val="002F7A68"/>
    <w:rsid w:val="002F7B85"/>
    <w:rsid w:val="00300047"/>
    <w:rsid w:val="00300083"/>
    <w:rsid w:val="00300408"/>
    <w:rsid w:val="003005FF"/>
    <w:rsid w:val="0030089B"/>
    <w:rsid w:val="003008FD"/>
    <w:rsid w:val="00301D50"/>
    <w:rsid w:val="00302398"/>
    <w:rsid w:val="003024A9"/>
    <w:rsid w:val="00302BB7"/>
    <w:rsid w:val="00302BD6"/>
    <w:rsid w:val="00302F9A"/>
    <w:rsid w:val="003035AA"/>
    <w:rsid w:val="003037D5"/>
    <w:rsid w:val="00303814"/>
    <w:rsid w:val="00303932"/>
    <w:rsid w:val="00303A18"/>
    <w:rsid w:val="00303CC8"/>
    <w:rsid w:val="00303EE1"/>
    <w:rsid w:val="00304471"/>
    <w:rsid w:val="003044DD"/>
    <w:rsid w:val="003044E1"/>
    <w:rsid w:val="00304CE4"/>
    <w:rsid w:val="00304FA1"/>
    <w:rsid w:val="00305329"/>
    <w:rsid w:val="003059EA"/>
    <w:rsid w:val="0030667C"/>
    <w:rsid w:val="00306B05"/>
    <w:rsid w:val="00307279"/>
    <w:rsid w:val="0030766B"/>
    <w:rsid w:val="0030792E"/>
    <w:rsid w:val="00307C4E"/>
    <w:rsid w:val="00307C57"/>
    <w:rsid w:val="00307D70"/>
    <w:rsid w:val="0031015E"/>
    <w:rsid w:val="00310799"/>
    <w:rsid w:val="00310B91"/>
    <w:rsid w:val="00310C63"/>
    <w:rsid w:val="00310F22"/>
    <w:rsid w:val="0031162E"/>
    <w:rsid w:val="0031169F"/>
    <w:rsid w:val="00311715"/>
    <w:rsid w:val="00311BE7"/>
    <w:rsid w:val="00311C3D"/>
    <w:rsid w:val="00311E2F"/>
    <w:rsid w:val="00311E89"/>
    <w:rsid w:val="00311EC9"/>
    <w:rsid w:val="003120AA"/>
    <w:rsid w:val="003120C8"/>
    <w:rsid w:val="00312A97"/>
    <w:rsid w:val="00313629"/>
    <w:rsid w:val="00313888"/>
    <w:rsid w:val="00313E12"/>
    <w:rsid w:val="003142D7"/>
    <w:rsid w:val="0031479F"/>
    <w:rsid w:val="00314907"/>
    <w:rsid w:val="00314991"/>
    <w:rsid w:val="00315011"/>
    <w:rsid w:val="00315060"/>
    <w:rsid w:val="00315460"/>
    <w:rsid w:val="00315507"/>
    <w:rsid w:val="00315588"/>
    <w:rsid w:val="00315B40"/>
    <w:rsid w:val="00315B5A"/>
    <w:rsid w:val="003161E2"/>
    <w:rsid w:val="00316300"/>
    <w:rsid w:val="00316354"/>
    <w:rsid w:val="0031643F"/>
    <w:rsid w:val="00316491"/>
    <w:rsid w:val="00316AD3"/>
    <w:rsid w:val="00316C83"/>
    <w:rsid w:val="00316CEE"/>
    <w:rsid w:val="00316FD1"/>
    <w:rsid w:val="0031715F"/>
    <w:rsid w:val="0031729D"/>
    <w:rsid w:val="0031747C"/>
    <w:rsid w:val="00317601"/>
    <w:rsid w:val="003201F7"/>
    <w:rsid w:val="00320209"/>
    <w:rsid w:val="003207EF"/>
    <w:rsid w:val="00320E37"/>
    <w:rsid w:val="00320FE4"/>
    <w:rsid w:val="00321059"/>
    <w:rsid w:val="00321394"/>
    <w:rsid w:val="00321820"/>
    <w:rsid w:val="0032203A"/>
    <w:rsid w:val="00322122"/>
    <w:rsid w:val="003221F5"/>
    <w:rsid w:val="003231E5"/>
    <w:rsid w:val="003236DD"/>
    <w:rsid w:val="00324385"/>
    <w:rsid w:val="00324476"/>
    <w:rsid w:val="0032491D"/>
    <w:rsid w:val="00324AC3"/>
    <w:rsid w:val="00324D58"/>
    <w:rsid w:val="00325447"/>
    <w:rsid w:val="00325464"/>
    <w:rsid w:val="00325A4A"/>
    <w:rsid w:val="00325D77"/>
    <w:rsid w:val="00325EDC"/>
    <w:rsid w:val="003262CD"/>
    <w:rsid w:val="00326332"/>
    <w:rsid w:val="003267D2"/>
    <w:rsid w:val="00327460"/>
    <w:rsid w:val="00327749"/>
    <w:rsid w:val="00330040"/>
    <w:rsid w:val="00330205"/>
    <w:rsid w:val="003302A9"/>
    <w:rsid w:val="0033038F"/>
    <w:rsid w:val="00330486"/>
    <w:rsid w:val="00330504"/>
    <w:rsid w:val="00330712"/>
    <w:rsid w:val="00330982"/>
    <w:rsid w:val="00330C48"/>
    <w:rsid w:val="003310F3"/>
    <w:rsid w:val="00331D02"/>
    <w:rsid w:val="003320EE"/>
    <w:rsid w:val="00332327"/>
    <w:rsid w:val="00332624"/>
    <w:rsid w:val="00333237"/>
    <w:rsid w:val="0033358F"/>
    <w:rsid w:val="0033385F"/>
    <w:rsid w:val="003339FB"/>
    <w:rsid w:val="00333BC7"/>
    <w:rsid w:val="00333C81"/>
    <w:rsid w:val="00334572"/>
    <w:rsid w:val="00334611"/>
    <w:rsid w:val="00334A4A"/>
    <w:rsid w:val="00334C3A"/>
    <w:rsid w:val="003355F9"/>
    <w:rsid w:val="00335A82"/>
    <w:rsid w:val="00335D09"/>
    <w:rsid w:val="00335EF9"/>
    <w:rsid w:val="00336242"/>
    <w:rsid w:val="003363F3"/>
    <w:rsid w:val="00336504"/>
    <w:rsid w:val="00336B22"/>
    <w:rsid w:val="00336ED3"/>
    <w:rsid w:val="00337C1A"/>
    <w:rsid w:val="00337C3B"/>
    <w:rsid w:val="00337C98"/>
    <w:rsid w:val="003400A0"/>
    <w:rsid w:val="003402DC"/>
    <w:rsid w:val="0034059D"/>
    <w:rsid w:val="00340924"/>
    <w:rsid w:val="00340AD3"/>
    <w:rsid w:val="00340B8E"/>
    <w:rsid w:val="00340F0B"/>
    <w:rsid w:val="003410E8"/>
    <w:rsid w:val="003412D7"/>
    <w:rsid w:val="0034134D"/>
    <w:rsid w:val="003414E4"/>
    <w:rsid w:val="0034153E"/>
    <w:rsid w:val="003419B3"/>
    <w:rsid w:val="00341BB2"/>
    <w:rsid w:val="00341D28"/>
    <w:rsid w:val="00341E80"/>
    <w:rsid w:val="003420BE"/>
    <w:rsid w:val="003423AA"/>
    <w:rsid w:val="003425A2"/>
    <w:rsid w:val="00342A26"/>
    <w:rsid w:val="00342A53"/>
    <w:rsid w:val="00342C5F"/>
    <w:rsid w:val="00342CB3"/>
    <w:rsid w:val="00342E24"/>
    <w:rsid w:val="00343916"/>
    <w:rsid w:val="0034398A"/>
    <w:rsid w:val="00343EAE"/>
    <w:rsid w:val="00344004"/>
    <w:rsid w:val="00344DBA"/>
    <w:rsid w:val="00345390"/>
    <w:rsid w:val="0034539B"/>
    <w:rsid w:val="00345455"/>
    <w:rsid w:val="00345528"/>
    <w:rsid w:val="00345B2D"/>
    <w:rsid w:val="00345DF5"/>
    <w:rsid w:val="00346106"/>
    <w:rsid w:val="003465DE"/>
    <w:rsid w:val="00347179"/>
    <w:rsid w:val="00347507"/>
    <w:rsid w:val="00347A2F"/>
    <w:rsid w:val="00347A52"/>
    <w:rsid w:val="00347AC2"/>
    <w:rsid w:val="00347AC9"/>
    <w:rsid w:val="00347D63"/>
    <w:rsid w:val="00347D7F"/>
    <w:rsid w:val="00347F18"/>
    <w:rsid w:val="00350679"/>
    <w:rsid w:val="0035089C"/>
    <w:rsid w:val="00350A5B"/>
    <w:rsid w:val="00350E06"/>
    <w:rsid w:val="00351D64"/>
    <w:rsid w:val="00351F43"/>
    <w:rsid w:val="00351FAC"/>
    <w:rsid w:val="00352293"/>
    <w:rsid w:val="003525E3"/>
    <w:rsid w:val="00352977"/>
    <w:rsid w:val="00352A3F"/>
    <w:rsid w:val="003530C2"/>
    <w:rsid w:val="00353E73"/>
    <w:rsid w:val="0035400D"/>
    <w:rsid w:val="003540CB"/>
    <w:rsid w:val="00354228"/>
    <w:rsid w:val="00354388"/>
    <w:rsid w:val="00354A79"/>
    <w:rsid w:val="00354E67"/>
    <w:rsid w:val="00354FA1"/>
    <w:rsid w:val="00355091"/>
    <w:rsid w:val="003553E5"/>
    <w:rsid w:val="0035551B"/>
    <w:rsid w:val="00355522"/>
    <w:rsid w:val="00355A07"/>
    <w:rsid w:val="00355A9D"/>
    <w:rsid w:val="00355DA1"/>
    <w:rsid w:val="00355E3A"/>
    <w:rsid w:val="00356300"/>
    <w:rsid w:val="00356376"/>
    <w:rsid w:val="00356581"/>
    <w:rsid w:val="003569FF"/>
    <w:rsid w:val="00356F25"/>
    <w:rsid w:val="00357246"/>
    <w:rsid w:val="0035764C"/>
    <w:rsid w:val="00357858"/>
    <w:rsid w:val="003579A4"/>
    <w:rsid w:val="0036008A"/>
    <w:rsid w:val="00361AE9"/>
    <w:rsid w:val="00361BFC"/>
    <w:rsid w:val="00361F16"/>
    <w:rsid w:val="00362216"/>
    <w:rsid w:val="003624FA"/>
    <w:rsid w:val="003627FE"/>
    <w:rsid w:val="00362B1E"/>
    <w:rsid w:val="00362B53"/>
    <w:rsid w:val="0036347F"/>
    <w:rsid w:val="003635F4"/>
    <w:rsid w:val="0036372D"/>
    <w:rsid w:val="00363D9D"/>
    <w:rsid w:val="003649D7"/>
    <w:rsid w:val="00365A93"/>
    <w:rsid w:val="00366125"/>
    <w:rsid w:val="0036613E"/>
    <w:rsid w:val="0036668F"/>
    <w:rsid w:val="00366C02"/>
    <w:rsid w:val="00366DE3"/>
    <w:rsid w:val="00367031"/>
    <w:rsid w:val="003670B6"/>
    <w:rsid w:val="003700D8"/>
    <w:rsid w:val="00370E26"/>
    <w:rsid w:val="00371536"/>
    <w:rsid w:val="0037196B"/>
    <w:rsid w:val="00372044"/>
    <w:rsid w:val="003728CC"/>
    <w:rsid w:val="00372AAD"/>
    <w:rsid w:val="00373177"/>
    <w:rsid w:val="003733BE"/>
    <w:rsid w:val="00373455"/>
    <w:rsid w:val="00373964"/>
    <w:rsid w:val="00373B03"/>
    <w:rsid w:val="00373C18"/>
    <w:rsid w:val="00373D1B"/>
    <w:rsid w:val="00373F21"/>
    <w:rsid w:val="003741C8"/>
    <w:rsid w:val="0037462A"/>
    <w:rsid w:val="003747F8"/>
    <w:rsid w:val="00374EB8"/>
    <w:rsid w:val="003752F7"/>
    <w:rsid w:val="003755DE"/>
    <w:rsid w:val="003757B8"/>
    <w:rsid w:val="003757E3"/>
    <w:rsid w:val="0037652A"/>
    <w:rsid w:val="00376915"/>
    <w:rsid w:val="00376A76"/>
    <w:rsid w:val="00377141"/>
    <w:rsid w:val="0037755C"/>
    <w:rsid w:val="003776C7"/>
    <w:rsid w:val="00377D25"/>
    <w:rsid w:val="00380E10"/>
    <w:rsid w:val="00380EF7"/>
    <w:rsid w:val="00380FDE"/>
    <w:rsid w:val="0038165B"/>
    <w:rsid w:val="00381888"/>
    <w:rsid w:val="00381D00"/>
    <w:rsid w:val="0038229A"/>
    <w:rsid w:val="00382404"/>
    <w:rsid w:val="00382604"/>
    <w:rsid w:val="0038263D"/>
    <w:rsid w:val="00382AB2"/>
    <w:rsid w:val="00382B84"/>
    <w:rsid w:val="00382F64"/>
    <w:rsid w:val="00383CE9"/>
    <w:rsid w:val="00383D5A"/>
    <w:rsid w:val="00383F17"/>
    <w:rsid w:val="003844B6"/>
    <w:rsid w:val="00384646"/>
    <w:rsid w:val="00384691"/>
    <w:rsid w:val="003848EB"/>
    <w:rsid w:val="00384D01"/>
    <w:rsid w:val="0038535C"/>
    <w:rsid w:val="00385BED"/>
    <w:rsid w:val="00386B77"/>
    <w:rsid w:val="00386F3C"/>
    <w:rsid w:val="00387816"/>
    <w:rsid w:val="00387B67"/>
    <w:rsid w:val="00387FB6"/>
    <w:rsid w:val="003901EB"/>
    <w:rsid w:val="00390A57"/>
    <w:rsid w:val="00390EBD"/>
    <w:rsid w:val="00390FD4"/>
    <w:rsid w:val="00391415"/>
    <w:rsid w:val="0039178D"/>
    <w:rsid w:val="003919F0"/>
    <w:rsid w:val="00391A92"/>
    <w:rsid w:val="00391D65"/>
    <w:rsid w:val="00392826"/>
    <w:rsid w:val="0039354A"/>
    <w:rsid w:val="00393CEC"/>
    <w:rsid w:val="00394024"/>
    <w:rsid w:val="00394214"/>
    <w:rsid w:val="00394860"/>
    <w:rsid w:val="003949E2"/>
    <w:rsid w:val="00394D6E"/>
    <w:rsid w:val="00395000"/>
    <w:rsid w:val="003950C4"/>
    <w:rsid w:val="00395335"/>
    <w:rsid w:val="00395F91"/>
    <w:rsid w:val="00396262"/>
    <w:rsid w:val="0039660F"/>
    <w:rsid w:val="0039687C"/>
    <w:rsid w:val="003968FF"/>
    <w:rsid w:val="00396B5D"/>
    <w:rsid w:val="00396D49"/>
    <w:rsid w:val="00397057"/>
    <w:rsid w:val="0039762F"/>
    <w:rsid w:val="00397C03"/>
    <w:rsid w:val="003A02C4"/>
    <w:rsid w:val="003A0635"/>
    <w:rsid w:val="003A0ACF"/>
    <w:rsid w:val="003A11FD"/>
    <w:rsid w:val="003A137C"/>
    <w:rsid w:val="003A1585"/>
    <w:rsid w:val="003A16EC"/>
    <w:rsid w:val="003A1B1B"/>
    <w:rsid w:val="003A1C0A"/>
    <w:rsid w:val="003A1DF7"/>
    <w:rsid w:val="003A2050"/>
    <w:rsid w:val="003A2260"/>
    <w:rsid w:val="003A2662"/>
    <w:rsid w:val="003A2714"/>
    <w:rsid w:val="003A272D"/>
    <w:rsid w:val="003A276F"/>
    <w:rsid w:val="003A2C22"/>
    <w:rsid w:val="003A2C6F"/>
    <w:rsid w:val="003A2E2E"/>
    <w:rsid w:val="003A3135"/>
    <w:rsid w:val="003A3452"/>
    <w:rsid w:val="003A38AC"/>
    <w:rsid w:val="003A3947"/>
    <w:rsid w:val="003A4354"/>
    <w:rsid w:val="003A43C8"/>
    <w:rsid w:val="003A4C9A"/>
    <w:rsid w:val="003A4E20"/>
    <w:rsid w:val="003A50FE"/>
    <w:rsid w:val="003A5E4A"/>
    <w:rsid w:val="003A5EA8"/>
    <w:rsid w:val="003A64CE"/>
    <w:rsid w:val="003A64F5"/>
    <w:rsid w:val="003A6784"/>
    <w:rsid w:val="003A694D"/>
    <w:rsid w:val="003A6EE7"/>
    <w:rsid w:val="003A6F7B"/>
    <w:rsid w:val="003A721F"/>
    <w:rsid w:val="003A78BD"/>
    <w:rsid w:val="003A7FDF"/>
    <w:rsid w:val="003B0338"/>
    <w:rsid w:val="003B0472"/>
    <w:rsid w:val="003B0497"/>
    <w:rsid w:val="003B05CC"/>
    <w:rsid w:val="003B0D59"/>
    <w:rsid w:val="003B1397"/>
    <w:rsid w:val="003B17F5"/>
    <w:rsid w:val="003B188B"/>
    <w:rsid w:val="003B1C39"/>
    <w:rsid w:val="003B1F71"/>
    <w:rsid w:val="003B2249"/>
    <w:rsid w:val="003B2943"/>
    <w:rsid w:val="003B2B90"/>
    <w:rsid w:val="003B2FFF"/>
    <w:rsid w:val="003B3128"/>
    <w:rsid w:val="003B340E"/>
    <w:rsid w:val="003B3881"/>
    <w:rsid w:val="003B3DCF"/>
    <w:rsid w:val="003B3F0C"/>
    <w:rsid w:val="003B4030"/>
    <w:rsid w:val="003B4118"/>
    <w:rsid w:val="003B56AB"/>
    <w:rsid w:val="003B57E3"/>
    <w:rsid w:val="003B57FB"/>
    <w:rsid w:val="003B62B9"/>
    <w:rsid w:val="003B69C7"/>
    <w:rsid w:val="003B69E0"/>
    <w:rsid w:val="003B6EA9"/>
    <w:rsid w:val="003B71ED"/>
    <w:rsid w:val="003B7752"/>
    <w:rsid w:val="003B787A"/>
    <w:rsid w:val="003C11D2"/>
    <w:rsid w:val="003C1D35"/>
    <w:rsid w:val="003C1F79"/>
    <w:rsid w:val="003C20C6"/>
    <w:rsid w:val="003C2354"/>
    <w:rsid w:val="003C253A"/>
    <w:rsid w:val="003C2A78"/>
    <w:rsid w:val="003C3E23"/>
    <w:rsid w:val="003C44E7"/>
    <w:rsid w:val="003C470F"/>
    <w:rsid w:val="003C521D"/>
    <w:rsid w:val="003C5334"/>
    <w:rsid w:val="003C55C6"/>
    <w:rsid w:val="003C565D"/>
    <w:rsid w:val="003C5757"/>
    <w:rsid w:val="003C588F"/>
    <w:rsid w:val="003C5F3D"/>
    <w:rsid w:val="003C626A"/>
    <w:rsid w:val="003C66CC"/>
    <w:rsid w:val="003C6923"/>
    <w:rsid w:val="003C7062"/>
    <w:rsid w:val="003C73D7"/>
    <w:rsid w:val="003C760D"/>
    <w:rsid w:val="003C7ABB"/>
    <w:rsid w:val="003C7DF0"/>
    <w:rsid w:val="003C7EC1"/>
    <w:rsid w:val="003D041C"/>
    <w:rsid w:val="003D0AA6"/>
    <w:rsid w:val="003D0F83"/>
    <w:rsid w:val="003D139C"/>
    <w:rsid w:val="003D15CB"/>
    <w:rsid w:val="003D1622"/>
    <w:rsid w:val="003D18D7"/>
    <w:rsid w:val="003D18E8"/>
    <w:rsid w:val="003D193F"/>
    <w:rsid w:val="003D1DA7"/>
    <w:rsid w:val="003D1EA0"/>
    <w:rsid w:val="003D2344"/>
    <w:rsid w:val="003D278D"/>
    <w:rsid w:val="003D2855"/>
    <w:rsid w:val="003D2DB6"/>
    <w:rsid w:val="003D364F"/>
    <w:rsid w:val="003D3BA5"/>
    <w:rsid w:val="003D4457"/>
    <w:rsid w:val="003D4CBD"/>
    <w:rsid w:val="003D4CDB"/>
    <w:rsid w:val="003D51E5"/>
    <w:rsid w:val="003D599D"/>
    <w:rsid w:val="003D6295"/>
    <w:rsid w:val="003D6492"/>
    <w:rsid w:val="003D65EC"/>
    <w:rsid w:val="003D69EC"/>
    <w:rsid w:val="003D6BA1"/>
    <w:rsid w:val="003D6C9E"/>
    <w:rsid w:val="003D6F54"/>
    <w:rsid w:val="003D70AB"/>
    <w:rsid w:val="003D74F8"/>
    <w:rsid w:val="003D7BB9"/>
    <w:rsid w:val="003D7FBC"/>
    <w:rsid w:val="003E0399"/>
    <w:rsid w:val="003E0ABA"/>
    <w:rsid w:val="003E169A"/>
    <w:rsid w:val="003E16B4"/>
    <w:rsid w:val="003E1968"/>
    <w:rsid w:val="003E1A4D"/>
    <w:rsid w:val="003E2190"/>
    <w:rsid w:val="003E268E"/>
    <w:rsid w:val="003E30A0"/>
    <w:rsid w:val="003E318F"/>
    <w:rsid w:val="003E3A8A"/>
    <w:rsid w:val="003E3C96"/>
    <w:rsid w:val="003E3F79"/>
    <w:rsid w:val="003E3FAC"/>
    <w:rsid w:val="003E405F"/>
    <w:rsid w:val="003E45D4"/>
    <w:rsid w:val="003E466A"/>
    <w:rsid w:val="003E468E"/>
    <w:rsid w:val="003E4AE1"/>
    <w:rsid w:val="003E4D85"/>
    <w:rsid w:val="003E4ECE"/>
    <w:rsid w:val="003E4FAB"/>
    <w:rsid w:val="003E520B"/>
    <w:rsid w:val="003E5391"/>
    <w:rsid w:val="003E56AD"/>
    <w:rsid w:val="003E5BF8"/>
    <w:rsid w:val="003E5CD7"/>
    <w:rsid w:val="003E5EB1"/>
    <w:rsid w:val="003E6349"/>
    <w:rsid w:val="003E66A4"/>
    <w:rsid w:val="003E6A71"/>
    <w:rsid w:val="003E6DF7"/>
    <w:rsid w:val="003E70F0"/>
    <w:rsid w:val="003E7117"/>
    <w:rsid w:val="003E7969"/>
    <w:rsid w:val="003E7B8C"/>
    <w:rsid w:val="003F063D"/>
    <w:rsid w:val="003F069C"/>
    <w:rsid w:val="003F085B"/>
    <w:rsid w:val="003F0915"/>
    <w:rsid w:val="003F0B0C"/>
    <w:rsid w:val="003F0C47"/>
    <w:rsid w:val="003F12CC"/>
    <w:rsid w:val="003F19C0"/>
    <w:rsid w:val="003F1A92"/>
    <w:rsid w:val="003F1B78"/>
    <w:rsid w:val="003F1E46"/>
    <w:rsid w:val="003F2174"/>
    <w:rsid w:val="003F2CD2"/>
    <w:rsid w:val="003F31A4"/>
    <w:rsid w:val="003F3459"/>
    <w:rsid w:val="003F35BD"/>
    <w:rsid w:val="003F3DB2"/>
    <w:rsid w:val="003F54E8"/>
    <w:rsid w:val="003F5EEB"/>
    <w:rsid w:val="003F5F20"/>
    <w:rsid w:val="003F634B"/>
    <w:rsid w:val="003F6457"/>
    <w:rsid w:val="003F645D"/>
    <w:rsid w:val="003F6BBA"/>
    <w:rsid w:val="003F6F5B"/>
    <w:rsid w:val="003F7282"/>
    <w:rsid w:val="003F7504"/>
    <w:rsid w:val="00400604"/>
    <w:rsid w:val="0040086D"/>
    <w:rsid w:val="004008D5"/>
    <w:rsid w:val="00400DD4"/>
    <w:rsid w:val="00401413"/>
    <w:rsid w:val="004017CF"/>
    <w:rsid w:val="00402480"/>
    <w:rsid w:val="0040250C"/>
    <w:rsid w:val="00402587"/>
    <w:rsid w:val="00402684"/>
    <w:rsid w:val="00402C7C"/>
    <w:rsid w:val="00402EEA"/>
    <w:rsid w:val="0040307E"/>
    <w:rsid w:val="004032EE"/>
    <w:rsid w:val="00403391"/>
    <w:rsid w:val="00403404"/>
    <w:rsid w:val="0040340B"/>
    <w:rsid w:val="004034E0"/>
    <w:rsid w:val="00403606"/>
    <w:rsid w:val="00403711"/>
    <w:rsid w:val="00403999"/>
    <w:rsid w:val="00403A37"/>
    <w:rsid w:val="00403A54"/>
    <w:rsid w:val="004041E3"/>
    <w:rsid w:val="0040429A"/>
    <w:rsid w:val="00404640"/>
    <w:rsid w:val="004047A2"/>
    <w:rsid w:val="00404A72"/>
    <w:rsid w:val="00404C6A"/>
    <w:rsid w:val="00404D6F"/>
    <w:rsid w:val="00404DB9"/>
    <w:rsid w:val="00404E8D"/>
    <w:rsid w:val="00404F8A"/>
    <w:rsid w:val="00405A23"/>
    <w:rsid w:val="00406196"/>
    <w:rsid w:val="0040687E"/>
    <w:rsid w:val="00407273"/>
    <w:rsid w:val="0040738D"/>
    <w:rsid w:val="00407D63"/>
    <w:rsid w:val="00407D74"/>
    <w:rsid w:val="00407EF5"/>
    <w:rsid w:val="004100E7"/>
    <w:rsid w:val="004103CB"/>
    <w:rsid w:val="0041094C"/>
    <w:rsid w:val="00410953"/>
    <w:rsid w:val="00410BDD"/>
    <w:rsid w:val="00410BE4"/>
    <w:rsid w:val="004111B3"/>
    <w:rsid w:val="004113B7"/>
    <w:rsid w:val="00411504"/>
    <w:rsid w:val="004125CD"/>
    <w:rsid w:val="00412D3F"/>
    <w:rsid w:val="00412D55"/>
    <w:rsid w:val="00413234"/>
    <w:rsid w:val="00413731"/>
    <w:rsid w:val="00413825"/>
    <w:rsid w:val="00413A9A"/>
    <w:rsid w:val="00413AE2"/>
    <w:rsid w:val="0041406F"/>
    <w:rsid w:val="0041454A"/>
    <w:rsid w:val="00414562"/>
    <w:rsid w:val="00414C39"/>
    <w:rsid w:val="004150F4"/>
    <w:rsid w:val="004153E0"/>
    <w:rsid w:val="004157D4"/>
    <w:rsid w:val="00416836"/>
    <w:rsid w:val="00416CA1"/>
    <w:rsid w:val="004171B6"/>
    <w:rsid w:val="00417475"/>
    <w:rsid w:val="00417A70"/>
    <w:rsid w:val="00420494"/>
    <w:rsid w:val="00420C21"/>
    <w:rsid w:val="00420D41"/>
    <w:rsid w:val="0042121B"/>
    <w:rsid w:val="004215E2"/>
    <w:rsid w:val="0042169B"/>
    <w:rsid w:val="004216DD"/>
    <w:rsid w:val="00421A5D"/>
    <w:rsid w:val="00421AEE"/>
    <w:rsid w:val="00421C5B"/>
    <w:rsid w:val="00422BB7"/>
    <w:rsid w:val="00422C20"/>
    <w:rsid w:val="00422CAA"/>
    <w:rsid w:val="00422FE4"/>
    <w:rsid w:val="00423151"/>
    <w:rsid w:val="00423296"/>
    <w:rsid w:val="004236BC"/>
    <w:rsid w:val="0042392A"/>
    <w:rsid w:val="00423A84"/>
    <w:rsid w:val="00423D3A"/>
    <w:rsid w:val="00424432"/>
    <w:rsid w:val="00424493"/>
    <w:rsid w:val="00424745"/>
    <w:rsid w:val="00424AD0"/>
    <w:rsid w:val="00424B92"/>
    <w:rsid w:val="004255C1"/>
    <w:rsid w:val="00425648"/>
    <w:rsid w:val="00426197"/>
    <w:rsid w:val="0042689E"/>
    <w:rsid w:val="00426DD6"/>
    <w:rsid w:val="0042721C"/>
    <w:rsid w:val="00427DBD"/>
    <w:rsid w:val="00430278"/>
    <w:rsid w:val="004307F0"/>
    <w:rsid w:val="0043087F"/>
    <w:rsid w:val="00430BFA"/>
    <w:rsid w:val="00431598"/>
    <w:rsid w:val="00431728"/>
    <w:rsid w:val="00431B21"/>
    <w:rsid w:val="004320C2"/>
    <w:rsid w:val="0043213F"/>
    <w:rsid w:val="00432C87"/>
    <w:rsid w:val="00432D33"/>
    <w:rsid w:val="00432EC7"/>
    <w:rsid w:val="004332D7"/>
    <w:rsid w:val="004334B6"/>
    <w:rsid w:val="0043392C"/>
    <w:rsid w:val="00433B63"/>
    <w:rsid w:val="0043407D"/>
    <w:rsid w:val="0043447E"/>
    <w:rsid w:val="0043462E"/>
    <w:rsid w:val="00434EE0"/>
    <w:rsid w:val="00435048"/>
    <w:rsid w:val="0043537F"/>
    <w:rsid w:val="00435719"/>
    <w:rsid w:val="00435905"/>
    <w:rsid w:val="00435945"/>
    <w:rsid w:val="00435AA0"/>
    <w:rsid w:val="00435AD2"/>
    <w:rsid w:val="00435DDB"/>
    <w:rsid w:val="00435EC8"/>
    <w:rsid w:val="00435EFA"/>
    <w:rsid w:val="00436119"/>
    <w:rsid w:val="00436481"/>
    <w:rsid w:val="004368B6"/>
    <w:rsid w:val="00436C6C"/>
    <w:rsid w:val="004377B7"/>
    <w:rsid w:val="00437877"/>
    <w:rsid w:val="0043795F"/>
    <w:rsid w:val="00437A58"/>
    <w:rsid w:val="00437B15"/>
    <w:rsid w:val="0044022D"/>
    <w:rsid w:val="004403C2"/>
    <w:rsid w:val="004404DB"/>
    <w:rsid w:val="00440798"/>
    <w:rsid w:val="00440C4D"/>
    <w:rsid w:val="00440C72"/>
    <w:rsid w:val="00440D6D"/>
    <w:rsid w:val="00440F6F"/>
    <w:rsid w:val="00441351"/>
    <w:rsid w:val="004418FE"/>
    <w:rsid w:val="00442D45"/>
    <w:rsid w:val="00442FB7"/>
    <w:rsid w:val="00443469"/>
    <w:rsid w:val="004437C3"/>
    <w:rsid w:val="004438A6"/>
    <w:rsid w:val="00443B3F"/>
    <w:rsid w:val="00443DD5"/>
    <w:rsid w:val="00443EC9"/>
    <w:rsid w:val="00443FD1"/>
    <w:rsid w:val="00444026"/>
    <w:rsid w:val="0044408B"/>
    <w:rsid w:val="00444339"/>
    <w:rsid w:val="00444A89"/>
    <w:rsid w:val="0044510E"/>
    <w:rsid w:val="00445482"/>
    <w:rsid w:val="00445F57"/>
    <w:rsid w:val="00445FDB"/>
    <w:rsid w:val="0044612B"/>
    <w:rsid w:val="004462C7"/>
    <w:rsid w:val="0044631D"/>
    <w:rsid w:val="0044674B"/>
    <w:rsid w:val="00446766"/>
    <w:rsid w:val="004468A1"/>
    <w:rsid w:val="00446B13"/>
    <w:rsid w:val="00446FC4"/>
    <w:rsid w:val="004470BF"/>
    <w:rsid w:val="004479E9"/>
    <w:rsid w:val="00447C78"/>
    <w:rsid w:val="00447EAD"/>
    <w:rsid w:val="00447FEE"/>
    <w:rsid w:val="0045004A"/>
    <w:rsid w:val="004505E4"/>
    <w:rsid w:val="004506CC"/>
    <w:rsid w:val="00450E20"/>
    <w:rsid w:val="00451786"/>
    <w:rsid w:val="00451888"/>
    <w:rsid w:val="00452208"/>
    <w:rsid w:val="004522EB"/>
    <w:rsid w:val="00452D63"/>
    <w:rsid w:val="00452E2B"/>
    <w:rsid w:val="00453FB3"/>
    <w:rsid w:val="00454153"/>
    <w:rsid w:val="004546D5"/>
    <w:rsid w:val="00454855"/>
    <w:rsid w:val="004548ED"/>
    <w:rsid w:val="00454BAF"/>
    <w:rsid w:val="004555DC"/>
    <w:rsid w:val="00455662"/>
    <w:rsid w:val="00455DC2"/>
    <w:rsid w:val="00455E5E"/>
    <w:rsid w:val="00456001"/>
    <w:rsid w:val="00456226"/>
    <w:rsid w:val="004562AB"/>
    <w:rsid w:val="004564C5"/>
    <w:rsid w:val="0045712C"/>
    <w:rsid w:val="0045737F"/>
    <w:rsid w:val="00457500"/>
    <w:rsid w:val="004578B6"/>
    <w:rsid w:val="0045794A"/>
    <w:rsid w:val="00460824"/>
    <w:rsid w:val="004608E4"/>
    <w:rsid w:val="0046096C"/>
    <w:rsid w:val="0046098B"/>
    <w:rsid w:val="004613EA"/>
    <w:rsid w:val="004619CD"/>
    <w:rsid w:val="00461B64"/>
    <w:rsid w:val="00461C7D"/>
    <w:rsid w:val="00461DF9"/>
    <w:rsid w:val="00461FB9"/>
    <w:rsid w:val="00461FCA"/>
    <w:rsid w:val="004622E0"/>
    <w:rsid w:val="004626F6"/>
    <w:rsid w:val="004627F3"/>
    <w:rsid w:val="00462A30"/>
    <w:rsid w:val="00462BEF"/>
    <w:rsid w:val="00462DB3"/>
    <w:rsid w:val="00462E93"/>
    <w:rsid w:val="00463244"/>
    <w:rsid w:val="004633AF"/>
    <w:rsid w:val="00464998"/>
    <w:rsid w:val="0046505F"/>
    <w:rsid w:val="0046613C"/>
    <w:rsid w:val="004664D3"/>
    <w:rsid w:val="0046699C"/>
    <w:rsid w:val="00466A16"/>
    <w:rsid w:val="00466C61"/>
    <w:rsid w:val="00466E98"/>
    <w:rsid w:val="004675D9"/>
    <w:rsid w:val="004678F3"/>
    <w:rsid w:val="00467B6C"/>
    <w:rsid w:val="00467C01"/>
    <w:rsid w:val="00467C73"/>
    <w:rsid w:val="00467F19"/>
    <w:rsid w:val="00470097"/>
    <w:rsid w:val="004700E9"/>
    <w:rsid w:val="0047010B"/>
    <w:rsid w:val="00470711"/>
    <w:rsid w:val="00470E12"/>
    <w:rsid w:val="00470F37"/>
    <w:rsid w:val="00471019"/>
    <w:rsid w:val="00471112"/>
    <w:rsid w:val="004711DC"/>
    <w:rsid w:val="00471284"/>
    <w:rsid w:val="00471548"/>
    <w:rsid w:val="00471647"/>
    <w:rsid w:val="00471724"/>
    <w:rsid w:val="00471987"/>
    <w:rsid w:val="00471A1A"/>
    <w:rsid w:val="00471BD6"/>
    <w:rsid w:val="00471E52"/>
    <w:rsid w:val="00472075"/>
    <w:rsid w:val="00472214"/>
    <w:rsid w:val="00472259"/>
    <w:rsid w:val="004724BD"/>
    <w:rsid w:val="004729E7"/>
    <w:rsid w:val="00473104"/>
    <w:rsid w:val="00473487"/>
    <w:rsid w:val="00473573"/>
    <w:rsid w:val="004741D4"/>
    <w:rsid w:val="00474476"/>
    <w:rsid w:val="004748BF"/>
    <w:rsid w:val="00474B46"/>
    <w:rsid w:val="00476222"/>
    <w:rsid w:val="0047641E"/>
    <w:rsid w:val="00476BEF"/>
    <w:rsid w:val="00477167"/>
    <w:rsid w:val="004771D4"/>
    <w:rsid w:val="0047753E"/>
    <w:rsid w:val="004776D1"/>
    <w:rsid w:val="00477930"/>
    <w:rsid w:val="00477B26"/>
    <w:rsid w:val="00477C6A"/>
    <w:rsid w:val="00477C92"/>
    <w:rsid w:val="00477E31"/>
    <w:rsid w:val="00477EFF"/>
    <w:rsid w:val="004803D6"/>
    <w:rsid w:val="0048095A"/>
    <w:rsid w:val="0048100A"/>
    <w:rsid w:val="004813A2"/>
    <w:rsid w:val="004819C1"/>
    <w:rsid w:val="00481FD4"/>
    <w:rsid w:val="00482228"/>
    <w:rsid w:val="004822CF"/>
    <w:rsid w:val="00482349"/>
    <w:rsid w:val="0048287B"/>
    <w:rsid w:val="004829FE"/>
    <w:rsid w:val="00483294"/>
    <w:rsid w:val="0048334A"/>
    <w:rsid w:val="0048358B"/>
    <w:rsid w:val="0048384A"/>
    <w:rsid w:val="004838C2"/>
    <w:rsid w:val="00483C82"/>
    <w:rsid w:val="00483EBD"/>
    <w:rsid w:val="00484085"/>
    <w:rsid w:val="0048416F"/>
    <w:rsid w:val="00484376"/>
    <w:rsid w:val="0048466F"/>
    <w:rsid w:val="00484967"/>
    <w:rsid w:val="00484F10"/>
    <w:rsid w:val="00485184"/>
    <w:rsid w:val="004858E1"/>
    <w:rsid w:val="00485D34"/>
    <w:rsid w:val="00485E31"/>
    <w:rsid w:val="00485E74"/>
    <w:rsid w:val="00486045"/>
    <w:rsid w:val="0048635F"/>
    <w:rsid w:val="004863B9"/>
    <w:rsid w:val="00486CD7"/>
    <w:rsid w:val="00486EBA"/>
    <w:rsid w:val="00486F20"/>
    <w:rsid w:val="004871D9"/>
    <w:rsid w:val="0048720E"/>
    <w:rsid w:val="00487650"/>
    <w:rsid w:val="004878F1"/>
    <w:rsid w:val="00487A20"/>
    <w:rsid w:val="00487B6C"/>
    <w:rsid w:val="0049052A"/>
    <w:rsid w:val="00490DA6"/>
    <w:rsid w:val="00490EED"/>
    <w:rsid w:val="0049151B"/>
    <w:rsid w:val="00491AD2"/>
    <w:rsid w:val="00491AEC"/>
    <w:rsid w:val="004922F4"/>
    <w:rsid w:val="00492433"/>
    <w:rsid w:val="004928A9"/>
    <w:rsid w:val="00492946"/>
    <w:rsid w:val="00492B54"/>
    <w:rsid w:val="00492F8C"/>
    <w:rsid w:val="00493871"/>
    <w:rsid w:val="0049488C"/>
    <w:rsid w:val="00494D36"/>
    <w:rsid w:val="00494DE9"/>
    <w:rsid w:val="00495067"/>
    <w:rsid w:val="004950D6"/>
    <w:rsid w:val="004954C8"/>
    <w:rsid w:val="00495A12"/>
    <w:rsid w:val="00495B4C"/>
    <w:rsid w:val="004964DB"/>
    <w:rsid w:val="00496885"/>
    <w:rsid w:val="00496971"/>
    <w:rsid w:val="00496A66"/>
    <w:rsid w:val="00496AFB"/>
    <w:rsid w:val="00496B54"/>
    <w:rsid w:val="00496DA6"/>
    <w:rsid w:val="00496E30"/>
    <w:rsid w:val="00497431"/>
    <w:rsid w:val="00497499"/>
    <w:rsid w:val="004979BC"/>
    <w:rsid w:val="00497BDE"/>
    <w:rsid w:val="00497CFE"/>
    <w:rsid w:val="004A0276"/>
    <w:rsid w:val="004A0D0F"/>
    <w:rsid w:val="004A0FEB"/>
    <w:rsid w:val="004A10EC"/>
    <w:rsid w:val="004A1421"/>
    <w:rsid w:val="004A189B"/>
    <w:rsid w:val="004A1DA9"/>
    <w:rsid w:val="004A21D4"/>
    <w:rsid w:val="004A2363"/>
    <w:rsid w:val="004A23BA"/>
    <w:rsid w:val="004A2926"/>
    <w:rsid w:val="004A315D"/>
    <w:rsid w:val="004A32FE"/>
    <w:rsid w:val="004A354C"/>
    <w:rsid w:val="004A3894"/>
    <w:rsid w:val="004A4423"/>
    <w:rsid w:val="004A46BC"/>
    <w:rsid w:val="004A4700"/>
    <w:rsid w:val="004A4807"/>
    <w:rsid w:val="004A4E19"/>
    <w:rsid w:val="004A51BA"/>
    <w:rsid w:val="004A54EF"/>
    <w:rsid w:val="004A5C28"/>
    <w:rsid w:val="004A5C53"/>
    <w:rsid w:val="004A5EB5"/>
    <w:rsid w:val="004A5EB8"/>
    <w:rsid w:val="004A6140"/>
    <w:rsid w:val="004A615C"/>
    <w:rsid w:val="004A6624"/>
    <w:rsid w:val="004A6EDE"/>
    <w:rsid w:val="004A70D9"/>
    <w:rsid w:val="004A73EC"/>
    <w:rsid w:val="004A78CB"/>
    <w:rsid w:val="004A7B4B"/>
    <w:rsid w:val="004A7C9A"/>
    <w:rsid w:val="004B0337"/>
    <w:rsid w:val="004B068D"/>
    <w:rsid w:val="004B0A6C"/>
    <w:rsid w:val="004B0D18"/>
    <w:rsid w:val="004B0E0A"/>
    <w:rsid w:val="004B102B"/>
    <w:rsid w:val="004B1246"/>
    <w:rsid w:val="004B172B"/>
    <w:rsid w:val="004B1B63"/>
    <w:rsid w:val="004B1D70"/>
    <w:rsid w:val="004B2475"/>
    <w:rsid w:val="004B2760"/>
    <w:rsid w:val="004B28C1"/>
    <w:rsid w:val="004B2FD3"/>
    <w:rsid w:val="004B3016"/>
    <w:rsid w:val="004B31B9"/>
    <w:rsid w:val="004B3A34"/>
    <w:rsid w:val="004B3D75"/>
    <w:rsid w:val="004B404D"/>
    <w:rsid w:val="004B4092"/>
    <w:rsid w:val="004B48AD"/>
    <w:rsid w:val="004B4D83"/>
    <w:rsid w:val="004B4E51"/>
    <w:rsid w:val="004B51A2"/>
    <w:rsid w:val="004B5298"/>
    <w:rsid w:val="004B580F"/>
    <w:rsid w:val="004B59A8"/>
    <w:rsid w:val="004B5BBD"/>
    <w:rsid w:val="004B627A"/>
    <w:rsid w:val="004B6967"/>
    <w:rsid w:val="004B6AD7"/>
    <w:rsid w:val="004B6C45"/>
    <w:rsid w:val="004B6DC8"/>
    <w:rsid w:val="004B6EE9"/>
    <w:rsid w:val="004B7074"/>
    <w:rsid w:val="004B729E"/>
    <w:rsid w:val="004B7439"/>
    <w:rsid w:val="004B7726"/>
    <w:rsid w:val="004B7E40"/>
    <w:rsid w:val="004B7F7A"/>
    <w:rsid w:val="004C0261"/>
    <w:rsid w:val="004C03AA"/>
    <w:rsid w:val="004C046B"/>
    <w:rsid w:val="004C0F0F"/>
    <w:rsid w:val="004C0FC7"/>
    <w:rsid w:val="004C1DC9"/>
    <w:rsid w:val="004C1EEF"/>
    <w:rsid w:val="004C24C7"/>
    <w:rsid w:val="004C31A3"/>
    <w:rsid w:val="004C3687"/>
    <w:rsid w:val="004C4266"/>
    <w:rsid w:val="004C4609"/>
    <w:rsid w:val="004C4803"/>
    <w:rsid w:val="004C4F1F"/>
    <w:rsid w:val="004C51E1"/>
    <w:rsid w:val="004C5758"/>
    <w:rsid w:val="004C599C"/>
    <w:rsid w:val="004C5BCD"/>
    <w:rsid w:val="004C5C33"/>
    <w:rsid w:val="004C5D88"/>
    <w:rsid w:val="004C6015"/>
    <w:rsid w:val="004C6392"/>
    <w:rsid w:val="004C68C8"/>
    <w:rsid w:val="004C6B6C"/>
    <w:rsid w:val="004C6F08"/>
    <w:rsid w:val="004C7334"/>
    <w:rsid w:val="004C762D"/>
    <w:rsid w:val="004C7645"/>
    <w:rsid w:val="004C77EA"/>
    <w:rsid w:val="004D02D4"/>
    <w:rsid w:val="004D05AF"/>
    <w:rsid w:val="004D0F98"/>
    <w:rsid w:val="004D1778"/>
    <w:rsid w:val="004D189D"/>
    <w:rsid w:val="004D1AD3"/>
    <w:rsid w:val="004D1CA3"/>
    <w:rsid w:val="004D2169"/>
    <w:rsid w:val="004D229D"/>
    <w:rsid w:val="004D22AD"/>
    <w:rsid w:val="004D2E1A"/>
    <w:rsid w:val="004D2EC0"/>
    <w:rsid w:val="004D301E"/>
    <w:rsid w:val="004D34BD"/>
    <w:rsid w:val="004D3BCA"/>
    <w:rsid w:val="004D3CFC"/>
    <w:rsid w:val="004D3E59"/>
    <w:rsid w:val="004D405F"/>
    <w:rsid w:val="004D417D"/>
    <w:rsid w:val="004D42F1"/>
    <w:rsid w:val="004D4F0F"/>
    <w:rsid w:val="004D5187"/>
    <w:rsid w:val="004D5423"/>
    <w:rsid w:val="004D5CBD"/>
    <w:rsid w:val="004D5D51"/>
    <w:rsid w:val="004D6165"/>
    <w:rsid w:val="004D63EF"/>
    <w:rsid w:val="004D64C4"/>
    <w:rsid w:val="004D6709"/>
    <w:rsid w:val="004D6AF0"/>
    <w:rsid w:val="004D6E7A"/>
    <w:rsid w:val="004D7354"/>
    <w:rsid w:val="004D7A56"/>
    <w:rsid w:val="004D7BDA"/>
    <w:rsid w:val="004D7DC5"/>
    <w:rsid w:val="004E00E3"/>
    <w:rsid w:val="004E019A"/>
    <w:rsid w:val="004E03CB"/>
    <w:rsid w:val="004E06E7"/>
    <w:rsid w:val="004E0C6B"/>
    <w:rsid w:val="004E0E86"/>
    <w:rsid w:val="004E16E7"/>
    <w:rsid w:val="004E2130"/>
    <w:rsid w:val="004E2360"/>
    <w:rsid w:val="004E2390"/>
    <w:rsid w:val="004E254A"/>
    <w:rsid w:val="004E2FFA"/>
    <w:rsid w:val="004E34A9"/>
    <w:rsid w:val="004E34E2"/>
    <w:rsid w:val="004E3648"/>
    <w:rsid w:val="004E3815"/>
    <w:rsid w:val="004E3905"/>
    <w:rsid w:val="004E3AF9"/>
    <w:rsid w:val="004E3C11"/>
    <w:rsid w:val="004E4041"/>
    <w:rsid w:val="004E40A2"/>
    <w:rsid w:val="004E4856"/>
    <w:rsid w:val="004E5247"/>
    <w:rsid w:val="004E5D6C"/>
    <w:rsid w:val="004E5F52"/>
    <w:rsid w:val="004E61A6"/>
    <w:rsid w:val="004E628E"/>
    <w:rsid w:val="004E630F"/>
    <w:rsid w:val="004E6A0C"/>
    <w:rsid w:val="004E6B8E"/>
    <w:rsid w:val="004E7184"/>
    <w:rsid w:val="004E71AC"/>
    <w:rsid w:val="004E76A2"/>
    <w:rsid w:val="004E789F"/>
    <w:rsid w:val="004F0A97"/>
    <w:rsid w:val="004F0DB0"/>
    <w:rsid w:val="004F11EC"/>
    <w:rsid w:val="004F15E3"/>
    <w:rsid w:val="004F1615"/>
    <w:rsid w:val="004F1641"/>
    <w:rsid w:val="004F17DE"/>
    <w:rsid w:val="004F252B"/>
    <w:rsid w:val="004F3BB4"/>
    <w:rsid w:val="004F46F8"/>
    <w:rsid w:val="004F4AEC"/>
    <w:rsid w:val="004F4FB8"/>
    <w:rsid w:val="004F5821"/>
    <w:rsid w:val="004F59CB"/>
    <w:rsid w:val="004F623C"/>
    <w:rsid w:val="004F6459"/>
    <w:rsid w:val="004F6597"/>
    <w:rsid w:val="004F6AD7"/>
    <w:rsid w:val="004F74F9"/>
    <w:rsid w:val="004F76B3"/>
    <w:rsid w:val="004F7A0B"/>
    <w:rsid w:val="004F7D06"/>
    <w:rsid w:val="004F7E9B"/>
    <w:rsid w:val="004F7FEF"/>
    <w:rsid w:val="005015B6"/>
    <w:rsid w:val="00501A71"/>
    <w:rsid w:val="00501BF2"/>
    <w:rsid w:val="00501C2B"/>
    <w:rsid w:val="00501EFC"/>
    <w:rsid w:val="00502805"/>
    <w:rsid w:val="00502BB7"/>
    <w:rsid w:val="00502EE9"/>
    <w:rsid w:val="00503038"/>
    <w:rsid w:val="00503B6C"/>
    <w:rsid w:val="00503C0B"/>
    <w:rsid w:val="00503E81"/>
    <w:rsid w:val="00503F00"/>
    <w:rsid w:val="005045A7"/>
    <w:rsid w:val="005049BD"/>
    <w:rsid w:val="005049DB"/>
    <w:rsid w:val="00504AB9"/>
    <w:rsid w:val="005052ED"/>
    <w:rsid w:val="005054BE"/>
    <w:rsid w:val="00505A4D"/>
    <w:rsid w:val="00505F83"/>
    <w:rsid w:val="005060A8"/>
    <w:rsid w:val="0050634C"/>
    <w:rsid w:val="00506808"/>
    <w:rsid w:val="0050692A"/>
    <w:rsid w:val="00506991"/>
    <w:rsid w:val="005070FD"/>
    <w:rsid w:val="00507105"/>
    <w:rsid w:val="0050713B"/>
    <w:rsid w:val="00507E61"/>
    <w:rsid w:val="00507F0C"/>
    <w:rsid w:val="0051012B"/>
    <w:rsid w:val="00510158"/>
    <w:rsid w:val="005109CF"/>
    <w:rsid w:val="0051150D"/>
    <w:rsid w:val="00511C70"/>
    <w:rsid w:val="00511D92"/>
    <w:rsid w:val="00511E67"/>
    <w:rsid w:val="00511FFA"/>
    <w:rsid w:val="00512179"/>
    <w:rsid w:val="005125E9"/>
    <w:rsid w:val="005127BB"/>
    <w:rsid w:val="0051343F"/>
    <w:rsid w:val="005135D6"/>
    <w:rsid w:val="00513755"/>
    <w:rsid w:val="00513D1E"/>
    <w:rsid w:val="00513E17"/>
    <w:rsid w:val="005140D9"/>
    <w:rsid w:val="00514C90"/>
    <w:rsid w:val="00514F91"/>
    <w:rsid w:val="005154F1"/>
    <w:rsid w:val="005157BC"/>
    <w:rsid w:val="00515A1E"/>
    <w:rsid w:val="00516024"/>
    <w:rsid w:val="00516914"/>
    <w:rsid w:val="00517220"/>
    <w:rsid w:val="005177C8"/>
    <w:rsid w:val="0051783C"/>
    <w:rsid w:val="00517BE1"/>
    <w:rsid w:val="00517DA6"/>
    <w:rsid w:val="00520354"/>
    <w:rsid w:val="005204C3"/>
    <w:rsid w:val="00520504"/>
    <w:rsid w:val="00521092"/>
    <w:rsid w:val="0052114E"/>
    <w:rsid w:val="00521A54"/>
    <w:rsid w:val="00521AC9"/>
    <w:rsid w:val="00521DE3"/>
    <w:rsid w:val="00521E79"/>
    <w:rsid w:val="00521ED9"/>
    <w:rsid w:val="00521F39"/>
    <w:rsid w:val="00521F9A"/>
    <w:rsid w:val="005220C5"/>
    <w:rsid w:val="00522128"/>
    <w:rsid w:val="00522183"/>
    <w:rsid w:val="005229E5"/>
    <w:rsid w:val="00522A43"/>
    <w:rsid w:val="00522B39"/>
    <w:rsid w:val="00522BB5"/>
    <w:rsid w:val="00522CEF"/>
    <w:rsid w:val="00523033"/>
    <w:rsid w:val="00523149"/>
    <w:rsid w:val="0052324C"/>
    <w:rsid w:val="005233B3"/>
    <w:rsid w:val="005241D5"/>
    <w:rsid w:val="005245F2"/>
    <w:rsid w:val="005246B5"/>
    <w:rsid w:val="00524735"/>
    <w:rsid w:val="005252C3"/>
    <w:rsid w:val="0052533C"/>
    <w:rsid w:val="005257B7"/>
    <w:rsid w:val="00525E15"/>
    <w:rsid w:val="00525FB2"/>
    <w:rsid w:val="005260B1"/>
    <w:rsid w:val="0052617E"/>
    <w:rsid w:val="0052670A"/>
    <w:rsid w:val="00526BA9"/>
    <w:rsid w:val="005271BD"/>
    <w:rsid w:val="0052751B"/>
    <w:rsid w:val="0052758B"/>
    <w:rsid w:val="0052776A"/>
    <w:rsid w:val="005278C4"/>
    <w:rsid w:val="00527B03"/>
    <w:rsid w:val="005302E3"/>
    <w:rsid w:val="0053062F"/>
    <w:rsid w:val="00530788"/>
    <w:rsid w:val="00530DD0"/>
    <w:rsid w:val="00530EB0"/>
    <w:rsid w:val="00531B4F"/>
    <w:rsid w:val="00531CB9"/>
    <w:rsid w:val="00531EAA"/>
    <w:rsid w:val="005326C0"/>
    <w:rsid w:val="00532850"/>
    <w:rsid w:val="0053287B"/>
    <w:rsid w:val="00532915"/>
    <w:rsid w:val="0053316B"/>
    <w:rsid w:val="00533206"/>
    <w:rsid w:val="005333E2"/>
    <w:rsid w:val="0053354B"/>
    <w:rsid w:val="005338FC"/>
    <w:rsid w:val="00533D8A"/>
    <w:rsid w:val="005341B7"/>
    <w:rsid w:val="0053439B"/>
    <w:rsid w:val="00534687"/>
    <w:rsid w:val="005346AA"/>
    <w:rsid w:val="0053480B"/>
    <w:rsid w:val="00534968"/>
    <w:rsid w:val="00534CF5"/>
    <w:rsid w:val="005350CB"/>
    <w:rsid w:val="00535281"/>
    <w:rsid w:val="005352C0"/>
    <w:rsid w:val="00535392"/>
    <w:rsid w:val="005353C2"/>
    <w:rsid w:val="00536299"/>
    <w:rsid w:val="00536C9E"/>
    <w:rsid w:val="00536DCC"/>
    <w:rsid w:val="00537164"/>
    <w:rsid w:val="005372FE"/>
    <w:rsid w:val="005374C5"/>
    <w:rsid w:val="0053788D"/>
    <w:rsid w:val="005379C9"/>
    <w:rsid w:val="00537B9D"/>
    <w:rsid w:val="00537E17"/>
    <w:rsid w:val="00537FC5"/>
    <w:rsid w:val="0054050C"/>
    <w:rsid w:val="00540791"/>
    <w:rsid w:val="0054112E"/>
    <w:rsid w:val="00541653"/>
    <w:rsid w:val="00541663"/>
    <w:rsid w:val="005418C6"/>
    <w:rsid w:val="005418FF"/>
    <w:rsid w:val="00541970"/>
    <w:rsid w:val="00541B82"/>
    <w:rsid w:val="00541B88"/>
    <w:rsid w:val="00541C3B"/>
    <w:rsid w:val="00541C57"/>
    <w:rsid w:val="00541DC4"/>
    <w:rsid w:val="00541E4F"/>
    <w:rsid w:val="0054239F"/>
    <w:rsid w:val="005427A5"/>
    <w:rsid w:val="00543A9E"/>
    <w:rsid w:val="00543E4F"/>
    <w:rsid w:val="0054407E"/>
    <w:rsid w:val="005443F4"/>
    <w:rsid w:val="0054442F"/>
    <w:rsid w:val="00544522"/>
    <w:rsid w:val="00544E50"/>
    <w:rsid w:val="00544F2F"/>
    <w:rsid w:val="005453B9"/>
    <w:rsid w:val="00545B3B"/>
    <w:rsid w:val="00545C9B"/>
    <w:rsid w:val="005465B7"/>
    <w:rsid w:val="005465BA"/>
    <w:rsid w:val="00546E83"/>
    <w:rsid w:val="00547463"/>
    <w:rsid w:val="00547D16"/>
    <w:rsid w:val="0055001D"/>
    <w:rsid w:val="005504AF"/>
    <w:rsid w:val="005508F6"/>
    <w:rsid w:val="00550CF8"/>
    <w:rsid w:val="00550F3B"/>
    <w:rsid w:val="00551921"/>
    <w:rsid w:val="00551FA3"/>
    <w:rsid w:val="005524F3"/>
    <w:rsid w:val="005527D2"/>
    <w:rsid w:val="00553463"/>
    <w:rsid w:val="00553881"/>
    <w:rsid w:val="0055409C"/>
    <w:rsid w:val="0055441E"/>
    <w:rsid w:val="00554AC3"/>
    <w:rsid w:val="00554D1E"/>
    <w:rsid w:val="00555177"/>
    <w:rsid w:val="00555397"/>
    <w:rsid w:val="00555611"/>
    <w:rsid w:val="00555A84"/>
    <w:rsid w:val="00555BB1"/>
    <w:rsid w:val="00557444"/>
    <w:rsid w:val="00557A65"/>
    <w:rsid w:val="00557B65"/>
    <w:rsid w:val="00557BA6"/>
    <w:rsid w:val="00557E4E"/>
    <w:rsid w:val="00557FE9"/>
    <w:rsid w:val="00561121"/>
    <w:rsid w:val="00561184"/>
    <w:rsid w:val="005612FD"/>
    <w:rsid w:val="00561B34"/>
    <w:rsid w:val="00561BC2"/>
    <w:rsid w:val="0056229D"/>
    <w:rsid w:val="005623BA"/>
    <w:rsid w:val="005625C1"/>
    <w:rsid w:val="005628B0"/>
    <w:rsid w:val="0056299E"/>
    <w:rsid w:val="00562A32"/>
    <w:rsid w:val="00562B9F"/>
    <w:rsid w:val="00562E19"/>
    <w:rsid w:val="00563E24"/>
    <w:rsid w:val="00564089"/>
    <w:rsid w:val="005641C4"/>
    <w:rsid w:val="0056461F"/>
    <w:rsid w:val="005648BF"/>
    <w:rsid w:val="005649D7"/>
    <w:rsid w:val="005649DF"/>
    <w:rsid w:val="00564E7F"/>
    <w:rsid w:val="00565411"/>
    <w:rsid w:val="005656DD"/>
    <w:rsid w:val="00565799"/>
    <w:rsid w:val="005658E8"/>
    <w:rsid w:val="00566169"/>
    <w:rsid w:val="00566266"/>
    <w:rsid w:val="0056665E"/>
    <w:rsid w:val="005669CC"/>
    <w:rsid w:val="00566C09"/>
    <w:rsid w:val="0056729A"/>
    <w:rsid w:val="00567BF4"/>
    <w:rsid w:val="0057053F"/>
    <w:rsid w:val="00570BCF"/>
    <w:rsid w:val="0057113F"/>
    <w:rsid w:val="005713C0"/>
    <w:rsid w:val="00571454"/>
    <w:rsid w:val="00571505"/>
    <w:rsid w:val="00571532"/>
    <w:rsid w:val="0057159B"/>
    <w:rsid w:val="005715C2"/>
    <w:rsid w:val="005716B2"/>
    <w:rsid w:val="00571AC6"/>
    <w:rsid w:val="005720A9"/>
    <w:rsid w:val="005728F8"/>
    <w:rsid w:val="0057292A"/>
    <w:rsid w:val="00572C8B"/>
    <w:rsid w:val="00573142"/>
    <w:rsid w:val="0057330E"/>
    <w:rsid w:val="0057343F"/>
    <w:rsid w:val="005735A8"/>
    <w:rsid w:val="005735C0"/>
    <w:rsid w:val="00573DCD"/>
    <w:rsid w:val="00574304"/>
    <w:rsid w:val="0057437E"/>
    <w:rsid w:val="005745F3"/>
    <w:rsid w:val="005748F8"/>
    <w:rsid w:val="00574D1F"/>
    <w:rsid w:val="005750B1"/>
    <w:rsid w:val="00575640"/>
    <w:rsid w:val="0057567A"/>
    <w:rsid w:val="00575B7D"/>
    <w:rsid w:val="005762A0"/>
    <w:rsid w:val="00576332"/>
    <w:rsid w:val="00576872"/>
    <w:rsid w:val="00576C34"/>
    <w:rsid w:val="00576DD5"/>
    <w:rsid w:val="00576E1E"/>
    <w:rsid w:val="005777CE"/>
    <w:rsid w:val="0057794F"/>
    <w:rsid w:val="00577DDF"/>
    <w:rsid w:val="0058000B"/>
    <w:rsid w:val="0058060E"/>
    <w:rsid w:val="00580B55"/>
    <w:rsid w:val="005819A7"/>
    <w:rsid w:val="00581C21"/>
    <w:rsid w:val="00581DE9"/>
    <w:rsid w:val="0058247C"/>
    <w:rsid w:val="005826B0"/>
    <w:rsid w:val="0058430A"/>
    <w:rsid w:val="00584328"/>
    <w:rsid w:val="00584468"/>
    <w:rsid w:val="0058472A"/>
    <w:rsid w:val="00584A51"/>
    <w:rsid w:val="00584F78"/>
    <w:rsid w:val="00585035"/>
    <w:rsid w:val="0058534A"/>
    <w:rsid w:val="00585436"/>
    <w:rsid w:val="0058551F"/>
    <w:rsid w:val="005856D6"/>
    <w:rsid w:val="005858C3"/>
    <w:rsid w:val="00585EED"/>
    <w:rsid w:val="005867FA"/>
    <w:rsid w:val="00586B0B"/>
    <w:rsid w:val="00586E44"/>
    <w:rsid w:val="00587666"/>
    <w:rsid w:val="0058772C"/>
    <w:rsid w:val="00587747"/>
    <w:rsid w:val="00587C58"/>
    <w:rsid w:val="0059037F"/>
    <w:rsid w:val="005903A3"/>
    <w:rsid w:val="00590422"/>
    <w:rsid w:val="005905DD"/>
    <w:rsid w:val="0059086E"/>
    <w:rsid w:val="005908ED"/>
    <w:rsid w:val="00590947"/>
    <w:rsid w:val="005909A6"/>
    <w:rsid w:val="00590EB8"/>
    <w:rsid w:val="005914FE"/>
    <w:rsid w:val="00591815"/>
    <w:rsid w:val="005925ED"/>
    <w:rsid w:val="00592A2F"/>
    <w:rsid w:val="005932EB"/>
    <w:rsid w:val="005938AB"/>
    <w:rsid w:val="00593C65"/>
    <w:rsid w:val="00593F84"/>
    <w:rsid w:val="0059411F"/>
    <w:rsid w:val="005943D2"/>
    <w:rsid w:val="0059440D"/>
    <w:rsid w:val="00594482"/>
    <w:rsid w:val="00594A56"/>
    <w:rsid w:val="00594D1C"/>
    <w:rsid w:val="00594EDA"/>
    <w:rsid w:val="00594EDE"/>
    <w:rsid w:val="00595586"/>
    <w:rsid w:val="0059580A"/>
    <w:rsid w:val="00595813"/>
    <w:rsid w:val="00595CA9"/>
    <w:rsid w:val="00596076"/>
    <w:rsid w:val="00596D59"/>
    <w:rsid w:val="00596E08"/>
    <w:rsid w:val="00596E0F"/>
    <w:rsid w:val="00596E7B"/>
    <w:rsid w:val="00596E8F"/>
    <w:rsid w:val="00596F16"/>
    <w:rsid w:val="00597A0E"/>
    <w:rsid w:val="00597A8E"/>
    <w:rsid w:val="00597AB5"/>
    <w:rsid w:val="00597B73"/>
    <w:rsid w:val="00597C19"/>
    <w:rsid w:val="00597CBA"/>
    <w:rsid w:val="00597F9C"/>
    <w:rsid w:val="005A0199"/>
    <w:rsid w:val="005A0AA0"/>
    <w:rsid w:val="005A13F0"/>
    <w:rsid w:val="005A1AAF"/>
    <w:rsid w:val="005A1B32"/>
    <w:rsid w:val="005A1C9E"/>
    <w:rsid w:val="005A23FC"/>
    <w:rsid w:val="005A26BA"/>
    <w:rsid w:val="005A2BC6"/>
    <w:rsid w:val="005A2C33"/>
    <w:rsid w:val="005A2D7D"/>
    <w:rsid w:val="005A2E49"/>
    <w:rsid w:val="005A2E68"/>
    <w:rsid w:val="005A2EF6"/>
    <w:rsid w:val="005A2EF8"/>
    <w:rsid w:val="005A31E5"/>
    <w:rsid w:val="005A4BCF"/>
    <w:rsid w:val="005A512D"/>
    <w:rsid w:val="005A52C7"/>
    <w:rsid w:val="005A56E6"/>
    <w:rsid w:val="005A5D53"/>
    <w:rsid w:val="005A5EC1"/>
    <w:rsid w:val="005A6334"/>
    <w:rsid w:val="005A6D4E"/>
    <w:rsid w:val="005A6DA8"/>
    <w:rsid w:val="005A709B"/>
    <w:rsid w:val="005A7165"/>
    <w:rsid w:val="005A7A52"/>
    <w:rsid w:val="005A7A97"/>
    <w:rsid w:val="005A7BE2"/>
    <w:rsid w:val="005B00A4"/>
    <w:rsid w:val="005B03A8"/>
    <w:rsid w:val="005B0759"/>
    <w:rsid w:val="005B0B67"/>
    <w:rsid w:val="005B0D0C"/>
    <w:rsid w:val="005B0EA6"/>
    <w:rsid w:val="005B11EA"/>
    <w:rsid w:val="005B1B3E"/>
    <w:rsid w:val="005B1D29"/>
    <w:rsid w:val="005B1E9D"/>
    <w:rsid w:val="005B22F1"/>
    <w:rsid w:val="005B24F0"/>
    <w:rsid w:val="005B2B65"/>
    <w:rsid w:val="005B3E3A"/>
    <w:rsid w:val="005B4024"/>
    <w:rsid w:val="005B4200"/>
    <w:rsid w:val="005B4E3E"/>
    <w:rsid w:val="005B5389"/>
    <w:rsid w:val="005B55B7"/>
    <w:rsid w:val="005B58F0"/>
    <w:rsid w:val="005B5EF8"/>
    <w:rsid w:val="005B6000"/>
    <w:rsid w:val="005B6159"/>
    <w:rsid w:val="005B6AFC"/>
    <w:rsid w:val="005B7038"/>
    <w:rsid w:val="005B751C"/>
    <w:rsid w:val="005B770B"/>
    <w:rsid w:val="005B7ABB"/>
    <w:rsid w:val="005C001C"/>
    <w:rsid w:val="005C0B80"/>
    <w:rsid w:val="005C0C55"/>
    <w:rsid w:val="005C0D8B"/>
    <w:rsid w:val="005C1963"/>
    <w:rsid w:val="005C1CB7"/>
    <w:rsid w:val="005C1CBE"/>
    <w:rsid w:val="005C20E1"/>
    <w:rsid w:val="005C21C4"/>
    <w:rsid w:val="005C221A"/>
    <w:rsid w:val="005C2D4D"/>
    <w:rsid w:val="005C2EAF"/>
    <w:rsid w:val="005C312B"/>
    <w:rsid w:val="005C31EE"/>
    <w:rsid w:val="005C38FE"/>
    <w:rsid w:val="005C3F75"/>
    <w:rsid w:val="005C4063"/>
    <w:rsid w:val="005C415F"/>
    <w:rsid w:val="005C4E17"/>
    <w:rsid w:val="005C563D"/>
    <w:rsid w:val="005C59C1"/>
    <w:rsid w:val="005C5A54"/>
    <w:rsid w:val="005C5BE7"/>
    <w:rsid w:val="005C5D45"/>
    <w:rsid w:val="005C63C7"/>
    <w:rsid w:val="005C6728"/>
    <w:rsid w:val="005C6773"/>
    <w:rsid w:val="005C6D65"/>
    <w:rsid w:val="005C6DF6"/>
    <w:rsid w:val="005C73AB"/>
    <w:rsid w:val="005C7796"/>
    <w:rsid w:val="005C7CA4"/>
    <w:rsid w:val="005C7CE2"/>
    <w:rsid w:val="005D0475"/>
    <w:rsid w:val="005D07A4"/>
    <w:rsid w:val="005D094A"/>
    <w:rsid w:val="005D163B"/>
    <w:rsid w:val="005D1705"/>
    <w:rsid w:val="005D174C"/>
    <w:rsid w:val="005D17C6"/>
    <w:rsid w:val="005D240F"/>
    <w:rsid w:val="005D242B"/>
    <w:rsid w:val="005D243C"/>
    <w:rsid w:val="005D2B4E"/>
    <w:rsid w:val="005D3347"/>
    <w:rsid w:val="005D4485"/>
    <w:rsid w:val="005D46EA"/>
    <w:rsid w:val="005D4A21"/>
    <w:rsid w:val="005D4D6A"/>
    <w:rsid w:val="005D5B87"/>
    <w:rsid w:val="005D67B9"/>
    <w:rsid w:val="005D6D6C"/>
    <w:rsid w:val="005D6E70"/>
    <w:rsid w:val="005D7037"/>
    <w:rsid w:val="005D74B2"/>
    <w:rsid w:val="005D7DFF"/>
    <w:rsid w:val="005E000E"/>
    <w:rsid w:val="005E0049"/>
    <w:rsid w:val="005E03E1"/>
    <w:rsid w:val="005E0C93"/>
    <w:rsid w:val="005E10F5"/>
    <w:rsid w:val="005E1A33"/>
    <w:rsid w:val="005E2686"/>
    <w:rsid w:val="005E2C77"/>
    <w:rsid w:val="005E3F02"/>
    <w:rsid w:val="005E4636"/>
    <w:rsid w:val="005E50CC"/>
    <w:rsid w:val="005E520F"/>
    <w:rsid w:val="005E5724"/>
    <w:rsid w:val="005E5C86"/>
    <w:rsid w:val="005E5FC5"/>
    <w:rsid w:val="005E7357"/>
    <w:rsid w:val="005E7AA0"/>
    <w:rsid w:val="005E7FAE"/>
    <w:rsid w:val="005F057F"/>
    <w:rsid w:val="005F07F1"/>
    <w:rsid w:val="005F0883"/>
    <w:rsid w:val="005F0AB8"/>
    <w:rsid w:val="005F0ACA"/>
    <w:rsid w:val="005F0B74"/>
    <w:rsid w:val="005F1001"/>
    <w:rsid w:val="005F185D"/>
    <w:rsid w:val="005F19EB"/>
    <w:rsid w:val="005F1ED1"/>
    <w:rsid w:val="005F2100"/>
    <w:rsid w:val="005F22B1"/>
    <w:rsid w:val="005F2316"/>
    <w:rsid w:val="005F234A"/>
    <w:rsid w:val="005F28A4"/>
    <w:rsid w:val="005F2D14"/>
    <w:rsid w:val="005F2EA1"/>
    <w:rsid w:val="005F302C"/>
    <w:rsid w:val="005F33C7"/>
    <w:rsid w:val="005F35E9"/>
    <w:rsid w:val="005F3A3C"/>
    <w:rsid w:val="005F3BCA"/>
    <w:rsid w:val="005F3BDB"/>
    <w:rsid w:val="005F3F5D"/>
    <w:rsid w:val="005F44DF"/>
    <w:rsid w:val="005F524B"/>
    <w:rsid w:val="005F538F"/>
    <w:rsid w:val="005F5E00"/>
    <w:rsid w:val="005F62B4"/>
    <w:rsid w:val="005F64AE"/>
    <w:rsid w:val="005F6756"/>
    <w:rsid w:val="005F69BD"/>
    <w:rsid w:val="005F740F"/>
    <w:rsid w:val="005F7513"/>
    <w:rsid w:val="005F768E"/>
    <w:rsid w:val="005F77C3"/>
    <w:rsid w:val="005F7847"/>
    <w:rsid w:val="005F7889"/>
    <w:rsid w:val="005F7A9D"/>
    <w:rsid w:val="005F7F4D"/>
    <w:rsid w:val="005F7F71"/>
    <w:rsid w:val="0060033D"/>
    <w:rsid w:val="0060117E"/>
    <w:rsid w:val="0060125B"/>
    <w:rsid w:val="006018A4"/>
    <w:rsid w:val="00601E7C"/>
    <w:rsid w:val="00601EB6"/>
    <w:rsid w:val="00601F6B"/>
    <w:rsid w:val="00602232"/>
    <w:rsid w:val="00602A75"/>
    <w:rsid w:val="00602AC6"/>
    <w:rsid w:val="00603149"/>
    <w:rsid w:val="00603251"/>
    <w:rsid w:val="0060369B"/>
    <w:rsid w:val="006036D3"/>
    <w:rsid w:val="0060378E"/>
    <w:rsid w:val="00603C3E"/>
    <w:rsid w:val="00603F8C"/>
    <w:rsid w:val="0060409A"/>
    <w:rsid w:val="00604486"/>
    <w:rsid w:val="00604C2F"/>
    <w:rsid w:val="00605117"/>
    <w:rsid w:val="006054C1"/>
    <w:rsid w:val="006056A6"/>
    <w:rsid w:val="0060576D"/>
    <w:rsid w:val="00605788"/>
    <w:rsid w:val="006059C4"/>
    <w:rsid w:val="00605A29"/>
    <w:rsid w:val="00605B63"/>
    <w:rsid w:val="00606215"/>
    <w:rsid w:val="0060656D"/>
    <w:rsid w:val="0060694D"/>
    <w:rsid w:val="00606A83"/>
    <w:rsid w:val="0060725A"/>
    <w:rsid w:val="006072E5"/>
    <w:rsid w:val="0060738D"/>
    <w:rsid w:val="006077D9"/>
    <w:rsid w:val="00607B06"/>
    <w:rsid w:val="00607B4D"/>
    <w:rsid w:val="00607C60"/>
    <w:rsid w:val="00610602"/>
    <w:rsid w:val="00610665"/>
    <w:rsid w:val="00610A2A"/>
    <w:rsid w:val="00610ADC"/>
    <w:rsid w:val="00610B89"/>
    <w:rsid w:val="00610B96"/>
    <w:rsid w:val="00610D3A"/>
    <w:rsid w:val="006111C3"/>
    <w:rsid w:val="006113DA"/>
    <w:rsid w:val="00611AB5"/>
    <w:rsid w:val="00611C1B"/>
    <w:rsid w:val="00611DBA"/>
    <w:rsid w:val="00611F61"/>
    <w:rsid w:val="00611FB9"/>
    <w:rsid w:val="00612061"/>
    <w:rsid w:val="00612238"/>
    <w:rsid w:val="0061241B"/>
    <w:rsid w:val="006127CD"/>
    <w:rsid w:val="0061286B"/>
    <w:rsid w:val="00612F69"/>
    <w:rsid w:val="0061357A"/>
    <w:rsid w:val="00613B4A"/>
    <w:rsid w:val="0061413F"/>
    <w:rsid w:val="006147E0"/>
    <w:rsid w:val="00614E42"/>
    <w:rsid w:val="006152D3"/>
    <w:rsid w:val="006158D4"/>
    <w:rsid w:val="00615B8D"/>
    <w:rsid w:val="00616292"/>
    <w:rsid w:val="00616569"/>
    <w:rsid w:val="00616E33"/>
    <w:rsid w:val="00616E8F"/>
    <w:rsid w:val="00617460"/>
    <w:rsid w:val="006177C8"/>
    <w:rsid w:val="006179FC"/>
    <w:rsid w:val="00617AC8"/>
    <w:rsid w:val="00617B39"/>
    <w:rsid w:val="00617B4A"/>
    <w:rsid w:val="00620008"/>
    <w:rsid w:val="0062024B"/>
    <w:rsid w:val="006202CA"/>
    <w:rsid w:val="0062035D"/>
    <w:rsid w:val="006208D7"/>
    <w:rsid w:val="00621A3D"/>
    <w:rsid w:val="006224CA"/>
    <w:rsid w:val="006226A8"/>
    <w:rsid w:val="00622985"/>
    <w:rsid w:val="00622E69"/>
    <w:rsid w:val="00623409"/>
    <w:rsid w:val="00623562"/>
    <w:rsid w:val="006235B7"/>
    <w:rsid w:val="00624262"/>
    <w:rsid w:val="0062465D"/>
    <w:rsid w:val="00624746"/>
    <w:rsid w:val="00624FF6"/>
    <w:rsid w:val="006251D5"/>
    <w:rsid w:val="00625301"/>
    <w:rsid w:val="00625A0E"/>
    <w:rsid w:val="00625E41"/>
    <w:rsid w:val="00625EDC"/>
    <w:rsid w:val="006266BC"/>
    <w:rsid w:val="006267F4"/>
    <w:rsid w:val="00627292"/>
    <w:rsid w:val="00627555"/>
    <w:rsid w:val="006275EE"/>
    <w:rsid w:val="00627917"/>
    <w:rsid w:val="00627B4D"/>
    <w:rsid w:val="00627BAB"/>
    <w:rsid w:val="00630108"/>
    <w:rsid w:val="006304B1"/>
    <w:rsid w:val="0063061B"/>
    <w:rsid w:val="00630EA8"/>
    <w:rsid w:val="00630FCD"/>
    <w:rsid w:val="006310A8"/>
    <w:rsid w:val="00631400"/>
    <w:rsid w:val="0063153A"/>
    <w:rsid w:val="006316C0"/>
    <w:rsid w:val="00631E92"/>
    <w:rsid w:val="00633496"/>
    <w:rsid w:val="00633B40"/>
    <w:rsid w:val="00633F88"/>
    <w:rsid w:val="006342F9"/>
    <w:rsid w:val="0063433B"/>
    <w:rsid w:val="00634A40"/>
    <w:rsid w:val="00634A7E"/>
    <w:rsid w:val="006350BA"/>
    <w:rsid w:val="006352EA"/>
    <w:rsid w:val="00635413"/>
    <w:rsid w:val="00635AB5"/>
    <w:rsid w:val="00635B83"/>
    <w:rsid w:val="00635CAC"/>
    <w:rsid w:val="0063623F"/>
    <w:rsid w:val="00636B15"/>
    <w:rsid w:val="006370A6"/>
    <w:rsid w:val="00637145"/>
    <w:rsid w:val="00637397"/>
    <w:rsid w:val="00637DDB"/>
    <w:rsid w:val="00637E97"/>
    <w:rsid w:val="00637FA4"/>
    <w:rsid w:val="0064020D"/>
    <w:rsid w:val="00640221"/>
    <w:rsid w:val="0064033C"/>
    <w:rsid w:val="0064058F"/>
    <w:rsid w:val="00640B47"/>
    <w:rsid w:val="00640BC5"/>
    <w:rsid w:val="0064131F"/>
    <w:rsid w:val="00641423"/>
    <w:rsid w:val="006415CB"/>
    <w:rsid w:val="006417D6"/>
    <w:rsid w:val="00641D0D"/>
    <w:rsid w:val="00641EE5"/>
    <w:rsid w:val="0064244B"/>
    <w:rsid w:val="0064457A"/>
    <w:rsid w:val="006447FE"/>
    <w:rsid w:val="0064487F"/>
    <w:rsid w:val="00644949"/>
    <w:rsid w:val="00644BF1"/>
    <w:rsid w:val="00644D5D"/>
    <w:rsid w:val="00644F52"/>
    <w:rsid w:val="0064501E"/>
    <w:rsid w:val="006456FC"/>
    <w:rsid w:val="00645AFF"/>
    <w:rsid w:val="00645B40"/>
    <w:rsid w:val="00645DE8"/>
    <w:rsid w:val="00645EF1"/>
    <w:rsid w:val="00645F38"/>
    <w:rsid w:val="00646249"/>
    <w:rsid w:val="0064632B"/>
    <w:rsid w:val="006468D2"/>
    <w:rsid w:val="00646AA8"/>
    <w:rsid w:val="006470E7"/>
    <w:rsid w:val="006476AE"/>
    <w:rsid w:val="006478A7"/>
    <w:rsid w:val="00647D2C"/>
    <w:rsid w:val="00650209"/>
    <w:rsid w:val="0065072A"/>
    <w:rsid w:val="00650DD6"/>
    <w:rsid w:val="00650F79"/>
    <w:rsid w:val="00651453"/>
    <w:rsid w:val="00651A5E"/>
    <w:rsid w:val="00651BDD"/>
    <w:rsid w:val="00651CD3"/>
    <w:rsid w:val="00651F98"/>
    <w:rsid w:val="0065202F"/>
    <w:rsid w:val="00652152"/>
    <w:rsid w:val="006527B8"/>
    <w:rsid w:val="00652D24"/>
    <w:rsid w:val="0065305C"/>
    <w:rsid w:val="00653268"/>
    <w:rsid w:val="00653605"/>
    <w:rsid w:val="00653783"/>
    <w:rsid w:val="0065426C"/>
    <w:rsid w:val="006545A0"/>
    <w:rsid w:val="006549FB"/>
    <w:rsid w:val="00655301"/>
    <w:rsid w:val="00655A3D"/>
    <w:rsid w:val="00655A6E"/>
    <w:rsid w:val="00655A71"/>
    <w:rsid w:val="0065619E"/>
    <w:rsid w:val="00656866"/>
    <w:rsid w:val="00656ACA"/>
    <w:rsid w:val="00656CA4"/>
    <w:rsid w:val="00656D7F"/>
    <w:rsid w:val="00656D87"/>
    <w:rsid w:val="00656E57"/>
    <w:rsid w:val="0065721E"/>
    <w:rsid w:val="006574C0"/>
    <w:rsid w:val="00657644"/>
    <w:rsid w:val="00657845"/>
    <w:rsid w:val="0066007A"/>
    <w:rsid w:val="00660315"/>
    <w:rsid w:val="006606AF"/>
    <w:rsid w:val="00660DA6"/>
    <w:rsid w:val="006612DC"/>
    <w:rsid w:val="0066149B"/>
    <w:rsid w:val="00661522"/>
    <w:rsid w:val="00661A27"/>
    <w:rsid w:val="00661E39"/>
    <w:rsid w:val="00661F71"/>
    <w:rsid w:val="0066213F"/>
    <w:rsid w:val="006624D9"/>
    <w:rsid w:val="006624E8"/>
    <w:rsid w:val="00662752"/>
    <w:rsid w:val="006628AD"/>
    <w:rsid w:val="00662A98"/>
    <w:rsid w:val="00662B33"/>
    <w:rsid w:val="00662BD6"/>
    <w:rsid w:val="00662FB1"/>
    <w:rsid w:val="0066366C"/>
    <w:rsid w:val="0066381F"/>
    <w:rsid w:val="00663BB6"/>
    <w:rsid w:val="00663D67"/>
    <w:rsid w:val="00663E16"/>
    <w:rsid w:val="006642E3"/>
    <w:rsid w:val="0066445B"/>
    <w:rsid w:val="0066462E"/>
    <w:rsid w:val="006646A1"/>
    <w:rsid w:val="006646F2"/>
    <w:rsid w:val="00664CEC"/>
    <w:rsid w:val="006650F2"/>
    <w:rsid w:val="0066538E"/>
    <w:rsid w:val="006655FF"/>
    <w:rsid w:val="00665BE3"/>
    <w:rsid w:val="00665C4C"/>
    <w:rsid w:val="00665EE8"/>
    <w:rsid w:val="00666137"/>
    <w:rsid w:val="00666578"/>
    <w:rsid w:val="0066685A"/>
    <w:rsid w:val="006670A8"/>
    <w:rsid w:val="0066746E"/>
    <w:rsid w:val="006678B1"/>
    <w:rsid w:val="00667950"/>
    <w:rsid w:val="00667C20"/>
    <w:rsid w:val="00667DDA"/>
    <w:rsid w:val="0067004D"/>
    <w:rsid w:val="00670227"/>
    <w:rsid w:val="00670329"/>
    <w:rsid w:val="006708AE"/>
    <w:rsid w:val="006708CA"/>
    <w:rsid w:val="00670A06"/>
    <w:rsid w:val="0067111A"/>
    <w:rsid w:val="00671337"/>
    <w:rsid w:val="006729BE"/>
    <w:rsid w:val="00672AD3"/>
    <w:rsid w:val="0067303E"/>
    <w:rsid w:val="006730E2"/>
    <w:rsid w:val="00673355"/>
    <w:rsid w:val="006735C1"/>
    <w:rsid w:val="00673F53"/>
    <w:rsid w:val="00674374"/>
    <w:rsid w:val="006744EA"/>
    <w:rsid w:val="006749B0"/>
    <w:rsid w:val="00674C7A"/>
    <w:rsid w:val="00674F4F"/>
    <w:rsid w:val="006757F2"/>
    <w:rsid w:val="00675B07"/>
    <w:rsid w:val="00675D96"/>
    <w:rsid w:val="00675F0B"/>
    <w:rsid w:val="00675F99"/>
    <w:rsid w:val="00675FDE"/>
    <w:rsid w:val="006760E4"/>
    <w:rsid w:val="006764B4"/>
    <w:rsid w:val="006764FE"/>
    <w:rsid w:val="00677B5A"/>
    <w:rsid w:val="00680054"/>
    <w:rsid w:val="0068070E"/>
    <w:rsid w:val="0068087C"/>
    <w:rsid w:val="00680B87"/>
    <w:rsid w:val="00680FDF"/>
    <w:rsid w:val="00681024"/>
    <w:rsid w:val="00681037"/>
    <w:rsid w:val="0068168D"/>
    <w:rsid w:val="006818F4"/>
    <w:rsid w:val="00681F55"/>
    <w:rsid w:val="006822B0"/>
    <w:rsid w:val="0068257A"/>
    <w:rsid w:val="00682AF6"/>
    <w:rsid w:val="00682D64"/>
    <w:rsid w:val="0068367D"/>
    <w:rsid w:val="0068370B"/>
    <w:rsid w:val="00683B10"/>
    <w:rsid w:val="00683DA3"/>
    <w:rsid w:val="006843D7"/>
    <w:rsid w:val="006846A6"/>
    <w:rsid w:val="00684A85"/>
    <w:rsid w:val="00684B57"/>
    <w:rsid w:val="00684CBB"/>
    <w:rsid w:val="00684D9E"/>
    <w:rsid w:val="006850A5"/>
    <w:rsid w:val="006851DF"/>
    <w:rsid w:val="00685578"/>
    <w:rsid w:val="00685EFA"/>
    <w:rsid w:val="006865A6"/>
    <w:rsid w:val="00686845"/>
    <w:rsid w:val="00686904"/>
    <w:rsid w:val="00687092"/>
    <w:rsid w:val="006875E4"/>
    <w:rsid w:val="006877C1"/>
    <w:rsid w:val="006903A8"/>
    <w:rsid w:val="00690912"/>
    <w:rsid w:val="00690B26"/>
    <w:rsid w:val="00690E8B"/>
    <w:rsid w:val="0069189E"/>
    <w:rsid w:val="00691D25"/>
    <w:rsid w:val="00691DB0"/>
    <w:rsid w:val="00692010"/>
    <w:rsid w:val="006921E8"/>
    <w:rsid w:val="00692212"/>
    <w:rsid w:val="00692675"/>
    <w:rsid w:val="0069296F"/>
    <w:rsid w:val="00692A9F"/>
    <w:rsid w:val="00692C64"/>
    <w:rsid w:val="00693537"/>
    <w:rsid w:val="006935EE"/>
    <w:rsid w:val="006936E8"/>
    <w:rsid w:val="00693855"/>
    <w:rsid w:val="00693B23"/>
    <w:rsid w:val="00693BEB"/>
    <w:rsid w:val="00693F45"/>
    <w:rsid w:val="0069403D"/>
    <w:rsid w:val="006941A8"/>
    <w:rsid w:val="0069433C"/>
    <w:rsid w:val="006943ED"/>
    <w:rsid w:val="00694639"/>
    <w:rsid w:val="00694A38"/>
    <w:rsid w:val="00694BC8"/>
    <w:rsid w:val="006951A2"/>
    <w:rsid w:val="006955D7"/>
    <w:rsid w:val="00695CDD"/>
    <w:rsid w:val="00695CF2"/>
    <w:rsid w:val="00695EED"/>
    <w:rsid w:val="00695F50"/>
    <w:rsid w:val="00696219"/>
    <w:rsid w:val="006963F1"/>
    <w:rsid w:val="00696A54"/>
    <w:rsid w:val="00696A5E"/>
    <w:rsid w:val="00696C18"/>
    <w:rsid w:val="00696D64"/>
    <w:rsid w:val="006974B0"/>
    <w:rsid w:val="006976B7"/>
    <w:rsid w:val="00697778"/>
    <w:rsid w:val="00697B1D"/>
    <w:rsid w:val="00697B66"/>
    <w:rsid w:val="00697D2B"/>
    <w:rsid w:val="00697F7C"/>
    <w:rsid w:val="006A03DE"/>
    <w:rsid w:val="006A04E8"/>
    <w:rsid w:val="006A072D"/>
    <w:rsid w:val="006A0969"/>
    <w:rsid w:val="006A0DC7"/>
    <w:rsid w:val="006A13B3"/>
    <w:rsid w:val="006A168B"/>
    <w:rsid w:val="006A1A19"/>
    <w:rsid w:val="006A1EED"/>
    <w:rsid w:val="006A2109"/>
    <w:rsid w:val="006A2559"/>
    <w:rsid w:val="006A27A5"/>
    <w:rsid w:val="006A2B08"/>
    <w:rsid w:val="006A2BE5"/>
    <w:rsid w:val="006A2CDC"/>
    <w:rsid w:val="006A2F24"/>
    <w:rsid w:val="006A3CC2"/>
    <w:rsid w:val="006A3F92"/>
    <w:rsid w:val="006A4340"/>
    <w:rsid w:val="006A4BE1"/>
    <w:rsid w:val="006A5107"/>
    <w:rsid w:val="006A5D9B"/>
    <w:rsid w:val="006A5DFA"/>
    <w:rsid w:val="006A64BA"/>
    <w:rsid w:val="006A6560"/>
    <w:rsid w:val="006A6634"/>
    <w:rsid w:val="006A6AD5"/>
    <w:rsid w:val="006A6B2D"/>
    <w:rsid w:val="006A6D91"/>
    <w:rsid w:val="006A70C5"/>
    <w:rsid w:val="006A712D"/>
    <w:rsid w:val="006A7CF5"/>
    <w:rsid w:val="006B0212"/>
    <w:rsid w:val="006B0587"/>
    <w:rsid w:val="006B0832"/>
    <w:rsid w:val="006B0C13"/>
    <w:rsid w:val="006B0E0B"/>
    <w:rsid w:val="006B0F7B"/>
    <w:rsid w:val="006B1118"/>
    <w:rsid w:val="006B115A"/>
    <w:rsid w:val="006B14C5"/>
    <w:rsid w:val="006B176B"/>
    <w:rsid w:val="006B1D41"/>
    <w:rsid w:val="006B1FD6"/>
    <w:rsid w:val="006B2789"/>
    <w:rsid w:val="006B2A67"/>
    <w:rsid w:val="006B32EB"/>
    <w:rsid w:val="006B3425"/>
    <w:rsid w:val="006B34A6"/>
    <w:rsid w:val="006B3694"/>
    <w:rsid w:val="006B3B09"/>
    <w:rsid w:val="006B4110"/>
    <w:rsid w:val="006B4300"/>
    <w:rsid w:val="006B45B4"/>
    <w:rsid w:val="006B47E4"/>
    <w:rsid w:val="006B491A"/>
    <w:rsid w:val="006B4C27"/>
    <w:rsid w:val="006B525F"/>
    <w:rsid w:val="006B5308"/>
    <w:rsid w:val="006B574E"/>
    <w:rsid w:val="006B57DB"/>
    <w:rsid w:val="006B591A"/>
    <w:rsid w:val="006B5F08"/>
    <w:rsid w:val="006B5FB2"/>
    <w:rsid w:val="006B6015"/>
    <w:rsid w:val="006B6D44"/>
    <w:rsid w:val="006B7270"/>
    <w:rsid w:val="006B7981"/>
    <w:rsid w:val="006B7A98"/>
    <w:rsid w:val="006B7AD6"/>
    <w:rsid w:val="006B7F65"/>
    <w:rsid w:val="006C0863"/>
    <w:rsid w:val="006C08C0"/>
    <w:rsid w:val="006C0B81"/>
    <w:rsid w:val="006C0EF6"/>
    <w:rsid w:val="006C18F4"/>
    <w:rsid w:val="006C1948"/>
    <w:rsid w:val="006C1B31"/>
    <w:rsid w:val="006C21CA"/>
    <w:rsid w:val="006C22F5"/>
    <w:rsid w:val="006C28E2"/>
    <w:rsid w:val="006C2999"/>
    <w:rsid w:val="006C2D96"/>
    <w:rsid w:val="006C302E"/>
    <w:rsid w:val="006C32AD"/>
    <w:rsid w:val="006C3662"/>
    <w:rsid w:val="006C4125"/>
    <w:rsid w:val="006C41BC"/>
    <w:rsid w:val="006C47BA"/>
    <w:rsid w:val="006C491A"/>
    <w:rsid w:val="006C4CFF"/>
    <w:rsid w:val="006C526E"/>
    <w:rsid w:val="006C5543"/>
    <w:rsid w:val="006C56F0"/>
    <w:rsid w:val="006C586A"/>
    <w:rsid w:val="006C59C8"/>
    <w:rsid w:val="006C5C80"/>
    <w:rsid w:val="006C612F"/>
    <w:rsid w:val="006C6361"/>
    <w:rsid w:val="006C6839"/>
    <w:rsid w:val="006C6D73"/>
    <w:rsid w:val="006C6EBC"/>
    <w:rsid w:val="006C71DA"/>
    <w:rsid w:val="006C7BCE"/>
    <w:rsid w:val="006C7DA7"/>
    <w:rsid w:val="006C7E54"/>
    <w:rsid w:val="006D0001"/>
    <w:rsid w:val="006D0B13"/>
    <w:rsid w:val="006D0D62"/>
    <w:rsid w:val="006D1D5F"/>
    <w:rsid w:val="006D22F6"/>
    <w:rsid w:val="006D2536"/>
    <w:rsid w:val="006D3DCF"/>
    <w:rsid w:val="006D4365"/>
    <w:rsid w:val="006D49B2"/>
    <w:rsid w:val="006D5391"/>
    <w:rsid w:val="006D5745"/>
    <w:rsid w:val="006D5A77"/>
    <w:rsid w:val="006D5C8B"/>
    <w:rsid w:val="006D5CE8"/>
    <w:rsid w:val="006D64A9"/>
    <w:rsid w:val="006D6745"/>
    <w:rsid w:val="006D6DDA"/>
    <w:rsid w:val="006D751A"/>
    <w:rsid w:val="006D7CA2"/>
    <w:rsid w:val="006E012E"/>
    <w:rsid w:val="006E0A11"/>
    <w:rsid w:val="006E109B"/>
    <w:rsid w:val="006E1763"/>
    <w:rsid w:val="006E19DF"/>
    <w:rsid w:val="006E1D58"/>
    <w:rsid w:val="006E29CD"/>
    <w:rsid w:val="006E3474"/>
    <w:rsid w:val="006E37FB"/>
    <w:rsid w:val="006E40B5"/>
    <w:rsid w:val="006E4138"/>
    <w:rsid w:val="006E416C"/>
    <w:rsid w:val="006E426D"/>
    <w:rsid w:val="006E4535"/>
    <w:rsid w:val="006E48C2"/>
    <w:rsid w:val="006E4948"/>
    <w:rsid w:val="006E4989"/>
    <w:rsid w:val="006E4BE8"/>
    <w:rsid w:val="006E4C64"/>
    <w:rsid w:val="006E4EA5"/>
    <w:rsid w:val="006E527E"/>
    <w:rsid w:val="006E59D9"/>
    <w:rsid w:val="006E5B21"/>
    <w:rsid w:val="006E61FF"/>
    <w:rsid w:val="006E628E"/>
    <w:rsid w:val="006E6300"/>
    <w:rsid w:val="006E6601"/>
    <w:rsid w:val="006E6999"/>
    <w:rsid w:val="006E6BC3"/>
    <w:rsid w:val="006E7541"/>
    <w:rsid w:val="006E7C37"/>
    <w:rsid w:val="006E7FFB"/>
    <w:rsid w:val="006F0271"/>
    <w:rsid w:val="006F0324"/>
    <w:rsid w:val="006F046E"/>
    <w:rsid w:val="006F10B4"/>
    <w:rsid w:val="006F11F1"/>
    <w:rsid w:val="006F1C7D"/>
    <w:rsid w:val="006F1E5F"/>
    <w:rsid w:val="006F2097"/>
    <w:rsid w:val="006F23EF"/>
    <w:rsid w:val="006F244B"/>
    <w:rsid w:val="006F2536"/>
    <w:rsid w:val="006F2758"/>
    <w:rsid w:val="006F2B7B"/>
    <w:rsid w:val="006F339B"/>
    <w:rsid w:val="006F344B"/>
    <w:rsid w:val="006F377F"/>
    <w:rsid w:val="006F5133"/>
    <w:rsid w:val="006F5AF1"/>
    <w:rsid w:val="006F5D27"/>
    <w:rsid w:val="006F5E4D"/>
    <w:rsid w:val="006F69FE"/>
    <w:rsid w:val="006F6C71"/>
    <w:rsid w:val="006F70D1"/>
    <w:rsid w:val="006F7177"/>
    <w:rsid w:val="006F7420"/>
    <w:rsid w:val="006F792F"/>
    <w:rsid w:val="006F7A4C"/>
    <w:rsid w:val="006F7CB9"/>
    <w:rsid w:val="006F7EB5"/>
    <w:rsid w:val="00700AA7"/>
    <w:rsid w:val="00700D16"/>
    <w:rsid w:val="00700FD0"/>
    <w:rsid w:val="007011B9"/>
    <w:rsid w:val="00702286"/>
    <w:rsid w:val="007022F3"/>
    <w:rsid w:val="0070276E"/>
    <w:rsid w:val="00702813"/>
    <w:rsid w:val="00702F7B"/>
    <w:rsid w:val="0070355C"/>
    <w:rsid w:val="007037FA"/>
    <w:rsid w:val="0070391E"/>
    <w:rsid w:val="00703D53"/>
    <w:rsid w:val="00703F5A"/>
    <w:rsid w:val="00704064"/>
    <w:rsid w:val="00704244"/>
    <w:rsid w:val="00704639"/>
    <w:rsid w:val="007049AA"/>
    <w:rsid w:val="007049B9"/>
    <w:rsid w:val="007051C4"/>
    <w:rsid w:val="007055E1"/>
    <w:rsid w:val="00705889"/>
    <w:rsid w:val="00705E35"/>
    <w:rsid w:val="00706351"/>
    <w:rsid w:val="00706447"/>
    <w:rsid w:val="007064DD"/>
    <w:rsid w:val="007064EF"/>
    <w:rsid w:val="00706694"/>
    <w:rsid w:val="00706793"/>
    <w:rsid w:val="007069EE"/>
    <w:rsid w:val="00706F56"/>
    <w:rsid w:val="0070724C"/>
    <w:rsid w:val="0070753A"/>
    <w:rsid w:val="0070754E"/>
    <w:rsid w:val="00707760"/>
    <w:rsid w:val="0070777D"/>
    <w:rsid w:val="00707AC9"/>
    <w:rsid w:val="007100CF"/>
    <w:rsid w:val="00710233"/>
    <w:rsid w:val="0071039E"/>
    <w:rsid w:val="0071048B"/>
    <w:rsid w:val="00710723"/>
    <w:rsid w:val="00710775"/>
    <w:rsid w:val="00710B76"/>
    <w:rsid w:val="007110D0"/>
    <w:rsid w:val="0071112B"/>
    <w:rsid w:val="007113B1"/>
    <w:rsid w:val="007114F8"/>
    <w:rsid w:val="0071174F"/>
    <w:rsid w:val="00711A48"/>
    <w:rsid w:val="00711A83"/>
    <w:rsid w:val="00711DEB"/>
    <w:rsid w:val="0071274E"/>
    <w:rsid w:val="00712ABA"/>
    <w:rsid w:val="00712C59"/>
    <w:rsid w:val="007136F2"/>
    <w:rsid w:val="00713BF6"/>
    <w:rsid w:val="00714164"/>
    <w:rsid w:val="0071423F"/>
    <w:rsid w:val="00714CB8"/>
    <w:rsid w:val="00714F55"/>
    <w:rsid w:val="00715386"/>
    <w:rsid w:val="00715484"/>
    <w:rsid w:val="00715C6D"/>
    <w:rsid w:val="00715C78"/>
    <w:rsid w:val="00715E34"/>
    <w:rsid w:val="007165F0"/>
    <w:rsid w:val="0071757A"/>
    <w:rsid w:val="007175A9"/>
    <w:rsid w:val="007179C4"/>
    <w:rsid w:val="00717B6A"/>
    <w:rsid w:val="00717F50"/>
    <w:rsid w:val="007200AD"/>
    <w:rsid w:val="0072138C"/>
    <w:rsid w:val="0072181C"/>
    <w:rsid w:val="00722960"/>
    <w:rsid w:val="007231F9"/>
    <w:rsid w:val="00723282"/>
    <w:rsid w:val="00723717"/>
    <w:rsid w:val="00723810"/>
    <w:rsid w:val="00723E7F"/>
    <w:rsid w:val="0072421C"/>
    <w:rsid w:val="00724354"/>
    <w:rsid w:val="007244E4"/>
    <w:rsid w:val="007245AC"/>
    <w:rsid w:val="00724A53"/>
    <w:rsid w:val="00724DBD"/>
    <w:rsid w:val="00724E38"/>
    <w:rsid w:val="00724EB9"/>
    <w:rsid w:val="0072545B"/>
    <w:rsid w:val="00725751"/>
    <w:rsid w:val="007258E7"/>
    <w:rsid w:val="00725BBD"/>
    <w:rsid w:val="00725D8C"/>
    <w:rsid w:val="00725F51"/>
    <w:rsid w:val="00726A95"/>
    <w:rsid w:val="00727340"/>
    <w:rsid w:val="00727641"/>
    <w:rsid w:val="007277F3"/>
    <w:rsid w:val="007302E4"/>
    <w:rsid w:val="00730307"/>
    <w:rsid w:val="00730449"/>
    <w:rsid w:val="007305BF"/>
    <w:rsid w:val="007308D0"/>
    <w:rsid w:val="00730DC3"/>
    <w:rsid w:val="007310A0"/>
    <w:rsid w:val="0073133F"/>
    <w:rsid w:val="00731950"/>
    <w:rsid w:val="007319A4"/>
    <w:rsid w:val="007319E2"/>
    <w:rsid w:val="00732515"/>
    <w:rsid w:val="00732B42"/>
    <w:rsid w:val="00732C07"/>
    <w:rsid w:val="00732CC2"/>
    <w:rsid w:val="0073324B"/>
    <w:rsid w:val="0073353B"/>
    <w:rsid w:val="00733D71"/>
    <w:rsid w:val="0073484D"/>
    <w:rsid w:val="00734C59"/>
    <w:rsid w:val="00734D07"/>
    <w:rsid w:val="0073501C"/>
    <w:rsid w:val="00735262"/>
    <w:rsid w:val="00735402"/>
    <w:rsid w:val="00735BEC"/>
    <w:rsid w:val="00735D6F"/>
    <w:rsid w:val="00735ECC"/>
    <w:rsid w:val="00736003"/>
    <w:rsid w:val="007363AE"/>
    <w:rsid w:val="00736578"/>
    <w:rsid w:val="0073664B"/>
    <w:rsid w:val="00736BC1"/>
    <w:rsid w:val="007370EA"/>
    <w:rsid w:val="00737243"/>
    <w:rsid w:val="007372A3"/>
    <w:rsid w:val="007373A8"/>
    <w:rsid w:val="0073784B"/>
    <w:rsid w:val="00737ACA"/>
    <w:rsid w:val="00737BF3"/>
    <w:rsid w:val="007400F6"/>
    <w:rsid w:val="007408EB"/>
    <w:rsid w:val="007409D2"/>
    <w:rsid w:val="00740B12"/>
    <w:rsid w:val="007413DF"/>
    <w:rsid w:val="007417A6"/>
    <w:rsid w:val="00741818"/>
    <w:rsid w:val="00741A9B"/>
    <w:rsid w:val="00741B1E"/>
    <w:rsid w:val="00741C97"/>
    <w:rsid w:val="007425DD"/>
    <w:rsid w:val="00742844"/>
    <w:rsid w:val="00742A02"/>
    <w:rsid w:val="00742C5F"/>
    <w:rsid w:val="00743135"/>
    <w:rsid w:val="00743151"/>
    <w:rsid w:val="007431CD"/>
    <w:rsid w:val="00743395"/>
    <w:rsid w:val="00743A73"/>
    <w:rsid w:val="00743AD1"/>
    <w:rsid w:val="00743BD9"/>
    <w:rsid w:val="00743CD5"/>
    <w:rsid w:val="00743E7F"/>
    <w:rsid w:val="007443F3"/>
    <w:rsid w:val="00744FDE"/>
    <w:rsid w:val="0074504A"/>
    <w:rsid w:val="007450CB"/>
    <w:rsid w:val="0074524C"/>
    <w:rsid w:val="00745302"/>
    <w:rsid w:val="00745677"/>
    <w:rsid w:val="007457C6"/>
    <w:rsid w:val="00745A2D"/>
    <w:rsid w:val="00745A37"/>
    <w:rsid w:val="00745C8F"/>
    <w:rsid w:val="00745C90"/>
    <w:rsid w:val="00746067"/>
    <w:rsid w:val="00746616"/>
    <w:rsid w:val="007466D5"/>
    <w:rsid w:val="00746804"/>
    <w:rsid w:val="00746A0F"/>
    <w:rsid w:val="00746F30"/>
    <w:rsid w:val="00746F81"/>
    <w:rsid w:val="00747121"/>
    <w:rsid w:val="007472F1"/>
    <w:rsid w:val="00747492"/>
    <w:rsid w:val="00747A23"/>
    <w:rsid w:val="00747EE4"/>
    <w:rsid w:val="00747FBE"/>
    <w:rsid w:val="007503BD"/>
    <w:rsid w:val="007504E9"/>
    <w:rsid w:val="0075069F"/>
    <w:rsid w:val="0075097D"/>
    <w:rsid w:val="00750AA7"/>
    <w:rsid w:val="00750C2C"/>
    <w:rsid w:val="007515E9"/>
    <w:rsid w:val="00751964"/>
    <w:rsid w:val="00751DDB"/>
    <w:rsid w:val="00752D39"/>
    <w:rsid w:val="00752E74"/>
    <w:rsid w:val="00752FA8"/>
    <w:rsid w:val="00753B47"/>
    <w:rsid w:val="00753DC6"/>
    <w:rsid w:val="00753DEB"/>
    <w:rsid w:val="00754052"/>
    <w:rsid w:val="00754DFD"/>
    <w:rsid w:val="00754F1E"/>
    <w:rsid w:val="00755601"/>
    <w:rsid w:val="00755755"/>
    <w:rsid w:val="00755EA8"/>
    <w:rsid w:val="00755F28"/>
    <w:rsid w:val="00756047"/>
    <w:rsid w:val="007562CB"/>
    <w:rsid w:val="00756444"/>
    <w:rsid w:val="00756BBC"/>
    <w:rsid w:val="00756CD0"/>
    <w:rsid w:val="00756DAB"/>
    <w:rsid w:val="007573EA"/>
    <w:rsid w:val="00757887"/>
    <w:rsid w:val="00760422"/>
    <w:rsid w:val="0076069C"/>
    <w:rsid w:val="00760822"/>
    <w:rsid w:val="00760A5A"/>
    <w:rsid w:val="00760C34"/>
    <w:rsid w:val="00760EA8"/>
    <w:rsid w:val="00760F57"/>
    <w:rsid w:val="00761236"/>
    <w:rsid w:val="00762272"/>
    <w:rsid w:val="0076243A"/>
    <w:rsid w:val="007625D6"/>
    <w:rsid w:val="007627B4"/>
    <w:rsid w:val="0076330F"/>
    <w:rsid w:val="007638AC"/>
    <w:rsid w:val="007638BC"/>
    <w:rsid w:val="00763F24"/>
    <w:rsid w:val="00763FDD"/>
    <w:rsid w:val="007644F0"/>
    <w:rsid w:val="00764520"/>
    <w:rsid w:val="0076461F"/>
    <w:rsid w:val="007649CE"/>
    <w:rsid w:val="00764CDA"/>
    <w:rsid w:val="00764DD3"/>
    <w:rsid w:val="00765185"/>
    <w:rsid w:val="00765DD9"/>
    <w:rsid w:val="007662B0"/>
    <w:rsid w:val="007662D4"/>
    <w:rsid w:val="0076663B"/>
    <w:rsid w:val="0076690A"/>
    <w:rsid w:val="00766A1D"/>
    <w:rsid w:val="00767082"/>
    <w:rsid w:val="0076795D"/>
    <w:rsid w:val="00767FC9"/>
    <w:rsid w:val="00770375"/>
    <w:rsid w:val="0077120C"/>
    <w:rsid w:val="0077131A"/>
    <w:rsid w:val="007718C6"/>
    <w:rsid w:val="00771A8B"/>
    <w:rsid w:val="00772DD5"/>
    <w:rsid w:val="007732FD"/>
    <w:rsid w:val="007733DC"/>
    <w:rsid w:val="007733EE"/>
    <w:rsid w:val="00773642"/>
    <w:rsid w:val="00773B8E"/>
    <w:rsid w:val="00774641"/>
    <w:rsid w:val="00774652"/>
    <w:rsid w:val="00774A8B"/>
    <w:rsid w:val="00774DC0"/>
    <w:rsid w:val="007750E4"/>
    <w:rsid w:val="0077521E"/>
    <w:rsid w:val="007752CB"/>
    <w:rsid w:val="00775350"/>
    <w:rsid w:val="00775662"/>
    <w:rsid w:val="007757DA"/>
    <w:rsid w:val="007758FF"/>
    <w:rsid w:val="00775C1C"/>
    <w:rsid w:val="00775E26"/>
    <w:rsid w:val="00776231"/>
    <w:rsid w:val="00776305"/>
    <w:rsid w:val="00776435"/>
    <w:rsid w:val="0077667F"/>
    <w:rsid w:val="007767C9"/>
    <w:rsid w:val="007769AA"/>
    <w:rsid w:val="00776A28"/>
    <w:rsid w:val="007770AD"/>
    <w:rsid w:val="007771DB"/>
    <w:rsid w:val="0077737C"/>
    <w:rsid w:val="00777ACB"/>
    <w:rsid w:val="00777D10"/>
    <w:rsid w:val="007802CE"/>
    <w:rsid w:val="007804FA"/>
    <w:rsid w:val="00780A39"/>
    <w:rsid w:val="00781626"/>
    <w:rsid w:val="00781633"/>
    <w:rsid w:val="00781826"/>
    <w:rsid w:val="00781AB4"/>
    <w:rsid w:val="0078248B"/>
    <w:rsid w:val="00782B72"/>
    <w:rsid w:val="007832C5"/>
    <w:rsid w:val="007836A0"/>
    <w:rsid w:val="00783D94"/>
    <w:rsid w:val="00783E12"/>
    <w:rsid w:val="007841CB"/>
    <w:rsid w:val="00784375"/>
    <w:rsid w:val="007845F6"/>
    <w:rsid w:val="00784E94"/>
    <w:rsid w:val="00785EF8"/>
    <w:rsid w:val="0078640D"/>
    <w:rsid w:val="00786838"/>
    <w:rsid w:val="00786B0F"/>
    <w:rsid w:val="00786B6A"/>
    <w:rsid w:val="00786D2A"/>
    <w:rsid w:val="00787573"/>
    <w:rsid w:val="00787E4B"/>
    <w:rsid w:val="007902AA"/>
    <w:rsid w:val="00790A4A"/>
    <w:rsid w:val="00791011"/>
    <w:rsid w:val="007913A4"/>
    <w:rsid w:val="0079160C"/>
    <w:rsid w:val="007919A5"/>
    <w:rsid w:val="00791A00"/>
    <w:rsid w:val="00791C2C"/>
    <w:rsid w:val="007927C3"/>
    <w:rsid w:val="00792807"/>
    <w:rsid w:val="0079306A"/>
    <w:rsid w:val="0079307E"/>
    <w:rsid w:val="00793332"/>
    <w:rsid w:val="00793C96"/>
    <w:rsid w:val="00793FB4"/>
    <w:rsid w:val="007942E3"/>
    <w:rsid w:val="00794380"/>
    <w:rsid w:val="00794D51"/>
    <w:rsid w:val="007955E0"/>
    <w:rsid w:val="00795C48"/>
    <w:rsid w:val="00795C8D"/>
    <w:rsid w:val="00796450"/>
    <w:rsid w:val="00796B51"/>
    <w:rsid w:val="00796B78"/>
    <w:rsid w:val="007977A1"/>
    <w:rsid w:val="00797FA7"/>
    <w:rsid w:val="007A02AA"/>
    <w:rsid w:val="007A0559"/>
    <w:rsid w:val="007A1551"/>
    <w:rsid w:val="007A16FC"/>
    <w:rsid w:val="007A1EFB"/>
    <w:rsid w:val="007A21FF"/>
    <w:rsid w:val="007A255F"/>
    <w:rsid w:val="007A2F4F"/>
    <w:rsid w:val="007A311F"/>
    <w:rsid w:val="007A3621"/>
    <w:rsid w:val="007A3A43"/>
    <w:rsid w:val="007A3C38"/>
    <w:rsid w:val="007A4705"/>
    <w:rsid w:val="007A4839"/>
    <w:rsid w:val="007A4B13"/>
    <w:rsid w:val="007A4D62"/>
    <w:rsid w:val="007A50AA"/>
    <w:rsid w:val="007A5454"/>
    <w:rsid w:val="007A567D"/>
    <w:rsid w:val="007A590B"/>
    <w:rsid w:val="007A5BA2"/>
    <w:rsid w:val="007A5BE3"/>
    <w:rsid w:val="007A5E61"/>
    <w:rsid w:val="007A659B"/>
    <w:rsid w:val="007A66E3"/>
    <w:rsid w:val="007A67BD"/>
    <w:rsid w:val="007A67F4"/>
    <w:rsid w:val="007A69CF"/>
    <w:rsid w:val="007A6AA7"/>
    <w:rsid w:val="007A6ECC"/>
    <w:rsid w:val="007A7108"/>
    <w:rsid w:val="007A77D4"/>
    <w:rsid w:val="007A7B6A"/>
    <w:rsid w:val="007B00A6"/>
    <w:rsid w:val="007B0321"/>
    <w:rsid w:val="007B0623"/>
    <w:rsid w:val="007B0EF9"/>
    <w:rsid w:val="007B19FC"/>
    <w:rsid w:val="007B1C58"/>
    <w:rsid w:val="007B1F33"/>
    <w:rsid w:val="007B20B9"/>
    <w:rsid w:val="007B24D3"/>
    <w:rsid w:val="007B25E3"/>
    <w:rsid w:val="007B27AE"/>
    <w:rsid w:val="007B32BC"/>
    <w:rsid w:val="007B3840"/>
    <w:rsid w:val="007B3A46"/>
    <w:rsid w:val="007B3B05"/>
    <w:rsid w:val="007B4BA1"/>
    <w:rsid w:val="007B4C1C"/>
    <w:rsid w:val="007B4D87"/>
    <w:rsid w:val="007B523B"/>
    <w:rsid w:val="007B54DC"/>
    <w:rsid w:val="007B5871"/>
    <w:rsid w:val="007B58BB"/>
    <w:rsid w:val="007B5F39"/>
    <w:rsid w:val="007B626F"/>
    <w:rsid w:val="007B63BD"/>
    <w:rsid w:val="007B6461"/>
    <w:rsid w:val="007B6493"/>
    <w:rsid w:val="007B660F"/>
    <w:rsid w:val="007B6685"/>
    <w:rsid w:val="007B6A0F"/>
    <w:rsid w:val="007B6EA1"/>
    <w:rsid w:val="007B6F82"/>
    <w:rsid w:val="007B6FF5"/>
    <w:rsid w:val="007B70CA"/>
    <w:rsid w:val="007B7266"/>
    <w:rsid w:val="007B76DF"/>
    <w:rsid w:val="007B7D0A"/>
    <w:rsid w:val="007C073A"/>
    <w:rsid w:val="007C07D5"/>
    <w:rsid w:val="007C0BC3"/>
    <w:rsid w:val="007C0D01"/>
    <w:rsid w:val="007C13F9"/>
    <w:rsid w:val="007C153E"/>
    <w:rsid w:val="007C184E"/>
    <w:rsid w:val="007C18E9"/>
    <w:rsid w:val="007C1DBF"/>
    <w:rsid w:val="007C224D"/>
    <w:rsid w:val="007C2729"/>
    <w:rsid w:val="007C2796"/>
    <w:rsid w:val="007C27C9"/>
    <w:rsid w:val="007C2B93"/>
    <w:rsid w:val="007C2FD4"/>
    <w:rsid w:val="007C3115"/>
    <w:rsid w:val="007C326B"/>
    <w:rsid w:val="007C3374"/>
    <w:rsid w:val="007C3498"/>
    <w:rsid w:val="007C3C1D"/>
    <w:rsid w:val="007C40CD"/>
    <w:rsid w:val="007C43BE"/>
    <w:rsid w:val="007C4444"/>
    <w:rsid w:val="007C4883"/>
    <w:rsid w:val="007C4C6A"/>
    <w:rsid w:val="007C4DAC"/>
    <w:rsid w:val="007C4DC0"/>
    <w:rsid w:val="007C506C"/>
    <w:rsid w:val="007C514F"/>
    <w:rsid w:val="007C541C"/>
    <w:rsid w:val="007C5B91"/>
    <w:rsid w:val="007C659D"/>
    <w:rsid w:val="007C66D0"/>
    <w:rsid w:val="007C6849"/>
    <w:rsid w:val="007C6D5D"/>
    <w:rsid w:val="007C6DBF"/>
    <w:rsid w:val="007C77E8"/>
    <w:rsid w:val="007C7815"/>
    <w:rsid w:val="007C7F24"/>
    <w:rsid w:val="007D0023"/>
    <w:rsid w:val="007D0350"/>
    <w:rsid w:val="007D03B0"/>
    <w:rsid w:val="007D03C4"/>
    <w:rsid w:val="007D08DF"/>
    <w:rsid w:val="007D091B"/>
    <w:rsid w:val="007D1974"/>
    <w:rsid w:val="007D1A04"/>
    <w:rsid w:val="007D25C7"/>
    <w:rsid w:val="007D2A6F"/>
    <w:rsid w:val="007D2B3A"/>
    <w:rsid w:val="007D2B3F"/>
    <w:rsid w:val="007D2B96"/>
    <w:rsid w:val="007D2EE2"/>
    <w:rsid w:val="007D3036"/>
    <w:rsid w:val="007D3249"/>
    <w:rsid w:val="007D3735"/>
    <w:rsid w:val="007D3806"/>
    <w:rsid w:val="007D3ED8"/>
    <w:rsid w:val="007D3F01"/>
    <w:rsid w:val="007D465F"/>
    <w:rsid w:val="007D47C0"/>
    <w:rsid w:val="007D4970"/>
    <w:rsid w:val="007D4A0B"/>
    <w:rsid w:val="007D54E8"/>
    <w:rsid w:val="007D5A9A"/>
    <w:rsid w:val="007D5EB7"/>
    <w:rsid w:val="007D6F4B"/>
    <w:rsid w:val="007D7089"/>
    <w:rsid w:val="007D778D"/>
    <w:rsid w:val="007D77FF"/>
    <w:rsid w:val="007D7B9E"/>
    <w:rsid w:val="007D7D6D"/>
    <w:rsid w:val="007D7FF3"/>
    <w:rsid w:val="007E01D9"/>
    <w:rsid w:val="007E0BC6"/>
    <w:rsid w:val="007E0BED"/>
    <w:rsid w:val="007E0CFD"/>
    <w:rsid w:val="007E0DCB"/>
    <w:rsid w:val="007E1344"/>
    <w:rsid w:val="007E1652"/>
    <w:rsid w:val="007E1901"/>
    <w:rsid w:val="007E1A6B"/>
    <w:rsid w:val="007E1E18"/>
    <w:rsid w:val="007E1EC2"/>
    <w:rsid w:val="007E27A7"/>
    <w:rsid w:val="007E2BF8"/>
    <w:rsid w:val="007E2D03"/>
    <w:rsid w:val="007E347E"/>
    <w:rsid w:val="007E3754"/>
    <w:rsid w:val="007E37EB"/>
    <w:rsid w:val="007E3AB0"/>
    <w:rsid w:val="007E4323"/>
    <w:rsid w:val="007E4EA3"/>
    <w:rsid w:val="007E4F93"/>
    <w:rsid w:val="007E50D5"/>
    <w:rsid w:val="007E5863"/>
    <w:rsid w:val="007E5B86"/>
    <w:rsid w:val="007E5BC8"/>
    <w:rsid w:val="007E5C34"/>
    <w:rsid w:val="007E622B"/>
    <w:rsid w:val="007E6565"/>
    <w:rsid w:val="007E6566"/>
    <w:rsid w:val="007E677D"/>
    <w:rsid w:val="007E6D4B"/>
    <w:rsid w:val="007E7276"/>
    <w:rsid w:val="007E7869"/>
    <w:rsid w:val="007E7EAA"/>
    <w:rsid w:val="007F0029"/>
    <w:rsid w:val="007F022D"/>
    <w:rsid w:val="007F02A2"/>
    <w:rsid w:val="007F0907"/>
    <w:rsid w:val="007F12D8"/>
    <w:rsid w:val="007F13D6"/>
    <w:rsid w:val="007F1C13"/>
    <w:rsid w:val="007F21C0"/>
    <w:rsid w:val="007F284F"/>
    <w:rsid w:val="007F39CC"/>
    <w:rsid w:val="007F3BE7"/>
    <w:rsid w:val="007F3BF2"/>
    <w:rsid w:val="007F3F8D"/>
    <w:rsid w:val="007F41A4"/>
    <w:rsid w:val="007F41F2"/>
    <w:rsid w:val="007F4325"/>
    <w:rsid w:val="007F4387"/>
    <w:rsid w:val="007F4392"/>
    <w:rsid w:val="007F451B"/>
    <w:rsid w:val="007F494E"/>
    <w:rsid w:val="007F4A2B"/>
    <w:rsid w:val="007F4CFC"/>
    <w:rsid w:val="007F52FE"/>
    <w:rsid w:val="007F5AEF"/>
    <w:rsid w:val="007F6294"/>
    <w:rsid w:val="007F6395"/>
    <w:rsid w:val="007F644D"/>
    <w:rsid w:val="007F67A1"/>
    <w:rsid w:val="007F67B5"/>
    <w:rsid w:val="007F687B"/>
    <w:rsid w:val="007F69C8"/>
    <w:rsid w:val="007F6FA9"/>
    <w:rsid w:val="007F712F"/>
    <w:rsid w:val="007F765B"/>
    <w:rsid w:val="007F7865"/>
    <w:rsid w:val="007F7EA7"/>
    <w:rsid w:val="007F7F0D"/>
    <w:rsid w:val="0080051B"/>
    <w:rsid w:val="00800DDF"/>
    <w:rsid w:val="00800E74"/>
    <w:rsid w:val="00801035"/>
    <w:rsid w:val="00801224"/>
    <w:rsid w:val="0080131D"/>
    <w:rsid w:val="0080145D"/>
    <w:rsid w:val="008016A7"/>
    <w:rsid w:val="008016EC"/>
    <w:rsid w:val="008016EE"/>
    <w:rsid w:val="0080170C"/>
    <w:rsid w:val="008027A4"/>
    <w:rsid w:val="00802816"/>
    <w:rsid w:val="00802941"/>
    <w:rsid w:val="00802B32"/>
    <w:rsid w:val="0080343B"/>
    <w:rsid w:val="008036BC"/>
    <w:rsid w:val="00803785"/>
    <w:rsid w:val="0080386B"/>
    <w:rsid w:val="00803D37"/>
    <w:rsid w:val="0080407F"/>
    <w:rsid w:val="00804CE5"/>
    <w:rsid w:val="00804CF5"/>
    <w:rsid w:val="00804EF2"/>
    <w:rsid w:val="00805219"/>
    <w:rsid w:val="00805324"/>
    <w:rsid w:val="0080573C"/>
    <w:rsid w:val="00805A49"/>
    <w:rsid w:val="00805C21"/>
    <w:rsid w:val="00805C74"/>
    <w:rsid w:val="00805DA6"/>
    <w:rsid w:val="00806499"/>
    <w:rsid w:val="0080654A"/>
    <w:rsid w:val="00806572"/>
    <w:rsid w:val="00806AC0"/>
    <w:rsid w:val="00806BC9"/>
    <w:rsid w:val="008071CC"/>
    <w:rsid w:val="00807ECC"/>
    <w:rsid w:val="00810758"/>
    <w:rsid w:val="00810C9A"/>
    <w:rsid w:val="008110A8"/>
    <w:rsid w:val="0081115D"/>
    <w:rsid w:val="00811591"/>
    <w:rsid w:val="00811C03"/>
    <w:rsid w:val="00812075"/>
    <w:rsid w:val="00812151"/>
    <w:rsid w:val="0081256A"/>
    <w:rsid w:val="00812939"/>
    <w:rsid w:val="00812A2F"/>
    <w:rsid w:val="00812B6D"/>
    <w:rsid w:val="008130EA"/>
    <w:rsid w:val="00813691"/>
    <w:rsid w:val="00813AB0"/>
    <w:rsid w:val="00813B5A"/>
    <w:rsid w:val="00813DC6"/>
    <w:rsid w:val="00813FB8"/>
    <w:rsid w:val="008141E6"/>
    <w:rsid w:val="008142B4"/>
    <w:rsid w:val="008145F8"/>
    <w:rsid w:val="008147C0"/>
    <w:rsid w:val="00814C22"/>
    <w:rsid w:val="00814C59"/>
    <w:rsid w:val="00814CE5"/>
    <w:rsid w:val="00814CFD"/>
    <w:rsid w:val="00814F10"/>
    <w:rsid w:val="00814FCF"/>
    <w:rsid w:val="008150CB"/>
    <w:rsid w:val="0081555C"/>
    <w:rsid w:val="0081584B"/>
    <w:rsid w:val="00815882"/>
    <w:rsid w:val="00815A06"/>
    <w:rsid w:val="00815E19"/>
    <w:rsid w:val="00815E82"/>
    <w:rsid w:val="00815F73"/>
    <w:rsid w:val="00815FED"/>
    <w:rsid w:val="00816052"/>
    <w:rsid w:val="00816531"/>
    <w:rsid w:val="008168D3"/>
    <w:rsid w:val="00817019"/>
    <w:rsid w:val="00817503"/>
    <w:rsid w:val="00817624"/>
    <w:rsid w:val="00817E6A"/>
    <w:rsid w:val="008205BD"/>
    <w:rsid w:val="0082072F"/>
    <w:rsid w:val="0082080C"/>
    <w:rsid w:val="00820A7C"/>
    <w:rsid w:val="008211FA"/>
    <w:rsid w:val="008217CD"/>
    <w:rsid w:val="00822046"/>
    <w:rsid w:val="008224D5"/>
    <w:rsid w:val="00822689"/>
    <w:rsid w:val="0082295F"/>
    <w:rsid w:val="00822A6F"/>
    <w:rsid w:val="00822AC9"/>
    <w:rsid w:val="00822B80"/>
    <w:rsid w:val="00822CB9"/>
    <w:rsid w:val="00822D05"/>
    <w:rsid w:val="00822FCB"/>
    <w:rsid w:val="008233D4"/>
    <w:rsid w:val="008237B2"/>
    <w:rsid w:val="008248E6"/>
    <w:rsid w:val="008249FE"/>
    <w:rsid w:val="0082574F"/>
    <w:rsid w:val="0082597F"/>
    <w:rsid w:val="00825A1E"/>
    <w:rsid w:val="00825E8A"/>
    <w:rsid w:val="00825F79"/>
    <w:rsid w:val="00826761"/>
    <w:rsid w:val="0082706D"/>
    <w:rsid w:val="008270AC"/>
    <w:rsid w:val="00827765"/>
    <w:rsid w:val="00827A74"/>
    <w:rsid w:val="00827B98"/>
    <w:rsid w:val="00830A09"/>
    <w:rsid w:val="00830B5E"/>
    <w:rsid w:val="00830B9B"/>
    <w:rsid w:val="00830DA1"/>
    <w:rsid w:val="00831344"/>
    <w:rsid w:val="00831E06"/>
    <w:rsid w:val="00832614"/>
    <w:rsid w:val="008329FE"/>
    <w:rsid w:val="00833690"/>
    <w:rsid w:val="00833CEF"/>
    <w:rsid w:val="008341E9"/>
    <w:rsid w:val="00834236"/>
    <w:rsid w:val="00834C65"/>
    <w:rsid w:val="00835301"/>
    <w:rsid w:val="00835727"/>
    <w:rsid w:val="00835820"/>
    <w:rsid w:val="0083683A"/>
    <w:rsid w:val="00836949"/>
    <w:rsid w:val="00836E18"/>
    <w:rsid w:val="008370F2"/>
    <w:rsid w:val="00837325"/>
    <w:rsid w:val="00837653"/>
    <w:rsid w:val="008377CF"/>
    <w:rsid w:val="008378C6"/>
    <w:rsid w:val="00837F64"/>
    <w:rsid w:val="008400C8"/>
    <w:rsid w:val="008401F7"/>
    <w:rsid w:val="0084035E"/>
    <w:rsid w:val="008403A2"/>
    <w:rsid w:val="00840675"/>
    <w:rsid w:val="00841526"/>
    <w:rsid w:val="00841847"/>
    <w:rsid w:val="008419FC"/>
    <w:rsid w:val="00841F99"/>
    <w:rsid w:val="00842342"/>
    <w:rsid w:val="00842932"/>
    <w:rsid w:val="00842CBE"/>
    <w:rsid w:val="00842F4F"/>
    <w:rsid w:val="008430AA"/>
    <w:rsid w:val="008432CA"/>
    <w:rsid w:val="0084363F"/>
    <w:rsid w:val="00843BBC"/>
    <w:rsid w:val="00843DCA"/>
    <w:rsid w:val="0084413C"/>
    <w:rsid w:val="0084447C"/>
    <w:rsid w:val="00844525"/>
    <w:rsid w:val="00844557"/>
    <w:rsid w:val="00844608"/>
    <w:rsid w:val="008449D2"/>
    <w:rsid w:val="00844A2A"/>
    <w:rsid w:val="00844DC4"/>
    <w:rsid w:val="008450C4"/>
    <w:rsid w:val="008453F5"/>
    <w:rsid w:val="00845567"/>
    <w:rsid w:val="00846234"/>
    <w:rsid w:val="008463CA"/>
    <w:rsid w:val="00846A83"/>
    <w:rsid w:val="00846C34"/>
    <w:rsid w:val="0084719A"/>
    <w:rsid w:val="00847567"/>
    <w:rsid w:val="00847A37"/>
    <w:rsid w:val="00847BF6"/>
    <w:rsid w:val="00847ED6"/>
    <w:rsid w:val="0085030C"/>
    <w:rsid w:val="008504F1"/>
    <w:rsid w:val="008504FA"/>
    <w:rsid w:val="00850A84"/>
    <w:rsid w:val="00850B1D"/>
    <w:rsid w:val="008520A7"/>
    <w:rsid w:val="00852237"/>
    <w:rsid w:val="008525E1"/>
    <w:rsid w:val="00852806"/>
    <w:rsid w:val="008529A2"/>
    <w:rsid w:val="00852B16"/>
    <w:rsid w:val="00852E2C"/>
    <w:rsid w:val="00852E52"/>
    <w:rsid w:val="008539C8"/>
    <w:rsid w:val="00853D26"/>
    <w:rsid w:val="0085436C"/>
    <w:rsid w:val="00854516"/>
    <w:rsid w:val="00854950"/>
    <w:rsid w:val="00855004"/>
    <w:rsid w:val="008555AC"/>
    <w:rsid w:val="008556A3"/>
    <w:rsid w:val="00855BFC"/>
    <w:rsid w:val="00855E94"/>
    <w:rsid w:val="00855FF6"/>
    <w:rsid w:val="00856345"/>
    <w:rsid w:val="00856453"/>
    <w:rsid w:val="0085661F"/>
    <w:rsid w:val="00856A4F"/>
    <w:rsid w:val="008570AD"/>
    <w:rsid w:val="00857A78"/>
    <w:rsid w:val="00857CA2"/>
    <w:rsid w:val="008600B0"/>
    <w:rsid w:val="00860115"/>
    <w:rsid w:val="00860199"/>
    <w:rsid w:val="008604F7"/>
    <w:rsid w:val="00860DF0"/>
    <w:rsid w:val="0086105B"/>
    <w:rsid w:val="008611B4"/>
    <w:rsid w:val="008616EA"/>
    <w:rsid w:val="00861DDF"/>
    <w:rsid w:val="0086202B"/>
    <w:rsid w:val="0086215D"/>
    <w:rsid w:val="00862729"/>
    <w:rsid w:val="008628DB"/>
    <w:rsid w:val="00863029"/>
    <w:rsid w:val="008632C0"/>
    <w:rsid w:val="00863748"/>
    <w:rsid w:val="00863AA0"/>
    <w:rsid w:val="00863C04"/>
    <w:rsid w:val="00863D48"/>
    <w:rsid w:val="00863D76"/>
    <w:rsid w:val="00863E18"/>
    <w:rsid w:val="00863ED8"/>
    <w:rsid w:val="00863FBF"/>
    <w:rsid w:val="00864258"/>
    <w:rsid w:val="00864785"/>
    <w:rsid w:val="00864800"/>
    <w:rsid w:val="008648C9"/>
    <w:rsid w:val="00864B40"/>
    <w:rsid w:val="00864BBC"/>
    <w:rsid w:val="00865111"/>
    <w:rsid w:val="00865238"/>
    <w:rsid w:val="008652AA"/>
    <w:rsid w:val="008652DA"/>
    <w:rsid w:val="0086583D"/>
    <w:rsid w:val="00865BEE"/>
    <w:rsid w:val="00865D32"/>
    <w:rsid w:val="00865DD0"/>
    <w:rsid w:val="0086600E"/>
    <w:rsid w:val="00866307"/>
    <w:rsid w:val="00866D9D"/>
    <w:rsid w:val="008674DC"/>
    <w:rsid w:val="00867605"/>
    <w:rsid w:val="008676FC"/>
    <w:rsid w:val="008677B6"/>
    <w:rsid w:val="00867874"/>
    <w:rsid w:val="00867E2D"/>
    <w:rsid w:val="008704DA"/>
    <w:rsid w:val="0087065C"/>
    <w:rsid w:val="0087137B"/>
    <w:rsid w:val="008713FD"/>
    <w:rsid w:val="00872B2F"/>
    <w:rsid w:val="00872D2F"/>
    <w:rsid w:val="00873387"/>
    <w:rsid w:val="0087345D"/>
    <w:rsid w:val="00873708"/>
    <w:rsid w:val="00874315"/>
    <w:rsid w:val="00874384"/>
    <w:rsid w:val="00874F11"/>
    <w:rsid w:val="00875D53"/>
    <w:rsid w:val="008760A2"/>
    <w:rsid w:val="0087627B"/>
    <w:rsid w:val="00876A47"/>
    <w:rsid w:val="00876B28"/>
    <w:rsid w:val="00877009"/>
    <w:rsid w:val="008772B4"/>
    <w:rsid w:val="008772FE"/>
    <w:rsid w:val="00877424"/>
    <w:rsid w:val="008774BD"/>
    <w:rsid w:val="008774C8"/>
    <w:rsid w:val="00877AFD"/>
    <w:rsid w:val="00877BA3"/>
    <w:rsid w:val="00880012"/>
    <w:rsid w:val="00880216"/>
    <w:rsid w:val="00880330"/>
    <w:rsid w:val="00880763"/>
    <w:rsid w:val="008807C1"/>
    <w:rsid w:val="00880C7F"/>
    <w:rsid w:val="00880D6A"/>
    <w:rsid w:val="00881695"/>
    <w:rsid w:val="00881737"/>
    <w:rsid w:val="00881A36"/>
    <w:rsid w:val="00881AC5"/>
    <w:rsid w:val="00882212"/>
    <w:rsid w:val="0088226A"/>
    <w:rsid w:val="0088257A"/>
    <w:rsid w:val="00882A2B"/>
    <w:rsid w:val="00882E7B"/>
    <w:rsid w:val="0088301B"/>
    <w:rsid w:val="00883592"/>
    <w:rsid w:val="00883704"/>
    <w:rsid w:val="00883752"/>
    <w:rsid w:val="00883AE6"/>
    <w:rsid w:val="00884623"/>
    <w:rsid w:val="0088465F"/>
    <w:rsid w:val="00884AC0"/>
    <w:rsid w:val="00885278"/>
    <w:rsid w:val="00885327"/>
    <w:rsid w:val="0088555F"/>
    <w:rsid w:val="008855F6"/>
    <w:rsid w:val="00885E26"/>
    <w:rsid w:val="00885ED6"/>
    <w:rsid w:val="00886507"/>
    <w:rsid w:val="00886786"/>
    <w:rsid w:val="0088686A"/>
    <w:rsid w:val="00886B02"/>
    <w:rsid w:val="00887362"/>
    <w:rsid w:val="0088745B"/>
    <w:rsid w:val="008874DC"/>
    <w:rsid w:val="0088784E"/>
    <w:rsid w:val="00887866"/>
    <w:rsid w:val="00887CEF"/>
    <w:rsid w:val="00887EE7"/>
    <w:rsid w:val="00890268"/>
    <w:rsid w:val="00890873"/>
    <w:rsid w:val="00890981"/>
    <w:rsid w:val="008909EF"/>
    <w:rsid w:val="00890AE2"/>
    <w:rsid w:val="00890F1F"/>
    <w:rsid w:val="0089136B"/>
    <w:rsid w:val="0089188B"/>
    <w:rsid w:val="00892442"/>
    <w:rsid w:val="008924C2"/>
    <w:rsid w:val="008925E1"/>
    <w:rsid w:val="00892996"/>
    <w:rsid w:val="00892E71"/>
    <w:rsid w:val="00892EA1"/>
    <w:rsid w:val="008930EC"/>
    <w:rsid w:val="00893509"/>
    <w:rsid w:val="00893829"/>
    <w:rsid w:val="00893BB6"/>
    <w:rsid w:val="00893DE7"/>
    <w:rsid w:val="00894918"/>
    <w:rsid w:val="00894F5A"/>
    <w:rsid w:val="00894FF2"/>
    <w:rsid w:val="00895047"/>
    <w:rsid w:val="00895255"/>
    <w:rsid w:val="008957AE"/>
    <w:rsid w:val="00895802"/>
    <w:rsid w:val="00895DA4"/>
    <w:rsid w:val="00896050"/>
    <w:rsid w:val="00896357"/>
    <w:rsid w:val="008964B9"/>
    <w:rsid w:val="0089695C"/>
    <w:rsid w:val="00896E0E"/>
    <w:rsid w:val="00896FF4"/>
    <w:rsid w:val="00897011"/>
    <w:rsid w:val="00897B34"/>
    <w:rsid w:val="00897C73"/>
    <w:rsid w:val="008A00FD"/>
    <w:rsid w:val="008A0168"/>
    <w:rsid w:val="008A031C"/>
    <w:rsid w:val="008A0571"/>
    <w:rsid w:val="008A065D"/>
    <w:rsid w:val="008A095E"/>
    <w:rsid w:val="008A0970"/>
    <w:rsid w:val="008A0C05"/>
    <w:rsid w:val="008A0CBF"/>
    <w:rsid w:val="008A0ECF"/>
    <w:rsid w:val="008A1390"/>
    <w:rsid w:val="008A15F0"/>
    <w:rsid w:val="008A1803"/>
    <w:rsid w:val="008A19F5"/>
    <w:rsid w:val="008A23CD"/>
    <w:rsid w:val="008A2521"/>
    <w:rsid w:val="008A280B"/>
    <w:rsid w:val="008A34AF"/>
    <w:rsid w:val="008A35B4"/>
    <w:rsid w:val="008A37FC"/>
    <w:rsid w:val="008A3AC4"/>
    <w:rsid w:val="008A40CF"/>
    <w:rsid w:val="008A40EA"/>
    <w:rsid w:val="008A4570"/>
    <w:rsid w:val="008A465E"/>
    <w:rsid w:val="008A5109"/>
    <w:rsid w:val="008A5B59"/>
    <w:rsid w:val="008A6375"/>
    <w:rsid w:val="008A63D6"/>
    <w:rsid w:val="008A6529"/>
    <w:rsid w:val="008A6667"/>
    <w:rsid w:val="008A6D6F"/>
    <w:rsid w:val="008A726E"/>
    <w:rsid w:val="008A7417"/>
    <w:rsid w:val="008A749C"/>
    <w:rsid w:val="008A7981"/>
    <w:rsid w:val="008B1161"/>
    <w:rsid w:val="008B14AF"/>
    <w:rsid w:val="008B196F"/>
    <w:rsid w:val="008B2251"/>
    <w:rsid w:val="008B235A"/>
    <w:rsid w:val="008B2841"/>
    <w:rsid w:val="008B29C4"/>
    <w:rsid w:val="008B2BB5"/>
    <w:rsid w:val="008B2EB7"/>
    <w:rsid w:val="008B30D2"/>
    <w:rsid w:val="008B3306"/>
    <w:rsid w:val="008B34EF"/>
    <w:rsid w:val="008B3804"/>
    <w:rsid w:val="008B3CC5"/>
    <w:rsid w:val="008B403A"/>
    <w:rsid w:val="008B46F8"/>
    <w:rsid w:val="008B4760"/>
    <w:rsid w:val="008B4824"/>
    <w:rsid w:val="008B4EA3"/>
    <w:rsid w:val="008B4EEF"/>
    <w:rsid w:val="008B578C"/>
    <w:rsid w:val="008B6196"/>
    <w:rsid w:val="008B65B2"/>
    <w:rsid w:val="008B692C"/>
    <w:rsid w:val="008B6C56"/>
    <w:rsid w:val="008B6C89"/>
    <w:rsid w:val="008B6CC0"/>
    <w:rsid w:val="008B77A8"/>
    <w:rsid w:val="008B7F93"/>
    <w:rsid w:val="008C04E3"/>
    <w:rsid w:val="008C059E"/>
    <w:rsid w:val="008C0642"/>
    <w:rsid w:val="008C0E32"/>
    <w:rsid w:val="008C104A"/>
    <w:rsid w:val="008C13B8"/>
    <w:rsid w:val="008C1720"/>
    <w:rsid w:val="008C174E"/>
    <w:rsid w:val="008C1A10"/>
    <w:rsid w:val="008C1A2A"/>
    <w:rsid w:val="008C1CCC"/>
    <w:rsid w:val="008C2084"/>
    <w:rsid w:val="008C20DB"/>
    <w:rsid w:val="008C23EC"/>
    <w:rsid w:val="008C25D3"/>
    <w:rsid w:val="008C260D"/>
    <w:rsid w:val="008C26F6"/>
    <w:rsid w:val="008C2946"/>
    <w:rsid w:val="008C2A5B"/>
    <w:rsid w:val="008C345F"/>
    <w:rsid w:val="008C3743"/>
    <w:rsid w:val="008C3A3C"/>
    <w:rsid w:val="008C3D41"/>
    <w:rsid w:val="008C4010"/>
    <w:rsid w:val="008C4196"/>
    <w:rsid w:val="008C459B"/>
    <w:rsid w:val="008C4B23"/>
    <w:rsid w:val="008C4E32"/>
    <w:rsid w:val="008C4F1F"/>
    <w:rsid w:val="008C52E9"/>
    <w:rsid w:val="008C53E7"/>
    <w:rsid w:val="008C56DF"/>
    <w:rsid w:val="008C59FA"/>
    <w:rsid w:val="008C5D48"/>
    <w:rsid w:val="008C5DB4"/>
    <w:rsid w:val="008C62FD"/>
    <w:rsid w:val="008C67DF"/>
    <w:rsid w:val="008C67EA"/>
    <w:rsid w:val="008C67ED"/>
    <w:rsid w:val="008C6AA1"/>
    <w:rsid w:val="008C6B38"/>
    <w:rsid w:val="008C6BDB"/>
    <w:rsid w:val="008C73A2"/>
    <w:rsid w:val="008C7F85"/>
    <w:rsid w:val="008D03FA"/>
    <w:rsid w:val="008D0495"/>
    <w:rsid w:val="008D05B8"/>
    <w:rsid w:val="008D09DC"/>
    <w:rsid w:val="008D134F"/>
    <w:rsid w:val="008D1A43"/>
    <w:rsid w:val="008D1BB2"/>
    <w:rsid w:val="008D1F01"/>
    <w:rsid w:val="008D2045"/>
    <w:rsid w:val="008D26F3"/>
    <w:rsid w:val="008D29DD"/>
    <w:rsid w:val="008D32CF"/>
    <w:rsid w:val="008D3837"/>
    <w:rsid w:val="008D38C6"/>
    <w:rsid w:val="008D38EC"/>
    <w:rsid w:val="008D3A2B"/>
    <w:rsid w:val="008D3A83"/>
    <w:rsid w:val="008D44CD"/>
    <w:rsid w:val="008D4D6D"/>
    <w:rsid w:val="008D5026"/>
    <w:rsid w:val="008D55F1"/>
    <w:rsid w:val="008D5827"/>
    <w:rsid w:val="008D5E18"/>
    <w:rsid w:val="008D6601"/>
    <w:rsid w:val="008D69FB"/>
    <w:rsid w:val="008D6D6D"/>
    <w:rsid w:val="008D7517"/>
    <w:rsid w:val="008E0237"/>
    <w:rsid w:val="008E0D7C"/>
    <w:rsid w:val="008E0DD6"/>
    <w:rsid w:val="008E0F40"/>
    <w:rsid w:val="008E16D3"/>
    <w:rsid w:val="008E177C"/>
    <w:rsid w:val="008E18C5"/>
    <w:rsid w:val="008E1D4C"/>
    <w:rsid w:val="008E1DDE"/>
    <w:rsid w:val="008E27B9"/>
    <w:rsid w:val="008E2A2E"/>
    <w:rsid w:val="008E33CA"/>
    <w:rsid w:val="008E35E0"/>
    <w:rsid w:val="008E3716"/>
    <w:rsid w:val="008E3875"/>
    <w:rsid w:val="008E3A54"/>
    <w:rsid w:val="008E3BAE"/>
    <w:rsid w:val="008E3D14"/>
    <w:rsid w:val="008E3E31"/>
    <w:rsid w:val="008E3E56"/>
    <w:rsid w:val="008E426F"/>
    <w:rsid w:val="008E4290"/>
    <w:rsid w:val="008E43B5"/>
    <w:rsid w:val="008E43BD"/>
    <w:rsid w:val="008E490F"/>
    <w:rsid w:val="008E4DA4"/>
    <w:rsid w:val="008E4F1B"/>
    <w:rsid w:val="008E51A1"/>
    <w:rsid w:val="008E53F6"/>
    <w:rsid w:val="008E5E1A"/>
    <w:rsid w:val="008E6ADB"/>
    <w:rsid w:val="008E73EF"/>
    <w:rsid w:val="008E7839"/>
    <w:rsid w:val="008E79C8"/>
    <w:rsid w:val="008E7D4C"/>
    <w:rsid w:val="008E7D51"/>
    <w:rsid w:val="008F03FA"/>
    <w:rsid w:val="008F0DB9"/>
    <w:rsid w:val="008F0F03"/>
    <w:rsid w:val="008F102B"/>
    <w:rsid w:val="008F120C"/>
    <w:rsid w:val="008F164D"/>
    <w:rsid w:val="008F225C"/>
    <w:rsid w:val="008F28F9"/>
    <w:rsid w:val="008F2B70"/>
    <w:rsid w:val="008F2BFA"/>
    <w:rsid w:val="008F2D75"/>
    <w:rsid w:val="008F2E10"/>
    <w:rsid w:val="008F3134"/>
    <w:rsid w:val="008F403B"/>
    <w:rsid w:val="008F4422"/>
    <w:rsid w:val="008F4C1D"/>
    <w:rsid w:val="008F4C8D"/>
    <w:rsid w:val="008F4CB6"/>
    <w:rsid w:val="008F4E6F"/>
    <w:rsid w:val="008F5564"/>
    <w:rsid w:val="008F5E37"/>
    <w:rsid w:val="008F6088"/>
    <w:rsid w:val="008F62C6"/>
    <w:rsid w:val="008F6482"/>
    <w:rsid w:val="008F7423"/>
    <w:rsid w:val="008F75E2"/>
    <w:rsid w:val="008F7B9C"/>
    <w:rsid w:val="008F7F9D"/>
    <w:rsid w:val="00900CD0"/>
    <w:rsid w:val="0090105F"/>
    <w:rsid w:val="009012B5"/>
    <w:rsid w:val="00901305"/>
    <w:rsid w:val="00901945"/>
    <w:rsid w:val="00901F13"/>
    <w:rsid w:val="00901FC5"/>
    <w:rsid w:val="00902011"/>
    <w:rsid w:val="00902389"/>
    <w:rsid w:val="0090247D"/>
    <w:rsid w:val="009025CF"/>
    <w:rsid w:val="00902641"/>
    <w:rsid w:val="009026CE"/>
    <w:rsid w:val="00902706"/>
    <w:rsid w:val="00902C05"/>
    <w:rsid w:val="00902C46"/>
    <w:rsid w:val="00902DE5"/>
    <w:rsid w:val="0090308F"/>
    <w:rsid w:val="009031ED"/>
    <w:rsid w:val="00903220"/>
    <w:rsid w:val="00903668"/>
    <w:rsid w:val="00903F05"/>
    <w:rsid w:val="00904728"/>
    <w:rsid w:val="0090492D"/>
    <w:rsid w:val="00904B3C"/>
    <w:rsid w:val="00904D72"/>
    <w:rsid w:val="00904FE8"/>
    <w:rsid w:val="00905285"/>
    <w:rsid w:val="00906ADC"/>
    <w:rsid w:val="00906E24"/>
    <w:rsid w:val="00906F03"/>
    <w:rsid w:val="0090721C"/>
    <w:rsid w:val="0090764F"/>
    <w:rsid w:val="00907BB3"/>
    <w:rsid w:val="00907F53"/>
    <w:rsid w:val="00910076"/>
    <w:rsid w:val="0091012C"/>
    <w:rsid w:val="0091035B"/>
    <w:rsid w:val="0091093E"/>
    <w:rsid w:val="00910A6E"/>
    <w:rsid w:val="0091114A"/>
    <w:rsid w:val="0091117F"/>
    <w:rsid w:val="00911366"/>
    <w:rsid w:val="00911811"/>
    <w:rsid w:val="00911D24"/>
    <w:rsid w:val="009122A5"/>
    <w:rsid w:val="0091252B"/>
    <w:rsid w:val="0091288C"/>
    <w:rsid w:val="009128AD"/>
    <w:rsid w:val="00912F6E"/>
    <w:rsid w:val="00912F94"/>
    <w:rsid w:val="0091309F"/>
    <w:rsid w:val="00913474"/>
    <w:rsid w:val="00913638"/>
    <w:rsid w:val="00913665"/>
    <w:rsid w:val="0091412F"/>
    <w:rsid w:val="0091450D"/>
    <w:rsid w:val="00914B15"/>
    <w:rsid w:val="00915458"/>
    <w:rsid w:val="00915542"/>
    <w:rsid w:val="00915627"/>
    <w:rsid w:val="00915C04"/>
    <w:rsid w:val="009162D5"/>
    <w:rsid w:val="009164A4"/>
    <w:rsid w:val="0091655C"/>
    <w:rsid w:val="009168BB"/>
    <w:rsid w:val="0091701C"/>
    <w:rsid w:val="009171F6"/>
    <w:rsid w:val="009177A9"/>
    <w:rsid w:val="00917A57"/>
    <w:rsid w:val="0092017D"/>
    <w:rsid w:val="00920205"/>
    <w:rsid w:val="00920AB6"/>
    <w:rsid w:val="00920EC3"/>
    <w:rsid w:val="00920F44"/>
    <w:rsid w:val="009210BA"/>
    <w:rsid w:val="009219D8"/>
    <w:rsid w:val="00921E11"/>
    <w:rsid w:val="00922230"/>
    <w:rsid w:val="00922300"/>
    <w:rsid w:val="00923101"/>
    <w:rsid w:val="009231D8"/>
    <w:rsid w:val="00923225"/>
    <w:rsid w:val="00923A28"/>
    <w:rsid w:val="0092434E"/>
    <w:rsid w:val="00924369"/>
    <w:rsid w:val="00924A20"/>
    <w:rsid w:val="00924B41"/>
    <w:rsid w:val="00924B50"/>
    <w:rsid w:val="00925017"/>
    <w:rsid w:val="00925282"/>
    <w:rsid w:val="0092547A"/>
    <w:rsid w:val="0092557C"/>
    <w:rsid w:val="009259E6"/>
    <w:rsid w:val="009260AB"/>
    <w:rsid w:val="0092682B"/>
    <w:rsid w:val="00926DEB"/>
    <w:rsid w:val="00926DF6"/>
    <w:rsid w:val="009276BA"/>
    <w:rsid w:val="00927C99"/>
    <w:rsid w:val="009300D9"/>
    <w:rsid w:val="009309B3"/>
    <w:rsid w:val="009309E9"/>
    <w:rsid w:val="00930A27"/>
    <w:rsid w:val="00931216"/>
    <w:rsid w:val="00931501"/>
    <w:rsid w:val="00931571"/>
    <w:rsid w:val="00931739"/>
    <w:rsid w:val="00931758"/>
    <w:rsid w:val="00931AE8"/>
    <w:rsid w:val="00931E3C"/>
    <w:rsid w:val="00931F5F"/>
    <w:rsid w:val="0093218A"/>
    <w:rsid w:val="00932349"/>
    <w:rsid w:val="0093248A"/>
    <w:rsid w:val="0093257D"/>
    <w:rsid w:val="00932DD0"/>
    <w:rsid w:val="00932E25"/>
    <w:rsid w:val="00933AF9"/>
    <w:rsid w:val="00933DD6"/>
    <w:rsid w:val="0093412F"/>
    <w:rsid w:val="00934F38"/>
    <w:rsid w:val="00934FD6"/>
    <w:rsid w:val="0093512E"/>
    <w:rsid w:val="009352EE"/>
    <w:rsid w:val="00935CFB"/>
    <w:rsid w:val="009363A7"/>
    <w:rsid w:val="00936496"/>
    <w:rsid w:val="00936980"/>
    <w:rsid w:val="00936999"/>
    <w:rsid w:val="00936BAE"/>
    <w:rsid w:val="00936C7E"/>
    <w:rsid w:val="0093727A"/>
    <w:rsid w:val="0093736E"/>
    <w:rsid w:val="009377E7"/>
    <w:rsid w:val="00940410"/>
    <w:rsid w:val="00940558"/>
    <w:rsid w:val="009406AD"/>
    <w:rsid w:val="00940734"/>
    <w:rsid w:val="00940BF9"/>
    <w:rsid w:val="00941029"/>
    <w:rsid w:val="009412F5"/>
    <w:rsid w:val="0094160C"/>
    <w:rsid w:val="0094162E"/>
    <w:rsid w:val="00941DE4"/>
    <w:rsid w:val="0094216E"/>
    <w:rsid w:val="0094219F"/>
    <w:rsid w:val="009421C0"/>
    <w:rsid w:val="00942237"/>
    <w:rsid w:val="0094241E"/>
    <w:rsid w:val="00942A6E"/>
    <w:rsid w:val="00942CC0"/>
    <w:rsid w:val="009430C6"/>
    <w:rsid w:val="00943289"/>
    <w:rsid w:val="00943793"/>
    <w:rsid w:val="00943F2C"/>
    <w:rsid w:val="00944404"/>
    <w:rsid w:val="009444A7"/>
    <w:rsid w:val="009445A8"/>
    <w:rsid w:val="00944A8A"/>
    <w:rsid w:val="00945009"/>
    <w:rsid w:val="0094500D"/>
    <w:rsid w:val="0094526D"/>
    <w:rsid w:val="009456FC"/>
    <w:rsid w:val="009459AD"/>
    <w:rsid w:val="00945CD7"/>
    <w:rsid w:val="00945ECB"/>
    <w:rsid w:val="00946214"/>
    <w:rsid w:val="00946525"/>
    <w:rsid w:val="0094684F"/>
    <w:rsid w:val="009469D9"/>
    <w:rsid w:val="00946A6D"/>
    <w:rsid w:val="00946ABC"/>
    <w:rsid w:val="00946D31"/>
    <w:rsid w:val="00946FDA"/>
    <w:rsid w:val="0094715D"/>
    <w:rsid w:val="009473B0"/>
    <w:rsid w:val="00947757"/>
    <w:rsid w:val="009479E1"/>
    <w:rsid w:val="00947A4B"/>
    <w:rsid w:val="009504A6"/>
    <w:rsid w:val="00950990"/>
    <w:rsid w:val="009510A5"/>
    <w:rsid w:val="009512B1"/>
    <w:rsid w:val="00951513"/>
    <w:rsid w:val="00951594"/>
    <w:rsid w:val="0095197A"/>
    <w:rsid w:val="009522F2"/>
    <w:rsid w:val="0095266C"/>
    <w:rsid w:val="009527B2"/>
    <w:rsid w:val="00952FFC"/>
    <w:rsid w:val="0095342B"/>
    <w:rsid w:val="00953BF4"/>
    <w:rsid w:val="00953D48"/>
    <w:rsid w:val="00953EC0"/>
    <w:rsid w:val="00953FA4"/>
    <w:rsid w:val="0095440E"/>
    <w:rsid w:val="0095451D"/>
    <w:rsid w:val="0095460B"/>
    <w:rsid w:val="00954815"/>
    <w:rsid w:val="00954C91"/>
    <w:rsid w:val="00954DD2"/>
    <w:rsid w:val="0095513B"/>
    <w:rsid w:val="00955453"/>
    <w:rsid w:val="00956097"/>
    <w:rsid w:val="00956219"/>
    <w:rsid w:val="00956307"/>
    <w:rsid w:val="009565D7"/>
    <w:rsid w:val="00956B03"/>
    <w:rsid w:val="00956CE1"/>
    <w:rsid w:val="00956D22"/>
    <w:rsid w:val="00956F30"/>
    <w:rsid w:val="0095731E"/>
    <w:rsid w:val="0095784C"/>
    <w:rsid w:val="00957EF0"/>
    <w:rsid w:val="009607F5"/>
    <w:rsid w:val="00960BCE"/>
    <w:rsid w:val="009611F2"/>
    <w:rsid w:val="00961540"/>
    <w:rsid w:val="009619C6"/>
    <w:rsid w:val="009621D3"/>
    <w:rsid w:val="009626B0"/>
    <w:rsid w:val="00962D43"/>
    <w:rsid w:val="00962E11"/>
    <w:rsid w:val="00963DE3"/>
    <w:rsid w:val="009641BB"/>
    <w:rsid w:val="009648C1"/>
    <w:rsid w:val="009648D7"/>
    <w:rsid w:val="009648FC"/>
    <w:rsid w:val="00964B47"/>
    <w:rsid w:val="0096511C"/>
    <w:rsid w:val="00965422"/>
    <w:rsid w:val="009654D2"/>
    <w:rsid w:val="00965577"/>
    <w:rsid w:val="009656E8"/>
    <w:rsid w:val="0096593E"/>
    <w:rsid w:val="00965A91"/>
    <w:rsid w:val="00965CDD"/>
    <w:rsid w:val="009661F8"/>
    <w:rsid w:val="00966438"/>
    <w:rsid w:val="009666E9"/>
    <w:rsid w:val="00966C18"/>
    <w:rsid w:val="00966E6E"/>
    <w:rsid w:val="0096729C"/>
    <w:rsid w:val="00967630"/>
    <w:rsid w:val="00967D7B"/>
    <w:rsid w:val="009702CD"/>
    <w:rsid w:val="00970F03"/>
    <w:rsid w:val="00970F60"/>
    <w:rsid w:val="00970F8D"/>
    <w:rsid w:val="009714B4"/>
    <w:rsid w:val="009714F6"/>
    <w:rsid w:val="00971986"/>
    <w:rsid w:val="00971A21"/>
    <w:rsid w:val="0097211E"/>
    <w:rsid w:val="00972A10"/>
    <w:rsid w:val="00972B56"/>
    <w:rsid w:val="00972C1A"/>
    <w:rsid w:val="00974395"/>
    <w:rsid w:val="009747D4"/>
    <w:rsid w:val="00974960"/>
    <w:rsid w:val="009751AC"/>
    <w:rsid w:val="009753A1"/>
    <w:rsid w:val="00975FF6"/>
    <w:rsid w:val="00976012"/>
    <w:rsid w:val="0097606A"/>
    <w:rsid w:val="0097610C"/>
    <w:rsid w:val="00976290"/>
    <w:rsid w:val="00976294"/>
    <w:rsid w:val="00976CCD"/>
    <w:rsid w:val="00977888"/>
    <w:rsid w:val="009779D4"/>
    <w:rsid w:val="00977DC1"/>
    <w:rsid w:val="00977E41"/>
    <w:rsid w:val="009807CE"/>
    <w:rsid w:val="009809A0"/>
    <w:rsid w:val="00980A18"/>
    <w:rsid w:val="00980A6D"/>
    <w:rsid w:val="00980CEB"/>
    <w:rsid w:val="00981277"/>
    <w:rsid w:val="009813C7"/>
    <w:rsid w:val="0098211F"/>
    <w:rsid w:val="00982165"/>
    <w:rsid w:val="00982244"/>
    <w:rsid w:val="0098253D"/>
    <w:rsid w:val="00982A2E"/>
    <w:rsid w:val="00983481"/>
    <w:rsid w:val="009836AD"/>
    <w:rsid w:val="009837FA"/>
    <w:rsid w:val="00984626"/>
    <w:rsid w:val="00984791"/>
    <w:rsid w:val="0098486F"/>
    <w:rsid w:val="00984CB6"/>
    <w:rsid w:val="0098546B"/>
    <w:rsid w:val="0098554D"/>
    <w:rsid w:val="0098570C"/>
    <w:rsid w:val="0098574A"/>
    <w:rsid w:val="00985E8D"/>
    <w:rsid w:val="00986405"/>
    <w:rsid w:val="0098679F"/>
    <w:rsid w:val="0098722A"/>
    <w:rsid w:val="0098734D"/>
    <w:rsid w:val="009873A8"/>
    <w:rsid w:val="00987482"/>
    <w:rsid w:val="00987A80"/>
    <w:rsid w:val="00987BD9"/>
    <w:rsid w:val="00987D74"/>
    <w:rsid w:val="009904DB"/>
    <w:rsid w:val="00990ECC"/>
    <w:rsid w:val="0099146A"/>
    <w:rsid w:val="009914CE"/>
    <w:rsid w:val="00991814"/>
    <w:rsid w:val="00991C0F"/>
    <w:rsid w:val="00991D73"/>
    <w:rsid w:val="00991D80"/>
    <w:rsid w:val="009920EC"/>
    <w:rsid w:val="00992389"/>
    <w:rsid w:val="0099294D"/>
    <w:rsid w:val="00992CBA"/>
    <w:rsid w:val="00992EC2"/>
    <w:rsid w:val="009931D5"/>
    <w:rsid w:val="009934B1"/>
    <w:rsid w:val="009936DF"/>
    <w:rsid w:val="00993B44"/>
    <w:rsid w:val="009941A0"/>
    <w:rsid w:val="0099423F"/>
    <w:rsid w:val="009946AB"/>
    <w:rsid w:val="00994741"/>
    <w:rsid w:val="009947CC"/>
    <w:rsid w:val="00994CE1"/>
    <w:rsid w:val="00994CE5"/>
    <w:rsid w:val="00994E51"/>
    <w:rsid w:val="0099526D"/>
    <w:rsid w:val="00995417"/>
    <w:rsid w:val="00995570"/>
    <w:rsid w:val="009959F8"/>
    <w:rsid w:val="00995C54"/>
    <w:rsid w:val="00995DAA"/>
    <w:rsid w:val="00995E19"/>
    <w:rsid w:val="00995E4F"/>
    <w:rsid w:val="00996780"/>
    <w:rsid w:val="00996B03"/>
    <w:rsid w:val="00996C8B"/>
    <w:rsid w:val="00996D55"/>
    <w:rsid w:val="00996E57"/>
    <w:rsid w:val="00996E94"/>
    <w:rsid w:val="00996FC2"/>
    <w:rsid w:val="009970F4"/>
    <w:rsid w:val="00997158"/>
    <w:rsid w:val="0099749D"/>
    <w:rsid w:val="009976F2"/>
    <w:rsid w:val="00997CAF"/>
    <w:rsid w:val="009A01AF"/>
    <w:rsid w:val="009A08C4"/>
    <w:rsid w:val="009A0C3B"/>
    <w:rsid w:val="009A0D72"/>
    <w:rsid w:val="009A0D85"/>
    <w:rsid w:val="009A1214"/>
    <w:rsid w:val="009A151B"/>
    <w:rsid w:val="009A15CA"/>
    <w:rsid w:val="009A1DAD"/>
    <w:rsid w:val="009A206C"/>
    <w:rsid w:val="009A22CE"/>
    <w:rsid w:val="009A2949"/>
    <w:rsid w:val="009A2B6A"/>
    <w:rsid w:val="009A2D56"/>
    <w:rsid w:val="009A3015"/>
    <w:rsid w:val="009A352C"/>
    <w:rsid w:val="009A3699"/>
    <w:rsid w:val="009A37A8"/>
    <w:rsid w:val="009A3B7E"/>
    <w:rsid w:val="009A3C60"/>
    <w:rsid w:val="009A4BA6"/>
    <w:rsid w:val="009A4F55"/>
    <w:rsid w:val="009A5019"/>
    <w:rsid w:val="009A5228"/>
    <w:rsid w:val="009A595F"/>
    <w:rsid w:val="009A5999"/>
    <w:rsid w:val="009A5CB1"/>
    <w:rsid w:val="009A5DB7"/>
    <w:rsid w:val="009A5F25"/>
    <w:rsid w:val="009A5F46"/>
    <w:rsid w:val="009A60BF"/>
    <w:rsid w:val="009A69C7"/>
    <w:rsid w:val="009A7374"/>
    <w:rsid w:val="009A761C"/>
    <w:rsid w:val="009A7954"/>
    <w:rsid w:val="009B0394"/>
    <w:rsid w:val="009B0B90"/>
    <w:rsid w:val="009B1341"/>
    <w:rsid w:val="009B1CAC"/>
    <w:rsid w:val="009B21C2"/>
    <w:rsid w:val="009B250A"/>
    <w:rsid w:val="009B2AAF"/>
    <w:rsid w:val="009B2C77"/>
    <w:rsid w:val="009B2FB0"/>
    <w:rsid w:val="009B319C"/>
    <w:rsid w:val="009B381C"/>
    <w:rsid w:val="009B3D40"/>
    <w:rsid w:val="009B3E79"/>
    <w:rsid w:val="009B3F4A"/>
    <w:rsid w:val="009B45F8"/>
    <w:rsid w:val="009B4779"/>
    <w:rsid w:val="009B493B"/>
    <w:rsid w:val="009B5056"/>
    <w:rsid w:val="009B5482"/>
    <w:rsid w:val="009B5966"/>
    <w:rsid w:val="009B5A45"/>
    <w:rsid w:val="009B5DB2"/>
    <w:rsid w:val="009B5ED4"/>
    <w:rsid w:val="009B6324"/>
    <w:rsid w:val="009B64BC"/>
    <w:rsid w:val="009B65D1"/>
    <w:rsid w:val="009B678B"/>
    <w:rsid w:val="009B6E2A"/>
    <w:rsid w:val="009B7031"/>
    <w:rsid w:val="009B70E9"/>
    <w:rsid w:val="009B7A88"/>
    <w:rsid w:val="009C00BD"/>
    <w:rsid w:val="009C06A4"/>
    <w:rsid w:val="009C0AAB"/>
    <w:rsid w:val="009C0AFE"/>
    <w:rsid w:val="009C14F4"/>
    <w:rsid w:val="009C1B56"/>
    <w:rsid w:val="009C1DBE"/>
    <w:rsid w:val="009C1E85"/>
    <w:rsid w:val="009C1EAC"/>
    <w:rsid w:val="009C1F95"/>
    <w:rsid w:val="009C2230"/>
    <w:rsid w:val="009C2253"/>
    <w:rsid w:val="009C28F8"/>
    <w:rsid w:val="009C2AAA"/>
    <w:rsid w:val="009C2E44"/>
    <w:rsid w:val="009C31A2"/>
    <w:rsid w:val="009C35D3"/>
    <w:rsid w:val="009C35F1"/>
    <w:rsid w:val="009C36D5"/>
    <w:rsid w:val="009C38EC"/>
    <w:rsid w:val="009C39E0"/>
    <w:rsid w:val="009C3E62"/>
    <w:rsid w:val="009C4B80"/>
    <w:rsid w:val="009C4C90"/>
    <w:rsid w:val="009C4EB1"/>
    <w:rsid w:val="009C531A"/>
    <w:rsid w:val="009C57F7"/>
    <w:rsid w:val="009C5845"/>
    <w:rsid w:val="009C5C9D"/>
    <w:rsid w:val="009C633D"/>
    <w:rsid w:val="009C6729"/>
    <w:rsid w:val="009C7152"/>
    <w:rsid w:val="009C733F"/>
    <w:rsid w:val="009C735D"/>
    <w:rsid w:val="009C7EC9"/>
    <w:rsid w:val="009C7F6E"/>
    <w:rsid w:val="009D0ADC"/>
    <w:rsid w:val="009D0C93"/>
    <w:rsid w:val="009D0F7B"/>
    <w:rsid w:val="009D10BB"/>
    <w:rsid w:val="009D116F"/>
    <w:rsid w:val="009D16D9"/>
    <w:rsid w:val="009D1F99"/>
    <w:rsid w:val="009D1FA0"/>
    <w:rsid w:val="009D2427"/>
    <w:rsid w:val="009D25D2"/>
    <w:rsid w:val="009D27FA"/>
    <w:rsid w:val="009D28BF"/>
    <w:rsid w:val="009D2BAB"/>
    <w:rsid w:val="009D2F49"/>
    <w:rsid w:val="009D3050"/>
    <w:rsid w:val="009D362C"/>
    <w:rsid w:val="009D41BB"/>
    <w:rsid w:val="009D4340"/>
    <w:rsid w:val="009D4670"/>
    <w:rsid w:val="009D4F11"/>
    <w:rsid w:val="009D5014"/>
    <w:rsid w:val="009D551F"/>
    <w:rsid w:val="009D578B"/>
    <w:rsid w:val="009D5DBA"/>
    <w:rsid w:val="009D5EE0"/>
    <w:rsid w:val="009D6307"/>
    <w:rsid w:val="009D656B"/>
    <w:rsid w:val="009D67C9"/>
    <w:rsid w:val="009D6954"/>
    <w:rsid w:val="009D6FCE"/>
    <w:rsid w:val="009D7117"/>
    <w:rsid w:val="009D724D"/>
    <w:rsid w:val="009D7844"/>
    <w:rsid w:val="009D7E55"/>
    <w:rsid w:val="009E0343"/>
    <w:rsid w:val="009E0A0B"/>
    <w:rsid w:val="009E0A22"/>
    <w:rsid w:val="009E0E74"/>
    <w:rsid w:val="009E0FFE"/>
    <w:rsid w:val="009E12BD"/>
    <w:rsid w:val="009E1309"/>
    <w:rsid w:val="009E1647"/>
    <w:rsid w:val="009E2231"/>
    <w:rsid w:val="009E2B22"/>
    <w:rsid w:val="009E3415"/>
    <w:rsid w:val="009E38FB"/>
    <w:rsid w:val="009E3B98"/>
    <w:rsid w:val="009E3E2B"/>
    <w:rsid w:val="009E46DB"/>
    <w:rsid w:val="009E4EBA"/>
    <w:rsid w:val="009E5155"/>
    <w:rsid w:val="009E518A"/>
    <w:rsid w:val="009E51CE"/>
    <w:rsid w:val="009E5781"/>
    <w:rsid w:val="009E5C67"/>
    <w:rsid w:val="009E6220"/>
    <w:rsid w:val="009E6315"/>
    <w:rsid w:val="009E6699"/>
    <w:rsid w:val="009E6D16"/>
    <w:rsid w:val="009E6EC5"/>
    <w:rsid w:val="009E71E0"/>
    <w:rsid w:val="009E7783"/>
    <w:rsid w:val="009E77F4"/>
    <w:rsid w:val="009E7A65"/>
    <w:rsid w:val="009E7A66"/>
    <w:rsid w:val="009E7EC1"/>
    <w:rsid w:val="009E7F35"/>
    <w:rsid w:val="009F028F"/>
    <w:rsid w:val="009F045B"/>
    <w:rsid w:val="009F0F79"/>
    <w:rsid w:val="009F1078"/>
    <w:rsid w:val="009F1224"/>
    <w:rsid w:val="009F1519"/>
    <w:rsid w:val="009F18B8"/>
    <w:rsid w:val="009F1A74"/>
    <w:rsid w:val="009F1B62"/>
    <w:rsid w:val="009F1C4B"/>
    <w:rsid w:val="009F1D24"/>
    <w:rsid w:val="009F1D8C"/>
    <w:rsid w:val="009F2C49"/>
    <w:rsid w:val="009F3237"/>
    <w:rsid w:val="009F3460"/>
    <w:rsid w:val="009F36E2"/>
    <w:rsid w:val="009F37C7"/>
    <w:rsid w:val="009F397A"/>
    <w:rsid w:val="009F3CD8"/>
    <w:rsid w:val="009F3DF4"/>
    <w:rsid w:val="009F4068"/>
    <w:rsid w:val="009F4B0C"/>
    <w:rsid w:val="009F55DE"/>
    <w:rsid w:val="009F5703"/>
    <w:rsid w:val="009F5816"/>
    <w:rsid w:val="009F64F6"/>
    <w:rsid w:val="009F712C"/>
    <w:rsid w:val="009F7486"/>
    <w:rsid w:val="009F761D"/>
    <w:rsid w:val="009F7C21"/>
    <w:rsid w:val="009F7C96"/>
    <w:rsid w:val="00A00500"/>
    <w:rsid w:val="00A00947"/>
    <w:rsid w:val="00A0094B"/>
    <w:rsid w:val="00A00B13"/>
    <w:rsid w:val="00A00E62"/>
    <w:rsid w:val="00A00EA0"/>
    <w:rsid w:val="00A01658"/>
    <w:rsid w:val="00A02372"/>
    <w:rsid w:val="00A0279F"/>
    <w:rsid w:val="00A02CF1"/>
    <w:rsid w:val="00A02D0F"/>
    <w:rsid w:val="00A0386F"/>
    <w:rsid w:val="00A03A8C"/>
    <w:rsid w:val="00A04B59"/>
    <w:rsid w:val="00A04BAE"/>
    <w:rsid w:val="00A04D47"/>
    <w:rsid w:val="00A05104"/>
    <w:rsid w:val="00A05399"/>
    <w:rsid w:val="00A05A30"/>
    <w:rsid w:val="00A05E2C"/>
    <w:rsid w:val="00A0647E"/>
    <w:rsid w:val="00A069B7"/>
    <w:rsid w:val="00A06BF5"/>
    <w:rsid w:val="00A06E44"/>
    <w:rsid w:val="00A071F6"/>
    <w:rsid w:val="00A07423"/>
    <w:rsid w:val="00A07450"/>
    <w:rsid w:val="00A07622"/>
    <w:rsid w:val="00A07F62"/>
    <w:rsid w:val="00A10430"/>
    <w:rsid w:val="00A10893"/>
    <w:rsid w:val="00A10DD8"/>
    <w:rsid w:val="00A10EB7"/>
    <w:rsid w:val="00A1119A"/>
    <w:rsid w:val="00A11260"/>
    <w:rsid w:val="00A115C8"/>
    <w:rsid w:val="00A11FB6"/>
    <w:rsid w:val="00A11FEB"/>
    <w:rsid w:val="00A12026"/>
    <w:rsid w:val="00A12435"/>
    <w:rsid w:val="00A126E1"/>
    <w:rsid w:val="00A1298C"/>
    <w:rsid w:val="00A12A1E"/>
    <w:rsid w:val="00A13650"/>
    <w:rsid w:val="00A13795"/>
    <w:rsid w:val="00A140AD"/>
    <w:rsid w:val="00A1481D"/>
    <w:rsid w:val="00A14BD1"/>
    <w:rsid w:val="00A14E6C"/>
    <w:rsid w:val="00A14F5A"/>
    <w:rsid w:val="00A1537E"/>
    <w:rsid w:val="00A15390"/>
    <w:rsid w:val="00A1560E"/>
    <w:rsid w:val="00A15916"/>
    <w:rsid w:val="00A159FD"/>
    <w:rsid w:val="00A15A7B"/>
    <w:rsid w:val="00A1623A"/>
    <w:rsid w:val="00A165BC"/>
    <w:rsid w:val="00A167C8"/>
    <w:rsid w:val="00A16A79"/>
    <w:rsid w:val="00A16D2B"/>
    <w:rsid w:val="00A17749"/>
    <w:rsid w:val="00A17CB1"/>
    <w:rsid w:val="00A17FBB"/>
    <w:rsid w:val="00A17FE3"/>
    <w:rsid w:val="00A20312"/>
    <w:rsid w:val="00A206DA"/>
    <w:rsid w:val="00A21485"/>
    <w:rsid w:val="00A21761"/>
    <w:rsid w:val="00A217B5"/>
    <w:rsid w:val="00A21A91"/>
    <w:rsid w:val="00A21ADF"/>
    <w:rsid w:val="00A22205"/>
    <w:rsid w:val="00A2238A"/>
    <w:rsid w:val="00A225ED"/>
    <w:rsid w:val="00A22901"/>
    <w:rsid w:val="00A22E51"/>
    <w:rsid w:val="00A235AA"/>
    <w:rsid w:val="00A236F2"/>
    <w:rsid w:val="00A23A8F"/>
    <w:rsid w:val="00A23B48"/>
    <w:rsid w:val="00A240FF"/>
    <w:rsid w:val="00A24E42"/>
    <w:rsid w:val="00A24F97"/>
    <w:rsid w:val="00A25139"/>
    <w:rsid w:val="00A2557B"/>
    <w:rsid w:val="00A268EE"/>
    <w:rsid w:val="00A26AA2"/>
    <w:rsid w:val="00A26D7F"/>
    <w:rsid w:val="00A26D82"/>
    <w:rsid w:val="00A27112"/>
    <w:rsid w:val="00A27462"/>
    <w:rsid w:val="00A27548"/>
    <w:rsid w:val="00A27905"/>
    <w:rsid w:val="00A27C27"/>
    <w:rsid w:val="00A27C4D"/>
    <w:rsid w:val="00A30876"/>
    <w:rsid w:val="00A313A4"/>
    <w:rsid w:val="00A315A7"/>
    <w:rsid w:val="00A315C5"/>
    <w:rsid w:val="00A31A6F"/>
    <w:rsid w:val="00A321FE"/>
    <w:rsid w:val="00A322F2"/>
    <w:rsid w:val="00A32498"/>
    <w:rsid w:val="00A32954"/>
    <w:rsid w:val="00A330F9"/>
    <w:rsid w:val="00A33584"/>
    <w:rsid w:val="00A33812"/>
    <w:rsid w:val="00A33CC3"/>
    <w:rsid w:val="00A34397"/>
    <w:rsid w:val="00A345A1"/>
    <w:rsid w:val="00A34799"/>
    <w:rsid w:val="00A34824"/>
    <w:rsid w:val="00A34AA5"/>
    <w:rsid w:val="00A34D30"/>
    <w:rsid w:val="00A3530F"/>
    <w:rsid w:val="00A354F4"/>
    <w:rsid w:val="00A35864"/>
    <w:rsid w:val="00A3699E"/>
    <w:rsid w:val="00A369D2"/>
    <w:rsid w:val="00A36CE1"/>
    <w:rsid w:val="00A36FA4"/>
    <w:rsid w:val="00A370D8"/>
    <w:rsid w:val="00A37779"/>
    <w:rsid w:val="00A37AFB"/>
    <w:rsid w:val="00A37B63"/>
    <w:rsid w:val="00A37C7F"/>
    <w:rsid w:val="00A37DBB"/>
    <w:rsid w:val="00A4057C"/>
    <w:rsid w:val="00A40AFF"/>
    <w:rsid w:val="00A40BA2"/>
    <w:rsid w:val="00A4105A"/>
    <w:rsid w:val="00A410FA"/>
    <w:rsid w:val="00A417E5"/>
    <w:rsid w:val="00A4195A"/>
    <w:rsid w:val="00A41D08"/>
    <w:rsid w:val="00A41D21"/>
    <w:rsid w:val="00A41EA0"/>
    <w:rsid w:val="00A42034"/>
    <w:rsid w:val="00A42571"/>
    <w:rsid w:val="00A425E6"/>
    <w:rsid w:val="00A429B6"/>
    <w:rsid w:val="00A43030"/>
    <w:rsid w:val="00A4383C"/>
    <w:rsid w:val="00A438B7"/>
    <w:rsid w:val="00A43A47"/>
    <w:rsid w:val="00A43F1B"/>
    <w:rsid w:val="00A441D8"/>
    <w:rsid w:val="00A445C6"/>
    <w:rsid w:val="00A447C5"/>
    <w:rsid w:val="00A448A0"/>
    <w:rsid w:val="00A44D6A"/>
    <w:rsid w:val="00A450B8"/>
    <w:rsid w:val="00A4510C"/>
    <w:rsid w:val="00A45175"/>
    <w:rsid w:val="00A45788"/>
    <w:rsid w:val="00A4582E"/>
    <w:rsid w:val="00A45AFE"/>
    <w:rsid w:val="00A45D7A"/>
    <w:rsid w:val="00A45FC6"/>
    <w:rsid w:val="00A46085"/>
    <w:rsid w:val="00A461C9"/>
    <w:rsid w:val="00A46520"/>
    <w:rsid w:val="00A4679B"/>
    <w:rsid w:val="00A4718C"/>
    <w:rsid w:val="00A475DA"/>
    <w:rsid w:val="00A478A8"/>
    <w:rsid w:val="00A47E57"/>
    <w:rsid w:val="00A50119"/>
    <w:rsid w:val="00A502A9"/>
    <w:rsid w:val="00A50385"/>
    <w:rsid w:val="00A5054B"/>
    <w:rsid w:val="00A51380"/>
    <w:rsid w:val="00A515BD"/>
    <w:rsid w:val="00A51765"/>
    <w:rsid w:val="00A5179D"/>
    <w:rsid w:val="00A519DE"/>
    <w:rsid w:val="00A51B18"/>
    <w:rsid w:val="00A51C3C"/>
    <w:rsid w:val="00A51E72"/>
    <w:rsid w:val="00A528F6"/>
    <w:rsid w:val="00A52B9D"/>
    <w:rsid w:val="00A52BFE"/>
    <w:rsid w:val="00A52D91"/>
    <w:rsid w:val="00A52F30"/>
    <w:rsid w:val="00A53184"/>
    <w:rsid w:val="00A537A1"/>
    <w:rsid w:val="00A5397E"/>
    <w:rsid w:val="00A53F6F"/>
    <w:rsid w:val="00A541E7"/>
    <w:rsid w:val="00A5494A"/>
    <w:rsid w:val="00A55299"/>
    <w:rsid w:val="00A558C0"/>
    <w:rsid w:val="00A56155"/>
    <w:rsid w:val="00A56323"/>
    <w:rsid w:val="00A56B70"/>
    <w:rsid w:val="00A56B73"/>
    <w:rsid w:val="00A57466"/>
    <w:rsid w:val="00A574C2"/>
    <w:rsid w:val="00A575A9"/>
    <w:rsid w:val="00A57640"/>
    <w:rsid w:val="00A6072B"/>
    <w:rsid w:val="00A60949"/>
    <w:rsid w:val="00A60B9C"/>
    <w:rsid w:val="00A60CDA"/>
    <w:rsid w:val="00A60EA7"/>
    <w:rsid w:val="00A60EFC"/>
    <w:rsid w:val="00A61222"/>
    <w:rsid w:val="00A6158D"/>
    <w:rsid w:val="00A6180D"/>
    <w:rsid w:val="00A62208"/>
    <w:rsid w:val="00A622BD"/>
    <w:rsid w:val="00A625EE"/>
    <w:rsid w:val="00A62600"/>
    <w:rsid w:val="00A62716"/>
    <w:rsid w:val="00A62EB6"/>
    <w:rsid w:val="00A62F3A"/>
    <w:rsid w:val="00A63D19"/>
    <w:rsid w:val="00A6400B"/>
    <w:rsid w:val="00A6417B"/>
    <w:rsid w:val="00A64379"/>
    <w:rsid w:val="00A64845"/>
    <w:rsid w:val="00A64E24"/>
    <w:rsid w:val="00A64ECF"/>
    <w:rsid w:val="00A65042"/>
    <w:rsid w:val="00A659C9"/>
    <w:rsid w:val="00A667D5"/>
    <w:rsid w:val="00A66CC1"/>
    <w:rsid w:val="00A66DC4"/>
    <w:rsid w:val="00A673AB"/>
    <w:rsid w:val="00A67411"/>
    <w:rsid w:val="00A67A7B"/>
    <w:rsid w:val="00A67AE5"/>
    <w:rsid w:val="00A67CE8"/>
    <w:rsid w:val="00A709E4"/>
    <w:rsid w:val="00A70A9D"/>
    <w:rsid w:val="00A70C69"/>
    <w:rsid w:val="00A71040"/>
    <w:rsid w:val="00A710D4"/>
    <w:rsid w:val="00A713E2"/>
    <w:rsid w:val="00A714AB"/>
    <w:rsid w:val="00A71FB7"/>
    <w:rsid w:val="00A72099"/>
    <w:rsid w:val="00A7242F"/>
    <w:rsid w:val="00A729E4"/>
    <w:rsid w:val="00A72AC0"/>
    <w:rsid w:val="00A72ACB"/>
    <w:rsid w:val="00A72D81"/>
    <w:rsid w:val="00A72DAD"/>
    <w:rsid w:val="00A732F9"/>
    <w:rsid w:val="00A736D6"/>
    <w:rsid w:val="00A7431D"/>
    <w:rsid w:val="00A74415"/>
    <w:rsid w:val="00A746C6"/>
    <w:rsid w:val="00A74996"/>
    <w:rsid w:val="00A74CBE"/>
    <w:rsid w:val="00A74D08"/>
    <w:rsid w:val="00A74F20"/>
    <w:rsid w:val="00A7538C"/>
    <w:rsid w:val="00A75581"/>
    <w:rsid w:val="00A7558D"/>
    <w:rsid w:val="00A75A60"/>
    <w:rsid w:val="00A75D31"/>
    <w:rsid w:val="00A767EA"/>
    <w:rsid w:val="00A769BA"/>
    <w:rsid w:val="00A771C1"/>
    <w:rsid w:val="00A775E2"/>
    <w:rsid w:val="00A77B07"/>
    <w:rsid w:val="00A80123"/>
    <w:rsid w:val="00A8045B"/>
    <w:rsid w:val="00A80976"/>
    <w:rsid w:val="00A80C53"/>
    <w:rsid w:val="00A80CE1"/>
    <w:rsid w:val="00A80D35"/>
    <w:rsid w:val="00A80DAE"/>
    <w:rsid w:val="00A81028"/>
    <w:rsid w:val="00A8106F"/>
    <w:rsid w:val="00A810E6"/>
    <w:rsid w:val="00A823BD"/>
    <w:rsid w:val="00A82A73"/>
    <w:rsid w:val="00A82AC1"/>
    <w:rsid w:val="00A82AE5"/>
    <w:rsid w:val="00A82D84"/>
    <w:rsid w:val="00A82EDF"/>
    <w:rsid w:val="00A8320D"/>
    <w:rsid w:val="00A838AC"/>
    <w:rsid w:val="00A83A7F"/>
    <w:rsid w:val="00A83C0E"/>
    <w:rsid w:val="00A840F0"/>
    <w:rsid w:val="00A842C9"/>
    <w:rsid w:val="00A8471B"/>
    <w:rsid w:val="00A84BF6"/>
    <w:rsid w:val="00A84DA0"/>
    <w:rsid w:val="00A84DF4"/>
    <w:rsid w:val="00A84E67"/>
    <w:rsid w:val="00A84F51"/>
    <w:rsid w:val="00A851DA"/>
    <w:rsid w:val="00A854A2"/>
    <w:rsid w:val="00A85814"/>
    <w:rsid w:val="00A85FCC"/>
    <w:rsid w:val="00A860E2"/>
    <w:rsid w:val="00A86748"/>
    <w:rsid w:val="00A86F3B"/>
    <w:rsid w:val="00A8712B"/>
    <w:rsid w:val="00A87232"/>
    <w:rsid w:val="00A874AD"/>
    <w:rsid w:val="00A878A2"/>
    <w:rsid w:val="00A87A54"/>
    <w:rsid w:val="00A87D73"/>
    <w:rsid w:val="00A87E12"/>
    <w:rsid w:val="00A90055"/>
    <w:rsid w:val="00A901C3"/>
    <w:rsid w:val="00A90A9A"/>
    <w:rsid w:val="00A9111D"/>
    <w:rsid w:val="00A91355"/>
    <w:rsid w:val="00A914EB"/>
    <w:rsid w:val="00A91A89"/>
    <w:rsid w:val="00A91FE7"/>
    <w:rsid w:val="00A922AD"/>
    <w:rsid w:val="00A923D5"/>
    <w:rsid w:val="00A925F7"/>
    <w:rsid w:val="00A92E95"/>
    <w:rsid w:val="00A92FE5"/>
    <w:rsid w:val="00A93144"/>
    <w:rsid w:val="00A936F5"/>
    <w:rsid w:val="00A93790"/>
    <w:rsid w:val="00A93F8F"/>
    <w:rsid w:val="00A9433C"/>
    <w:rsid w:val="00A9446A"/>
    <w:rsid w:val="00A94829"/>
    <w:rsid w:val="00A94A19"/>
    <w:rsid w:val="00A94C96"/>
    <w:rsid w:val="00A94F4E"/>
    <w:rsid w:val="00A951FE"/>
    <w:rsid w:val="00A958E7"/>
    <w:rsid w:val="00A9604B"/>
    <w:rsid w:val="00A963BA"/>
    <w:rsid w:val="00A96467"/>
    <w:rsid w:val="00A96613"/>
    <w:rsid w:val="00A9671F"/>
    <w:rsid w:val="00A96A20"/>
    <w:rsid w:val="00A96E0F"/>
    <w:rsid w:val="00A9793B"/>
    <w:rsid w:val="00A97CC9"/>
    <w:rsid w:val="00AA034A"/>
    <w:rsid w:val="00AA0517"/>
    <w:rsid w:val="00AA06CF"/>
    <w:rsid w:val="00AA07C6"/>
    <w:rsid w:val="00AA0B3B"/>
    <w:rsid w:val="00AA170B"/>
    <w:rsid w:val="00AA1754"/>
    <w:rsid w:val="00AA1CF3"/>
    <w:rsid w:val="00AA1FC7"/>
    <w:rsid w:val="00AA2554"/>
    <w:rsid w:val="00AA2900"/>
    <w:rsid w:val="00AA2957"/>
    <w:rsid w:val="00AA2C92"/>
    <w:rsid w:val="00AA2DAA"/>
    <w:rsid w:val="00AA2FB8"/>
    <w:rsid w:val="00AA301B"/>
    <w:rsid w:val="00AA3A06"/>
    <w:rsid w:val="00AA3BC4"/>
    <w:rsid w:val="00AA3F42"/>
    <w:rsid w:val="00AA4275"/>
    <w:rsid w:val="00AA553E"/>
    <w:rsid w:val="00AA5622"/>
    <w:rsid w:val="00AA5992"/>
    <w:rsid w:val="00AA5B9D"/>
    <w:rsid w:val="00AA5E55"/>
    <w:rsid w:val="00AA6986"/>
    <w:rsid w:val="00AA6AD9"/>
    <w:rsid w:val="00AA7428"/>
    <w:rsid w:val="00AA7986"/>
    <w:rsid w:val="00AA7D69"/>
    <w:rsid w:val="00AA7F40"/>
    <w:rsid w:val="00AB004E"/>
    <w:rsid w:val="00AB008F"/>
    <w:rsid w:val="00AB0980"/>
    <w:rsid w:val="00AB12AE"/>
    <w:rsid w:val="00AB15EB"/>
    <w:rsid w:val="00AB1A44"/>
    <w:rsid w:val="00AB1FA4"/>
    <w:rsid w:val="00AB215C"/>
    <w:rsid w:val="00AB234F"/>
    <w:rsid w:val="00AB255A"/>
    <w:rsid w:val="00AB2EC4"/>
    <w:rsid w:val="00AB2F29"/>
    <w:rsid w:val="00AB2F48"/>
    <w:rsid w:val="00AB2F5F"/>
    <w:rsid w:val="00AB3D98"/>
    <w:rsid w:val="00AB4147"/>
    <w:rsid w:val="00AB494E"/>
    <w:rsid w:val="00AB49E5"/>
    <w:rsid w:val="00AB4AB0"/>
    <w:rsid w:val="00AB4DD5"/>
    <w:rsid w:val="00AB5368"/>
    <w:rsid w:val="00AB53B0"/>
    <w:rsid w:val="00AB57FD"/>
    <w:rsid w:val="00AB5D92"/>
    <w:rsid w:val="00AB6B2A"/>
    <w:rsid w:val="00AB6CBE"/>
    <w:rsid w:val="00AB718C"/>
    <w:rsid w:val="00AB7876"/>
    <w:rsid w:val="00AB795D"/>
    <w:rsid w:val="00AB7D7C"/>
    <w:rsid w:val="00AB7EBE"/>
    <w:rsid w:val="00AC0328"/>
    <w:rsid w:val="00AC09A9"/>
    <w:rsid w:val="00AC0CA1"/>
    <w:rsid w:val="00AC100E"/>
    <w:rsid w:val="00AC1B25"/>
    <w:rsid w:val="00AC23E2"/>
    <w:rsid w:val="00AC2860"/>
    <w:rsid w:val="00AC2B12"/>
    <w:rsid w:val="00AC2B4C"/>
    <w:rsid w:val="00AC2C89"/>
    <w:rsid w:val="00AC2E55"/>
    <w:rsid w:val="00AC2FC1"/>
    <w:rsid w:val="00AC39C4"/>
    <w:rsid w:val="00AC3B6E"/>
    <w:rsid w:val="00AC3EF1"/>
    <w:rsid w:val="00AC4243"/>
    <w:rsid w:val="00AC4607"/>
    <w:rsid w:val="00AC4633"/>
    <w:rsid w:val="00AC4864"/>
    <w:rsid w:val="00AC4A75"/>
    <w:rsid w:val="00AC4B34"/>
    <w:rsid w:val="00AC58FC"/>
    <w:rsid w:val="00AC5986"/>
    <w:rsid w:val="00AC5A40"/>
    <w:rsid w:val="00AC5F27"/>
    <w:rsid w:val="00AC6396"/>
    <w:rsid w:val="00AC67DC"/>
    <w:rsid w:val="00AC6F7F"/>
    <w:rsid w:val="00AC6F97"/>
    <w:rsid w:val="00AC743C"/>
    <w:rsid w:val="00AC7A2F"/>
    <w:rsid w:val="00AC7AC1"/>
    <w:rsid w:val="00AC7F6A"/>
    <w:rsid w:val="00AD0045"/>
    <w:rsid w:val="00AD01C3"/>
    <w:rsid w:val="00AD06C7"/>
    <w:rsid w:val="00AD0D24"/>
    <w:rsid w:val="00AD13CF"/>
    <w:rsid w:val="00AD17F8"/>
    <w:rsid w:val="00AD18AE"/>
    <w:rsid w:val="00AD19E2"/>
    <w:rsid w:val="00AD214C"/>
    <w:rsid w:val="00AD276A"/>
    <w:rsid w:val="00AD27BF"/>
    <w:rsid w:val="00AD2BEF"/>
    <w:rsid w:val="00AD2BF1"/>
    <w:rsid w:val="00AD2C36"/>
    <w:rsid w:val="00AD2D29"/>
    <w:rsid w:val="00AD2DF0"/>
    <w:rsid w:val="00AD2E32"/>
    <w:rsid w:val="00AD2E9B"/>
    <w:rsid w:val="00AD320A"/>
    <w:rsid w:val="00AD3221"/>
    <w:rsid w:val="00AD3B48"/>
    <w:rsid w:val="00AD3CB6"/>
    <w:rsid w:val="00AD3DE5"/>
    <w:rsid w:val="00AD40BD"/>
    <w:rsid w:val="00AD41ED"/>
    <w:rsid w:val="00AD4568"/>
    <w:rsid w:val="00AD45E7"/>
    <w:rsid w:val="00AD47AA"/>
    <w:rsid w:val="00AD485B"/>
    <w:rsid w:val="00AD4938"/>
    <w:rsid w:val="00AD4CF8"/>
    <w:rsid w:val="00AD54B2"/>
    <w:rsid w:val="00AD5CEA"/>
    <w:rsid w:val="00AD5D02"/>
    <w:rsid w:val="00AD5D6E"/>
    <w:rsid w:val="00AD68CD"/>
    <w:rsid w:val="00AD7423"/>
    <w:rsid w:val="00AD743D"/>
    <w:rsid w:val="00AD76CD"/>
    <w:rsid w:val="00AD77B0"/>
    <w:rsid w:val="00AD7C98"/>
    <w:rsid w:val="00AD7F13"/>
    <w:rsid w:val="00AE034E"/>
    <w:rsid w:val="00AE039A"/>
    <w:rsid w:val="00AE06CD"/>
    <w:rsid w:val="00AE0A33"/>
    <w:rsid w:val="00AE0BD4"/>
    <w:rsid w:val="00AE0C53"/>
    <w:rsid w:val="00AE108D"/>
    <w:rsid w:val="00AE1397"/>
    <w:rsid w:val="00AE1875"/>
    <w:rsid w:val="00AE1C80"/>
    <w:rsid w:val="00AE1E2D"/>
    <w:rsid w:val="00AE205D"/>
    <w:rsid w:val="00AE2223"/>
    <w:rsid w:val="00AE2461"/>
    <w:rsid w:val="00AE2527"/>
    <w:rsid w:val="00AE2705"/>
    <w:rsid w:val="00AE2708"/>
    <w:rsid w:val="00AE2E5C"/>
    <w:rsid w:val="00AE3FE0"/>
    <w:rsid w:val="00AE46B7"/>
    <w:rsid w:val="00AE4A2D"/>
    <w:rsid w:val="00AE4E1C"/>
    <w:rsid w:val="00AE56BD"/>
    <w:rsid w:val="00AE5857"/>
    <w:rsid w:val="00AE5B30"/>
    <w:rsid w:val="00AE5D12"/>
    <w:rsid w:val="00AE6024"/>
    <w:rsid w:val="00AE6217"/>
    <w:rsid w:val="00AE64C2"/>
    <w:rsid w:val="00AE6A9B"/>
    <w:rsid w:val="00AE6D2D"/>
    <w:rsid w:val="00AE73E1"/>
    <w:rsid w:val="00AE749B"/>
    <w:rsid w:val="00AE7540"/>
    <w:rsid w:val="00AE7652"/>
    <w:rsid w:val="00AE77CA"/>
    <w:rsid w:val="00AE7B1D"/>
    <w:rsid w:val="00AF0229"/>
    <w:rsid w:val="00AF10F4"/>
    <w:rsid w:val="00AF1C28"/>
    <w:rsid w:val="00AF20F6"/>
    <w:rsid w:val="00AF29E3"/>
    <w:rsid w:val="00AF2CD1"/>
    <w:rsid w:val="00AF320C"/>
    <w:rsid w:val="00AF36BE"/>
    <w:rsid w:val="00AF36DC"/>
    <w:rsid w:val="00AF3DC4"/>
    <w:rsid w:val="00AF4C3D"/>
    <w:rsid w:val="00AF4D47"/>
    <w:rsid w:val="00AF5353"/>
    <w:rsid w:val="00AF54D9"/>
    <w:rsid w:val="00AF580C"/>
    <w:rsid w:val="00AF5857"/>
    <w:rsid w:val="00AF588A"/>
    <w:rsid w:val="00AF5E10"/>
    <w:rsid w:val="00AF6629"/>
    <w:rsid w:val="00AF6EA7"/>
    <w:rsid w:val="00AF6F7A"/>
    <w:rsid w:val="00AF7645"/>
    <w:rsid w:val="00AF77A0"/>
    <w:rsid w:val="00AF7857"/>
    <w:rsid w:val="00AF7AA4"/>
    <w:rsid w:val="00AF7ACA"/>
    <w:rsid w:val="00B00443"/>
    <w:rsid w:val="00B0050E"/>
    <w:rsid w:val="00B0092F"/>
    <w:rsid w:val="00B00D42"/>
    <w:rsid w:val="00B0103C"/>
    <w:rsid w:val="00B01A77"/>
    <w:rsid w:val="00B01CD2"/>
    <w:rsid w:val="00B0245D"/>
    <w:rsid w:val="00B02A3B"/>
    <w:rsid w:val="00B030AA"/>
    <w:rsid w:val="00B03542"/>
    <w:rsid w:val="00B03569"/>
    <w:rsid w:val="00B03776"/>
    <w:rsid w:val="00B03C00"/>
    <w:rsid w:val="00B04100"/>
    <w:rsid w:val="00B04699"/>
    <w:rsid w:val="00B047FD"/>
    <w:rsid w:val="00B04976"/>
    <w:rsid w:val="00B049BA"/>
    <w:rsid w:val="00B04E89"/>
    <w:rsid w:val="00B04E92"/>
    <w:rsid w:val="00B05007"/>
    <w:rsid w:val="00B0535A"/>
    <w:rsid w:val="00B0555B"/>
    <w:rsid w:val="00B05841"/>
    <w:rsid w:val="00B059BF"/>
    <w:rsid w:val="00B05B0D"/>
    <w:rsid w:val="00B0610E"/>
    <w:rsid w:val="00B065A0"/>
    <w:rsid w:val="00B067EB"/>
    <w:rsid w:val="00B06E66"/>
    <w:rsid w:val="00B0709C"/>
    <w:rsid w:val="00B07BFC"/>
    <w:rsid w:val="00B07DDB"/>
    <w:rsid w:val="00B1093B"/>
    <w:rsid w:val="00B10F25"/>
    <w:rsid w:val="00B1188F"/>
    <w:rsid w:val="00B11D14"/>
    <w:rsid w:val="00B11EE3"/>
    <w:rsid w:val="00B12544"/>
    <w:rsid w:val="00B129AE"/>
    <w:rsid w:val="00B12CA6"/>
    <w:rsid w:val="00B131DE"/>
    <w:rsid w:val="00B13936"/>
    <w:rsid w:val="00B13E06"/>
    <w:rsid w:val="00B14DDD"/>
    <w:rsid w:val="00B14EB8"/>
    <w:rsid w:val="00B15257"/>
    <w:rsid w:val="00B15271"/>
    <w:rsid w:val="00B153ED"/>
    <w:rsid w:val="00B15608"/>
    <w:rsid w:val="00B15A12"/>
    <w:rsid w:val="00B15B00"/>
    <w:rsid w:val="00B15B19"/>
    <w:rsid w:val="00B15EAA"/>
    <w:rsid w:val="00B161DE"/>
    <w:rsid w:val="00B163B3"/>
    <w:rsid w:val="00B16AC5"/>
    <w:rsid w:val="00B1731F"/>
    <w:rsid w:val="00B177E6"/>
    <w:rsid w:val="00B17A1C"/>
    <w:rsid w:val="00B17B30"/>
    <w:rsid w:val="00B17BF9"/>
    <w:rsid w:val="00B17C03"/>
    <w:rsid w:val="00B17C3B"/>
    <w:rsid w:val="00B17E50"/>
    <w:rsid w:val="00B2009F"/>
    <w:rsid w:val="00B2031F"/>
    <w:rsid w:val="00B20885"/>
    <w:rsid w:val="00B209EB"/>
    <w:rsid w:val="00B20A5B"/>
    <w:rsid w:val="00B20B6F"/>
    <w:rsid w:val="00B20E5F"/>
    <w:rsid w:val="00B20F07"/>
    <w:rsid w:val="00B211FA"/>
    <w:rsid w:val="00B21614"/>
    <w:rsid w:val="00B21629"/>
    <w:rsid w:val="00B21A27"/>
    <w:rsid w:val="00B22041"/>
    <w:rsid w:val="00B22434"/>
    <w:rsid w:val="00B22865"/>
    <w:rsid w:val="00B22B4C"/>
    <w:rsid w:val="00B22B79"/>
    <w:rsid w:val="00B22D1B"/>
    <w:rsid w:val="00B23060"/>
    <w:rsid w:val="00B231C5"/>
    <w:rsid w:val="00B2334D"/>
    <w:rsid w:val="00B23628"/>
    <w:rsid w:val="00B239D6"/>
    <w:rsid w:val="00B23EBF"/>
    <w:rsid w:val="00B23ECB"/>
    <w:rsid w:val="00B2451C"/>
    <w:rsid w:val="00B24654"/>
    <w:rsid w:val="00B24DAF"/>
    <w:rsid w:val="00B24EC8"/>
    <w:rsid w:val="00B250BC"/>
    <w:rsid w:val="00B25279"/>
    <w:rsid w:val="00B253BF"/>
    <w:rsid w:val="00B25499"/>
    <w:rsid w:val="00B25E7F"/>
    <w:rsid w:val="00B26369"/>
    <w:rsid w:val="00B26526"/>
    <w:rsid w:val="00B2699C"/>
    <w:rsid w:val="00B26B4E"/>
    <w:rsid w:val="00B26BA3"/>
    <w:rsid w:val="00B26F1E"/>
    <w:rsid w:val="00B27226"/>
    <w:rsid w:val="00B27410"/>
    <w:rsid w:val="00B27ACB"/>
    <w:rsid w:val="00B27DF2"/>
    <w:rsid w:val="00B303E9"/>
    <w:rsid w:val="00B306DD"/>
    <w:rsid w:val="00B30A1E"/>
    <w:rsid w:val="00B30A69"/>
    <w:rsid w:val="00B30B20"/>
    <w:rsid w:val="00B30D9F"/>
    <w:rsid w:val="00B30ED6"/>
    <w:rsid w:val="00B310EC"/>
    <w:rsid w:val="00B3113C"/>
    <w:rsid w:val="00B316BD"/>
    <w:rsid w:val="00B317E1"/>
    <w:rsid w:val="00B31B51"/>
    <w:rsid w:val="00B3248B"/>
    <w:rsid w:val="00B32C13"/>
    <w:rsid w:val="00B3305A"/>
    <w:rsid w:val="00B33282"/>
    <w:rsid w:val="00B332FF"/>
    <w:rsid w:val="00B33F2E"/>
    <w:rsid w:val="00B340BA"/>
    <w:rsid w:val="00B341FC"/>
    <w:rsid w:val="00B344B4"/>
    <w:rsid w:val="00B34733"/>
    <w:rsid w:val="00B34D92"/>
    <w:rsid w:val="00B35399"/>
    <w:rsid w:val="00B353A0"/>
    <w:rsid w:val="00B355A2"/>
    <w:rsid w:val="00B355A4"/>
    <w:rsid w:val="00B35A0D"/>
    <w:rsid w:val="00B35BC7"/>
    <w:rsid w:val="00B35EA2"/>
    <w:rsid w:val="00B35F3C"/>
    <w:rsid w:val="00B35FFF"/>
    <w:rsid w:val="00B360BB"/>
    <w:rsid w:val="00B3624A"/>
    <w:rsid w:val="00B36330"/>
    <w:rsid w:val="00B36581"/>
    <w:rsid w:val="00B36652"/>
    <w:rsid w:val="00B36674"/>
    <w:rsid w:val="00B36D31"/>
    <w:rsid w:val="00B36EF3"/>
    <w:rsid w:val="00B371D5"/>
    <w:rsid w:val="00B3723F"/>
    <w:rsid w:val="00B37629"/>
    <w:rsid w:val="00B37868"/>
    <w:rsid w:val="00B401B0"/>
    <w:rsid w:val="00B4033C"/>
    <w:rsid w:val="00B40B08"/>
    <w:rsid w:val="00B40C2D"/>
    <w:rsid w:val="00B4103F"/>
    <w:rsid w:val="00B417A9"/>
    <w:rsid w:val="00B4201C"/>
    <w:rsid w:val="00B42484"/>
    <w:rsid w:val="00B42523"/>
    <w:rsid w:val="00B426E1"/>
    <w:rsid w:val="00B42852"/>
    <w:rsid w:val="00B429BA"/>
    <w:rsid w:val="00B42D36"/>
    <w:rsid w:val="00B42EA2"/>
    <w:rsid w:val="00B43507"/>
    <w:rsid w:val="00B43616"/>
    <w:rsid w:val="00B43F2F"/>
    <w:rsid w:val="00B4404C"/>
    <w:rsid w:val="00B44230"/>
    <w:rsid w:val="00B44481"/>
    <w:rsid w:val="00B44A24"/>
    <w:rsid w:val="00B44BE1"/>
    <w:rsid w:val="00B44BEA"/>
    <w:rsid w:val="00B44CD7"/>
    <w:rsid w:val="00B44E1C"/>
    <w:rsid w:val="00B44E50"/>
    <w:rsid w:val="00B458BB"/>
    <w:rsid w:val="00B45AF7"/>
    <w:rsid w:val="00B45C79"/>
    <w:rsid w:val="00B45D19"/>
    <w:rsid w:val="00B462D9"/>
    <w:rsid w:val="00B467BD"/>
    <w:rsid w:val="00B46A04"/>
    <w:rsid w:val="00B46B15"/>
    <w:rsid w:val="00B470C1"/>
    <w:rsid w:val="00B470CA"/>
    <w:rsid w:val="00B4791D"/>
    <w:rsid w:val="00B502C8"/>
    <w:rsid w:val="00B5035E"/>
    <w:rsid w:val="00B5039E"/>
    <w:rsid w:val="00B506F3"/>
    <w:rsid w:val="00B517B3"/>
    <w:rsid w:val="00B51ADF"/>
    <w:rsid w:val="00B51C06"/>
    <w:rsid w:val="00B51C0E"/>
    <w:rsid w:val="00B521D9"/>
    <w:rsid w:val="00B523AA"/>
    <w:rsid w:val="00B52676"/>
    <w:rsid w:val="00B52BA2"/>
    <w:rsid w:val="00B52ECD"/>
    <w:rsid w:val="00B531B2"/>
    <w:rsid w:val="00B532FD"/>
    <w:rsid w:val="00B53525"/>
    <w:rsid w:val="00B53551"/>
    <w:rsid w:val="00B535A6"/>
    <w:rsid w:val="00B545B6"/>
    <w:rsid w:val="00B55005"/>
    <w:rsid w:val="00B553BE"/>
    <w:rsid w:val="00B555F4"/>
    <w:rsid w:val="00B559D1"/>
    <w:rsid w:val="00B55D88"/>
    <w:rsid w:val="00B5610B"/>
    <w:rsid w:val="00B561D0"/>
    <w:rsid w:val="00B5638F"/>
    <w:rsid w:val="00B564C6"/>
    <w:rsid w:val="00B56830"/>
    <w:rsid w:val="00B568E3"/>
    <w:rsid w:val="00B5697A"/>
    <w:rsid w:val="00B56A92"/>
    <w:rsid w:val="00B56C9D"/>
    <w:rsid w:val="00B5727E"/>
    <w:rsid w:val="00B574DF"/>
    <w:rsid w:val="00B5779C"/>
    <w:rsid w:val="00B57A3D"/>
    <w:rsid w:val="00B57FDE"/>
    <w:rsid w:val="00B600C4"/>
    <w:rsid w:val="00B60133"/>
    <w:rsid w:val="00B60327"/>
    <w:rsid w:val="00B60384"/>
    <w:rsid w:val="00B604DC"/>
    <w:rsid w:val="00B607C4"/>
    <w:rsid w:val="00B609FA"/>
    <w:rsid w:val="00B60F32"/>
    <w:rsid w:val="00B61024"/>
    <w:rsid w:val="00B610FC"/>
    <w:rsid w:val="00B614F5"/>
    <w:rsid w:val="00B62337"/>
    <w:rsid w:val="00B62509"/>
    <w:rsid w:val="00B628FB"/>
    <w:rsid w:val="00B62EA2"/>
    <w:rsid w:val="00B632BD"/>
    <w:rsid w:val="00B63371"/>
    <w:rsid w:val="00B636CD"/>
    <w:rsid w:val="00B637F2"/>
    <w:rsid w:val="00B63D15"/>
    <w:rsid w:val="00B63F64"/>
    <w:rsid w:val="00B643DE"/>
    <w:rsid w:val="00B6462A"/>
    <w:rsid w:val="00B64974"/>
    <w:rsid w:val="00B64D08"/>
    <w:rsid w:val="00B654D9"/>
    <w:rsid w:val="00B6592F"/>
    <w:rsid w:val="00B659A0"/>
    <w:rsid w:val="00B65C96"/>
    <w:rsid w:val="00B65CC6"/>
    <w:rsid w:val="00B660A2"/>
    <w:rsid w:val="00B66295"/>
    <w:rsid w:val="00B66DD1"/>
    <w:rsid w:val="00B6706A"/>
    <w:rsid w:val="00B670BA"/>
    <w:rsid w:val="00B670D7"/>
    <w:rsid w:val="00B6711F"/>
    <w:rsid w:val="00B672BD"/>
    <w:rsid w:val="00B67415"/>
    <w:rsid w:val="00B6792A"/>
    <w:rsid w:val="00B679C1"/>
    <w:rsid w:val="00B67DB1"/>
    <w:rsid w:val="00B70216"/>
    <w:rsid w:val="00B70765"/>
    <w:rsid w:val="00B70AC2"/>
    <w:rsid w:val="00B70D11"/>
    <w:rsid w:val="00B70D4E"/>
    <w:rsid w:val="00B70D7D"/>
    <w:rsid w:val="00B71872"/>
    <w:rsid w:val="00B71A9E"/>
    <w:rsid w:val="00B71BE4"/>
    <w:rsid w:val="00B727F1"/>
    <w:rsid w:val="00B7280F"/>
    <w:rsid w:val="00B72D0F"/>
    <w:rsid w:val="00B72D4C"/>
    <w:rsid w:val="00B72D7B"/>
    <w:rsid w:val="00B72DE1"/>
    <w:rsid w:val="00B73473"/>
    <w:rsid w:val="00B7348D"/>
    <w:rsid w:val="00B7366F"/>
    <w:rsid w:val="00B736A3"/>
    <w:rsid w:val="00B73706"/>
    <w:rsid w:val="00B73738"/>
    <w:rsid w:val="00B742A8"/>
    <w:rsid w:val="00B746E7"/>
    <w:rsid w:val="00B74792"/>
    <w:rsid w:val="00B7498F"/>
    <w:rsid w:val="00B74EDB"/>
    <w:rsid w:val="00B75134"/>
    <w:rsid w:val="00B754C1"/>
    <w:rsid w:val="00B75856"/>
    <w:rsid w:val="00B75E72"/>
    <w:rsid w:val="00B76158"/>
    <w:rsid w:val="00B766FF"/>
    <w:rsid w:val="00B76B6D"/>
    <w:rsid w:val="00B76EEA"/>
    <w:rsid w:val="00B770CE"/>
    <w:rsid w:val="00B7710E"/>
    <w:rsid w:val="00B7772D"/>
    <w:rsid w:val="00B7784A"/>
    <w:rsid w:val="00B80424"/>
    <w:rsid w:val="00B8089C"/>
    <w:rsid w:val="00B80BB5"/>
    <w:rsid w:val="00B80E5E"/>
    <w:rsid w:val="00B8108E"/>
    <w:rsid w:val="00B81287"/>
    <w:rsid w:val="00B81499"/>
    <w:rsid w:val="00B816A1"/>
    <w:rsid w:val="00B8172E"/>
    <w:rsid w:val="00B82015"/>
    <w:rsid w:val="00B8244A"/>
    <w:rsid w:val="00B82AF9"/>
    <w:rsid w:val="00B82F3B"/>
    <w:rsid w:val="00B82FE5"/>
    <w:rsid w:val="00B83230"/>
    <w:rsid w:val="00B83600"/>
    <w:rsid w:val="00B83CBF"/>
    <w:rsid w:val="00B843FF"/>
    <w:rsid w:val="00B84787"/>
    <w:rsid w:val="00B8483F"/>
    <w:rsid w:val="00B84BAC"/>
    <w:rsid w:val="00B84FD5"/>
    <w:rsid w:val="00B85418"/>
    <w:rsid w:val="00B85446"/>
    <w:rsid w:val="00B854E1"/>
    <w:rsid w:val="00B8590F"/>
    <w:rsid w:val="00B859A7"/>
    <w:rsid w:val="00B85ACA"/>
    <w:rsid w:val="00B85C4F"/>
    <w:rsid w:val="00B85E46"/>
    <w:rsid w:val="00B865E8"/>
    <w:rsid w:val="00B867F7"/>
    <w:rsid w:val="00B86DCF"/>
    <w:rsid w:val="00B87033"/>
    <w:rsid w:val="00B8749E"/>
    <w:rsid w:val="00B8786E"/>
    <w:rsid w:val="00B90164"/>
    <w:rsid w:val="00B902CA"/>
    <w:rsid w:val="00B9034B"/>
    <w:rsid w:val="00B90598"/>
    <w:rsid w:val="00B907CE"/>
    <w:rsid w:val="00B909A7"/>
    <w:rsid w:val="00B9104B"/>
    <w:rsid w:val="00B91130"/>
    <w:rsid w:val="00B911B3"/>
    <w:rsid w:val="00B91244"/>
    <w:rsid w:val="00B91704"/>
    <w:rsid w:val="00B91A57"/>
    <w:rsid w:val="00B92295"/>
    <w:rsid w:val="00B922D9"/>
    <w:rsid w:val="00B9252A"/>
    <w:rsid w:val="00B92540"/>
    <w:rsid w:val="00B92824"/>
    <w:rsid w:val="00B92EC0"/>
    <w:rsid w:val="00B931C9"/>
    <w:rsid w:val="00B9337B"/>
    <w:rsid w:val="00B933F5"/>
    <w:rsid w:val="00B946F3"/>
    <w:rsid w:val="00B94775"/>
    <w:rsid w:val="00B94A59"/>
    <w:rsid w:val="00B94ABD"/>
    <w:rsid w:val="00B94B79"/>
    <w:rsid w:val="00B94E5E"/>
    <w:rsid w:val="00B954D2"/>
    <w:rsid w:val="00B95711"/>
    <w:rsid w:val="00B966CA"/>
    <w:rsid w:val="00B96720"/>
    <w:rsid w:val="00B96C6D"/>
    <w:rsid w:val="00B96C72"/>
    <w:rsid w:val="00B96CF7"/>
    <w:rsid w:val="00B9752D"/>
    <w:rsid w:val="00B97678"/>
    <w:rsid w:val="00B976A7"/>
    <w:rsid w:val="00B97732"/>
    <w:rsid w:val="00B978EC"/>
    <w:rsid w:val="00B979E8"/>
    <w:rsid w:val="00B97F58"/>
    <w:rsid w:val="00B97FD7"/>
    <w:rsid w:val="00BA038D"/>
    <w:rsid w:val="00BA0419"/>
    <w:rsid w:val="00BA04C1"/>
    <w:rsid w:val="00BA0611"/>
    <w:rsid w:val="00BA07FB"/>
    <w:rsid w:val="00BA0A6F"/>
    <w:rsid w:val="00BA0C4C"/>
    <w:rsid w:val="00BA0D69"/>
    <w:rsid w:val="00BA1016"/>
    <w:rsid w:val="00BA124D"/>
    <w:rsid w:val="00BA131A"/>
    <w:rsid w:val="00BA164C"/>
    <w:rsid w:val="00BA1B3A"/>
    <w:rsid w:val="00BA23A2"/>
    <w:rsid w:val="00BA24BC"/>
    <w:rsid w:val="00BA2565"/>
    <w:rsid w:val="00BA2743"/>
    <w:rsid w:val="00BA28A4"/>
    <w:rsid w:val="00BA2AF7"/>
    <w:rsid w:val="00BA349B"/>
    <w:rsid w:val="00BA395C"/>
    <w:rsid w:val="00BA3A0E"/>
    <w:rsid w:val="00BA3A75"/>
    <w:rsid w:val="00BA4036"/>
    <w:rsid w:val="00BA4744"/>
    <w:rsid w:val="00BA4D8D"/>
    <w:rsid w:val="00BA4F6B"/>
    <w:rsid w:val="00BA54C9"/>
    <w:rsid w:val="00BA5D76"/>
    <w:rsid w:val="00BA6120"/>
    <w:rsid w:val="00BA6160"/>
    <w:rsid w:val="00BA628C"/>
    <w:rsid w:val="00BA62F0"/>
    <w:rsid w:val="00BA68C7"/>
    <w:rsid w:val="00BA691F"/>
    <w:rsid w:val="00BA698C"/>
    <w:rsid w:val="00BA6CA6"/>
    <w:rsid w:val="00BA6EAF"/>
    <w:rsid w:val="00BA6FB3"/>
    <w:rsid w:val="00BA7167"/>
    <w:rsid w:val="00BA72BD"/>
    <w:rsid w:val="00BA75EB"/>
    <w:rsid w:val="00BA78EB"/>
    <w:rsid w:val="00BA797D"/>
    <w:rsid w:val="00BB0036"/>
    <w:rsid w:val="00BB0ED0"/>
    <w:rsid w:val="00BB0F9E"/>
    <w:rsid w:val="00BB10BC"/>
    <w:rsid w:val="00BB1A31"/>
    <w:rsid w:val="00BB1F5B"/>
    <w:rsid w:val="00BB2357"/>
    <w:rsid w:val="00BB2509"/>
    <w:rsid w:val="00BB2B60"/>
    <w:rsid w:val="00BB2E5B"/>
    <w:rsid w:val="00BB2E64"/>
    <w:rsid w:val="00BB30FE"/>
    <w:rsid w:val="00BB319C"/>
    <w:rsid w:val="00BB362D"/>
    <w:rsid w:val="00BB388E"/>
    <w:rsid w:val="00BB3AD7"/>
    <w:rsid w:val="00BB3CA7"/>
    <w:rsid w:val="00BB499E"/>
    <w:rsid w:val="00BB4C5C"/>
    <w:rsid w:val="00BB51E0"/>
    <w:rsid w:val="00BB56D7"/>
    <w:rsid w:val="00BB57CB"/>
    <w:rsid w:val="00BB5B60"/>
    <w:rsid w:val="00BB5EEA"/>
    <w:rsid w:val="00BB616F"/>
    <w:rsid w:val="00BB67DB"/>
    <w:rsid w:val="00BB69DF"/>
    <w:rsid w:val="00BB6F74"/>
    <w:rsid w:val="00BB72EF"/>
    <w:rsid w:val="00BB7D7D"/>
    <w:rsid w:val="00BB7EB9"/>
    <w:rsid w:val="00BC038C"/>
    <w:rsid w:val="00BC0415"/>
    <w:rsid w:val="00BC04B9"/>
    <w:rsid w:val="00BC0606"/>
    <w:rsid w:val="00BC08C2"/>
    <w:rsid w:val="00BC0A31"/>
    <w:rsid w:val="00BC0CFE"/>
    <w:rsid w:val="00BC1290"/>
    <w:rsid w:val="00BC150C"/>
    <w:rsid w:val="00BC1E7E"/>
    <w:rsid w:val="00BC201A"/>
    <w:rsid w:val="00BC21DD"/>
    <w:rsid w:val="00BC21E1"/>
    <w:rsid w:val="00BC24F6"/>
    <w:rsid w:val="00BC25E2"/>
    <w:rsid w:val="00BC26F1"/>
    <w:rsid w:val="00BC29A8"/>
    <w:rsid w:val="00BC2B47"/>
    <w:rsid w:val="00BC2C7C"/>
    <w:rsid w:val="00BC354E"/>
    <w:rsid w:val="00BC3687"/>
    <w:rsid w:val="00BC36AE"/>
    <w:rsid w:val="00BC36B9"/>
    <w:rsid w:val="00BC388D"/>
    <w:rsid w:val="00BC39A4"/>
    <w:rsid w:val="00BC3D3D"/>
    <w:rsid w:val="00BC4055"/>
    <w:rsid w:val="00BC427A"/>
    <w:rsid w:val="00BC4328"/>
    <w:rsid w:val="00BC4B1E"/>
    <w:rsid w:val="00BC4F44"/>
    <w:rsid w:val="00BC52F7"/>
    <w:rsid w:val="00BC53E5"/>
    <w:rsid w:val="00BC5B00"/>
    <w:rsid w:val="00BC5CC1"/>
    <w:rsid w:val="00BC5DB0"/>
    <w:rsid w:val="00BC5F7C"/>
    <w:rsid w:val="00BC64D9"/>
    <w:rsid w:val="00BC692B"/>
    <w:rsid w:val="00BC6E45"/>
    <w:rsid w:val="00BC6FE4"/>
    <w:rsid w:val="00BC7551"/>
    <w:rsid w:val="00BD009E"/>
    <w:rsid w:val="00BD076F"/>
    <w:rsid w:val="00BD0E2D"/>
    <w:rsid w:val="00BD1B49"/>
    <w:rsid w:val="00BD27EB"/>
    <w:rsid w:val="00BD2EAF"/>
    <w:rsid w:val="00BD3036"/>
    <w:rsid w:val="00BD3075"/>
    <w:rsid w:val="00BD3250"/>
    <w:rsid w:val="00BD3401"/>
    <w:rsid w:val="00BD352E"/>
    <w:rsid w:val="00BD3C16"/>
    <w:rsid w:val="00BD4232"/>
    <w:rsid w:val="00BD4262"/>
    <w:rsid w:val="00BD46A9"/>
    <w:rsid w:val="00BD4F9C"/>
    <w:rsid w:val="00BD5092"/>
    <w:rsid w:val="00BD62A7"/>
    <w:rsid w:val="00BD67AA"/>
    <w:rsid w:val="00BD6811"/>
    <w:rsid w:val="00BD6B0D"/>
    <w:rsid w:val="00BD6F75"/>
    <w:rsid w:val="00BD724E"/>
    <w:rsid w:val="00BE02AE"/>
    <w:rsid w:val="00BE03E7"/>
    <w:rsid w:val="00BE0970"/>
    <w:rsid w:val="00BE0CF4"/>
    <w:rsid w:val="00BE11BF"/>
    <w:rsid w:val="00BE13E2"/>
    <w:rsid w:val="00BE14CC"/>
    <w:rsid w:val="00BE14E8"/>
    <w:rsid w:val="00BE16A0"/>
    <w:rsid w:val="00BE16E7"/>
    <w:rsid w:val="00BE1768"/>
    <w:rsid w:val="00BE1961"/>
    <w:rsid w:val="00BE1FF9"/>
    <w:rsid w:val="00BE2FFC"/>
    <w:rsid w:val="00BE314F"/>
    <w:rsid w:val="00BE33CE"/>
    <w:rsid w:val="00BE33D0"/>
    <w:rsid w:val="00BE3509"/>
    <w:rsid w:val="00BE3C3D"/>
    <w:rsid w:val="00BE3EBF"/>
    <w:rsid w:val="00BE3F62"/>
    <w:rsid w:val="00BE41FA"/>
    <w:rsid w:val="00BE4655"/>
    <w:rsid w:val="00BE4744"/>
    <w:rsid w:val="00BE487B"/>
    <w:rsid w:val="00BE4A98"/>
    <w:rsid w:val="00BE510F"/>
    <w:rsid w:val="00BE51BF"/>
    <w:rsid w:val="00BE526C"/>
    <w:rsid w:val="00BE5FC2"/>
    <w:rsid w:val="00BE6537"/>
    <w:rsid w:val="00BE6AF2"/>
    <w:rsid w:val="00BE74A0"/>
    <w:rsid w:val="00BE75D9"/>
    <w:rsid w:val="00BE7914"/>
    <w:rsid w:val="00BE7AB7"/>
    <w:rsid w:val="00BF002E"/>
    <w:rsid w:val="00BF0ABB"/>
    <w:rsid w:val="00BF0FE5"/>
    <w:rsid w:val="00BF16BC"/>
    <w:rsid w:val="00BF190A"/>
    <w:rsid w:val="00BF1B29"/>
    <w:rsid w:val="00BF1C70"/>
    <w:rsid w:val="00BF21A6"/>
    <w:rsid w:val="00BF224D"/>
    <w:rsid w:val="00BF23F8"/>
    <w:rsid w:val="00BF25CB"/>
    <w:rsid w:val="00BF25E5"/>
    <w:rsid w:val="00BF271E"/>
    <w:rsid w:val="00BF27CE"/>
    <w:rsid w:val="00BF2BA4"/>
    <w:rsid w:val="00BF2F3E"/>
    <w:rsid w:val="00BF2F8F"/>
    <w:rsid w:val="00BF365D"/>
    <w:rsid w:val="00BF38F8"/>
    <w:rsid w:val="00BF3A15"/>
    <w:rsid w:val="00BF3AAA"/>
    <w:rsid w:val="00BF43B8"/>
    <w:rsid w:val="00BF441C"/>
    <w:rsid w:val="00BF462D"/>
    <w:rsid w:val="00BF4A04"/>
    <w:rsid w:val="00BF4A2F"/>
    <w:rsid w:val="00BF5090"/>
    <w:rsid w:val="00BF50C2"/>
    <w:rsid w:val="00BF5240"/>
    <w:rsid w:val="00BF528A"/>
    <w:rsid w:val="00BF54BA"/>
    <w:rsid w:val="00BF5905"/>
    <w:rsid w:val="00BF5A33"/>
    <w:rsid w:val="00BF5B79"/>
    <w:rsid w:val="00BF667C"/>
    <w:rsid w:val="00BF66AF"/>
    <w:rsid w:val="00BF6DF5"/>
    <w:rsid w:val="00BF783A"/>
    <w:rsid w:val="00BF7D43"/>
    <w:rsid w:val="00C0034D"/>
    <w:rsid w:val="00C0036C"/>
    <w:rsid w:val="00C0049A"/>
    <w:rsid w:val="00C0059B"/>
    <w:rsid w:val="00C00B98"/>
    <w:rsid w:val="00C01106"/>
    <w:rsid w:val="00C01311"/>
    <w:rsid w:val="00C021FB"/>
    <w:rsid w:val="00C02824"/>
    <w:rsid w:val="00C033FE"/>
    <w:rsid w:val="00C034B5"/>
    <w:rsid w:val="00C03686"/>
    <w:rsid w:val="00C038D1"/>
    <w:rsid w:val="00C03B01"/>
    <w:rsid w:val="00C03D52"/>
    <w:rsid w:val="00C03DD4"/>
    <w:rsid w:val="00C03EE1"/>
    <w:rsid w:val="00C04009"/>
    <w:rsid w:val="00C0407F"/>
    <w:rsid w:val="00C044A1"/>
    <w:rsid w:val="00C04739"/>
    <w:rsid w:val="00C0505A"/>
    <w:rsid w:val="00C05B75"/>
    <w:rsid w:val="00C05FD4"/>
    <w:rsid w:val="00C06071"/>
    <w:rsid w:val="00C060C9"/>
    <w:rsid w:val="00C0618B"/>
    <w:rsid w:val="00C061ED"/>
    <w:rsid w:val="00C0686A"/>
    <w:rsid w:val="00C06ED0"/>
    <w:rsid w:val="00C073E1"/>
    <w:rsid w:val="00C07605"/>
    <w:rsid w:val="00C0768E"/>
    <w:rsid w:val="00C077AD"/>
    <w:rsid w:val="00C11B04"/>
    <w:rsid w:val="00C122D7"/>
    <w:rsid w:val="00C1237A"/>
    <w:rsid w:val="00C1248A"/>
    <w:rsid w:val="00C12707"/>
    <w:rsid w:val="00C12C52"/>
    <w:rsid w:val="00C13615"/>
    <w:rsid w:val="00C1372E"/>
    <w:rsid w:val="00C139C8"/>
    <w:rsid w:val="00C1401B"/>
    <w:rsid w:val="00C1474C"/>
    <w:rsid w:val="00C14CFC"/>
    <w:rsid w:val="00C15041"/>
    <w:rsid w:val="00C157CB"/>
    <w:rsid w:val="00C1629A"/>
    <w:rsid w:val="00C1643D"/>
    <w:rsid w:val="00C166F2"/>
    <w:rsid w:val="00C16750"/>
    <w:rsid w:val="00C16CF5"/>
    <w:rsid w:val="00C17239"/>
    <w:rsid w:val="00C1752C"/>
    <w:rsid w:val="00C176C5"/>
    <w:rsid w:val="00C17A4C"/>
    <w:rsid w:val="00C17AE8"/>
    <w:rsid w:val="00C17B09"/>
    <w:rsid w:val="00C17CA8"/>
    <w:rsid w:val="00C17EA0"/>
    <w:rsid w:val="00C2051D"/>
    <w:rsid w:val="00C2060E"/>
    <w:rsid w:val="00C2080E"/>
    <w:rsid w:val="00C2086D"/>
    <w:rsid w:val="00C208DD"/>
    <w:rsid w:val="00C20975"/>
    <w:rsid w:val="00C209CE"/>
    <w:rsid w:val="00C209E4"/>
    <w:rsid w:val="00C20B11"/>
    <w:rsid w:val="00C20E3B"/>
    <w:rsid w:val="00C20FB4"/>
    <w:rsid w:val="00C210E0"/>
    <w:rsid w:val="00C227A5"/>
    <w:rsid w:val="00C22A60"/>
    <w:rsid w:val="00C22E0B"/>
    <w:rsid w:val="00C2333C"/>
    <w:rsid w:val="00C23A8A"/>
    <w:rsid w:val="00C23CA6"/>
    <w:rsid w:val="00C23FAA"/>
    <w:rsid w:val="00C24229"/>
    <w:rsid w:val="00C24559"/>
    <w:rsid w:val="00C24969"/>
    <w:rsid w:val="00C24A77"/>
    <w:rsid w:val="00C24B04"/>
    <w:rsid w:val="00C2503B"/>
    <w:rsid w:val="00C25A75"/>
    <w:rsid w:val="00C25B59"/>
    <w:rsid w:val="00C25BAE"/>
    <w:rsid w:val="00C2609B"/>
    <w:rsid w:val="00C26296"/>
    <w:rsid w:val="00C2658C"/>
    <w:rsid w:val="00C26644"/>
    <w:rsid w:val="00C2684E"/>
    <w:rsid w:val="00C26A13"/>
    <w:rsid w:val="00C26EE8"/>
    <w:rsid w:val="00C26F8C"/>
    <w:rsid w:val="00C276D6"/>
    <w:rsid w:val="00C27C1A"/>
    <w:rsid w:val="00C30206"/>
    <w:rsid w:val="00C3038E"/>
    <w:rsid w:val="00C30779"/>
    <w:rsid w:val="00C30798"/>
    <w:rsid w:val="00C308F2"/>
    <w:rsid w:val="00C30C22"/>
    <w:rsid w:val="00C30D4E"/>
    <w:rsid w:val="00C30FBE"/>
    <w:rsid w:val="00C312E4"/>
    <w:rsid w:val="00C3180A"/>
    <w:rsid w:val="00C3231C"/>
    <w:rsid w:val="00C32D2E"/>
    <w:rsid w:val="00C3313B"/>
    <w:rsid w:val="00C33359"/>
    <w:rsid w:val="00C3390F"/>
    <w:rsid w:val="00C33EC9"/>
    <w:rsid w:val="00C3424E"/>
    <w:rsid w:val="00C343A6"/>
    <w:rsid w:val="00C34B6E"/>
    <w:rsid w:val="00C350D5"/>
    <w:rsid w:val="00C355C1"/>
    <w:rsid w:val="00C35A31"/>
    <w:rsid w:val="00C35DC5"/>
    <w:rsid w:val="00C36030"/>
    <w:rsid w:val="00C36160"/>
    <w:rsid w:val="00C3672F"/>
    <w:rsid w:val="00C367C5"/>
    <w:rsid w:val="00C367F2"/>
    <w:rsid w:val="00C3698B"/>
    <w:rsid w:val="00C36A6D"/>
    <w:rsid w:val="00C36AAD"/>
    <w:rsid w:val="00C37C30"/>
    <w:rsid w:val="00C37D88"/>
    <w:rsid w:val="00C4026F"/>
    <w:rsid w:val="00C404D1"/>
    <w:rsid w:val="00C40837"/>
    <w:rsid w:val="00C408F7"/>
    <w:rsid w:val="00C40C0C"/>
    <w:rsid w:val="00C41038"/>
    <w:rsid w:val="00C41B39"/>
    <w:rsid w:val="00C41BCA"/>
    <w:rsid w:val="00C42284"/>
    <w:rsid w:val="00C428C3"/>
    <w:rsid w:val="00C42949"/>
    <w:rsid w:val="00C42CD7"/>
    <w:rsid w:val="00C42E5E"/>
    <w:rsid w:val="00C435A7"/>
    <w:rsid w:val="00C43ABD"/>
    <w:rsid w:val="00C43C32"/>
    <w:rsid w:val="00C4433F"/>
    <w:rsid w:val="00C4449F"/>
    <w:rsid w:val="00C444E4"/>
    <w:rsid w:val="00C4480C"/>
    <w:rsid w:val="00C44CF3"/>
    <w:rsid w:val="00C44FB5"/>
    <w:rsid w:val="00C45278"/>
    <w:rsid w:val="00C457FF"/>
    <w:rsid w:val="00C4653E"/>
    <w:rsid w:val="00C46626"/>
    <w:rsid w:val="00C467FB"/>
    <w:rsid w:val="00C46CD2"/>
    <w:rsid w:val="00C472E0"/>
    <w:rsid w:val="00C47801"/>
    <w:rsid w:val="00C5026F"/>
    <w:rsid w:val="00C50587"/>
    <w:rsid w:val="00C50656"/>
    <w:rsid w:val="00C5071C"/>
    <w:rsid w:val="00C50D08"/>
    <w:rsid w:val="00C50D0F"/>
    <w:rsid w:val="00C5106B"/>
    <w:rsid w:val="00C51095"/>
    <w:rsid w:val="00C5130C"/>
    <w:rsid w:val="00C515F9"/>
    <w:rsid w:val="00C51E27"/>
    <w:rsid w:val="00C526FB"/>
    <w:rsid w:val="00C52D20"/>
    <w:rsid w:val="00C52F70"/>
    <w:rsid w:val="00C52FF6"/>
    <w:rsid w:val="00C53024"/>
    <w:rsid w:val="00C5345D"/>
    <w:rsid w:val="00C53B60"/>
    <w:rsid w:val="00C53C18"/>
    <w:rsid w:val="00C53D5C"/>
    <w:rsid w:val="00C53FBA"/>
    <w:rsid w:val="00C540C6"/>
    <w:rsid w:val="00C546AD"/>
    <w:rsid w:val="00C54A32"/>
    <w:rsid w:val="00C54D1F"/>
    <w:rsid w:val="00C5540F"/>
    <w:rsid w:val="00C5543F"/>
    <w:rsid w:val="00C55F1F"/>
    <w:rsid w:val="00C56395"/>
    <w:rsid w:val="00C563D0"/>
    <w:rsid w:val="00C568C1"/>
    <w:rsid w:val="00C56BE5"/>
    <w:rsid w:val="00C56DE6"/>
    <w:rsid w:val="00C5712F"/>
    <w:rsid w:val="00C5728F"/>
    <w:rsid w:val="00C57A18"/>
    <w:rsid w:val="00C57B02"/>
    <w:rsid w:val="00C57FAC"/>
    <w:rsid w:val="00C60E1F"/>
    <w:rsid w:val="00C61540"/>
    <w:rsid w:val="00C6181C"/>
    <w:rsid w:val="00C61F43"/>
    <w:rsid w:val="00C628E8"/>
    <w:rsid w:val="00C62A13"/>
    <w:rsid w:val="00C62C0D"/>
    <w:rsid w:val="00C62CD8"/>
    <w:rsid w:val="00C634A1"/>
    <w:rsid w:val="00C635DF"/>
    <w:rsid w:val="00C6376F"/>
    <w:rsid w:val="00C637F3"/>
    <w:rsid w:val="00C64025"/>
    <w:rsid w:val="00C6419F"/>
    <w:rsid w:val="00C6454B"/>
    <w:rsid w:val="00C64613"/>
    <w:rsid w:val="00C64682"/>
    <w:rsid w:val="00C647EE"/>
    <w:rsid w:val="00C64F46"/>
    <w:rsid w:val="00C653BA"/>
    <w:rsid w:val="00C6564B"/>
    <w:rsid w:val="00C65A25"/>
    <w:rsid w:val="00C65E17"/>
    <w:rsid w:val="00C6605E"/>
    <w:rsid w:val="00C6665C"/>
    <w:rsid w:val="00C66A2E"/>
    <w:rsid w:val="00C66E11"/>
    <w:rsid w:val="00C70225"/>
    <w:rsid w:val="00C702E9"/>
    <w:rsid w:val="00C7045E"/>
    <w:rsid w:val="00C7075A"/>
    <w:rsid w:val="00C7083B"/>
    <w:rsid w:val="00C716AD"/>
    <w:rsid w:val="00C719E5"/>
    <w:rsid w:val="00C71EEE"/>
    <w:rsid w:val="00C720C5"/>
    <w:rsid w:val="00C721AE"/>
    <w:rsid w:val="00C72CEB"/>
    <w:rsid w:val="00C73162"/>
    <w:rsid w:val="00C73179"/>
    <w:rsid w:val="00C7346F"/>
    <w:rsid w:val="00C73B3E"/>
    <w:rsid w:val="00C73CDA"/>
    <w:rsid w:val="00C73F32"/>
    <w:rsid w:val="00C7434A"/>
    <w:rsid w:val="00C745C0"/>
    <w:rsid w:val="00C7487C"/>
    <w:rsid w:val="00C748CD"/>
    <w:rsid w:val="00C74D01"/>
    <w:rsid w:val="00C74D72"/>
    <w:rsid w:val="00C74F93"/>
    <w:rsid w:val="00C75047"/>
    <w:rsid w:val="00C75CB5"/>
    <w:rsid w:val="00C762A9"/>
    <w:rsid w:val="00C76577"/>
    <w:rsid w:val="00C76A55"/>
    <w:rsid w:val="00C77B87"/>
    <w:rsid w:val="00C77FDA"/>
    <w:rsid w:val="00C80576"/>
    <w:rsid w:val="00C80C51"/>
    <w:rsid w:val="00C80CF4"/>
    <w:rsid w:val="00C8173B"/>
    <w:rsid w:val="00C818BC"/>
    <w:rsid w:val="00C81C1C"/>
    <w:rsid w:val="00C82436"/>
    <w:rsid w:val="00C8270F"/>
    <w:rsid w:val="00C82BCC"/>
    <w:rsid w:val="00C82D13"/>
    <w:rsid w:val="00C82FAE"/>
    <w:rsid w:val="00C834EF"/>
    <w:rsid w:val="00C83622"/>
    <w:rsid w:val="00C83976"/>
    <w:rsid w:val="00C839FB"/>
    <w:rsid w:val="00C842A7"/>
    <w:rsid w:val="00C84816"/>
    <w:rsid w:val="00C84A8D"/>
    <w:rsid w:val="00C854EC"/>
    <w:rsid w:val="00C8561B"/>
    <w:rsid w:val="00C85741"/>
    <w:rsid w:val="00C8590F"/>
    <w:rsid w:val="00C859A8"/>
    <w:rsid w:val="00C85C6D"/>
    <w:rsid w:val="00C85E14"/>
    <w:rsid w:val="00C86287"/>
    <w:rsid w:val="00C86567"/>
    <w:rsid w:val="00C8699C"/>
    <w:rsid w:val="00C86A75"/>
    <w:rsid w:val="00C86D2B"/>
    <w:rsid w:val="00C878ED"/>
    <w:rsid w:val="00C87E20"/>
    <w:rsid w:val="00C90155"/>
    <w:rsid w:val="00C901AE"/>
    <w:rsid w:val="00C90B96"/>
    <w:rsid w:val="00C90D4F"/>
    <w:rsid w:val="00C90EB4"/>
    <w:rsid w:val="00C910F1"/>
    <w:rsid w:val="00C91F04"/>
    <w:rsid w:val="00C922D6"/>
    <w:rsid w:val="00C92552"/>
    <w:rsid w:val="00C92617"/>
    <w:rsid w:val="00C93541"/>
    <w:rsid w:val="00C936EA"/>
    <w:rsid w:val="00C93746"/>
    <w:rsid w:val="00C93FB3"/>
    <w:rsid w:val="00C940B7"/>
    <w:rsid w:val="00C942EE"/>
    <w:rsid w:val="00C94358"/>
    <w:rsid w:val="00C946A1"/>
    <w:rsid w:val="00C94A80"/>
    <w:rsid w:val="00C94E3B"/>
    <w:rsid w:val="00C94E57"/>
    <w:rsid w:val="00C958E3"/>
    <w:rsid w:val="00C95AF3"/>
    <w:rsid w:val="00C95BB5"/>
    <w:rsid w:val="00C95BDA"/>
    <w:rsid w:val="00C95F3E"/>
    <w:rsid w:val="00C966F0"/>
    <w:rsid w:val="00C967CC"/>
    <w:rsid w:val="00C96DE4"/>
    <w:rsid w:val="00C96EBC"/>
    <w:rsid w:val="00C97122"/>
    <w:rsid w:val="00C97283"/>
    <w:rsid w:val="00C975A6"/>
    <w:rsid w:val="00C97659"/>
    <w:rsid w:val="00C977FC"/>
    <w:rsid w:val="00C978E5"/>
    <w:rsid w:val="00C97B37"/>
    <w:rsid w:val="00C97C91"/>
    <w:rsid w:val="00CA0165"/>
    <w:rsid w:val="00CA031F"/>
    <w:rsid w:val="00CA0530"/>
    <w:rsid w:val="00CA05BC"/>
    <w:rsid w:val="00CA09C3"/>
    <w:rsid w:val="00CA0B90"/>
    <w:rsid w:val="00CA1039"/>
    <w:rsid w:val="00CA1183"/>
    <w:rsid w:val="00CA165C"/>
    <w:rsid w:val="00CA1680"/>
    <w:rsid w:val="00CA1ACC"/>
    <w:rsid w:val="00CA24E4"/>
    <w:rsid w:val="00CA2C19"/>
    <w:rsid w:val="00CA2DAB"/>
    <w:rsid w:val="00CA3006"/>
    <w:rsid w:val="00CA3775"/>
    <w:rsid w:val="00CA3969"/>
    <w:rsid w:val="00CA3996"/>
    <w:rsid w:val="00CA4517"/>
    <w:rsid w:val="00CA4922"/>
    <w:rsid w:val="00CA4A2E"/>
    <w:rsid w:val="00CA4A9A"/>
    <w:rsid w:val="00CA4B36"/>
    <w:rsid w:val="00CA4C4F"/>
    <w:rsid w:val="00CA4FA8"/>
    <w:rsid w:val="00CA53E6"/>
    <w:rsid w:val="00CA5A3B"/>
    <w:rsid w:val="00CA5BBA"/>
    <w:rsid w:val="00CA5EB6"/>
    <w:rsid w:val="00CA6231"/>
    <w:rsid w:val="00CA635D"/>
    <w:rsid w:val="00CA6604"/>
    <w:rsid w:val="00CA69E8"/>
    <w:rsid w:val="00CA6BF2"/>
    <w:rsid w:val="00CA7003"/>
    <w:rsid w:val="00CA719A"/>
    <w:rsid w:val="00CA71FD"/>
    <w:rsid w:val="00CA7377"/>
    <w:rsid w:val="00CA7897"/>
    <w:rsid w:val="00CA7B3E"/>
    <w:rsid w:val="00CB00DD"/>
    <w:rsid w:val="00CB0896"/>
    <w:rsid w:val="00CB0FC6"/>
    <w:rsid w:val="00CB114E"/>
    <w:rsid w:val="00CB1679"/>
    <w:rsid w:val="00CB17ED"/>
    <w:rsid w:val="00CB190B"/>
    <w:rsid w:val="00CB1A41"/>
    <w:rsid w:val="00CB1C3E"/>
    <w:rsid w:val="00CB27E9"/>
    <w:rsid w:val="00CB2D32"/>
    <w:rsid w:val="00CB3066"/>
    <w:rsid w:val="00CB3879"/>
    <w:rsid w:val="00CB3ACB"/>
    <w:rsid w:val="00CB4226"/>
    <w:rsid w:val="00CB4292"/>
    <w:rsid w:val="00CB49D0"/>
    <w:rsid w:val="00CB4A9B"/>
    <w:rsid w:val="00CB4C0B"/>
    <w:rsid w:val="00CB4EE0"/>
    <w:rsid w:val="00CB4F3C"/>
    <w:rsid w:val="00CB50D3"/>
    <w:rsid w:val="00CB5466"/>
    <w:rsid w:val="00CB573F"/>
    <w:rsid w:val="00CB5841"/>
    <w:rsid w:val="00CB5A22"/>
    <w:rsid w:val="00CB602B"/>
    <w:rsid w:val="00CB6300"/>
    <w:rsid w:val="00CB6540"/>
    <w:rsid w:val="00CB6560"/>
    <w:rsid w:val="00CB6D02"/>
    <w:rsid w:val="00CB6D29"/>
    <w:rsid w:val="00CB71E2"/>
    <w:rsid w:val="00CB73C9"/>
    <w:rsid w:val="00CC08CF"/>
    <w:rsid w:val="00CC0DC9"/>
    <w:rsid w:val="00CC1C2C"/>
    <w:rsid w:val="00CC201B"/>
    <w:rsid w:val="00CC215C"/>
    <w:rsid w:val="00CC2301"/>
    <w:rsid w:val="00CC245E"/>
    <w:rsid w:val="00CC27D2"/>
    <w:rsid w:val="00CC28DE"/>
    <w:rsid w:val="00CC29BB"/>
    <w:rsid w:val="00CC2A89"/>
    <w:rsid w:val="00CC2B22"/>
    <w:rsid w:val="00CC2B8E"/>
    <w:rsid w:val="00CC30B8"/>
    <w:rsid w:val="00CC3EDE"/>
    <w:rsid w:val="00CC41BB"/>
    <w:rsid w:val="00CC46E6"/>
    <w:rsid w:val="00CC49F7"/>
    <w:rsid w:val="00CC4B08"/>
    <w:rsid w:val="00CC4C0C"/>
    <w:rsid w:val="00CC50B1"/>
    <w:rsid w:val="00CC5244"/>
    <w:rsid w:val="00CC53A7"/>
    <w:rsid w:val="00CC58EB"/>
    <w:rsid w:val="00CC5A16"/>
    <w:rsid w:val="00CC5D66"/>
    <w:rsid w:val="00CC6007"/>
    <w:rsid w:val="00CC620E"/>
    <w:rsid w:val="00CC66F2"/>
    <w:rsid w:val="00CC67A4"/>
    <w:rsid w:val="00CC6AE9"/>
    <w:rsid w:val="00CC7466"/>
    <w:rsid w:val="00CC7ECB"/>
    <w:rsid w:val="00CD0121"/>
    <w:rsid w:val="00CD0564"/>
    <w:rsid w:val="00CD0710"/>
    <w:rsid w:val="00CD0992"/>
    <w:rsid w:val="00CD0C95"/>
    <w:rsid w:val="00CD0D75"/>
    <w:rsid w:val="00CD0DCC"/>
    <w:rsid w:val="00CD0FB0"/>
    <w:rsid w:val="00CD106B"/>
    <w:rsid w:val="00CD18C8"/>
    <w:rsid w:val="00CD1DF1"/>
    <w:rsid w:val="00CD20C2"/>
    <w:rsid w:val="00CD22A1"/>
    <w:rsid w:val="00CD25F9"/>
    <w:rsid w:val="00CD2E06"/>
    <w:rsid w:val="00CD30C7"/>
    <w:rsid w:val="00CD323F"/>
    <w:rsid w:val="00CD3422"/>
    <w:rsid w:val="00CD354C"/>
    <w:rsid w:val="00CD376F"/>
    <w:rsid w:val="00CD380B"/>
    <w:rsid w:val="00CD41F6"/>
    <w:rsid w:val="00CD4261"/>
    <w:rsid w:val="00CD46B5"/>
    <w:rsid w:val="00CD55D2"/>
    <w:rsid w:val="00CD622B"/>
    <w:rsid w:val="00CD6382"/>
    <w:rsid w:val="00CD6587"/>
    <w:rsid w:val="00CD67C4"/>
    <w:rsid w:val="00CD6A57"/>
    <w:rsid w:val="00CD6ACA"/>
    <w:rsid w:val="00CD74D7"/>
    <w:rsid w:val="00CD7524"/>
    <w:rsid w:val="00CD75CE"/>
    <w:rsid w:val="00CD75E0"/>
    <w:rsid w:val="00CD78C1"/>
    <w:rsid w:val="00CD7D4A"/>
    <w:rsid w:val="00CE0190"/>
    <w:rsid w:val="00CE0197"/>
    <w:rsid w:val="00CE03FD"/>
    <w:rsid w:val="00CE0677"/>
    <w:rsid w:val="00CE0A19"/>
    <w:rsid w:val="00CE0ACA"/>
    <w:rsid w:val="00CE0ACF"/>
    <w:rsid w:val="00CE1107"/>
    <w:rsid w:val="00CE1BEF"/>
    <w:rsid w:val="00CE1C44"/>
    <w:rsid w:val="00CE1CED"/>
    <w:rsid w:val="00CE1D15"/>
    <w:rsid w:val="00CE1E4E"/>
    <w:rsid w:val="00CE1F48"/>
    <w:rsid w:val="00CE218D"/>
    <w:rsid w:val="00CE223E"/>
    <w:rsid w:val="00CE3021"/>
    <w:rsid w:val="00CE30C5"/>
    <w:rsid w:val="00CE338D"/>
    <w:rsid w:val="00CE3601"/>
    <w:rsid w:val="00CE3674"/>
    <w:rsid w:val="00CE39BF"/>
    <w:rsid w:val="00CE3DAE"/>
    <w:rsid w:val="00CE4208"/>
    <w:rsid w:val="00CE4D5F"/>
    <w:rsid w:val="00CE53D0"/>
    <w:rsid w:val="00CE53E0"/>
    <w:rsid w:val="00CE5D24"/>
    <w:rsid w:val="00CE5E9D"/>
    <w:rsid w:val="00CE612C"/>
    <w:rsid w:val="00CE6491"/>
    <w:rsid w:val="00CE66A8"/>
    <w:rsid w:val="00CE699B"/>
    <w:rsid w:val="00CE6C21"/>
    <w:rsid w:val="00CE6E65"/>
    <w:rsid w:val="00CE72D3"/>
    <w:rsid w:val="00CE754B"/>
    <w:rsid w:val="00CF042B"/>
    <w:rsid w:val="00CF05CA"/>
    <w:rsid w:val="00CF0D9B"/>
    <w:rsid w:val="00CF12A6"/>
    <w:rsid w:val="00CF16EF"/>
    <w:rsid w:val="00CF2015"/>
    <w:rsid w:val="00CF2033"/>
    <w:rsid w:val="00CF214E"/>
    <w:rsid w:val="00CF21AD"/>
    <w:rsid w:val="00CF23F9"/>
    <w:rsid w:val="00CF2494"/>
    <w:rsid w:val="00CF2A6F"/>
    <w:rsid w:val="00CF2DF3"/>
    <w:rsid w:val="00CF2FF0"/>
    <w:rsid w:val="00CF30BB"/>
    <w:rsid w:val="00CF3148"/>
    <w:rsid w:val="00CF329F"/>
    <w:rsid w:val="00CF3416"/>
    <w:rsid w:val="00CF3D8F"/>
    <w:rsid w:val="00CF3F3E"/>
    <w:rsid w:val="00CF476D"/>
    <w:rsid w:val="00CF4865"/>
    <w:rsid w:val="00CF4A41"/>
    <w:rsid w:val="00CF4AFA"/>
    <w:rsid w:val="00CF4E2A"/>
    <w:rsid w:val="00CF519C"/>
    <w:rsid w:val="00CF531A"/>
    <w:rsid w:val="00CF5438"/>
    <w:rsid w:val="00CF55B4"/>
    <w:rsid w:val="00CF57A3"/>
    <w:rsid w:val="00CF5AA4"/>
    <w:rsid w:val="00CF5B01"/>
    <w:rsid w:val="00CF5C61"/>
    <w:rsid w:val="00CF617E"/>
    <w:rsid w:val="00CF6229"/>
    <w:rsid w:val="00CF784B"/>
    <w:rsid w:val="00CF7F7B"/>
    <w:rsid w:val="00D000FF"/>
    <w:rsid w:val="00D00A7A"/>
    <w:rsid w:val="00D00EF6"/>
    <w:rsid w:val="00D01949"/>
    <w:rsid w:val="00D01F0D"/>
    <w:rsid w:val="00D01FC4"/>
    <w:rsid w:val="00D02001"/>
    <w:rsid w:val="00D02259"/>
    <w:rsid w:val="00D02543"/>
    <w:rsid w:val="00D0266C"/>
    <w:rsid w:val="00D02ABC"/>
    <w:rsid w:val="00D02C7E"/>
    <w:rsid w:val="00D03166"/>
    <w:rsid w:val="00D03213"/>
    <w:rsid w:val="00D03988"/>
    <w:rsid w:val="00D03BDD"/>
    <w:rsid w:val="00D03CEA"/>
    <w:rsid w:val="00D03DE3"/>
    <w:rsid w:val="00D04407"/>
    <w:rsid w:val="00D04BB7"/>
    <w:rsid w:val="00D04CBB"/>
    <w:rsid w:val="00D0530C"/>
    <w:rsid w:val="00D05DA9"/>
    <w:rsid w:val="00D0675B"/>
    <w:rsid w:val="00D06A2A"/>
    <w:rsid w:val="00D06A73"/>
    <w:rsid w:val="00D06B51"/>
    <w:rsid w:val="00D0706E"/>
    <w:rsid w:val="00D07509"/>
    <w:rsid w:val="00D075EB"/>
    <w:rsid w:val="00D100A8"/>
    <w:rsid w:val="00D1021A"/>
    <w:rsid w:val="00D108AF"/>
    <w:rsid w:val="00D10AAF"/>
    <w:rsid w:val="00D10E87"/>
    <w:rsid w:val="00D11192"/>
    <w:rsid w:val="00D1162A"/>
    <w:rsid w:val="00D117C3"/>
    <w:rsid w:val="00D119AC"/>
    <w:rsid w:val="00D11E70"/>
    <w:rsid w:val="00D11E8A"/>
    <w:rsid w:val="00D1269D"/>
    <w:rsid w:val="00D126E2"/>
    <w:rsid w:val="00D12C18"/>
    <w:rsid w:val="00D1310A"/>
    <w:rsid w:val="00D135F5"/>
    <w:rsid w:val="00D13AF0"/>
    <w:rsid w:val="00D14053"/>
    <w:rsid w:val="00D1425A"/>
    <w:rsid w:val="00D1461B"/>
    <w:rsid w:val="00D14665"/>
    <w:rsid w:val="00D14901"/>
    <w:rsid w:val="00D14A74"/>
    <w:rsid w:val="00D14E3C"/>
    <w:rsid w:val="00D15770"/>
    <w:rsid w:val="00D15B8F"/>
    <w:rsid w:val="00D15D6D"/>
    <w:rsid w:val="00D15F75"/>
    <w:rsid w:val="00D164DC"/>
    <w:rsid w:val="00D16790"/>
    <w:rsid w:val="00D169A0"/>
    <w:rsid w:val="00D16DC8"/>
    <w:rsid w:val="00D16E7D"/>
    <w:rsid w:val="00D16F95"/>
    <w:rsid w:val="00D17512"/>
    <w:rsid w:val="00D175A8"/>
    <w:rsid w:val="00D1786B"/>
    <w:rsid w:val="00D179D7"/>
    <w:rsid w:val="00D17E07"/>
    <w:rsid w:val="00D209D3"/>
    <w:rsid w:val="00D20C8D"/>
    <w:rsid w:val="00D20DD9"/>
    <w:rsid w:val="00D20FDF"/>
    <w:rsid w:val="00D2117F"/>
    <w:rsid w:val="00D215BA"/>
    <w:rsid w:val="00D2172E"/>
    <w:rsid w:val="00D21A7C"/>
    <w:rsid w:val="00D229A9"/>
    <w:rsid w:val="00D22AF6"/>
    <w:rsid w:val="00D22B63"/>
    <w:rsid w:val="00D22C32"/>
    <w:rsid w:val="00D23A93"/>
    <w:rsid w:val="00D23AD0"/>
    <w:rsid w:val="00D2430D"/>
    <w:rsid w:val="00D245E0"/>
    <w:rsid w:val="00D2579E"/>
    <w:rsid w:val="00D25F64"/>
    <w:rsid w:val="00D25F9A"/>
    <w:rsid w:val="00D26961"/>
    <w:rsid w:val="00D2710A"/>
    <w:rsid w:val="00D271AA"/>
    <w:rsid w:val="00D27227"/>
    <w:rsid w:val="00D27861"/>
    <w:rsid w:val="00D27F32"/>
    <w:rsid w:val="00D27FFA"/>
    <w:rsid w:val="00D30247"/>
    <w:rsid w:val="00D30353"/>
    <w:rsid w:val="00D30967"/>
    <w:rsid w:val="00D30BDE"/>
    <w:rsid w:val="00D30D98"/>
    <w:rsid w:val="00D3114A"/>
    <w:rsid w:val="00D317BD"/>
    <w:rsid w:val="00D319CE"/>
    <w:rsid w:val="00D31EEA"/>
    <w:rsid w:val="00D32542"/>
    <w:rsid w:val="00D32553"/>
    <w:rsid w:val="00D32D63"/>
    <w:rsid w:val="00D330BC"/>
    <w:rsid w:val="00D3377C"/>
    <w:rsid w:val="00D3382C"/>
    <w:rsid w:val="00D33C54"/>
    <w:rsid w:val="00D33FCC"/>
    <w:rsid w:val="00D3402C"/>
    <w:rsid w:val="00D340B6"/>
    <w:rsid w:val="00D34238"/>
    <w:rsid w:val="00D34472"/>
    <w:rsid w:val="00D347EF"/>
    <w:rsid w:val="00D34FD3"/>
    <w:rsid w:val="00D357D6"/>
    <w:rsid w:val="00D35853"/>
    <w:rsid w:val="00D35B03"/>
    <w:rsid w:val="00D35D33"/>
    <w:rsid w:val="00D35EB0"/>
    <w:rsid w:val="00D360C3"/>
    <w:rsid w:val="00D365D4"/>
    <w:rsid w:val="00D36D0F"/>
    <w:rsid w:val="00D36DDF"/>
    <w:rsid w:val="00D3705A"/>
    <w:rsid w:val="00D37156"/>
    <w:rsid w:val="00D37752"/>
    <w:rsid w:val="00D40142"/>
    <w:rsid w:val="00D4060A"/>
    <w:rsid w:val="00D40824"/>
    <w:rsid w:val="00D409C8"/>
    <w:rsid w:val="00D40A9C"/>
    <w:rsid w:val="00D4132F"/>
    <w:rsid w:val="00D4157C"/>
    <w:rsid w:val="00D41766"/>
    <w:rsid w:val="00D41924"/>
    <w:rsid w:val="00D41C8D"/>
    <w:rsid w:val="00D41FE8"/>
    <w:rsid w:val="00D422C4"/>
    <w:rsid w:val="00D42C42"/>
    <w:rsid w:val="00D42E2E"/>
    <w:rsid w:val="00D433B1"/>
    <w:rsid w:val="00D433E1"/>
    <w:rsid w:val="00D4341C"/>
    <w:rsid w:val="00D43668"/>
    <w:rsid w:val="00D43705"/>
    <w:rsid w:val="00D43A2F"/>
    <w:rsid w:val="00D43C8B"/>
    <w:rsid w:val="00D43F39"/>
    <w:rsid w:val="00D44306"/>
    <w:rsid w:val="00D44444"/>
    <w:rsid w:val="00D44607"/>
    <w:rsid w:val="00D44B50"/>
    <w:rsid w:val="00D4527C"/>
    <w:rsid w:val="00D4539A"/>
    <w:rsid w:val="00D455F2"/>
    <w:rsid w:val="00D45870"/>
    <w:rsid w:val="00D458CB"/>
    <w:rsid w:val="00D4597D"/>
    <w:rsid w:val="00D460A7"/>
    <w:rsid w:val="00D465DA"/>
    <w:rsid w:val="00D4664E"/>
    <w:rsid w:val="00D46D02"/>
    <w:rsid w:val="00D46FCB"/>
    <w:rsid w:val="00D4773E"/>
    <w:rsid w:val="00D47B6F"/>
    <w:rsid w:val="00D500BA"/>
    <w:rsid w:val="00D500E3"/>
    <w:rsid w:val="00D50AC0"/>
    <w:rsid w:val="00D51251"/>
    <w:rsid w:val="00D516B2"/>
    <w:rsid w:val="00D51CE1"/>
    <w:rsid w:val="00D51D4C"/>
    <w:rsid w:val="00D51D72"/>
    <w:rsid w:val="00D520CD"/>
    <w:rsid w:val="00D520D8"/>
    <w:rsid w:val="00D521AD"/>
    <w:rsid w:val="00D522B2"/>
    <w:rsid w:val="00D526FE"/>
    <w:rsid w:val="00D52739"/>
    <w:rsid w:val="00D52EA8"/>
    <w:rsid w:val="00D5308F"/>
    <w:rsid w:val="00D5351A"/>
    <w:rsid w:val="00D535AB"/>
    <w:rsid w:val="00D539FE"/>
    <w:rsid w:val="00D54396"/>
    <w:rsid w:val="00D54864"/>
    <w:rsid w:val="00D550F3"/>
    <w:rsid w:val="00D553B3"/>
    <w:rsid w:val="00D55410"/>
    <w:rsid w:val="00D5564F"/>
    <w:rsid w:val="00D55A63"/>
    <w:rsid w:val="00D55D13"/>
    <w:rsid w:val="00D55E6A"/>
    <w:rsid w:val="00D5639D"/>
    <w:rsid w:val="00D56B60"/>
    <w:rsid w:val="00D570B8"/>
    <w:rsid w:val="00D572B1"/>
    <w:rsid w:val="00D573E6"/>
    <w:rsid w:val="00D57B0C"/>
    <w:rsid w:val="00D57C77"/>
    <w:rsid w:val="00D6055C"/>
    <w:rsid w:val="00D60BFA"/>
    <w:rsid w:val="00D61305"/>
    <w:rsid w:val="00D61538"/>
    <w:rsid w:val="00D615D1"/>
    <w:rsid w:val="00D62148"/>
    <w:rsid w:val="00D62215"/>
    <w:rsid w:val="00D62A3C"/>
    <w:rsid w:val="00D63101"/>
    <w:rsid w:val="00D6362C"/>
    <w:rsid w:val="00D637C3"/>
    <w:rsid w:val="00D637FC"/>
    <w:rsid w:val="00D63BE2"/>
    <w:rsid w:val="00D63E8E"/>
    <w:rsid w:val="00D6436B"/>
    <w:rsid w:val="00D64886"/>
    <w:rsid w:val="00D648F3"/>
    <w:rsid w:val="00D64A1B"/>
    <w:rsid w:val="00D64C28"/>
    <w:rsid w:val="00D6511D"/>
    <w:rsid w:val="00D65B59"/>
    <w:rsid w:val="00D65DCE"/>
    <w:rsid w:val="00D65DD7"/>
    <w:rsid w:val="00D65E31"/>
    <w:rsid w:val="00D660B2"/>
    <w:rsid w:val="00D6617A"/>
    <w:rsid w:val="00D66DEC"/>
    <w:rsid w:val="00D66E02"/>
    <w:rsid w:val="00D66F17"/>
    <w:rsid w:val="00D670C7"/>
    <w:rsid w:val="00D6725A"/>
    <w:rsid w:val="00D67D99"/>
    <w:rsid w:val="00D67EA4"/>
    <w:rsid w:val="00D67FD4"/>
    <w:rsid w:val="00D67FE8"/>
    <w:rsid w:val="00D7033E"/>
    <w:rsid w:val="00D703E4"/>
    <w:rsid w:val="00D709BE"/>
    <w:rsid w:val="00D70D0F"/>
    <w:rsid w:val="00D70ED5"/>
    <w:rsid w:val="00D71633"/>
    <w:rsid w:val="00D71B93"/>
    <w:rsid w:val="00D72316"/>
    <w:rsid w:val="00D72504"/>
    <w:rsid w:val="00D72626"/>
    <w:rsid w:val="00D7280A"/>
    <w:rsid w:val="00D7289D"/>
    <w:rsid w:val="00D72A8F"/>
    <w:rsid w:val="00D72A91"/>
    <w:rsid w:val="00D72D2A"/>
    <w:rsid w:val="00D72E16"/>
    <w:rsid w:val="00D72E30"/>
    <w:rsid w:val="00D7307B"/>
    <w:rsid w:val="00D730E8"/>
    <w:rsid w:val="00D731E0"/>
    <w:rsid w:val="00D736B2"/>
    <w:rsid w:val="00D738D9"/>
    <w:rsid w:val="00D73B74"/>
    <w:rsid w:val="00D74070"/>
    <w:rsid w:val="00D74387"/>
    <w:rsid w:val="00D744CB"/>
    <w:rsid w:val="00D74887"/>
    <w:rsid w:val="00D74B9A"/>
    <w:rsid w:val="00D75473"/>
    <w:rsid w:val="00D75C21"/>
    <w:rsid w:val="00D75C8B"/>
    <w:rsid w:val="00D76134"/>
    <w:rsid w:val="00D76A46"/>
    <w:rsid w:val="00D76FA8"/>
    <w:rsid w:val="00D774A9"/>
    <w:rsid w:val="00D77B4B"/>
    <w:rsid w:val="00D800DC"/>
    <w:rsid w:val="00D80347"/>
    <w:rsid w:val="00D80969"/>
    <w:rsid w:val="00D80C4B"/>
    <w:rsid w:val="00D81177"/>
    <w:rsid w:val="00D8124E"/>
    <w:rsid w:val="00D816A8"/>
    <w:rsid w:val="00D8198B"/>
    <w:rsid w:val="00D819E5"/>
    <w:rsid w:val="00D81C59"/>
    <w:rsid w:val="00D81F8C"/>
    <w:rsid w:val="00D8222A"/>
    <w:rsid w:val="00D82790"/>
    <w:rsid w:val="00D83957"/>
    <w:rsid w:val="00D839B9"/>
    <w:rsid w:val="00D842C2"/>
    <w:rsid w:val="00D8437A"/>
    <w:rsid w:val="00D84781"/>
    <w:rsid w:val="00D84CAC"/>
    <w:rsid w:val="00D850B2"/>
    <w:rsid w:val="00D8542A"/>
    <w:rsid w:val="00D85570"/>
    <w:rsid w:val="00D85712"/>
    <w:rsid w:val="00D864C8"/>
    <w:rsid w:val="00D86707"/>
    <w:rsid w:val="00D86EA1"/>
    <w:rsid w:val="00D8776B"/>
    <w:rsid w:val="00D87E7A"/>
    <w:rsid w:val="00D9014C"/>
    <w:rsid w:val="00D90D8D"/>
    <w:rsid w:val="00D90DC4"/>
    <w:rsid w:val="00D91306"/>
    <w:rsid w:val="00D9170D"/>
    <w:rsid w:val="00D91E28"/>
    <w:rsid w:val="00D91E84"/>
    <w:rsid w:val="00D92A98"/>
    <w:rsid w:val="00D92BB0"/>
    <w:rsid w:val="00D930C4"/>
    <w:rsid w:val="00D930EC"/>
    <w:rsid w:val="00D931C4"/>
    <w:rsid w:val="00D931D3"/>
    <w:rsid w:val="00D93D8F"/>
    <w:rsid w:val="00D93F2A"/>
    <w:rsid w:val="00D94136"/>
    <w:rsid w:val="00D9432B"/>
    <w:rsid w:val="00D94461"/>
    <w:rsid w:val="00D9454A"/>
    <w:rsid w:val="00D9589F"/>
    <w:rsid w:val="00D95A15"/>
    <w:rsid w:val="00D95D74"/>
    <w:rsid w:val="00D96157"/>
    <w:rsid w:val="00D961D9"/>
    <w:rsid w:val="00D96882"/>
    <w:rsid w:val="00D96D0E"/>
    <w:rsid w:val="00D9702F"/>
    <w:rsid w:val="00D9709D"/>
    <w:rsid w:val="00D97482"/>
    <w:rsid w:val="00D97AD5"/>
    <w:rsid w:val="00D97D05"/>
    <w:rsid w:val="00D97D86"/>
    <w:rsid w:val="00D97F88"/>
    <w:rsid w:val="00DA0A9A"/>
    <w:rsid w:val="00DA11EE"/>
    <w:rsid w:val="00DA1264"/>
    <w:rsid w:val="00DA1578"/>
    <w:rsid w:val="00DA1623"/>
    <w:rsid w:val="00DA1871"/>
    <w:rsid w:val="00DA1A3C"/>
    <w:rsid w:val="00DA1A46"/>
    <w:rsid w:val="00DA1AD3"/>
    <w:rsid w:val="00DA1E51"/>
    <w:rsid w:val="00DA22C1"/>
    <w:rsid w:val="00DA24F7"/>
    <w:rsid w:val="00DA30FE"/>
    <w:rsid w:val="00DA31A4"/>
    <w:rsid w:val="00DA3A9F"/>
    <w:rsid w:val="00DA4486"/>
    <w:rsid w:val="00DA46CA"/>
    <w:rsid w:val="00DA4F58"/>
    <w:rsid w:val="00DA5D42"/>
    <w:rsid w:val="00DA5E62"/>
    <w:rsid w:val="00DA64BC"/>
    <w:rsid w:val="00DA6531"/>
    <w:rsid w:val="00DA66A9"/>
    <w:rsid w:val="00DA6AE6"/>
    <w:rsid w:val="00DA724E"/>
    <w:rsid w:val="00DA72AB"/>
    <w:rsid w:val="00DA7591"/>
    <w:rsid w:val="00DA75EF"/>
    <w:rsid w:val="00DA77ED"/>
    <w:rsid w:val="00DA783F"/>
    <w:rsid w:val="00DA7BD6"/>
    <w:rsid w:val="00DB02AB"/>
    <w:rsid w:val="00DB0753"/>
    <w:rsid w:val="00DB0C2A"/>
    <w:rsid w:val="00DB0E98"/>
    <w:rsid w:val="00DB128F"/>
    <w:rsid w:val="00DB13C0"/>
    <w:rsid w:val="00DB13F8"/>
    <w:rsid w:val="00DB308E"/>
    <w:rsid w:val="00DB35C6"/>
    <w:rsid w:val="00DB3D9E"/>
    <w:rsid w:val="00DB404A"/>
    <w:rsid w:val="00DB4245"/>
    <w:rsid w:val="00DB4E86"/>
    <w:rsid w:val="00DB4ED1"/>
    <w:rsid w:val="00DB5490"/>
    <w:rsid w:val="00DB5958"/>
    <w:rsid w:val="00DB5BDA"/>
    <w:rsid w:val="00DB6237"/>
    <w:rsid w:val="00DB6280"/>
    <w:rsid w:val="00DB62F3"/>
    <w:rsid w:val="00DB682C"/>
    <w:rsid w:val="00DB6E53"/>
    <w:rsid w:val="00DB706D"/>
    <w:rsid w:val="00DB7605"/>
    <w:rsid w:val="00DB77A3"/>
    <w:rsid w:val="00DB78E6"/>
    <w:rsid w:val="00DB7EEF"/>
    <w:rsid w:val="00DC015C"/>
    <w:rsid w:val="00DC05B3"/>
    <w:rsid w:val="00DC09C0"/>
    <w:rsid w:val="00DC09C9"/>
    <w:rsid w:val="00DC0B07"/>
    <w:rsid w:val="00DC0C84"/>
    <w:rsid w:val="00DC0E49"/>
    <w:rsid w:val="00DC0F22"/>
    <w:rsid w:val="00DC0F8D"/>
    <w:rsid w:val="00DC11D4"/>
    <w:rsid w:val="00DC1266"/>
    <w:rsid w:val="00DC12D2"/>
    <w:rsid w:val="00DC22A0"/>
    <w:rsid w:val="00DC2360"/>
    <w:rsid w:val="00DC27F9"/>
    <w:rsid w:val="00DC296F"/>
    <w:rsid w:val="00DC2AD0"/>
    <w:rsid w:val="00DC2B0D"/>
    <w:rsid w:val="00DC2B55"/>
    <w:rsid w:val="00DC2C3A"/>
    <w:rsid w:val="00DC2EB3"/>
    <w:rsid w:val="00DC356E"/>
    <w:rsid w:val="00DC38CA"/>
    <w:rsid w:val="00DC3B31"/>
    <w:rsid w:val="00DC46D9"/>
    <w:rsid w:val="00DC4C0B"/>
    <w:rsid w:val="00DC514C"/>
    <w:rsid w:val="00DC5608"/>
    <w:rsid w:val="00DC5632"/>
    <w:rsid w:val="00DC56D9"/>
    <w:rsid w:val="00DC5F99"/>
    <w:rsid w:val="00DC6290"/>
    <w:rsid w:val="00DC636B"/>
    <w:rsid w:val="00DC6502"/>
    <w:rsid w:val="00DC6833"/>
    <w:rsid w:val="00DC6D3A"/>
    <w:rsid w:val="00DC718E"/>
    <w:rsid w:val="00DC7569"/>
    <w:rsid w:val="00DC77F7"/>
    <w:rsid w:val="00DC7B0E"/>
    <w:rsid w:val="00DC7E8C"/>
    <w:rsid w:val="00DD05DC"/>
    <w:rsid w:val="00DD097F"/>
    <w:rsid w:val="00DD0AFA"/>
    <w:rsid w:val="00DD0D4A"/>
    <w:rsid w:val="00DD152F"/>
    <w:rsid w:val="00DD1FB0"/>
    <w:rsid w:val="00DD2830"/>
    <w:rsid w:val="00DD29DB"/>
    <w:rsid w:val="00DD31EE"/>
    <w:rsid w:val="00DD34A1"/>
    <w:rsid w:val="00DD3576"/>
    <w:rsid w:val="00DD38C2"/>
    <w:rsid w:val="00DD39E4"/>
    <w:rsid w:val="00DD4117"/>
    <w:rsid w:val="00DD4434"/>
    <w:rsid w:val="00DD4536"/>
    <w:rsid w:val="00DD45A4"/>
    <w:rsid w:val="00DD4932"/>
    <w:rsid w:val="00DD4D25"/>
    <w:rsid w:val="00DD5155"/>
    <w:rsid w:val="00DD52D8"/>
    <w:rsid w:val="00DD5A61"/>
    <w:rsid w:val="00DD5D31"/>
    <w:rsid w:val="00DD6134"/>
    <w:rsid w:val="00DD654E"/>
    <w:rsid w:val="00DD679E"/>
    <w:rsid w:val="00DD71C7"/>
    <w:rsid w:val="00DD7A54"/>
    <w:rsid w:val="00DD7D16"/>
    <w:rsid w:val="00DD7DF6"/>
    <w:rsid w:val="00DD7F2A"/>
    <w:rsid w:val="00DE03FE"/>
    <w:rsid w:val="00DE05CA"/>
    <w:rsid w:val="00DE071E"/>
    <w:rsid w:val="00DE081E"/>
    <w:rsid w:val="00DE0903"/>
    <w:rsid w:val="00DE0986"/>
    <w:rsid w:val="00DE11E2"/>
    <w:rsid w:val="00DE257B"/>
    <w:rsid w:val="00DE2A33"/>
    <w:rsid w:val="00DE3136"/>
    <w:rsid w:val="00DE31D3"/>
    <w:rsid w:val="00DE329F"/>
    <w:rsid w:val="00DE32CF"/>
    <w:rsid w:val="00DE37FA"/>
    <w:rsid w:val="00DE38FD"/>
    <w:rsid w:val="00DE3978"/>
    <w:rsid w:val="00DE41A0"/>
    <w:rsid w:val="00DE4222"/>
    <w:rsid w:val="00DE4C70"/>
    <w:rsid w:val="00DE4D15"/>
    <w:rsid w:val="00DE52F6"/>
    <w:rsid w:val="00DE5D2A"/>
    <w:rsid w:val="00DE62BA"/>
    <w:rsid w:val="00DE663F"/>
    <w:rsid w:val="00DE66D9"/>
    <w:rsid w:val="00DE6CD4"/>
    <w:rsid w:val="00DE731E"/>
    <w:rsid w:val="00DE73E3"/>
    <w:rsid w:val="00DE747F"/>
    <w:rsid w:val="00DE79C2"/>
    <w:rsid w:val="00DF0304"/>
    <w:rsid w:val="00DF0584"/>
    <w:rsid w:val="00DF094D"/>
    <w:rsid w:val="00DF0AAA"/>
    <w:rsid w:val="00DF0D76"/>
    <w:rsid w:val="00DF1105"/>
    <w:rsid w:val="00DF1252"/>
    <w:rsid w:val="00DF132E"/>
    <w:rsid w:val="00DF145E"/>
    <w:rsid w:val="00DF1551"/>
    <w:rsid w:val="00DF156D"/>
    <w:rsid w:val="00DF16B6"/>
    <w:rsid w:val="00DF1907"/>
    <w:rsid w:val="00DF1EE4"/>
    <w:rsid w:val="00DF1FF7"/>
    <w:rsid w:val="00DF258E"/>
    <w:rsid w:val="00DF2A05"/>
    <w:rsid w:val="00DF2DEF"/>
    <w:rsid w:val="00DF2DFC"/>
    <w:rsid w:val="00DF2EB2"/>
    <w:rsid w:val="00DF2FFE"/>
    <w:rsid w:val="00DF30B8"/>
    <w:rsid w:val="00DF30D9"/>
    <w:rsid w:val="00DF30FA"/>
    <w:rsid w:val="00DF3381"/>
    <w:rsid w:val="00DF3B4B"/>
    <w:rsid w:val="00DF4CB2"/>
    <w:rsid w:val="00DF4E0B"/>
    <w:rsid w:val="00DF4E98"/>
    <w:rsid w:val="00DF511E"/>
    <w:rsid w:val="00DF521D"/>
    <w:rsid w:val="00DF5310"/>
    <w:rsid w:val="00DF57D4"/>
    <w:rsid w:val="00DF594E"/>
    <w:rsid w:val="00DF5C8C"/>
    <w:rsid w:val="00DF6270"/>
    <w:rsid w:val="00DF6434"/>
    <w:rsid w:val="00DF64B9"/>
    <w:rsid w:val="00DF653D"/>
    <w:rsid w:val="00DF69CF"/>
    <w:rsid w:val="00DF6F27"/>
    <w:rsid w:val="00DF7228"/>
    <w:rsid w:val="00DF77D1"/>
    <w:rsid w:val="00E00122"/>
    <w:rsid w:val="00E007B9"/>
    <w:rsid w:val="00E007F8"/>
    <w:rsid w:val="00E008C2"/>
    <w:rsid w:val="00E00905"/>
    <w:rsid w:val="00E00C72"/>
    <w:rsid w:val="00E00F36"/>
    <w:rsid w:val="00E0105D"/>
    <w:rsid w:val="00E016F6"/>
    <w:rsid w:val="00E017B7"/>
    <w:rsid w:val="00E02057"/>
    <w:rsid w:val="00E0232F"/>
    <w:rsid w:val="00E027D5"/>
    <w:rsid w:val="00E02E00"/>
    <w:rsid w:val="00E02E39"/>
    <w:rsid w:val="00E03316"/>
    <w:rsid w:val="00E03580"/>
    <w:rsid w:val="00E03B26"/>
    <w:rsid w:val="00E03F44"/>
    <w:rsid w:val="00E043E5"/>
    <w:rsid w:val="00E0488D"/>
    <w:rsid w:val="00E04A88"/>
    <w:rsid w:val="00E04D8C"/>
    <w:rsid w:val="00E0529F"/>
    <w:rsid w:val="00E056D3"/>
    <w:rsid w:val="00E056F5"/>
    <w:rsid w:val="00E05A50"/>
    <w:rsid w:val="00E05F16"/>
    <w:rsid w:val="00E064A0"/>
    <w:rsid w:val="00E06665"/>
    <w:rsid w:val="00E06685"/>
    <w:rsid w:val="00E06990"/>
    <w:rsid w:val="00E07005"/>
    <w:rsid w:val="00E07530"/>
    <w:rsid w:val="00E0755B"/>
    <w:rsid w:val="00E075A7"/>
    <w:rsid w:val="00E078A0"/>
    <w:rsid w:val="00E10249"/>
    <w:rsid w:val="00E1097F"/>
    <w:rsid w:val="00E109A3"/>
    <w:rsid w:val="00E10D73"/>
    <w:rsid w:val="00E1184C"/>
    <w:rsid w:val="00E119ED"/>
    <w:rsid w:val="00E11A7D"/>
    <w:rsid w:val="00E11B43"/>
    <w:rsid w:val="00E11BFD"/>
    <w:rsid w:val="00E11E91"/>
    <w:rsid w:val="00E11EAD"/>
    <w:rsid w:val="00E12156"/>
    <w:rsid w:val="00E12278"/>
    <w:rsid w:val="00E12454"/>
    <w:rsid w:val="00E128AE"/>
    <w:rsid w:val="00E12ABD"/>
    <w:rsid w:val="00E12CEB"/>
    <w:rsid w:val="00E12ECA"/>
    <w:rsid w:val="00E12EF9"/>
    <w:rsid w:val="00E13211"/>
    <w:rsid w:val="00E13758"/>
    <w:rsid w:val="00E13F31"/>
    <w:rsid w:val="00E145B8"/>
    <w:rsid w:val="00E14705"/>
    <w:rsid w:val="00E14A9F"/>
    <w:rsid w:val="00E14B18"/>
    <w:rsid w:val="00E14E72"/>
    <w:rsid w:val="00E14E8D"/>
    <w:rsid w:val="00E14FC2"/>
    <w:rsid w:val="00E15527"/>
    <w:rsid w:val="00E15541"/>
    <w:rsid w:val="00E15DDA"/>
    <w:rsid w:val="00E15E08"/>
    <w:rsid w:val="00E164DE"/>
    <w:rsid w:val="00E16574"/>
    <w:rsid w:val="00E16840"/>
    <w:rsid w:val="00E16C26"/>
    <w:rsid w:val="00E16F03"/>
    <w:rsid w:val="00E16F19"/>
    <w:rsid w:val="00E16F41"/>
    <w:rsid w:val="00E172FB"/>
    <w:rsid w:val="00E177D4"/>
    <w:rsid w:val="00E179C4"/>
    <w:rsid w:val="00E17A35"/>
    <w:rsid w:val="00E17A3F"/>
    <w:rsid w:val="00E17E01"/>
    <w:rsid w:val="00E204A6"/>
    <w:rsid w:val="00E20618"/>
    <w:rsid w:val="00E20DA3"/>
    <w:rsid w:val="00E21388"/>
    <w:rsid w:val="00E21E21"/>
    <w:rsid w:val="00E21E95"/>
    <w:rsid w:val="00E2206B"/>
    <w:rsid w:val="00E224B7"/>
    <w:rsid w:val="00E22661"/>
    <w:rsid w:val="00E226E4"/>
    <w:rsid w:val="00E22719"/>
    <w:rsid w:val="00E2294F"/>
    <w:rsid w:val="00E22C54"/>
    <w:rsid w:val="00E22C7E"/>
    <w:rsid w:val="00E22CE3"/>
    <w:rsid w:val="00E23047"/>
    <w:rsid w:val="00E231CC"/>
    <w:rsid w:val="00E233B8"/>
    <w:rsid w:val="00E236CC"/>
    <w:rsid w:val="00E23909"/>
    <w:rsid w:val="00E23D33"/>
    <w:rsid w:val="00E23D47"/>
    <w:rsid w:val="00E2413E"/>
    <w:rsid w:val="00E24538"/>
    <w:rsid w:val="00E24716"/>
    <w:rsid w:val="00E247B3"/>
    <w:rsid w:val="00E25383"/>
    <w:rsid w:val="00E25387"/>
    <w:rsid w:val="00E25B06"/>
    <w:rsid w:val="00E25D30"/>
    <w:rsid w:val="00E26475"/>
    <w:rsid w:val="00E2667B"/>
    <w:rsid w:val="00E26ACF"/>
    <w:rsid w:val="00E26B70"/>
    <w:rsid w:val="00E26BF1"/>
    <w:rsid w:val="00E27109"/>
    <w:rsid w:val="00E27303"/>
    <w:rsid w:val="00E273EA"/>
    <w:rsid w:val="00E2781F"/>
    <w:rsid w:val="00E27AED"/>
    <w:rsid w:val="00E301B9"/>
    <w:rsid w:val="00E3080B"/>
    <w:rsid w:val="00E30E6F"/>
    <w:rsid w:val="00E314BC"/>
    <w:rsid w:val="00E31699"/>
    <w:rsid w:val="00E31B97"/>
    <w:rsid w:val="00E31E7A"/>
    <w:rsid w:val="00E31ED7"/>
    <w:rsid w:val="00E32007"/>
    <w:rsid w:val="00E321CC"/>
    <w:rsid w:val="00E322D8"/>
    <w:rsid w:val="00E32319"/>
    <w:rsid w:val="00E32A46"/>
    <w:rsid w:val="00E32B66"/>
    <w:rsid w:val="00E32C17"/>
    <w:rsid w:val="00E32F9B"/>
    <w:rsid w:val="00E33366"/>
    <w:rsid w:val="00E33823"/>
    <w:rsid w:val="00E33D6F"/>
    <w:rsid w:val="00E33DB4"/>
    <w:rsid w:val="00E343AC"/>
    <w:rsid w:val="00E343F0"/>
    <w:rsid w:val="00E34655"/>
    <w:rsid w:val="00E34693"/>
    <w:rsid w:val="00E34997"/>
    <w:rsid w:val="00E34A1B"/>
    <w:rsid w:val="00E35994"/>
    <w:rsid w:val="00E36278"/>
    <w:rsid w:val="00E36340"/>
    <w:rsid w:val="00E36377"/>
    <w:rsid w:val="00E36439"/>
    <w:rsid w:val="00E36550"/>
    <w:rsid w:val="00E36813"/>
    <w:rsid w:val="00E369D2"/>
    <w:rsid w:val="00E36D74"/>
    <w:rsid w:val="00E373E6"/>
    <w:rsid w:val="00E374F8"/>
    <w:rsid w:val="00E376E6"/>
    <w:rsid w:val="00E37EC4"/>
    <w:rsid w:val="00E4099B"/>
    <w:rsid w:val="00E40FBE"/>
    <w:rsid w:val="00E41066"/>
    <w:rsid w:val="00E4159D"/>
    <w:rsid w:val="00E417DF"/>
    <w:rsid w:val="00E41875"/>
    <w:rsid w:val="00E418E6"/>
    <w:rsid w:val="00E418F1"/>
    <w:rsid w:val="00E41CE2"/>
    <w:rsid w:val="00E42346"/>
    <w:rsid w:val="00E4292C"/>
    <w:rsid w:val="00E43076"/>
    <w:rsid w:val="00E4360A"/>
    <w:rsid w:val="00E43A20"/>
    <w:rsid w:val="00E43BA5"/>
    <w:rsid w:val="00E44793"/>
    <w:rsid w:val="00E448C3"/>
    <w:rsid w:val="00E4514F"/>
    <w:rsid w:val="00E4562A"/>
    <w:rsid w:val="00E456F5"/>
    <w:rsid w:val="00E45745"/>
    <w:rsid w:val="00E45E55"/>
    <w:rsid w:val="00E46567"/>
    <w:rsid w:val="00E46829"/>
    <w:rsid w:val="00E46F24"/>
    <w:rsid w:val="00E47163"/>
    <w:rsid w:val="00E471E1"/>
    <w:rsid w:val="00E47733"/>
    <w:rsid w:val="00E5013D"/>
    <w:rsid w:val="00E50457"/>
    <w:rsid w:val="00E50520"/>
    <w:rsid w:val="00E50E13"/>
    <w:rsid w:val="00E50F55"/>
    <w:rsid w:val="00E511F4"/>
    <w:rsid w:val="00E51482"/>
    <w:rsid w:val="00E51763"/>
    <w:rsid w:val="00E51ABC"/>
    <w:rsid w:val="00E51B4E"/>
    <w:rsid w:val="00E51E7A"/>
    <w:rsid w:val="00E52943"/>
    <w:rsid w:val="00E529A7"/>
    <w:rsid w:val="00E529C8"/>
    <w:rsid w:val="00E529E5"/>
    <w:rsid w:val="00E52DF4"/>
    <w:rsid w:val="00E52EBE"/>
    <w:rsid w:val="00E5381B"/>
    <w:rsid w:val="00E538F1"/>
    <w:rsid w:val="00E53BE8"/>
    <w:rsid w:val="00E53F6B"/>
    <w:rsid w:val="00E54422"/>
    <w:rsid w:val="00E54620"/>
    <w:rsid w:val="00E546AF"/>
    <w:rsid w:val="00E54A0A"/>
    <w:rsid w:val="00E54AC8"/>
    <w:rsid w:val="00E550DF"/>
    <w:rsid w:val="00E557E4"/>
    <w:rsid w:val="00E558B9"/>
    <w:rsid w:val="00E55E09"/>
    <w:rsid w:val="00E562ED"/>
    <w:rsid w:val="00E56A25"/>
    <w:rsid w:val="00E571CB"/>
    <w:rsid w:val="00E6042D"/>
    <w:rsid w:val="00E61006"/>
    <w:rsid w:val="00E617BF"/>
    <w:rsid w:val="00E61BCC"/>
    <w:rsid w:val="00E61C35"/>
    <w:rsid w:val="00E62038"/>
    <w:rsid w:val="00E6215A"/>
    <w:rsid w:val="00E627C3"/>
    <w:rsid w:val="00E62A03"/>
    <w:rsid w:val="00E62E22"/>
    <w:rsid w:val="00E63020"/>
    <w:rsid w:val="00E63804"/>
    <w:rsid w:val="00E6381D"/>
    <w:rsid w:val="00E639AC"/>
    <w:rsid w:val="00E639B0"/>
    <w:rsid w:val="00E63D97"/>
    <w:rsid w:val="00E646EF"/>
    <w:rsid w:val="00E647AD"/>
    <w:rsid w:val="00E64ADF"/>
    <w:rsid w:val="00E64BA0"/>
    <w:rsid w:val="00E64D42"/>
    <w:rsid w:val="00E65973"/>
    <w:rsid w:val="00E65A22"/>
    <w:rsid w:val="00E65A69"/>
    <w:rsid w:val="00E65C78"/>
    <w:rsid w:val="00E674E8"/>
    <w:rsid w:val="00E67C83"/>
    <w:rsid w:val="00E70078"/>
    <w:rsid w:val="00E70260"/>
    <w:rsid w:val="00E70576"/>
    <w:rsid w:val="00E7060C"/>
    <w:rsid w:val="00E7090D"/>
    <w:rsid w:val="00E70BBE"/>
    <w:rsid w:val="00E71264"/>
    <w:rsid w:val="00E712C7"/>
    <w:rsid w:val="00E712DF"/>
    <w:rsid w:val="00E71915"/>
    <w:rsid w:val="00E71FEB"/>
    <w:rsid w:val="00E73C46"/>
    <w:rsid w:val="00E7413C"/>
    <w:rsid w:val="00E76A63"/>
    <w:rsid w:val="00E76C59"/>
    <w:rsid w:val="00E771E2"/>
    <w:rsid w:val="00E77401"/>
    <w:rsid w:val="00E775D0"/>
    <w:rsid w:val="00E77899"/>
    <w:rsid w:val="00E77E64"/>
    <w:rsid w:val="00E800DD"/>
    <w:rsid w:val="00E80116"/>
    <w:rsid w:val="00E81232"/>
    <w:rsid w:val="00E8143C"/>
    <w:rsid w:val="00E814F2"/>
    <w:rsid w:val="00E8152F"/>
    <w:rsid w:val="00E8181E"/>
    <w:rsid w:val="00E81A3B"/>
    <w:rsid w:val="00E81D1C"/>
    <w:rsid w:val="00E82169"/>
    <w:rsid w:val="00E8218A"/>
    <w:rsid w:val="00E82427"/>
    <w:rsid w:val="00E8258D"/>
    <w:rsid w:val="00E826F2"/>
    <w:rsid w:val="00E828C4"/>
    <w:rsid w:val="00E82C61"/>
    <w:rsid w:val="00E82D69"/>
    <w:rsid w:val="00E83A75"/>
    <w:rsid w:val="00E83AF3"/>
    <w:rsid w:val="00E83B0E"/>
    <w:rsid w:val="00E83B4B"/>
    <w:rsid w:val="00E83E7D"/>
    <w:rsid w:val="00E84404"/>
    <w:rsid w:val="00E84688"/>
    <w:rsid w:val="00E846CC"/>
    <w:rsid w:val="00E84792"/>
    <w:rsid w:val="00E84CAA"/>
    <w:rsid w:val="00E854C6"/>
    <w:rsid w:val="00E85517"/>
    <w:rsid w:val="00E8579D"/>
    <w:rsid w:val="00E85E7B"/>
    <w:rsid w:val="00E864E7"/>
    <w:rsid w:val="00E867B0"/>
    <w:rsid w:val="00E86CB5"/>
    <w:rsid w:val="00E8762B"/>
    <w:rsid w:val="00E8783E"/>
    <w:rsid w:val="00E87BC0"/>
    <w:rsid w:val="00E87D75"/>
    <w:rsid w:val="00E9025F"/>
    <w:rsid w:val="00E90609"/>
    <w:rsid w:val="00E9091E"/>
    <w:rsid w:val="00E9169C"/>
    <w:rsid w:val="00E916CF"/>
    <w:rsid w:val="00E917D7"/>
    <w:rsid w:val="00E918FA"/>
    <w:rsid w:val="00E92069"/>
    <w:rsid w:val="00E927C2"/>
    <w:rsid w:val="00E92F73"/>
    <w:rsid w:val="00E939B4"/>
    <w:rsid w:val="00E93C73"/>
    <w:rsid w:val="00E941EA"/>
    <w:rsid w:val="00E94225"/>
    <w:rsid w:val="00E9486B"/>
    <w:rsid w:val="00E94C9B"/>
    <w:rsid w:val="00E94FAB"/>
    <w:rsid w:val="00E96426"/>
    <w:rsid w:val="00E964EC"/>
    <w:rsid w:val="00E971A4"/>
    <w:rsid w:val="00E979E5"/>
    <w:rsid w:val="00EA00B4"/>
    <w:rsid w:val="00EA05D4"/>
    <w:rsid w:val="00EA06D6"/>
    <w:rsid w:val="00EA076D"/>
    <w:rsid w:val="00EA0AD5"/>
    <w:rsid w:val="00EA0D33"/>
    <w:rsid w:val="00EA172F"/>
    <w:rsid w:val="00EA18F6"/>
    <w:rsid w:val="00EA1ADA"/>
    <w:rsid w:val="00EA1B06"/>
    <w:rsid w:val="00EA1BE2"/>
    <w:rsid w:val="00EA2288"/>
    <w:rsid w:val="00EA2BFE"/>
    <w:rsid w:val="00EA2FA8"/>
    <w:rsid w:val="00EA3373"/>
    <w:rsid w:val="00EA3383"/>
    <w:rsid w:val="00EA3955"/>
    <w:rsid w:val="00EA3D2D"/>
    <w:rsid w:val="00EA3F05"/>
    <w:rsid w:val="00EA443A"/>
    <w:rsid w:val="00EA4FD8"/>
    <w:rsid w:val="00EA50EA"/>
    <w:rsid w:val="00EA521A"/>
    <w:rsid w:val="00EA54A5"/>
    <w:rsid w:val="00EA55BD"/>
    <w:rsid w:val="00EA5627"/>
    <w:rsid w:val="00EA5EA6"/>
    <w:rsid w:val="00EA620B"/>
    <w:rsid w:val="00EA6728"/>
    <w:rsid w:val="00EA6794"/>
    <w:rsid w:val="00EA67B5"/>
    <w:rsid w:val="00EA6DF3"/>
    <w:rsid w:val="00EA6E87"/>
    <w:rsid w:val="00EA73A8"/>
    <w:rsid w:val="00EA7562"/>
    <w:rsid w:val="00EA75C8"/>
    <w:rsid w:val="00EA783C"/>
    <w:rsid w:val="00EA7D19"/>
    <w:rsid w:val="00EB0A32"/>
    <w:rsid w:val="00EB106E"/>
    <w:rsid w:val="00EB1CA1"/>
    <w:rsid w:val="00EB1DD2"/>
    <w:rsid w:val="00EB1FA6"/>
    <w:rsid w:val="00EB2075"/>
    <w:rsid w:val="00EB2451"/>
    <w:rsid w:val="00EB2720"/>
    <w:rsid w:val="00EB295A"/>
    <w:rsid w:val="00EB2D01"/>
    <w:rsid w:val="00EB2EF9"/>
    <w:rsid w:val="00EB2FE3"/>
    <w:rsid w:val="00EB3CA9"/>
    <w:rsid w:val="00EB4135"/>
    <w:rsid w:val="00EB42D3"/>
    <w:rsid w:val="00EB42F0"/>
    <w:rsid w:val="00EB4454"/>
    <w:rsid w:val="00EB4E12"/>
    <w:rsid w:val="00EB5082"/>
    <w:rsid w:val="00EB50A1"/>
    <w:rsid w:val="00EB525D"/>
    <w:rsid w:val="00EB5503"/>
    <w:rsid w:val="00EB5682"/>
    <w:rsid w:val="00EB5733"/>
    <w:rsid w:val="00EB5957"/>
    <w:rsid w:val="00EB5C92"/>
    <w:rsid w:val="00EB6697"/>
    <w:rsid w:val="00EB69F5"/>
    <w:rsid w:val="00EC01C2"/>
    <w:rsid w:val="00EC02B7"/>
    <w:rsid w:val="00EC0496"/>
    <w:rsid w:val="00EC08E8"/>
    <w:rsid w:val="00EC0CCF"/>
    <w:rsid w:val="00EC0DD4"/>
    <w:rsid w:val="00EC13F4"/>
    <w:rsid w:val="00EC1D22"/>
    <w:rsid w:val="00EC27D8"/>
    <w:rsid w:val="00EC3120"/>
    <w:rsid w:val="00EC323C"/>
    <w:rsid w:val="00EC349E"/>
    <w:rsid w:val="00EC362B"/>
    <w:rsid w:val="00EC367C"/>
    <w:rsid w:val="00EC4076"/>
    <w:rsid w:val="00EC458D"/>
    <w:rsid w:val="00EC45D3"/>
    <w:rsid w:val="00EC4DFE"/>
    <w:rsid w:val="00EC525C"/>
    <w:rsid w:val="00EC5289"/>
    <w:rsid w:val="00EC5330"/>
    <w:rsid w:val="00EC554F"/>
    <w:rsid w:val="00EC58EA"/>
    <w:rsid w:val="00EC5A64"/>
    <w:rsid w:val="00EC5BDF"/>
    <w:rsid w:val="00EC5CA4"/>
    <w:rsid w:val="00EC5F8E"/>
    <w:rsid w:val="00EC6088"/>
    <w:rsid w:val="00EC6355"/>
    <w:rsid w:val="00EC691C"/>
    <w:rsid w:val="00EC6E33"/>
    <w:rsid w:val="00EC7403"/>
    <w:rsid w:val="00EC7760"/>
    <w:rsid w:val="00EC7C1C"/>
    <w:rsid w:val="00ED01B9"/>
    <w:rsid w:val="00ED01F4"/>
    <w:rsid w:val="00ED06D3"/>
    <w:rsid w:val="00ED0C8B"/>
    <w:rsid w:val="00ED0E5A"/>
    <w:rsid w:val="00ED19DC"/>
    <w:rsid w:val="00ED2691"/>
    <w:rsid w:val="00ED27C0"/>
    <w:rsid w:val="00ED3153"/>
    <w:rsid w:val="00ED361A"/>
    <w:rsid w:val="00ED37A2"/>
    <w:rsid w:val="00ED39E8"/>
    <w:rsid w:val="00ED3D16"/>
    <w:rsid w:val="00ED3F37"/>
    <w:rsid w:val="00ED4958"/>
    <w:rsid w:val="00ED4A78"/>
    <w:rsid w:val="00ED4ABD"/>
    <w:rsid w:val="00ED53E2"/>
    <w:rsid w:val="00ED5971"/>
    <w:rsid w:val="00ED60B6"/>
    <w:rsid w:val="00ED6E79"/>
    <w:rsid w:val="00ED7C6B"/>
    <w:rsid w:val="00EE0D60"/>
    <w:rsid w:val="00EE11AB"/>
    <w:rsid w:val="00EE150F"/>
    <w:rsid w:val="00EE158A"/>
    <w:rsid w:val="00EE1683"/>
    <w:rsid w:val="00EE1C39"/>
    <w:rsid w:val="00EE1D6D"/>
    <w:rsid w:val="00EE2045"/>
    <w:rsid w:val="00EE21A1"/>
    <w:rsid w:val="00EE2235"/>
    <w:rsid w:val="00EE22D7"/>
    <w:rsid w:val="00EE28B3"/>
    <w:rsid w:val="00EE2A59"/>
    <w:rsid w:val="00EE2AA9"/>
    <w:rsid w:val="00EE2C9D"/>
    <w:rsid w:val="00EE2D84"/>
    <w:rsid w:val="00EE2EBE"/>
    <w:rsid w:val="00EE3390"/>
    <w:rsid w:val="00EE380B"/>
    <w:rsid w:val="00EE3D10"/>
    <w:rsid w:val="00EE4020"/>
    <w:rsid w:val="00EE51EF"/>
    <w:rsid w:val="00EE53A7"/>
    <w:rsid w:val="00EE54F8"/>
    <w:rsid w:val="00EE6B99"/>
    <w:rsid w:val="00EE6D62"/>
    <w:rsid w:val="00EE6E2F"/>
    <w:rsid w:val="00EE72F5"/>
    <w:rsid w:val="00EE746E"/>
    <w:rsid w:val="00EE74B2"/>
    <w:rsid w:val="00EE7809"/>
    <w:rsid w:val="00EE7A2A"/>
    <w:rsid w:val="00EE7C70"/>
    <w:rsid w:val="00EE7F0D"/>
    <w:rsid w:val="00EF07B3"/>
    <w:rsid w:val="00EF086D"/>
    <w:rsid w:val="00EF0DB6"/>
    <w:rsid w:val="00EF1A7C"/>
    <w:rsid w:val="00EF1C4C"/>
    <w:rsid w:val="00EF2779"/>
    <w:rsid w:val="00EF286E"/>
    <w:rsid w:val="00EF2BEA"/>
    <w:rsid w:val="00EF33EF"/>
    <w:rsid w:val="00EF3B04"/>
    <w:rsid w:val="00EF3B13"/>
    <w:rsid w:val="00EF3C6B"/>
    <w:rsid w:val="00EF3E6A"/>
    <w:rsid w:val="00EF40CE"/>
    <w:rsid w:val="00EF4272"/>
    <w:rsid w:val="00EF42A1"/>
    <w:rsid w:val="00EF4579"/>
    <w:rsid w:val="00EF48B3"/>
    <w:rsid w:val="00EF4B87"/>
    <w:rsid w:val="00EF4CF9"/>
    <w:rsid w:val="00EF4DE3"/>
    <w:rsid w:val="00EF4FD3"/>
    <w:rsid w:val="00EF5961"/>
    <w:rsid w:val="00EF5E9E"/>
    <w:rsid w:val="00EF7255"/>
    <w:rsid w:val="00EF76AD"/>
    <w:rsid w:val="00EF7ADC"/>
    <w:rsid w:val="00F0015C"/>
    <w:rsid w:val="00F008C7"/>
    <w:rsid w:val="00F00BC1"/>
    <w:rsid w:val="00F01545"/>
    <w:rsid w:val="00F0163F"/>
    <w:rsid w:val="00F01725"/>
    <w:rsid w:val="00F01E71"/>
    <w:rsid w:val="00F01FFF"/>
    <w:rsid w:val="00F020B3"/>
    <w:rsid w:val="00F0219E"/>
    <w:rsid w:val="00F0225F"/>
    <w:rsid w:val="00F02577"/>
    <w:rsid w:val="00F0275C"/>
    <w:rsid w:val="00F02804"/>
    <w:rsid w:val="00F028E8"/>
    <w:rsid w:val="00F02CD2"/>
    <w:rsid w:val="00F02EC7"/>
    <w:rsid w:val="00F03243"/>
    <w:rsid w:val="00F0345B"/>
    <w:rsid w:val="00F03665"/>
    <w:rsid w:val="00F038A2"/>
    <w:rsid w:val="00F040CC"/>
    <w:rsid w:val="00F05052"/>
    <w:rsid w:val="00F05778"/>
    <w:rsid w:val="00F05B75"/>
    <w:rsid w:val="00F05D69"/>
    <w:rsid w:val="00F05E1E"/>
    <w:rsid w:val="00F05FA3"/>
    <w:rsid w:val="00F05FE5"/>
    <w:rsid w:val="00F062E0"/>
    <w:rsid w:val="00F0665B"/>
    <w:rsid w:val="00F066DA"/>
    <w:rsid w:val="00F06768"/>
    <w:rsid w:val="00F06AA0"/>
    <w:rsid w:val="00F06DAB"/>
    <w:rsid w:val="00F06F57"/>
    <w:rsid w:val="00F07222"/>
    <w:rsid w:val="00F07CF6"/>
    <w:rsid w:val="00F07F20"/>
    <w:rsid w:val="00F102C1"/>
    <w:rsid w:val="00F1045B"/>
    <w:rsid w:val="00F107EC"/>
    <w:rsid w:val="00F10B73"/>
    <w:rsid w:val="00F10D58"/>
    <w:rsid w:val="00F11124"/>
    <w:rsid w:val="00F112A7"/>
    <w:rsid w:val="00F119AD"/>
    <w:rsid w:val="00F11AC4"/>
    <w:rsid w:val="00F11C87"/>
    <w:rsid w:val="00F11D81"/>
    <w:rsid w:val="00F12176"/>
    <w:rsid w:val="00F12281"/>
    <w:rsid w:val="00F122CD"/>
    <w:rsid w:val="00F124FB"/>
    <w:rsid w:val="00F1258B"/>
    <w:rsid w:val="00F12C81"/>
    <w:rsid w:val="00F12E67"/>
    <w:rsid w:val="00F131C2"/>
    <w:rsid w:val="00F1337F"/>
    <w:rsid w:val="00F13647"/>
    <w:rsid w:val="00F138B5"/>
    <w:rsid w:val="00F1451D"/>
    <w:rsid w:val="00F14C1E"/>
    <w:rsid w:val="00F14E42"/>
    <w:rsid w:val="00F15794"/>
    <w:rsid w:val="00F15FE6"/>
    <w:rsid w:val="00F16D00"/>
    <w:rsid w:val="00F17082"/>
    <w:rsid w:val="00F17570"/>
    <w:rsid w:val="00F17639"/>
    <w:rsid w:val="00F17BBF"/>
    <w:rsid w:val="00F17C19"/>
    <w:rsid w:val="00F17C67"/>
    <w:rsid w:val="00F17D40"/>
    <w:rsid w:val="00F20734"/>
    <w:rsid w:val="00F20870"/>
    <w:rsid w:val="00F20B8C"/>
    <w:rsid w:val="00F21756"/>
    <w:rsid w:val="00F218EC"/>
    <w:rsid w:val="00F2206A"/>
    <w:rsid w:val="00F224B2"/>
    <w:rsid w:val="00F22765"/>
    <w:rsid w:val="00F22BEF"/>
    <w:rsid w:val="00F232CA"/>
    <w:rsid w:val="00F232F3"/>
    <w:rsid w:val="00F23741"/>
    <w:rsid w:val="00F2378E"/>
    <w:rsid w:val="00F2390E"/>
    <w:rsid w:val="00F2395B"/>
    <w:rsid w:val="00F23BD5"/>
    <w:rsid w:val="00F24BED"/>
    <w:rsid w:val="00F25420"/>
    <w:rsid w:val="00F2591F"/>
    <w:rsid w:val="00F25CA9"/>
    <w:rsid w:val="00F26059"/>
    <w:rsid w:val="00F26203"/>
    <w:rsid w:val="00F265BF"/>
    <w:rsid w:val="00F26865"/>
    <w:rsid w:val="00F26A58"/>
    <w:rsid w:val="00F26BCF"/>
    <w:rsid w:val="00F26DC4"/>
    <w:rsid w:val="00F26FE2"/>
    <w:rsid w:val="00F273E8"/>
    <w:rsid w:val="00F2775E"/>
    <w:rsid w:val="00F2796F"/>
    <w:rsid w:val="00F27CD5"/>
    <w:rsid w:val="00F30753"/>
    <w:rsid w:val="00F30823"/>
    <w:rsid w:val="00F30B4D"/>
    <w:rsid w:val="00F30B80"/>
    <w:rsid w:val="00F30E8B"/>
    <w:rsid w:val="00F316D5"/>
    <w:rsid w:val="00F31806"/>
    <w:rsid w:val="00F31F79"/>
    <w:rsid w:val="00F320A8"/>
    <w:rsid w:val="00F324BC"/>
    <w:rsid w:val="00F32BBC"/>
    <w:rsid w:val="00F332FB"/>
    <w:rsid w:val="00F334BE"/>
    <w:rsid w:val="00F33E46"/>
    <w:rsid w:val="00F340D6"/>
    <w:rsid w:val="00F34153"/>
    <w:rsid w:val="00F341A7"/>
    <w:rsid w:val="00F3443D"/>
    <w:rsid w:val="00F34E73"/>
    <w:rsid w:val="00F35243"/>
    <w:rsid w:val="00F353B2"/>
    <w:rsid w:val="00F35919"/>
    <w:rsid w:val="00F35D2C"/>
    <w:rsid w:val="00F35D3D"/>
    <w:rsid w:val="00F36224"/>
    <w:rsid w:val="00F36302"/>
    <w:rsid w:val="00F363CE"/>
    <w:rsid w:val="00F36423"/>
    <w:rsid w:val="00F3644A"/>
    <w:rsid w:val="00F3645D"/>
    <w:rsid w:val="00F36494"/>
    <w:rsid w:val="00F3697A"/>
    <w:rsid w:val="00F370F2"/>
    <w:rsid w:val="00F37121"/>
    <w:rsid w:val="00F37284"/>
    <w:rsid w:val="00F374C3"/>
    <w:rsid w:val="00F37546"/>
    <w:rsid w:val="00F375B6"/>
    <w:rsid w:val="00F37A50"/>
    <w:rsid w:val="00F37D53"/>
    <w:rsid w:val="00F40009"/>
    <w:rsid w:val="00F40259"/>
    <w:rsid w:val="00F405D0"/>
    <w:rsid w:val="00F412AE"/>
    <w:rsid w:val="00F41439"/>
    <w:rsid w:val="00F41496"/>
    <w:rsid w:val="00F416C4"/>
    <w:rsid w:val="00F41B9E"/>
    <w:rsid w:val="00F41D89"/>
    <w:rsid w:val="00F42721"/>
    <w:rsid w:val="00F43367"/>
    <w:rsid w:val="00F433F2"/>
    <w:rsid w:val="00F4355C"/>
    <w:rsid w:val="00F4379B"/>
    <w:rsid w:val="00F437FA"/>
    <w:rsid w:val="00F43E06"/>
    <w:rsid w:val="00F440C4"/>
    <w:rsid w:val="00F447BF"/>
    <w:rsid w:val="00F44912"/>
    <w:rsid w:val="00F44959"/>
    <w:rsid w:val="00F44973"/>
    <w:rsid w:val="00F44B44"/>
    <w:rsid w:val="00F44EE2"/>
    <w:rsid w:val="00F45013"/>
    <w:rsid w:val="00F45173"/>
    <w:rsid w:val="00F456F6"/>
    <w:rsid w:val="00F45990"/>
    <w:rsid w:val="00F45AF2"/>
    <w:rsid w:val="00F45E33"/>
    <w:rsid w:val="00F45F26"/>
    <w:rsid w:val="00F46452"/>
    <w:rsid w:val="00F467BE"/>
    <w:rsid w:val="00F46CE7"/>
    <w:rsid w:val="00F46CEF"/>
    <w:rsid w:val="00F46D8E"/>
    <w:rsid w:val="00F46EA4"/>
    <w:rsid w:val="00F46EEB"/>
    <w:rsid w:val="00F46FC5"/>
    <w:rsid w:val="00F4705B"/>
    <w:rsid w:val="00F47209"/>
    <w:rsid w:val="00F477AC"/>
    <w:rsid w:val="00F478BE"/>
    <w:rsid w:val="00F47E75"/>
    <w:rsid w:val="00F47E9C"/>
    <w:rsid w:val="00F47FA7"/>
    <w:rsid w:val="00F5008A"/>
    <w:rsid w:val="00F50642"/>
    <w:rsid w:val="00F50B75"/>
    <w:rsid w:val="00F5147F"/>
    <w:rsid w:val="00F51B1A"/>
    <w:rsid w:val="00F51CE4"/>
    <w:rsid w:val="00F51F74"/>
    <w:rsid w:val="00F52138"/>
    <w:rsid w:val="00F5356C"/>
    <w:rsid w:val="00F538C7"/>
    <w:rsid w:val="00F53BF7"/>
    <w:rsid w:val="00F53FD7"/>
    <w:rsid w:val="00F54786"/>
    <w:rsid w:val="00F549F4"/>
    <w:rsid w:val="00F54A30"/>
    <w:rsid w:val="00F54B92"/>
    <w:rsid w:val="00F55DA7"/>
    <w:rsid w:val="00F564F3"/>
    <w:rsid w:val="00F566DA"/>
    <w:rsid w:val="00F56876"/>
    <w:rsid w:val="00F56999"/>
    <w:rsid w:val="00F56BE2"/>
    <w:rsid w:val="00F57BB1"/>
    <w:rsid w:val="00F608E2"/>
    <w:rsid w:val="00F609F1"/>
    <w:rsid w:val="00F60A40"/>
    <w:rsid w:val="00F60BE6"/>
    <w:rsid w:val="00F60D8C"/>
    <w:rsid w:val="00F60F59"/>
    <w:rsid w:val="00F61483"/>
    <w:rsid w:val="00F61A23"/>
    <w:rsid w:val="00F61CA5"/>
    <w:rsid w:val="00F61E24"/>
    <w:rsid w:val="00F62080"/>
    <w:rsid w:val="00F623E2"/>
    <w:rsid w:val="00F625EA"/>
    <w:rsid w:val="00F63349"/>
    <w:rsid w:val="00F637D1"/>
    <w:rsid w:val="00F638CF"/>
    <w:rsid w:val="00F63B67"/>
    <w:rsid w:val="00F64042"/>
    <w:rsid w:val="00F641E4"/>
    <w:rsid w:val="00F64769"/>
    <w:rsid w:val="00F64998"/>
    <w:rsid w:val="00F64B9B"/>
    <w:rsid w:val="00F64F71"/>
    <w:rsid w:val="00F65BD8"/>
    <w:rsid w:val="00F65C6A"/>
    <w:rsid w:val="00F66062"/>
    <w:rsid w:val="00F664E0"/>
    <w:rsid w:val="00F6671A"/>
    <w:rsid w:val="00F66967"/>
    <w:rsid w:val="00F66BCE"/>
    <w:rsid w:val="00F66FCD"/>
    <w:rsid w:val="00F6705E"/>
    <w:rsid w:val="00F671C4"/>
    <w:rsid w:val="00F673C9"/>
    <w:rsid w:val="00F677F3"/>
    <w:rsid w:val="00F67FCA"/>
    <w:rsid w:val="00F70325"/>
    <w:rsid w:val="00F70620"/>
    <w:rsid w:val="00F708B9"/>
    <w:rsid w:val="00F70A94"/>
    <w:rsid w:val="00F70BC9"/>
    <w:rsid w:val="00F71461"/>
    <w:rsid w:val="00F7176D"/>
    <w:rsid w:val="00F71B46"/>
    <w:rsid w:val="00F71C25"/>
    <w:rsid w:val="00F726AE"/>
    <w:rsid w:val="00F72810"/>
    <w:rsid w:val="00F72DC8"/>
    <w:rsid w:val="00F73190"/>
    <w:rsid w:val="00F73429"/>
    <w:rsid w:val="00F73519"/>
    <w:rsid w:val="00F737BD"/>
    <w:rsid w:val="00F73932"/>
    <w:rsid w:val="00F73B18"/>
    <w:rsid w:val="00F74075"/>
    <w:rsid w:val="00F74105"/>
    <w:rsid w:val="00F7429C"/>
    <w:rsid w:val="00F74362"/>
    <w:rsid w:val="00F746AA"/>
    <w:rsid w:val="00F74758"/>
    <w:rsid w:val="00F74F31"/>
    <w:rsid w:val="00F750D0"/>
    <w:rsid w:val="00F756D9"/>
    <w:rsid w:val="00F75B56"/>
    <w:rsid w:val="00F75C56"/>
    <w:rsid w:val="00F75E29"/>
    <w:rsid w:val="00F75E43"/>
    <w:rsid w:val="00F76501"/>
    <w:rsid w:val="00F765A5"/>
    <w:rsid w:val="00F76608"/>
    <w:rsid w:val="00F769BD"/>
    <w:rsid w:val="00F76A46"/>
    <w:rsid w:val="00F76C34"/>
    <w:rsid w:val="00F76D41"/>
    <w:rsid w:val="00F7716A"/>
    <w:rsid w:val="00F77315"/>
    <w:rsid w:val="00F77469"/>
    <w:rsid w:val="00F77803"/>
    <w:rsid w:val="00F77A0E"/>
    <w:rsid w:val="00F8006B"/>
    <w:rsid w:val="00F8058C"/>
    <w:rsid w:val="00F8070C"/>
    <w:rsid w:val="00F80D60"/>
    <w:rsid w:val="00F812CB"/>
    <w:rsid w:val="00F814AE"/>
    <w:rsid w:val="00F81E32"/>
    <w:rsid w:val="00F81E41"/>
    <w:rsid w:val="00F81E75"/>
    <w:rsid w:val="00F82A21"/>
    <w:rsid w:val="00F82AF5"/>
    <w:rsid w:val="00F82DFC"/>
    <w:rsid w:val="00F82F7A"/>
    <w:rsid w:val="00F82FE6"/>
    <w:rsid w:val="00F831FD"/>
    <w:rsid w:val="00F8348A"/>
    <w:rsid w:val="00F8380E"/>
    <w:rsid w:val="00F838F5"/>
    <w:rsid w:val="00F83AB6"/>
    <w:rsid w:val="00F84006"/>
    <w:rsid w:val="00F841B7"/>
    <w:rsid w:val="00F84409"/>
    <w:rsid w:val="00F845D6"/>
    <w:rsid w:val="00F854C0"/>
    <w:rsid w:val="00F857F9"/>
    <w:rsid w:val="00F85A4E"/>
    <w:rsid w:val="00F85C88"/>
    <w:rsid w:val="00F85E34"/>
    <w:rsid w:val="00F860BD"/>
    <w:rsid w:val="00F86879"/>
    <w:rsid w:val="00F86988"/>
    <w:rsid w:val="00F86BA7"/>
    <w:rsid w:val="00F86C2D"/>
    <w:rsid w:val="00F86E04"/>
    <w:rsid w:val="00F86F4F"/>
    <w:rsid w:val="00F87090"/>
    <w:rsid w:val="00F87674"/>
    <w:rsid w:val="00F87DC5"/>
    <w:rsid w:val="00F9021F"/>
    <w:rsid w:val="00F9065C"/>
    <w:rsid w:val="00F9077A"/>
    <w:rsid w:val="00F90CF6"/>
    <w:rsid w:val="00F90D79"/>
    <w:rsid w:val="00F90D7B"/>
    <w:rsid w:val="00F90F95"/>
    <w:rsid w:val="00F910C8"/>
    <w:rsid w:val="00F91E6F"/>
    <w:rsid w:val="00F92813"/>
    <w:rsid w:val="00F92E6C"/>
    <w:rsid w:val="00F9301E"/>
    <w:rsid w:val="00F93189"/>
    <w:rsid w:val="00F939EA"/>
    <w:rsid w:val="00F94244"/>
    <w:rsid w:val="00F94396"/>
    <w:rsid w:val="00F94D30"/>
    <w:rsid w:val="00F94E12"/>
    <w:rsid w:val="00F95197"/>
    <w:rsid w:val="00F95DC9"/>
    <w:rsid w:val="00F96338"/>
    <w:rsid w:val="00F96B0C"/>
    <w:rsid w:val="00F96C90"/>
    <w:rsid w:val="00F96E0C"/>
    <w:rsid w:val="00F970CF"/>
    <w:rsid w:val="00F97150"/>
    <w:rsid w:val="00F97168"/>
    <w:rsid w:val="00F9717C"/>
    <w:rsid w:val="00F9747A"/>
    <w:rsid w:val="00F97847"/>
    <w:rsid w:val="00F97856"/>
    <w:rsid w:val="00F97A07"/>
    <w:rsid w:val="00FA0302"/>
    <w:rsid w:val="00FA0561"/>
    <w:rsid w:val="00FA05CE"/>
    <w:rsid w:val="00FA0C69"/>
    <w:rsid w:val="00FA0DD6"/>
    <w:rsid w:val="00FA0E29"/>
    <w:rsid w:val="00FA0F38"/>
    <w:rsid w:val="00FA0F3B"/>
    <w:rsid w:val="00FA101E"/>
    <w:rsid w:val="00FA130D"/>
    <w:rsid w:val="00FA13EF"/>
    <w:rsid w:val="00FA1695"/>
    <w:rsid w:val="00FA199C"/>
    <w:rsid w:val="00FA1FA3"/>
    <w:rsid w:val="00FA222E"/>
    <w:rsid w:val="00FA2ABE"/>
    <w:rsid w:val="00FA2D2B"/>
    <w:rsid w:val="00FA2DEF"/>
    <w:rsid w:val="00FA39A3"/>
    <w:rsid w:val="00FA3A9E"/>
    <w:rsid w:val="00FA3B3E"/>
    <w:rsid w:val="00FA3BA8"/>
    <w:rsid w:val="00FA3CFE"/>
    <w:rsid w:val="00FA3E9E"/>
    <w:rsid w:val="00FA4320"/>
    <w:rsid w:val="00FA44DB"/>
    <w:rsid w:val="00FA471E"/>
    <w:rsid w:val="00FA4960"/>
    <w:rsid w:val="00FA4D9F"/>
    <w:rsid w:val="00FA5C2F"/>
    <w:rsid w:val="00FA615F"/>
    <w:rsid w:val="00FA6440"/>
    <w:rsid w:val="00FA6553"/>
    <w:rsid w:val="00FA6705"/>
    <w:rsid w:val="00FA6A7B"/>
    <w:rsid w:val="00FA6B48"/>
    <w:rsid w:val="00FA6C1E"/>
    <w:rsid w:val="00FA6EF8"/>
    <w:rsid w:val="00FA718B"/>
    <w:rsid w:val="00FA7200"/>
    <w:rsid w:val="00FA7381"/>
    <w:rsid w:val="00FA766E"/>
    <w:rsid w:val="00FA77FB"/>
    <w:rsid w:val="00FA7809"/>
    <w:rsid w:val="00FA7C90"/>
    <w:rsid w:val="00FA7F1F"/>
    <w:rsid w:val="00FB07EB"/>
    <w:rsid w:val="00FB1000"/>
    <w:rsid w:val="00FB1C50"/>
    <w:rsid w:val="00FB1F02"/>
    <w:rsid w:val="00FB241D"/>
    <w:rsid w:val="00FB29D8"/>
    <w:rsid w:val="00FB2E3E"/>
    <w:rsid w:val="00FB36D1"/>
    <w:rsid w:val="00FB370F"/>
    <w:rsid w:val="00FB3837"/>
    <w:rsid w:val="00FB388A"/>
    <w:rsid w:val="00FB3AEE"/>
    <w:rsid w:val="00FB3D53"/>
    <w:rsid w:val="00FB3D96"/>
    <w:rsid w:val="00FB4049"/>
    <w:rsid w:val="00FB434F"/>
    <w:rsid w:val="00FB4645"/>
    <w:rsid w:val="00FB4AA2"/>
    <w:rsid w:val="00FB53F8"/>
    <w:rsid w:val="00FB54AE"/>
    <w:rsid w:val="00FB580E"/>
    <w:rsid w:val="00FB5A2B"/>
    <w:rsid w:val="00FB5B87"/>
    <w:rsid w:val="00FB5C45"/>
    <w:rsid w:val="00FB625F"/>
    <w:rsid w:val="00FB653E"/>
    <w:rsid w:val="00FB6732"/>
    <w:rsid w:val="00FB69F1"/>
    <w:rsid w:val="00FB71CE"/>
    <w:rsid w:val="00FB7274"/>
    <w:rsid w:val="00FB74A0"/>
    <w:rsid w:val="00FB7558"/>
    <w:rsid w:val="00FB7A6F"/>
    <w:rsid w:val="00FB7F81"/>
    <w:rsid w:val="00FC06B3"/>
    <w:rsid w:val="00FC0982"/>
    <w:rsid w:val="00FC14C3"/>
    <w:rsid w:val="00FC16FB"/>
    <w:rsid w:val="00FC18FC"/>
    <w:rsid w:val="00FC1A1D"/>
    <w:rsid w:val="00FC1D77"/>
    <w:rsid w:val="00FC1F1F"/>
    <w:rsid w:val="00FC2836"/>
    <w:rsid w:val="00FC2997"/>
    <w:rsid w:val="00FC2A3E"/>
    <w:rsid w:val="00FC31F0"/>
    <w:rsid w:val="00FC337F"/>
    <w:rsid w:val="00FC3FCE"/>
    <w:rsid w:val="00FC4736"/>
    <w:rsid w:val="00FC4A90"/>
    <w:rsid w:val="00FC4B8B"/>
    <w:rsid w:val="00FC4E50"/>
    <w:rsid w:val="00FC5220"/>
    <w:rsid w:val="00FC538B"/>
    <w:rsid w:val="00FC5845"/>
    <w:rsid w:val="00FC5982"/>
    <w:rsid w:val="00FC62E0"/>
    <w:rsid w:val="00FC661B"/>
    <w:rsid w:val="00FC6712"/>
    <w:rsid w:val="00FC6754"/>
    <w:rsid w:val="00FC6981"/>
    <w:rsid w:val="00FC6A14"/>
    <w:rsid w:val="00FC7038"/>
    <w:rsid w:val="00FC710D"/>
    <w:rsid w:val="00FC743E"/>
    <w:rsid w:val="00FC7F44"/>
    <w:rsid w:val="00FD02EF"/>
    <w:rsid w:val="00FD0517"/>
    <w:rsid w:val="00FD0817"/>
    <w:rsid w:val="00FD09B0"/>
    <w:rsid w:val="00FD09C6"/>
    <w:rsid w:val="00FD0ABD"/>
    <w:rsid w:val="00FD0D30"/>
    <w:rsid w:val="00FD0D5F"/>
    <w:rsid w:val="00FD0EDE"/>
    <w:rsid w:val="00FD1574"/>
    <w:rsid w:val="00FD1581"/>
    <w:rsid w:val="00FD1B72"/>
    <w:rsid w:val="00FD1BF5"/>
    <w:rsid w:val="00FD1F72"/>
    <w:rsid w:val="00FD2209"/>
    <w:rsid w:val="00FD224C"/>
    <w:rsid w:val="00FD27CB"/>
    <w:rsid w:val="00FD2C49"/>
    <w:rsid w:val="00FD3018"/>
    <w:rsid w:val="00FD3347"/>
    <w:rsid w:val="00FD3413"/>
    <w:rsid w:val="00FD39C3"/>
    <w:rsid w:val="00FD404E"/>
    <w:rsid w:val="00FD40F8"/>
    <w:rsid w:val="00FD412E"/>
    <w:rsid w:val="00FD4359"/>
    <w:rsid w:val="00FD45A2"/>
    <w:rsid w:val="00FD4766"/>
    <w:rsid w:val="00FD4958"/>
    <w:rsid w:val="00FD4EAB"/>
    <w:rsid w:val="00FD50DE"/>
    <w:rsid w:val="00FD52A9"/>
    <w:rsid w:val="00FD54E1"/>
    <w:rsid w:val="00FD586A"/>
    <w:rsid w:val="00FD5876"/>
    <w:rsid w:val="00FD5CA0"/>
    <w:rsid w:val="00FD667D"/>
    <w:rsid w:val="00FD66E7"/>
    <w:rsid w:val="00FD689C"/>
    <w:rsid w:val="00FD6E58"/>
    <w:rsid w:val="00FD73EF"/>
    <w:rsid w:val="00FD7CFB"/>
    <w:rsid w:val="00FD7D92"/>
    <w:rsid w:val="00FE089C"/>
    <w:rsid w:val="00FE090B"/>
    <w:rsid w:val="00FE0923"/>
    <w:rsid w:val="00FE0AA8"/>
    <w:rsid w:val="00FE102A"/>
    <w:rsid w:val="00FE10AF"/>
    <w:rsid w:val="00FE10C4"/>
    <w:rsid w:val="00FE132C"/>
    <w:rsid w:val="00FE169D"/>
    <w:rsid w:val="00FE1FAA"/>
    <w:rsid w:val="00FE247D"/>
    <w:rsid w:val="00FE2CBB"/>
    <w:rsid w:val="00FE2D4D"/>
    <w:rsid w:val="00FE2E1F"/>
    <w:rsid w:val="00FE2E20"/>
    <w:rsid w:val="00FE3C48"/>
    <w:rsid w:val="00FE5B88"/>
    <w:rsid w:val="00FE5BD1"/>
    <w:rsid w:val="00FE5C5C"/>
    <w:rsid w:val="00FE5CCF"/>
    <w:rsid w:val="00FE642B"/>
    <w:rsid w:val="00FE6719"/>
    <w:rsid w:val="00FE6A6E"/>
    <w:rsid w:val="00FE7419"/>
    <w:rsid w:val="00FE79B0"/>
    <w:rsid w:val="00FE7AA6"/>
    <w:rsid w:val="00FF02D9"/>
    <w:rsid w:val="00FF054D"/>
    <w:rsid w:val="00FF056D"/>
    <w:rsid w:val="00FF05E2"/>
    <w:rsid w:val="00FF0A33"/>
    <w:rsid w:val="00FF1014"/>
    <w:rsid w:val="00FF11CB"/>
    <w:rsid w:val="00FF188D"/>
    <w:rsid w:val="00FF1D9F"/>
    <w:rsid w:val="00FF22D5"/>
    <w:rsid w:val="00FF24F6"/>
    <w:rsid w:val="00FF258B"/>
    <w:rsid w:val="00FF2626"/>
    <w:rsid w:val="00FF2AFA"/>
    <w:rsid w:val="00FF2D8E"/>
    <w:rsid w:val="00FF38B5"/>
    <w:rsid w:val="00FF3C3E"/>
    <w:rsid w:val="00FF3C7A"/>
    <w:rsid w:val="00FF47F3"/>
    <w:rsid w:val="00FF489B"/>
    <w:rsid w:val="00FF4AB4"/>
    <w:rsid w:val="00FF4C07"/>
    <w:rsid w:val="00FF4D65"/>
    <w:rsid w:val="00FF53F9"/>
    <w:rsid w:val="00FF5413"/>
    <w:rsid w:val="00FF56ED"/>
    <w:rsid w:val="00FF5BBD"/>
    <w:rsid w:val="00FF5DAD"/>
    <w:rsid w:val="00FF5F06"/>
    <w:rsid w:val="00FF63B0"/>
    <w:rsid w:val="00FF63D1"/>
    <w:rsid w:val="00FF643B"/>
    <w:rsid w:val="00FF6863"/>
    <w:rsid w:val="00FF7432"/>
    <w:rsid w:val="00FF7A01"/>
    <w:rsid w:val="00FF7B0F"/>
    <w:rsid w:val="00FF7B64"/>
    <w:rsid w:val="5B521271"/>
    <w:rsid w:val="5C7D4F8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unhideWhenUsed="0" w:uiPriority="39" w:semiHidden="0" w:name="toc 7"/>
    <w:lsdException w:qFormat="1" w:unhideWhenUsed="0" w:uiPriority="39" w:semiHidden="0" w:name="toc 8"/>
    <w:lsdException w:unhideWhenUsed="0" w:uiPriority="39" w:semiHidden="0" w:name="toc 9"/>
    <w:lsdException w:unhideWhenUsed="0" w:uiPriority="99"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0" w:semiHidden="0"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0" w:semiHidden="0" w:name="Title"/>
    <w:lsdException w:qFormat="1" w:unhideWhenUsed="0" w:uiPriority="0" w:semiHidden="0" w:name="Closing"/>
    <w:lsdException w:qFormat="1" w:unhideWhenUsed="0" w:uiPriority="0" w:semiHidden="0" w:name="Signature"/>
    <w:lsdException w:uiPriority="1" w:semiHidden="0" w:name="Default Paragraph Font"/>
    <w:lsdException w:qFormat="1" w:uiPriority="1"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qFormat="1" w:unhideWhenUsed="0" w:uiPriority="0" w:semiHidden="0" w:name="E-mail Signature"/>
    <w:lsdException w:unhideWhenUsed="0" w:uiPriority="0"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99" w:name="Placeholder Text"/>
    <w:lsdException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6"/>
    <w:qFormat/>
    <w:uiPriority w:val="0"/>
    <w:pPr>
      <w:keepNext/>
      <w:jc w:val="center"/>
      <w:outlineLvl w:val="0"/>
    </w:pPr>
    <w:rPr>
      <w:b/>
      <w:sz w:val="44"/>
    </w:rPr>
  </w:style>
  <w:style w:type="paragraph" w:styleId="4">
    <w:name w:val="heading 2"/>
    <w:basedOn w:val="1"/>
    <w:next w:val="1"/>
    <w:link w:val="67"/>
    <w:qFormat/>
    <w:uiPriority w:val="9"/>
    <w:pPr>
      <w:keepNext/>
      <w:keepLines/>
      <w:spacing w:before="50" w:beforeLines="50" w:after="50" w:afterLines="50" w:line="480" w:lineRule="exact"/>
      <w:outlineLvl w:val="1"/>
    </w:pPr>
    <w:rPr>
      <w:b/>
      <w:bCs/>
      <w:sz w:val="28"/>
      <w:szCs w:val="32"/>
    </w:rPr>
  </w:style>
  <w:style w:type="paragraph" w:styleId="5">
    <w:name w:val="heading 3"/>
    <w:basedOn w:val="1"/>
    <w:next w:val="1"/>
    <w:link w:val="68"/>
    <w:qFormat/>
    <w:uiPriority w:val="9"/>
    <w:pPr>
      <w:keepNext/>
      <w:keepLines/>
      <w:spacing w:before="50" w:beforeLines="50" w:after="50" w:afterLines="50" w:line="480" w:lineRule="exact"/>
      <w:outlineLvl w:val="2"/>
    </w:pPr>
    <w:rPr>
      <w:b/>
      <w:spacing w:val="6"/>
      <w:sz w:val="24"/>
      <w:szCs w:val="30"/>
    </w:rPr>
  </w:style>
  <w:style w:type="paragraph" w:styleId="2">
    <w:name w:val="heading 4"/>
    <w:basedOn w:val="1"/>
    <w:next w:val="1"/>
    <w:link w:val="65"/>
    <w:qFormat/>
    <w:uiPriority w:val="9"/>
    <w:pPr>
      <w:wordWrap w:val="0"/>
      <w:topLinePunct/>
      <w:autoSpaceDN w:val="0"/>
      <w:spacing w:line="520" w:lineRule="exact"/>
      <w:ind w:firstLine="560" w:firstLineChars="200"/>
      <w:outlineLvl w:val="3"/>
    </w:pPr>
    <w:rPr>
      <w:rFonts w:eastAsia="楷体_GB2312"/>
      <w:bCs/>
      <w:color w:val="000000"/>
      <w:sz w:val="28"/>
      <w:szCs w:val="28"/>
    </w:rPr>
  </w:style>
  <w:style w:type="paragraph" w:styleId="6">
    <w:name w:val="heading 5"/>
    <w:basedOn w:val="1"/>
    <w:next w:val="1"/>
    <w:link w:val="69"/>
    <w:qFormat/>
    <w:uiPriority w:val="9"/>
    <w:pPr>
      <w:keepNext/>
      <w:keepLines/>
      <w:spacing w:before="280" w:after="290" w:line="376" w:lineRule="auto"/>
      <w:outlineLvl w:val="4"/>
    </w:pPr>
    <w:rPr>
      <w:b/>
      <w:bCs/>
      <w:sz w:val="28"/>
      <w:szCs w:val="28"/>
    </w:rPr>
  </w:style>
  <w:style w:type="paragraph" w:styleId="7">
    <w:name w:val="heading 6"/>
    <w:basedOn w:val="1"/>
    <w:next w:val="1"/>
    <w:link w:val="70"/>
    <w:qFormat/>
    <w:uiPriority w:val="9"/>
    <w:pPr>
      <w:keepNext/>
      <w:keepLines/>
      <w:adjustRightInd w:val="0"/>
      <w:snapToGrid w:val="0"/>
      <w:spacing w:before="20" w:after="20" w:line="480" w:lineRule="exact"/>
      <w:textAlignment w:val="baseline"/>
      <w:outlineLvl w:val="5"/>
    </w:pPr>
    <w:rPr>
      <w:b/>
      <w:bCs/>
      <w:spacing w:val="4"/>
      <w:kern w:val="0"/>
      <w:sz w:val="24"/>
    </w:rPr>
  </w:style>
  <w:style w:type="paragraph" w:styleId="8">
    <w:name w:val="heading 7"/>
    <w:basedOn w:val="1"/>
    <w:next w:val="1"/>
    <w:link w:val="71"/>
    <w:qFormat/>
    <w:uiPriority w:val="0"/>
    <w:pPr>
      <w:keepNext/>
      <w:keepLines/>
      <w:spacing w:before="240" w:after="64" w:line="320" w:lineRule="auto"/>
      <w:outlineLvl w:val="6"/>
    </w:pPr>
    <w:rPr>
      <w:b/>
      <w:bCs/>
      <w:sz w:val="24"/>
    </w:rPr>
  </w:style>
  <w:style w:type="paragraph" w:styleId="9">
    <w:name w:val="heading 8"/>
    <w:basedOn w:val="1"/>
    <w:next w:val="1"/>
    <w:link w:val="72"/>
    <w:uiPriority w:val="0"/>
    <w:pPr>
      <w:keepNext/>
      <w:keepLines/>
      <w:tabs>
        <w:tab w:val="left" w:pos="1440"/>
      </w:tabs>
      <w:adjustRightInd w:val="0"/>
      <w:snapToGrid w:val="0"/>
      <w:spacing w:before="240" w:after="64" w:line="320" w:lineRule="atLeast"/>
      <w:ind w:left="1440" w:firstLine="200" w:firstLineChars="200"/>
      <w:outlineLvl w:val="7"/>
    </w:pPr>
    <w:rPr>
      <w:rFonts w:ascii="Arial" w:hAnsi="Arial" w:eastAsia="黑体" w:cs="Arial"/>
      <w:kern w:val="22"/>
      <w:sz w:val="24"/>
    </w:rPr>
  </w:style>
  <w:style w:type="paragraph" w:styleId="10">
    <w:name w:val="heading 9"/>
    <w:basedOn w:val="1"/>
    <w:next w:val="1"/>
    <w:link w:val="73"/>
    <w:qFormat/>
    <w:uiPriority w:val="0"/>
    <w:pPr>
      <w:keepNext/>
      <w:keepLines/>
      <w:tabs>
        <w:tab w:val="left" w:pos="1584"/>
      </w:tabs>
      <w:adjustRightInd w:val="0"/>
      <w:snapToGrid w:val="0"/>
      <w:spacing w:before="240" w:after="64" w:line="320" w:lineRule="atLeast"/>
      <w:ind w:left="1584" w:firstLine="200" w:firstLineChars="200"/>
      <w:outlineLvl w:val="8"/>
    </w:pPr>
    <w:rPr>
      <w:rFonts w:ascii="Arial" w:hAnsi="Arial" w:eastAsia="黑体" w:cs="Arial"/>
      <w:kern w:val="22"/>
      <w:sz w:val="24"/>
    </w:rPr>
  </w:style>
  <w:style w:type="character" w:default="1" w:styleId="57">
    <w:name w:val="Default Paragraph Font"/>
    <w:unhideWhenUsed/>
    <w:uiPriority w:val="1"/>
  </w:style>
  <w:style w:type="table" w:default="1" w:styleId="55">
    <w:name w:val="Normal Table"/>
    <w:semiHidden/>
    <w:unhideWhenUsed/>
    <w:uiPriority w:val="99"/>
    <w:tblPr>
      <w:tblCellMar>
        <w:top w:w="0" w:type="dxa"/>
        <w:left w:w="108" w:type="dxa"/>
        <w:bottom w:w="0" w:type="dxa"/>
        <w:right w:w="108" w:type="dxa"/>
      </w:tblCellMar>
    </w:tblPr>
  </w:style>
  <w:style w:type="paragraph" w:styleId="11">
    <w:name w:val="toc 7"/>
    <w:basedOn w:val="1"/>
    <w:next w:val="1"/>
    <w:uiPriority w:val="39"/>
    <w:pPr>
      <w:ind w:left="1260"/>
      <w:jc w:val="left"/>
    </w:pPr>
    <w:rPr>
      <w:rFonts w:asciiTheme="minorHAnsi" w:hAnsiTheme="minorHAnsi"/>
      <w:sz w:val="18"/>
      <w:szCs w:val="18"/>
    </w:rPr>
  </w:style>
  <w:style w:type="paragraph" w:styleId="12">
    <w:name w:val="Note Heading"/>
    <w:basedOn w:val="1"/>
    <w:next w:val="1"/>
    <w:link w:val="150"/>
    <w:uiPriority w:val="0"/>
    <w:pPr>
      <w:spacing w:beforeLines="50" w:afterLines="50"/>
      <w:jc w:val="center"/>
    </w:pPr>
    <w:rPr>
      <w:rFonts w:ascii="宋体" w:hAnsi="宋体" w:eastAsia="黑体" w:cs="宋体"/>
      <w:sz w:val="24"/>
    </w:rPr>
  </w:style>
  <w:style w:type="paragraph" w:styleId="13">
    <w:name w:val="E-mail Signature"/>
    <w:basedOn w:val="1"/>
    <w:link w:val="446"/>
    <w:qFormat/>
    <w:uiPriority w:val="0"/>
    <w:rPr>
      <w:rFonts w:ascii="宋体" w:hAnsi="宋体" w:cs="宋体" w:eastAsiaTheme="minorEastAsia"/>
    </w:rPr>
  </w:style>
  <w:style w:type="paragraph" w:styleId="14">
    <w:name w:val="Normal Indent"/>
    <w:basedOn w:val="1"/>
    <w:link w:val="107"/>
    <w:uiPriority w:val="99"/>
    <w:pPr>
      <w:ind w:firstLine="420"/>
    </w:pPr>
    <w:rPr>
      <w:rFonts w:asciiTheme="minorHAnsi" w:hAnsiTheme="minorHAnsi" w:cstheme="minorBidi"/>
    </w:rPr>
  </w:style>
  <w:style w:type="paragraph" w:styleId="15">
    <w:name w:val="caption"/>
    <w:basedOn w:val="1"/>
    <w:next w:val="1"/>
    <w:link w:val="98"/>
    <w:qFormat/>
    <w:uiPriority w:val="0"/>
    <w:pPr>
      <w:spacing w:line="520" w:lineRule="exact"/>
      <w:ind w:firstLine="200" w:firstLineChars="200"/>
    </w:pPr>
    <w:rPr>
      <w:rFonts w:ascii="Arial" w:hAnsi="Arial" w:eastAsia="黑体" w:cs="Arial"/>
      <w:sz w:val="24"/>
      <w:szCs w:val="26"/>
    </w:rPr>
  </w:style>
  <w:style w:type="paragraph" w:styleId="16">
    <w:name w:val="Document Map"/>
    <w:basedOn w:val="1"/>
    <w:link w:val="133"/>
    <w:uiPriority w:val="0"/>
    <w:pPr>
      <w:shd w:val="clear" w:color="auto" w:fill="000080"/>
    </w:pPr>
    <w:rPr>
      <w:rFonts w:ascii="宋体" w:hAnsi="宋体" w:cs="宋体"/>
    </w:rPr>
  </w:style>
  <w:style w:type="paragraph" w:styleId="17">
    <w:name w:val="annotation text"/>
    <w:basedOn w:val="1"/>
    <w:link w:val="294"/>
    <w:qFormat/>
    <w:uiPriority w:val="0"/>
    <w:pPr>
      <w:jc w:val="left"/>
    </w:pPr>
    <w:rPr>
      <w:rFonts w:ascii="宋体" w:hAnsi="宋体" w:cs="宋体"/>
    </w:rPr>
  </w:style>
  <w:style w:type="paragraph" w:styleId="18">
    <w:name w:val="Salutation"/>
    <w:basedOn w:val="1"/>
    <w:next w:val="1"/>
    <w:link w:val="515"/>
    <w:uiPriority w:val="0"/>
    <w:rPr>
      <w:rFonts w:ascii="宋体" w:hAnsi="宋体" w:cs="宋体" w:eastAsiaTheme="minorEastAsia"/>
    </w:rPr>
  </w:style>
  <w:style w:type="paragraph" w:styleId="19">
    <w:name w:val="Body Text 3"/>
    <w:basedOn w:val="1"/>
    <w:link w:val="354"/>
    <w:qFormat/>
    <w:uiPriority w:val="0"/>
    <w:pPr>
      <w:spacing w:after="120"/>
    </w:pPr>
    <w:rPr>
      <w:rFonts w:ascii="宋体" w:hAnsi="宋体" w:cs="宋体"/>
      <w:sz w:val="16"/>
      <w:szCs w:val="16"/>
    </w:rPr>
  </w:style>
  <w:style w:type="paragraph" w:styleId="20">
    <w:name w:val="Closing"/>
    <w:basedOn w:val="1"/>
    <w:link w:val="387"/>
    <w:qFormat/>
    <w:uiPriority w:val="0"/>
    <w:pPr>
      <w:ind w:left="100" w:leftChars="2100"/>
    </w:pPr>
    <w:rPr>
      <w:rFonts w:ascii="宋体" w:hAnsi="宋体" w:cs="宋体" w:eastAsiaTheme="minorEastAsia"/>
    </w:rPr>
  </w:style>
  <w:style w:type="paragraph" w:styleId="21">
    <w:name w:val="Body Text"/>
    <w:basedOn w:val="1"/>
    <w:link w:val="80"/>
    <w:unhideWhenUsed/>
    <w:qFormat/>
    <w:uiPriority w:val="1"/>
    <w:pPr>
      <w:spacing w:after="120"/>
    </w:pPr>
  </w:style>
  <w:style w:type="paragraph" w:styleId="22">
    <w:name w:val="Body Text Indent"/>
    <w:basedOn w:val="1"/>
    <w:link w:val="103"/>
    <w:qFormat/>
    <w:uiPriority w:val="99"/>
    <w:pPr>
      <w:autoSpaceDE w:val="0"/>
      <w:autoSpaceDN w:val="0"/>
      <w:adjustRightInd w:val="0"/>
      <w:spacing w:line="460" w:lineRule="atLeast"/>
      <w:ind w:firstLine="549"/>
    </w:pPr>
    <w:rPr>
      <w:rFonts w:hint="eastAsia" w:ascii="宋体" w:hAnsi="宋体" w:cs="宋体" w:eastAsiaTheme="minorEastAsia"/>
      <w:color w:val="000000"/>
      <w:kern w:val="0"/>
      <w:sz w:val="24"/>
      <w:szCs w:val="26"/>
    </w:rPr>
  </w:style>
  <w:style w:type="paragraph" w:styleId="23">
    <w:name w:val="List 2"/>
    <w:basedOn w:val="1"/>
    <w:qFormat/>
    <w:uiPriority w:val="0"/>
    <w:pPr>
      <w:ind w:left="100" w:leftChars="200" w:hanging="200" w:hangingChars="200"/>
    </w:pPr>
  </w:style>
  <w:style w:type="paragraph" w:styleId="24">
    <w:name w:val="Block Text"/>
    <w:basedOn w:val="1"/>
    <w:uiPriority w:val="0"/>
    <w:pPr>
      <w:ind w:left="525" w:right="651"/>
      <w:jc w:val="left"/>
    </w:pPr>
    <w:rPr>
      <w:rFonts w:eastAsia="仿宋_GB2312"/>
      <w:sz w:val="32"/>
      <w:szCs w:val="20"/>
    </w:rPr>
  </w:style>
  <w:style w:type="paragraph" w:styleId="25">
    <w:name w:val="HTML Address"/>
    <w:basedOn w:val="1"/>
    <w:link w:val="463"/>
    <w:qFormat/>
    <w:uiPriority w:val="0"/>
    <w:rPr>
      <w:rFonts w:ascii="宋体" w:hAnsi="宋体" w:cs="宋体" w:eastAsiaTheme="minorEastAsia"/>
      <w:i/>
      <w:iCs/>
    </w:rPr>
  </w:style>
  <w:style w:type="paragraph" w:styleId="26">
    <w:name w:val="toc 5"/>
    <w:basedOn w:val="1"/>
    <w:next w:val="1"/>
    <w:qFormat/>
    <w:uiPriority w:val="39"/>
    <w:pPr>
      <w:ind w:left="840"/>
      <w:jc w:val="left"/>
    </w:pPr>
    <w:rPr>
      <w:rFonts w:asciiTheme="minorHAnsi" w:hAnsiTheme="minorHAnsi"/>
      <w:sz w:val="18"/>
      <w:szCs w:val="18"/>
    </w:rPr>
  </w:style>
  <w:style w:type="paragraph" w:styleId="27">
    <w:name w:val="toc 3"/>
    <w:basedOn w:val="1"/>
    <w:next w:val="1"/>
    <w:qFormat/>
    <w:uiPriority w:val="39"/>
    <w:pPr>
      <w:ind w:left="420"/>
      <w:jc w:val="left"/>
    </w:pPr>
    <w:rPr>
      <w:rFonts w:asciiTheme="minorHAnsi" w:hAnsiTheme="minorHAnsi"/>
      <w:i/>
      <w:iCs/>
      <w:sz w:val="20"/>
      <w:szCs w:val="20"/>
    </w:rPr>
  </w:style>
  <w:style w:type="paragraph" w:styleId="28">
    <w:name w:val="Plain Text"/>
    <w:basedOn w:val="1"/>
    <w:link w:val="216"/>
    <w:uiPriority w:val="0"/>
    <w:pPr>
      <w:spacing w:line="500" w:lineRule="exact"/>
    </w:pPr>
    <w:rPr>
      <w:rFonts w:ascii="宋体" w:hAnsi="Courier New" w:cstheme="minorBidi"/>
      <w:sz w:val="28"/>
      <w:szCs w:val="21"/>
    </w:rPr>
  </w:style>
  <w:style w:type="paragraph" w:styleId="29">
    <w:name w:val="toc 8"/>
    <w:basedOn w:val="1"/>
    <w:next w:val="1"/>
    <w:qFormat/>
    <w:uiPriority w:val="39"/>
    <w:pPr>
      <w:ind w:left="1470"/>
      <w:jc w:val="left"/>
    </w:pPr>
    <w:rPr>
      <w:rFonts w:asciiTheme="minorHAnsi" w:hAnsiTheme="minorHAnsi"/>
      <w:sz w:val="18"/>
      <w:szCs w:val="18"/>
    </w:rPr>
  </w:style>
  <w:style w:type="paragraph" w:styleId="30">
    <w:name w:val="Date"/>
    <w:basedOn w:val="1"/>
    <w:next w:val="1"/>
    <w:link w:val="270"/>
    <w:uiPriority w:val="0"/>
    <w:pPr>
      <w:ind w:left="100" w:leftChars="2500"/>
    </w:pPr>
    <w:rPr>
      <w:rFonts w:asciiTheme="minorHAnsi" w:hAnsiTheme="minorHAnsi" w:eastAsiaTheme="minorEastAsia" w:cstheme="minorBidi"/>
    </w:rPr>
  </w:style>
  <w:style w:type="paragraph" w:styleId="31">
    <w:name w:val="Body Text Indent 2"/>
    <w:basedOn w:val="1"/>
    <w:link w:val="556"/>
    <w:uiPriority w:val="0"/>
    <w:pPr>
      <w:adjustRightInd w:val="0"/>
      <w:snapToGrid w:val="0"/>
      <w:spacing w:line="360" w:lineRule="auto"/>
      <w:ind w:firstLine="527"/>
    </w:pPr>
    <w:rPr>
      <w:rFonts w:ascii="宋体" w:hAnsi="宋体"/>
      <w:sz w:val="24"/>
    </w:rPr>
  </w:style>
  <w:style w:type="paragraph" w:styleId="32">
    <w:name w:val="endnote text"/>
    <w:basedOn w:val="1"/>
    <w:link w:val="187"/>
    <w:unhideWhenUsed/>
    <w:uiPriority w:val="0"/>
    <w:pPr>
      <w:snapToGrid w:val="0"/>
      <w:spacing w:line="500" w:lineRule="exact"/>
      <w:jc w:val="left"/>
    </w:pPr>
    <w:rPr>
      <w:rFonts w:ascii="楷体_GB2312" w:hAnsi="楷体_GB2312" w:eastAsia="楷体_GB2312" w:cs="宋体"/>
      <w:sz w:val="24"/>
    </w:rPr>
  </w:style>
  <w:style w:type="paragraph" w:styleId="33">
    <w:name w:val="Balloon Text"/>
    <w:basedOn w:val="1"/>
    <w:link w:val="520"/>
    <w:qFormat/>
    <w:uiPriority w:val="0"/>
    <w:rPr>
      <w:rFonts w:asciiTheme="minorHAnsi" w:hAnsiTheme="minorHAnsi" w:eastAsiaTheme="minorEastAsia" w:cstheme="minorBidi"/>
      <w:sz w:val="18"/>
      <w:szCs w:val="18"/>
    </w:rPr>
  </w:style>
  <w:style w:type="paragraph" w:styleId="34">
    <w:name w:val="footer"/>
    <w:basedOn w:val="1"/>
    <w:link w:val="75"/>
    <w:unhideWhenUsed/>
    <w:qFormat/>
    <w:uiPriority w:val="0"/>
    <w:pPr>
      <w:tabs>
        <w:tab w:val="center" w:pos="4153"/>
        <w:tab w:val="right" w:pos="8306"/>
      </w:tabs>
      <w:snapToGrid w:val="0"/>
      <w:jc w:val="left"/>
    </w:pPr>
    <w:rPr>
      <w:sz w:val="18"/>
      <w:szCs w:val="18"/>
    </w:rPr>
  </w:style>
  <w:style w:type="paragraph" w:styleId="35">
    <w:name w:val="header"/>
    <w:basedOn w:val="1"/>
    <w:link w:val="74"/>
    <w:unhideWhenUsed/>
    <w:qFormat/>
    <w:uiPriority w:val="0"/>
    <w:pPr>
      <w:pBdr>
        <w:bottom w:val="single" w:color="auto" w:sz="6" w:space="1"/>
      </w:pBdr>
      <w:tabs>
        <w:tab w:val="center" w:pos="4153"/>
        <w:tab w:val="right" w:pos="8306"/>
      </w:tabs>
      <w:snapToGrid w:val="0"/>
      <w:jc w:val="center"/>
    </w:pPr>
    <w:rPr>
      <w:sz w:val="18"/>
      <w:szCs w:val="18"/>
    </w:rPr>
  </w:style>
  <w:style w:type="paragraph" w:styleId="36">
    <w:name w:val="Signature"/>
    <w:basedOn w:val="1"/>
    <w:link w:val="371"/>
    <w:qFormat/>
    <w:uiPriority w:val="0"/>
    <w:pPr>
      <w:ind w:left="100" w:leftChars="2100"/>
    </w:pPr>
    <w:rPr>
      <w:rFonts w:ascii="宋体" w:hAnsi="宋体" w:cs="宋体" w:eastAsiaTheme="minorEastAsia"/>
    </w:rPr>
  </w:style>
  <w:style w:type="paragraph" w:styleId="37">
    <w:name w:val="toc 1"/>
    <w:basedOn w:val="1"/>
    <w:next w:val="1"/>
    <w:link w:val="483"/>
    <w:uiPriority w:val="39"/>
    <w:pPr>
      <w:spacing w:before="120" w:after="120"/>
      <w:jc w:val="left"/>
    </w:pPr>
    <w:rPr>
      <w:rFonts w:asciiTheme="minorHAnsi" w:hAnsiTheme="minorHAnsi"/>
      <w:b/>
      <w:bCs/>
      <w:caps/>
      <w:sz w:val="20"/>
      <w:szCs w:val="20"/>
    </w:rPr>
  </w:style>
  <w:style w:type="paragraph" w:styleId="38">
    <w:name w:val="toc 4"/>
    <w:basedOn w:val="1"/>
    <w:next w:val="1"/>
    <w:qFormat/>
    <w:uiPriority w:val="39"/>
    <w:pPr>
      <w:ind w:left="630"/>
      <w:jc w:val="left"/>
    </w:pPr>
    <w:rPr>
      <w:rFonts w:asciiTheme="minorHAnsi" w:hAnsiTheme="minorHAnsi"/>
      <w:sz w:val="18"/>
      <w:szCs w:val="18"/>
    </w:rPr>
  </w:style>
  <w:style w:type="paragraph" w:styleId="39">
    <w:name w:val="Subtitle"/>
    <w:basedOn w:val="1"/>
    <w:next w:val="1"/>
    <w:link w:val="449"/>
    <w:qFormat/>
    <w:uiPriority w:val="0"/>
    <w:pPr>
      <w:widowControl/>
      <w:spacing w:after="200" w:line="276" w:lineRule="auto"/>
      <w:ind w:firstLine="200" w:firstLineChars="200"/>
      <w:jc w:val="left"/>
    </w:pPr>
    <w:rPr>
      <w:rFonts w:ascii="Cambria" w:hAnsi="Cambria" w:cs="宋体"/>
      <w:i/>
      <w:iCs/>
      <w:color w:val="4F81BD"/>
      <w:spacing w:val="15"/>
      <w:sz w:val="24"/>
      <w:lang w:eastAsia="en-US" w:bidi="en-US"/>
    </w:rPr>
  </w:style>
  <w:style w:type="paragraph" w:styleId="40">
    <w:name w:val="List"/>
    <w:basedOn w:val="1"/>
    <w:uiPriority w:val="0"/>
    <w:pPr>
      <w:ind w:left="200" w:hanging="200" w:hangingChars="200"/>
    </w:pPr>
  </w:style>
  <w:style w:type="paragraph" w:styleId="41">
    <w:name w:val="footnote text"/>
    <w:basedOn w:val="1"/>
    <w:link w:val="384"/>
    <w:qFormat/>
    <w:uiPriority w:val="0"/>
    <w:pPr>
      <w:snapToGrid w:val="0"/>
      <w:spacing w:line="360" w:lineRule="auto"/>
      <w:ind w:firstLine="200" w:firstLineChars="200"/>
      <w:jc w:val="left"/>
    </w:pPr>
    <w:rPr>
      <w:rFonts w:ascii="Arial" w:hAnsi="Arial" w:cs="宋体"/>
      <w:sz w:val="18"/>
      <w:szCs w:val="18"/>
    </w:rPr>
  </w:style>
  <w:style w:type="paragraph" w:styleId="42">
    <w:name w:val="toc 6"/>
    <w:basedOn w:val="1"/>
    <w:next w:val="1"/>
    <w:qFormat/>
    <w:uiPriority w:val="39"/>
    <w:pPr>
      <w:ind w:left="1050"/>
      <w:jc w:val="left"/>
    </w:pPr>
    <w:rPr>
      <w:rFonts w:asciiTheme="minorHAnsi" w:hAnsiTheme="minorHAnsi"/>
      <w:sz w:val="18"/>
      <w:szCs w:val="18"/>
    </w:rPr>
  </w:style>
  <w:style w:type="paragraph" w:styleId="43">
    <w:name w:val="Body Text Indent 3"/>
    <w:basedOn w:val="1"/>
    <w:link w:val="443"/>
    <w:uiPriority w:val="0"/>
    <w:pPr>
      <w:autoSpaceDE w:val="0"/>
      <w:autoSpaceDN w:val="0"/>
      <w:adjustRightInd w:val="0"/>
      <w:snapToGrid w:val="0"/>
      <w:spacing w:line="460" w:lineRule="exact"/>
      <w:ind w:firstLine="490"/>
    </w:pPr>
    <w:rPr>
      <w:rFonts w:ascii="宋体" w:hAnsi="宋体" w:cs="宋体"/>
      <w:sz w:val="24"/>
    </w:rPr>
  </w:style>
  <w:style w:type="paragraph" w:styleId="44">
    <w:name w:val="table of figures"/>
    <w:basedOn w:val="1"/>
    <w:next w:val="1"/>
    <w:link w:val="437"/>
    <w:qFormat/>
    <w:uiPriority w:val="0"/>
    <w:pPr>
      <w:ind w:left="-115" w:leftChars="-41" w:right="-106" w:rightChars="-38" w:firstLine="6" w:firstLineChars="3"/>
      <w:jc w:val="center"/>
    </w:pPr>
    <w:rPr>
      <w:rFonts w:ascii="宋体" w:hAnsi="宋体" w:eastAsia="楷体_GB2312" w:cs="宋体"/>
      <w:color w:val="000000"/>
    </w:rPr>
  </w:style>
  <w:style w:type="paragraph" w:styleId="45">
    <w:name w:val="toc 2"/>
    <w:basedOn w:val="1"/>
    <w:next w:val="1"/>
    <w:qFormat/>
    <w:uiPriority w:val="39"/>
    <w:pPr>
      <w:ind w:left="210"/>
      <w:jc w:val="left"/>
    </w:pPr>
    <w:rPr>
      <w:rFonts w:asciiTheme="minorHAnsi" w:hAnsiTheme="minorHAnsi"/>
      <w:smallCaps/>
      <w:sz w:val="20"/>
      <w:szCs w:val="20"/>
    </w:rPr>
  </w:style>
  <w:style w:type="paragraph" w:styleId="46">
    <w:name w:val="toc 9"/>
    <w:basedOn w:val="1"/>
    <w:next w:val="1"/>
    <w:uiPriority w:val="39"/>
    <w:pPr>
      <w:ind w:left="1680"/>
      <w:jc w:val="left"/>
    </w:pPr>
    <w:rPr>
      <w:rFonts w:asciiTheme="minorHAnsi" w:hAnsiTheme="minorHAnsi"/>
      <w:sz w:val="18"/>
      <w:szCs w:val="18"/>
    </w:rPr>
  </w:style>
  <w:style w:type="paragraph" w:styleId="47">
    <w:name w:val="Body Text 2"/>
    <w:basedOn w:val="1"/>
    <w:link w:val="172"/>
    <w:uiPriority w:val="0"/>
    <w:pPr>
      <w:spacing w:after="120" w:line="480" w:lineRule="auto"/>
    </w:pPr>
    <w:rPr>
      <w:rFonts w:ascii="宋体" w:hAnsi="宋体" w:cs="宋体"/>
    </w:rPr>
  </w:style>
  <w:style w:type="paragraph" w:styleId="48">
    <w:name w:val="Message Header"/>
    <w:basedOn w:val="1"/>
    <w:link w:val="223"/>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宋体" w:eastAsiaTheme="minorEastAsia"/>
      <w:sz w:val="24"/>
      <w:shd w:val="pct20" w:color="auto" w:fill="auto"/>
    </w:rPr>
  </w:style>
  <w:style w:type="paragraph" w:styleId="49">
    <w:name w:val="HTML Preformatted"/>
    <w:basedOn w:val="1"/>
    <w:link w:val="77"/>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eastAsiaTheme="minorEastAsia"/>
      <w:color w:val="000000"/>
      <w:szCs w:val="21"/>
    </w:rPr>
  </w:style>
  <w:style w:type="paragraph" w:styleId="50">
    <w:name w:val="Normal (Web)"/>
    <w:basedOn w:val="1"/>
    <w:link w:val="208"/>
    <w:uiPriority w:val="0"/>
    <w:pPr>
      <w:widowControl/>
      <w:spacing w:before="100" w:beforeAutospacing="1" w:after="100" w:afterAutospacing="1"/>
      <w:jc w:val="left"/>
    </w:pPr>
    <w:rPr>
      <w:rFonts w:ascii="宋体" w:hAnsi="宋体" w:cs="宋体"/>
      <w:sz w:val="24"/>
    </w:rPr>
  </w:style>
  <w:style w:type="paragraph" w:styleId="51">
    <w:name w:val="Title"/>
    <w:basedOn w:val="1"/>
    <w:next w:val="1"/>
    <w:link w:val="198"/>
    <w:uiPriority w:val="0"/>
    <w:pPr>
      <w:spacing w:before="240" w:after="60" w:line="360" w:lineRule="auto"/>
      <w:ind w:firstLine="200" w:firstLineChars="200"/>
      <w:jc w:val="center"/>
      <w:outlineLvl w:val="0"/>
    </w:pPr>
    <w:rPr>
      <w:rFonts w:ascii="Cambria" w:hAnsi="Cambria" w:cs="宋体"/>
      <w:b/>
      <w:bCs/>
      <w:sz w:val="32"/>
      <w:szCs w:val="32"/>
    </w:rPr>
  </w:style>
  <w:style w:type="paragraph" w:styleId="52">
    <w:name w:val="annotation subject"/>
    <w:basedOn w:val="17"/>
    <w:next w:val="17"/>
    <w:link w:val="549"/>
    <w:qFormat/>
    <w:uiPriority w:val="0"/>
    <w:rPr>
      <w:b/>
      <w:bCs/>
    </w:rPr>
  </w:style>
  <w:style w:type="paragraph" w:styleId="53">
    <w:name w:val="Body Text First Indent"/>
    <w:basedOn w:val="21"/>
    <w:link w:val="81"/>
    <w:qFormat/>
    <w:uiPriority w:val="0"/>
    <w:pPr>
      <w:ind w:firstLine="420" w:firstLineChars="100"/>
    </w:pPr>
    <w:rPr>
      <w:rFonts w:ascii="宋体" w:hAnsi="宋体" w:cs="宋体"/>
    </w:rPr>
  </w:style>
  <w:style w:type="paragraph" w:styleId="54">
    <w:name w:val="Body Text First Indent 2"/>
    <w:basedOn w:val="22"/>
    <w:link w:val="104"/>
    <w:qFormat/>
    <w:uiPriority w:val="99"/>
    <w:pPr>
      <w:autoSpaceDE/>
      <w:autoSpaceDN/>
      <w:adjustRightInd/>
      <w:spacing w:after="120" w:line="240" w:lineRule="auto"/>
      <w:ind w:left="420" w:leftChars="200" w:firstLine="420" w:firstLineChars="200"/>
    </w:pPr>
    <w:rPr>
      <w:rFonts w:hint="default"/>
      <w:color w:val="auto"/>
      <w:kern w:val="2"/>
      <w:sz w:val="21"/>
    </w:rPr>
  </w:style>
  <w:style w:type="table" w:styleId="56">
    <w:name w:val="Table Grid"/>
    <w:basedOn w:val="55"/>
    <w:qFormat/>
    <w:uiPriority w:val="39"/>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8">
    <w:name w:val="Strong"/>
    <w:qFormat/>
    <w:uiPriority w:val="0"/>
    <w:rPr>
      <w:b/>
      <w:bCs/>
    </w:rPr>
  </w:style>
  <w:style w:type="character" w:styleId="59">
    <w:name w:val="page number"/>
    <w:basedOn w:val="57"/>
    <w:qFormat/>
    <w:uiPriority w:val="0"/>
    <w:rPr>
      <w:rFonts w:ascii="宋体" w:hAnsi="宋体" w:cs="宋体"/>
      <w:sz w:val="24"/>
      <w:szCs w:val="26"/>
    </w:rPr>
  </w:style>
  <w:style w:type="character" w:styleId="60">
    <w:name w:val="FollowedHyperlink"/>
    <w:basedOn w:val="57"/>
    <w:qFormat/>
    <w:uiPriority w:val="99"/>
    <w:rPr>
      <w:rFonts w:ascii="微软雅黑" w:hAnsi="微软雅黑" w:eastAsia="微软雅黑" w:cs="微软雅黑"/>
      <w:color w:val="800080"/>
      <w:sz w:val="24"/>
      <w:szCs w:val="26"/>
      <w:u w:val="none"/>
    </w:rPr>
  </w:style>
  <w:style w:type="character" w:styleId="61">
    <w:name w:val="Emphasis"/>
    <w:basedOn w:val="57"/>
    <w:qFormat/>
    <w:uiPriority w:val="0"/>
    <w:rPr>
      <w:rFonts w:ascii="宋体" w:hAnsi="宋体" w:cs="宋体"/>
      <w:i/>
      <w:iCs/>
      <w:sz w:val="24"/>
      <w:szCs w:val="26"/>
    </w:rPr>
  </w:style>
  <w:style w:type="character" w:styleId="62">
    <w:name w:val="line number"/>
    <w:basedOn w:val="57"/>
    <w:qFormat/>
    <w:uiPriority w:val="0"/>
    <w:rPr>
      <w:rFonts w:ascii="宋体" w:hAnsi="宋体" w:cs="宋体"/>
      <w:sz w:val="24"/>
      <w:szCs w:val="26"/>
    </w:rPr>
  </w:style>
  <w:style w:type="character" w:styleId="63">
    <w:name w:val="Hyperlink"/>
    <w:basedOn w:val="57"/>
    <w:uiPriority w:val="99"/>
    <w:rPr>
      <w:rFonts w:ascii="宋体" w:hAnsi="宋体" w:cs="宋体"/>
      <w:color w:val="000000"/>
      <w:sz w:val="24"/>
      <w:szCs w:val="26"/>
      <w:u w:val="none"/>
    </w:rPr>
  </w:style>
  <w:style w:type="character" w:styleId="64">
    <w:name w:val="annotation reference"/>
    <w:qFormat/>
    <w:uiPriority w:val="0"/>
    <w:rPr>
      <w:sz w:val="21"/>
      <w:szCs w:val="21"/>
    </w:rPr>
  </w:style>
  <w:style w:type="character" w:customStyle="1" w:styleId="65">
    <w:name w:val="标题 4 字符"/>
    <w:basedOn w:val="57"/>
    <w:link w:val="2"/>
    <w:qFormat/>
    <w:uiPriority w:val="9"/>
    <w:rPr>
      <w:rFonts w:ascii="Times New Roman" w:hAnsi="Times New Roman" w:eastAsia="楷体_GB2312" w:cs="Times New Roman"/>
      <w:bCs/>
      <w:color w:val="000000"/>
      <w:sz w:val="28"/>
      <w:szCs w:val="28"/>
    </w:rPr>
  </w:style>
  <w:style w:type="character" w:customStyle="1" w:styleId="66">
    <w:name w:val="标题 1 字符"/>
    <w:link w:val="3"/>
    <w:qFormat/>
    <w:uiPriority w:val="0"/>
    <w:rPr>
      <w:rFonts w:ascii="Times New Roman" w:hAnsi="Times New Roman" w:eastAsia="宋体" w:cs="Times New Roman"/>
      <w:b/>
      <w:sz w:val="44"/>
      <w:szCs w:val="24"/>
    </w:rPr>
  </w:style>
  <w:style w:type="character" w:customStyle="1" w:styleId="67">
    <w:name w:val="标题 2 字符"/>
    <w:basedOn w:val="57"/>
    <w:link w:val="4"/>
    <w:uiPriority w:val="0"/>
    <w:rPr>
      <w:rFonts w:ascii="Times New Roman" w:hAnsi="Times New Roman" w:eastAsia="宋体" w:cs="Times New Roman"/>
      <w:b/>
      <w:bCs/>
      <w:sz w:val="28"/>
      <w:szCs w:val="32"/>
    </w:rPr>
  </w:style>
  <w:style w:type="character" w:customStyle="1" w:styleId="68">
    <w:name w:val="标题 3 字符"/>
    <w:basedOn w:val="57"/>
    <w:link w:val="5"/>
    <w:qFormat/>
    <w:uiPriority w:val="0"/>
    <w:rPr>
      <w:rFonts w:ascii="Times New Roman" w:hAnsi="Times New Roman" w:eastAsia="宋体" w:cs="Times New Roman"/>
      <w:b/>
      <w:spacing w:val="6"/>
      <w:sz w:val="24"/>
      <w:szCs w:val="30"/>
    </w:rPr>
  </w:style>
  <w:style w:type="character" w:customStyle="1" w:styleId="69">
    <w:name w:val="标题 5 字符"/>
    <w:basedOn w:val="57"/>
    <w:link w:val="6"/>
    <w:qFormat/>
    <w:uiPriority w:val="0"/>
    <w:rPr>
      <w:rFonts w:ascii="Times New Roman" w:hAnsi="Times New Roman" w:eastAsia="宋体" w:cs="Times New Roman"/>
      <w:b/>
      <w:bCs/>
      <w:sz w:val="28"/>
      <w:szCs w:val="28"/>
    </w:rPr>
  </w:style>
  <w:style w:type="character" w:customStyle="1" w:styleId="70">
    <w:name w:val="标题 6 字符"/>
    <w:basedOn w:val="57"/>
    <w:link w:val="7"/>
    <w:uiPriority w:val="0"/>
    <w:rPr>
      <w:rFonts w:ascii="Times New Roman" w:hAnsi="Times New Roman" w:eastAsia="宋体" w:cs="Times New Roman"/>
      <w:b/>
      <w:bCs/>
      <w:spacing w:val="4"/>
      <w:kern w:val="0"/>
      <w:sz w:val="24"/>
      <w:szCs w:val="24"/>
    </w:rPr>
  </w:style>
  <w:style w:type="character" w:customStyle="1" w:styleId="71">
    <w:name w:val="标题 7 字符"/>
    <w:basedOn w:val="57"/>
    <w:link w:val="8"/>
    <w:qFormat/>
    <w:uiPriority w:val="0"/>
    <w:rPr>
      <w:rFonts w:ascii="Times New Roman" w:hAnsi="Times New Roman" w:eastAsia="宋体" w:cs="Times New Roman"/>
      <w:b/>
      <w:bCs/>
      <w:sz w:val="24"/>
      <w:szCs w:val="24"/>
    </w:rPr>
  </w:style>
  <w:style w:type="character" w:customStyle="1" w:styleId="72">
    <w:name w:val="标题 8 字符"/>
    <w:basedOn w:val="57"/>
    <w:link w:val="9"/>
    <w:qFormat/>
    <w:uiPriority w:val="0"/>
    <w:rPr>
      <w:rFonts w:ascii="Arial" w:hAnsi="Arial" w:eastAsia="黑体" w:cs="Arial"/>
      <w:kern w:val="22"/>
      <w:sz w:val="24"/>
      <w:szCs w:val="24"/>
    </w:rPr>
  </w:style>
  <w:style w:type="character" w:customStyle="1" w:styleId="73">
    <w:name w:val="标题 9 字符"/>
    <w:basedOn w:val="57"/>
    <w:link w:val="10"/>
    <w:uiPriority w:val="0"/>
    <w:rPr>
      <w:rFonts w:ascii="Arial" w:hAnsi="Arial" w:eastAsia="黑体" w:cs="Arial"/>
      <w:kern w:val="22"/>
      <w:sz w:val="24"/>
      <w:szCs w:val="24"/>
    </w:rPr>
  </w:style>
  <w:style w:type="character" w:customStyle="1" w:styleId="74">
    <w:name w:val="页眉 字符"/>
    <w:basedOn w:val="57"/>
    <w:link w:val="35"/>
    <w:qFormat/>
    <w:uiPriority w:val="0"/>
    <w:rPr>
      <w:sz w:val="18"/>
      <w:szCs w:val="18"/>
    </w:rPr>
  </w:style>
  <w:style w:type="character" w:customStyle="1" w:styleId="75">
    <w:name w:val="页脚 字符"/>
    <w:basedOn w:val="57"/>
    <w:link w:val="34"/>
    <w:qFormat/>
    <w:uiPriority w:val="99"/>
    <w:rPr>
      <w:sz w:val="18"/>
      <w:szCs w:val="18"/>
    </w:rPr>
  </w:style>
  <w:style w:type="character" w:customStyle="1" w:styleId="76">
    <w:name w:val="标题 1 Char"/>
    <w:basedOn w:val="57"/>
    <w:qFormat/>
    <w:uiPriority w:val="0"/>
    <w:rPr>
      <w:rFonts w:ascii="Times New Roman" w:hAnsi="Times New Roman" w:eastAsia="宋体" w:cs="Times New Roman"/>
      <w:b/>
      <w:bCs/>
      <w:kern w:val="44"/>
      <w:sz w:val="44"/>
      <w:szCs w:val="44"/>
    </w:rPr>
  </w:style>
  <w:style w:type="character" w:customStyle="1" w:styleId="77">
    <w:name w:val="HTML 预设格式 字符"/>
    <w:basedOn w:val="57"/>
    <w:link w:val="49"/>
    <w:qFormat/>
    <w:uiPriority w:val="0"/>
    <w:rPr>
      <w:rFonts w:ascii="宋体" w:hAnsi="宋体" w:cs="宋体"/>
      <w:color w:val="000000"/>
      <w:szCs w:val="21"/>
    </w:rPr>
  </w:style>
  <w:style w:type="character" w:customStyle="1" w:styleId="78">
    <w:name w:val="正文格式 Char"/>
    <w:basedOn w:val="57"/>
    <w:link w:val="79"/>
    <w:qFormat/>
    <w:uiPriority w:val="0"/>
    <w:rPr>
      <w:rFonts w:ascii="宋体" w:hAnsi="宋体" w:cs="宋体"/>
      <w:sz w:val="24"/>
      <w:szCs w:val="24"/>
    </w:rPr>
  </w:style>
  <w:style w:type="paragraph" w:customStyle="1" w:styleId="79">
    <w:name w:val="正文格式"/>
    <w:basedOn w:val="53"/>
    <w:link w:val="78"/>
    <w:qFormat/>
    <w:uiPriority w:val="0"/>
    <w:pPr>
      <w:spacing w:after="0" w:line="360" w:lineRule="auto"/>
      <w:ind w:firstLine="200" w:firstLineChars="200"/>
    </w:pPr>
    <w:rPr>
      <w:rFonts w:eastAsiaTheme="minorEastAsia"/>
      <w:sz w:val="24"/>
    </w:rPr>
  </w:style>
  <w:style w:type="character" w:customStyle="1" w:styleId="80">
    <w:name w:val="正文文本 字符"/>
    <w:basedOn w:val="57"/>
    <w:link w:val="21"/>
    <w:semiHidden/>
    <w:qFormat/>
    <w:uiPriority w:val="99"/>
    <w:rPr>
      <w:rFonts w:ascii="Times New Roman" w:hAnsi="Times New Roman" w:eastAsia="宋体" w:cs="Times New Roman"/>
      <w:szCs w:val="24"/>
    </w:rPr>
  </w:style>
  <w:style w:type="character" w:customStyle="1" w:styleId="81">
    <w:name w:val="正文文本首行缩进 字符"/>
    <w:basedOn w:val="57"/>
    <w:link w:val="53"/>
    <w:uiPriority w:val="0"/>
    <w:rPr>
      <w:rFonts w:ascii="宋体" w:hAnsi="宋体" w:eastAsia="宋体" w:cs="宋体"/>
      <w:szCs w:val="24"/>
    </w:rPr>
  </w:style>
  <w:style w:type="character" w:customStyle="1" w:styleId="82">
    <w:name w:val="报告正文 Char"/>
    <w:link w:val="83"/>
    <w:qFormat/>
    <w:uiPriority w:val="0"/>
    <w:rPr>
      <w:rFonts w:eastAsia="宋体"/>
      <w:sz w:val="24"/>
      <w:szCs w:val="21"/>
    </w:rPr>
  </w:style>
  <w:style w:type="paragraph" w:customStyle="1" w:styleId="83">
    <w:name w:val="报告正文"/>
    <w:basedOn w:val="1"/>
    <w:link w:val="82"/>
    <w:qFormat/>
    <w:uiPriority w:val="0"/>
    <w:pPr>
      <w:adjustRightInd w:val="0"/>
      <w:snapToGrid w:val="0"/>
      <w:spacing w:line="360" w:lineRule="auto"/>
      <w:ind w:firstLine="200" w:firstLineChars="200"/>
      <w:jc w:val="left"/>
    </w:pPr>
    <w:rPr>
      <w:rFonts w:asciiTheme="minorHAnsi" w:hAnsiTheme="minorHAnsi" w:cstheme="minorBidi"/>
      <w:sz w:val="24"/>
      <w:szCs w:val="21"/>
    </w:rPr>
  </w:style>
  <w:style w:type="character" w:customStyle="1" w:styleId="84">
    <w:name w:val="样式 5 + 首行缩进:  2 字符 Char"/>
    <w:basedOn w:val="57"/>
    <w:link w:val="85"/>
    <w:uiPriority w:val="0"/>
    <w:rPr>
      <w:rFonts w:ascii="楷体_GB2312" w:hAnsi="宋体" w:eastAsia="楷体_GB2312" w:cs="宋体"/>
      <w:color w:val="000000"/>
      <w:spacing w:val="-2"/>
      <w:sz w:val="30"/>
      <w:szCs w:val="30"/>
    </w:rPr>
  </w:style>
  <w:style w:type="paragraph" w:customStyle="1" w:styleId="85">
    <w:name w:val="样式 5 + 首行缩进:  2 字符"/>
    <w:basedOn w:val="1"/>
    <w:link w:val="84"/>
    <w:qFormat/>
    <w:uiPriority w:val="0"/>
    <w:pPr>
      <w:ind w:firstLine="592" w:firstLineChars="200"/>
    </w:pPr>
    <w:rPr>
      <w:rFonts w:ascii="楷体_GB2312" w:hAnsi="宋体" w:eastAsia="楷体_GB2312" w:cs="宋体"/>
      <w:color w:val="000000"/>
      <w:spacing w:val="-2"/>
      <w:sz w:val="30"/>
      <w:szCs w:val="30"/>
    </w:rPr>
  </w:style>
  <w:style w:type="character" w:customStyle="1" w:styleId="86">
    <w:name w:val="cucd-0 Char1"/>
    <w:basedOn w:val="57"/>
    <w:link w:val="87"/>
    <w:qFormat/>
    <w:uiPriority w:val="0"/>
    <w:rPr>
      <w:rFonts w:ascii="宋体" w:hAnsi="宋体" w:eastAsia="Times New Roman" w:cs="宋体"/>
      <w:sz w:val="24"/>
      <w:szCs w:val="24"/>
      <w:lang w:eastAsia="en-US" w:bidi="en-US"/>
    </w:rPr>
  </w:style>
  <w:style w:type="paragraph" w:customStyle="1" w:styleId="87">
    <w:name w:val="cucd-0"/>
    <w:link w:val="86"/>
    <w:uiPriority w:val="0"/>
    <w:pPr>
      <w:spacing w:after="200" w:line="360" w:lineRule="auto"/>
      <w:ind w:firstLine="480" w:firstLineChars="200"/>
    </w:pPr>
    <w:rPr>
      <w:rFonts w:ascii="宋体" w:hAnsi="宋体" w:eastAsia="Times New Roman" w:cs="宋体"/>
      <w:kern w:val="2"/>
      <w:sz w:val="24"/>
      <w:szCs w:val="24"/>
      <w:lang w:val="en-US" w:eastAsia="en-US" w:bidi="en-US"/>
    </w:rPr>
  </w:style>
  <w:style w:type="character" w:customStyle="1" w:styleId="88">
    <w:name w:val="标题 2 + 行距: 标题2+首行缩进 0倍 Char"/>
    <w:basedOn w:val="57"/>
    <w:link w:val="89"/>
    <w:qFormat/>
    <w:uiPriority w:val="0"/>
    <w:rPr>
      <w:rFonts w:ascii="黑体" w:hAnsi="宋体" w:eastAsia="黑体" w:cs="宋体"/>
      <w:sz w:val="30"/>
      <w:szCs w:val="26"/>
    </w:rPr>
  </w:style>
  <w:style w:type="paragraph" w:customStyle="1" w:styleId="89">
    <w:name w:val="标题 2 + 行距: 标题2+首行缩进 0倍"/>
    <w:basedOn w:val="4"/>
    <w:link w:val="88"/>
    <w:qFormat/>
    <w:uiPriority w:val="0"/>
    <w:pPr>
      <w:tabs>
        <w:tab w:val="left" w:pos="8140"/>
      </w:tabs>
      <w:spacing w:before="0" w:after="0" w:line="360" w:lineRule="auto"/>
    </w:pPr>
    <w:rPr>
      <w:rFonts w:ascii="黑体" w:hAnsi="宋体" w:cs="宋体"/>
      <w:b w:val="0"/>
      <w:bCs w:val="0"/>
      <w:sz w:val="30"/>
      <w:szCs w:val="26"/>
    </w:rPr>
  </w:style>
  <w:style w:type="character" w:customStyle="1" w:styleId="90">
    <w:name w:val="样式 正文文本 + 首行缩进:  2 字符 Char"/>
    <w:link w:val="91"/>
    <w:qFormat/>
    <w:uiPriority w:val="0"/>
    <w:rPr>
      <w:color w:val="FF0000"/>
      <w:sz w:val="24"/>
      <w:szCs w:val="24"/>
    </w:rPr>
  </w:style>
  <w:style w:type="paragraph" w:customStyle="1" w:styleId="91">
    <w:name w:val="样式 正文文本 + 首行缩进:  2 字符"/>
    <w:basedOn w:val="21"/>
    <w:link w:val="90"/>
    <w:uiPriority w:val="0"/>
    <w:pPr>
      <w:adjustRightInd w:val="0"/>
      <w:snapToGrid w:val="0"/>
      <w:spacing w:before="120" w:after="0" w:line="300" w:lineRule="auto"/>
      <w:ind w:firstLine="200" w:firstLineChars="200"/>
      <w:textAlignment w:val="baseline"/>
    </w:pPr>
    <w:rPr>
      <w:rFonts w:asciiTheme="minorHAnsi" w:hAnsiTheme="minorHAnsi" w:eastAsiaTheme="minorEastAsia" w:cstheme="minorBidi"/>
      <w:color w:val="FF0000"/>
      <w:sz w:val="24"/>
    </w:rPr>
  </w:style>
  <w:style w:type="character" w:customStyle="1" w:styleId="92">
    <w:name w:val="标题二!!!!!!!!!!!!!!!! Char"/>
    <w:basedOn w:val="93"/>
    <w:link w:val="95"/>
    <w:qFormat/>
    <w:uiPriority w:val="0"/>
    <w:rPr>
      <w:rFonts w:ascii="楷体_GB2312" w:hAnsi="楷体_GB2312" w:eastAsia="楷体_GB2312" w:cs="楷体_GB2312"/>
      <w:sz w:val="30"/>
      <w:szCs w:val="30"/>
    </w:rPr>
  </w:style>
  <w:style w:type="character" w:customStyle="1" w:styleId="93">
    <w:name w:val="标题二！！！！！ Char"/>
    <w:basedOn w:val="57"/>
    <w:link w:val="94"/>
    <w:qFormat/>
    <w:uiPriority w:val="0"/>
    <w:rPr>
      <w:rFonts w:ascii="楷体_GB2312" w:hAnsi="楷体_GB2312" w:eastAsia="楷体_GB2312" w:cs="楷体_GB2312"/>
      <w:b/>
      <w:bCs/>
      <w:sz w:val="30"/>
      <w:szCs w:val="30"/>
    </w:rPr>
  </w:style>
  <w:style w:type="paragraph" w:customStyle="1" w:styleId="94">
    <w:name w:val="标题二！！！！！"/>
    <w:basedOn w:val="4"/>
    <w:link w:val="93"/>
    <w:qFormat/>
    <w:uiPriority w:val="0"/>
    <w:pPr>
      <w:keepNext w:val="0"/>
      <w:keepLines w:val="0"/>
      <w:spacing w:before="120" w:after="120" w:line="500" w:lineRule="exact"/>
    </w:pPr>
    <w:rPr>
      <w:rFonts w:ascii="楷体_GB2312" w:hAnsi="楷体_GB2312" w:eastAsia="楷体_GB2312" w:cs="楷体_GB2312"/>
      <w:sz w:val="30"/>
      <w:szCs w:val="30"/>
    </w:rPr>
  </w:style>
  <w:style w:type="paragraph" w:customStyle="1" w:styleId="95">
    <w:name w:val="标题二!!!!!!!!!!!!!!!!"/>
    <w:basedOn w:val="94"/>
    <w:link w:val="92"/>
    <w:uiPriority w:val="0"/>
  </w:style>
  <w:style w:type="character" w:customStyle="1" w:styleId="96">
    <w:name w:val="样式 题注 + 黑体 小四 加粗 Char"/>
    <w:basedOn w:val="57"/>
    <w:link w:val="97"/>
    <w:uiPriority w:val="0"/>
    <w:rPr>
      <w:rFonts w:ascii="黑体" w:hAnsi="黑体" w:eastAsia="黑体" w:cs="宋体"/>
      <w:b/>
      <w:bCs/>
      <w:sz w:val="24"/>
      <w:szCs w:val="26"/>
    </w:rPr>
  </w:style>
  <w:style w:type="paragraph" w:customStyle="1" w:styleId="97">
    <w:name w:val="样式 题注 + 黑体 小四 加粗"/>
    <w:basedOn w:val="15"/>
    <w:link w:val="96"/>
    <w:qFormat/>
    <w:uiPriority w:val="0"/>
    <w:pPr>
      <w:spacing w:line="240" w:lineRule="auto"/>
      <w:ind w:firstLine="0" w:firstLineChars="0"/>
      <w:jc w:val="center"/>
    </w:pPr>
    <w:rPr>
      <w:rFonts w:ascii="黑体" w:hAnsi="黑体" w:cs="宋体"/>
      <w:b/>
      <w:bCs/>
    </w:rPr>
  </w:style>
  <w:style w:type="character" w:customStyle="1" w:styleId="98">
    <w:name w:val="题注 字符"/>
    <w:basedOn w:val="57"/>
    <w:link w:val="15"/>
    <w:uiPriority w:val="0"/>
    <w:rPr>
      <w:rFonts w:ascii="Arial" w:hAnsi="Arial" w:eastAsia="黑体" w:cs="Arial"/>
      <w:sz w:val="24"/>
      <w:szCs w:val="26"/>
    </w:rPr>
  </w:style>
  <w:style w:type="character" w:customStyle="1" w:styleId="99">
    <w:name w:val="样式 正文首行缩进 2 + (符号) 宋体 + (符号) 宋体 Char Char"/>
    <w:basedOn w:val="100"/>
    <w:link w:val="102"/>
    <w:qFormat/>
    <w:uiPriority w:val="0"/>
    <w:rPr>
      <w:rFonts w:ascii="宋体" w:hAnsi="宋体" w:cs="宋体"/>
      <w:sz w:val="24"/>
      <w:szCs w:val="24"/>
    </w:rPr>
  </w:style>
  <w:style w:type="character" w:customStyle="1" w:styleId="100">
    <w:name w:val="样式 正文首行缩进 2 + (符号) 宋体 Char"/>
    <w:basedOn w:val="57"/>
    <w:link w:val="101"/>
    <w:qFormat/>
    <w:uiPriority w:val="0"/>
    <w:rPr>
      <w:rFonts w:ascii="宋体" w:hAnsi="宋体" w:cs="宋体"/>
      <w:sz w:val="24"/>
      <w:szCs w:val="24"/>
    </w:rPr>
  </w:style>
  <w:style w:type="paragraph" w:customStyle="1" w:styleId="101">
    <w:name w:val="样式 正文首行缩进 2 + (符号) 宋体"/>
    <w:basedOn w:val="54"/>
    <w:link w:val="100"/>
    <w:uiPriority w:val="0"/>
    <w:pPr>
      <w:spacing w:after="0" w:line="360" w:lineRule="auto"/>
      <w:ind w:left="0" w:leftChars="0" w:firstLine="200"/>
    </w:pPr>
    <w:rPr>
      <w:sz w:val="24"/>
      <w:szCs w:val="24"/>
    </w:rPr>
  </w:style>
  <w:style w:type="paragraph" w:customStyle="1" w:styleId="102">
    <w:name w:val="样式 正文首行缩进 2 + (符号) 宋体 + (符号) 宋体"/>
    <w:basedOn w:val="101"/>
    <w:link w:val="99"/>
    <w:uiPriority w:val="0"/>
  </w:style>
  <w:style w:type="character" w:customStyle="1" w:styleId="103">
    <w:name w:val="正文文本缩进 字符"/>
    <w:basedOn w:val="57"/>
    <w:link w:val="22"/>
    <w:qFormat/>
    <w:uiPriority w:val="0"/>
    <w:rPr>
      <w:rFonts w:ascii="宋体" w:hAnsi="宋体" w:cs="宋体"/>
      <w:color w:val="000000"/>
      <w:kern w:val="0"/>
      <w:sz w:val="24"/>
      <w:szCs w:val="26"/>
    </w:rPr>
  </w:style>
  <w:style w:type="character" w:customStyle="1" w:styleId="104">
    <w:name w:val="正文文本首行缩进 2 字符"/>
    <w:basedOn w:val="57"/>
    <w:link w:val="54"/>
    <w:qFormat/>
    <w:uiPriority w:val="0"/>
    <w:rPr>
      <w:rFonts w:ascii="宋体" w:hAnsi="宋体" w:cs="宋体"/>
      <w:szCs w:val="26"/>
    </w:rPr>
  </w:style>
  <w:style w:type="character" w:customStyle="1" w:styleId="105">
    <w:name w:val="正文(首行缩进)宋旭峰 Char Char"/>
    <w:basedOn w:val="57"/>
    <w:link w:val="106"/>
    <w:qFormat/>
    <w:uiPriority w:val="0"/>
    <w:rPr>
      <w:rFonts w:ascii="宋体" w:hAnsi="宋体" w:cs="宋体"/>
      <w:snapToGrid w:val="0"/>
      <w:sz w:val="24"/>
      <w:szCs w:val="24"/>
    </w:rPr>
  </w:style>
  <w:style w:type="paragraph" w:customStyle="1" w:styleId="106">
    <w:name w:val="正文(首行缩进)宋旭峰"/>
    <w:basedOn w:val="14"/>
    <w:link w:val="105"/>
    <w:qFormat/>
    <w:uiPriority w:val="0"/>
    <w:pPr>
      <w:spacing w:line="560" w:lineRule="exact"/>
      <w:ind w:firstLine="480" w:firstLineChars="200"/>
      <w:contextualSpacing/>
    </w:pPr>
    <w:rPr>
      <w:rFonts w:ascii="宋体" w:hAnsi="宋体" w:cs="宋体" w:eastAsiaTheme="minorEastAsia"/>
      <w:snapToGrid w:val="0"/>
      <w:sz w:val="24"/>
    </w:rPr>
  </w:style>
  <w:style w:type="character" w:customStyle="1" w:styleId="107">
    <w:name w:val="正文缩进 字符"/>
    <w:link w:val="14"/>
    <w:qFormat/>
    <w:uiPriority w:val="0"/>
    <w:rPr>
      <w:rFonts w:eastAsia="宋体"/>
      <w:szCs w:val="24"/>
    </w:rPr>
  </w:style>
  <w:style w:type="character" w:customStyle="1" w:styleId="108">
    <w:name w:val="样式 样式 标题 2 + 楷体_GB2312 + 字距调整三号 Char"/>
    <w:basedOn w:val="109"/>
    <w:link w:val="111"/>
    <w:qFormat/>
    <w:uiPriority w:val="0"/>
    <w:rPr>
      <w:rFonts w:ascii="楷体_GB2312" w:hAnsi="楷体_GB2312" w:eastAsia="楷体_GB2312" w:cs="宋体"/>
      <w:kern w:val="32"/>
      <w:sz w:val="30"/>
      <w:szCs w:val="30"/>
    </w:rPr>
  </w:style>
  <w:style w:type="character" w:customStyle="1" w:styleId="109">
    <w:name w:val="样式 标题 2 + 楷体_GB2312 Char"/>
    <w:basedOn w:val="57"/>
    <w:link w:val="110"/>
    <w:uiPriority w:val="0"/>
    <w:rPr>
      <w:rFonts w:ascii="楷体_GB2312" w:hAnsi="楷体_GB2312" w:eastAsia="楷体_GB2312" w:cs="宋体"/>
      <w:b/>
      <w:bCs/>
      <w:sz w:val="30"/>
      <w:szCs w:val="32"/>
    </w:rPr>
  </w:style>
  <w:style w:type="paragraph" w:customStyle="1" w:styleId="110">
    <w:name w:val="样式 标题 2 + 楷体_GB2312"/>
    <w:basedOn w:val="4"/>
    <w:link w:val="109"/>
    <w:qFormat/>
    <w:uiPriority w:val="0"/>
    <w:pPr>
      <w:keepNext w:val="0"/>
      <w:keepLines w:val="0"/>
      <w:spacing w:before="120" w:after="120" w:line="500" w:lineRule="exact"/>
    </w:pPr>
    <w:rPr>
      <w:rFonts w:ascii="楷体_GB2312" w:hAnsi="楷体_GB2312" w:eastAsia="楷体_GB2312" w:cs="宋体"/>
      <w:sz w:val="30"/>
    </w:rPr>
  </w:style>
  <w:style w:type="paragraph" w:customStyle="1" w:styleId="111">
    <w:name w:val="样式 样式 标题 2 + 楷体_GB2312 + 字距调整三号"/>
    <w:basedOn w:val="110"/>
    <w:link w:val="108"/>
    <w:uiPriority w:val="0"/>
    <w:rPr>
      <w:kern w:val="32"/>
      <w:szCs w:val="30"/>
    </w:rPr>
  </w:style>
  <w:style w:type="character" w:customStyle="1" w:styleId="112">
    <w:name w:val="222 Char"/>
    <w:basedOn w:val="57"/>
    <w:link w:val="113"/>
    <w:uiPriority w:val="0"/>
    <w:rPr>
      <w:rFonts w:ascii="Arial" w:hAnsi="Arial" w:eastAsia="楷体_GB2312" w:cs="宋体"/>
      <w:b/>
      <w:bCs/>
      <w:sz w:val="24"/>
      <w:szCs w:val="28"/>
    </w:rPr>
  </w:style>
  <w:style w:type="paragraph" w:customStyle="1" w:styleId="113">
    <w:name w:val="222"/>
    <w:basedOn w:val="4"/>
    <w:link w:val="112"/>
    <w:uiPriority w:val="0"/>
    <w:pPr>
      <w:keepLines w:val="0"/>
      <w:spacing w:before="0" w:after="0" w:line="360" w:lineRule="auto"/>
    </w:pPr>
    <w:rPr>
      <w:rFonts w:eastAsia="楷体_GB2312" w:cs="宋体"/>
      <w:sz w:val="24"/>
      <w:szCs w:val="28"/>
    </w:rPr>
  </w:style>
  <w:style w:type="character" w:customStyle="1" w:styleId="114">
    <w:name w:val="文档结构图 Char1"/>
    <w:basedOn w:val="57"/>
    <w:link w:val="115"/>
    <w:uiPriority w:val="0"/>
    <w:rPr>
      <w:rFonts w:ascii="宋体" w:hAnsi="宋体" w:cs="宋体"/>
      <w:sz w:val="18"/>
      <w:szCs w:val="18"/>
    </w:rPr>
  </w:style>
  <w:style w:type="paragraph" w:customStyle="1" w:styleId="115">
    <w:name w:val="文档结构图1"/>
    <w:basedOn w:val="1"/>
    <w:link w:val="114"/>
    <w:uiPriority w:val="0"/>
    <w:rPr>
      <w:rFonts w:ascii="宋体" w:hAnsi="宋体" w:cs="宋体" w:eastAsiaTheme="minorEastAsia"/>
      <w:sz w:val="18"/>
      <w:szCs w:val="18"/>
    </w:rPr>
  </w:style>
  <w:style w:type="character" w:customStyle="1" w:styleId="116">
    <w:name w:val="+正文 Char"/>
    <w:basedOn w:val="57"/>
    <w:link w:val="117"/>
    <w:uiPriority w:val="0"/>
    <w:rPr>
      <w:rFonts w:ascii="宋体" w:hAnsi="宋体" w:cs="宋体"/>
      <w:sz w:val="24"/>
      <w:szCs w:val="28"/>
    </w:rPr>
  </w:style>
  <w:style w:type="paragraph" w:customStyle="1" w:styleId="117">
    <w:name w:val="+正文"/>
    <w:basedOn w:val="1"/>
    <w:link w:val="116"/>
    <w:uiPriority w:val="0"/>
    <w:pPr>
      <w:spacing w:line="360" w:lineRule="auto"/>
      <w:ind w:firstLine="200" w:firstLineChars="200"/>
    </w:pPr>
    <w:rPr>
      <w:rFonts w:ascii="宋体" w:hAnsi="宋体" w:cs="宋体" w:eastAsiaTheme="minorEastAsia"/>
      <w:sz w:val="24"/>
      <w:szCs w:val="28"/>
    </w:rPr>
  </w:style>
  <w:style w:type="character" w:customStyle="1" w:styleId="118">
    <w:name w:val="正文001 Char"/>
    <w:basedOn w:val="57"/>
    <w:link w:val="119"/>
    <w:uiPriority w:val="0"/>
    <w:rPr>
      <w:rFonts w:ascii="Arial" w:hAnsi="Arial" w:cs="宋体"/>
      <w:sz w:val="24"/>
      <w:szCs w:val="26"/>
    </w:rPr>
  </w:style>
  <w:style w:type="paragraph" w:customStyle="1" w:styleId="119">
    <w:name w:val="正文001"/>
    <w:basedOn w:val="1"/>
    <w:link w:val="118"/>
    <w:uiPriority w:val="0"/>
    <w:pPr>
      <w:spacing w:before="60" w:line="360" w:lineRule="auto"/>
      <w:ind w:firstLine="200" w:firstLineChars="200"/>
    </w:pPr>
    <w:rPr>
      <w:rFonts w:ascii="Arial" w:hAnsi="Arial" w:cs="宋体" w:eastAsiaTheme="minorEastAsia"/>
      <w:sz w:val="24"/>
      <w:szCs w:val="26"/>
    </w:rPr>
  </w:style>
  <w:style w:type="character" w:customStyle="1" w:styleId="120">
    <w:name w:val="标题3 Char Char"/>
    <w:link w:val="121"/>
    <w:uiPriority w:val="0"/>
    <w:rPr>
      <w:rFonts w:ascii="黑体" w:eastAsia="宋体"/>
      <w:b/>
      <w:bCs/>
      <w:color w:val="0000FF"/>
      <w:spacing w:val="6"/>
      <w:sz w:val="28"/>
      <w:szCs w:val="32"/>
    </w:rPr>
  </w:style>
  <w:style w:type="paragraph" w:customStyle="1" w:styleId="121">
    <w:name w:val="标题3"/>
    <w:basedOn w:val="5"/>
    <w:link w:val="120"/>
    <w:uiPriority w:val="0"/>
    <w:pPr>
      <w:widowControl/>
      <w:tabs>
        <w:tab w:val="left" w:pos="720"/>
      </w:tabs>
      <w:spacing w:before="156" w:line="360" w:lineRule="auto"/>
      <w:ind w:left="720" w:hanging="720"/>
    </w:pPr>
    <w:rPr>
      <w:rFonts w:hAnsiTheme="minorHAnsi" w:cstheme="minorBidi"/>
      <w:b w:val="0"/>
      <w:bCs/>
      <w:color w:val="0000FF"/>
      <w:sz w:val="28"/>
      <w:szCs w:val="32"/>
    </w:rPr>
  </w:style>
  <w:style w:type="character" w:customStyle="1" w:styleId="122">
    <w:name w:val="样式9 Char"/>
    <w:basedOn w:val="57"/>
    <w:link w:val="123"/>
    <w:uiPriority w:val="0"/>
    <w:rPr>
      <w:rFonts w:ascii="宋体" w:hAnsi="宋体" w:cs="宋体"/>
      <w:sz w:val="24"/>
      <w:szCs w:val="26"/>
    </w:rPr>
  </w:style>
  <w:style w:type="paragraph" w:customStyle="1" w:styleId="123">
    <w:name w:val="样式9"/>
    <w:basedOn w:val="1"/>
    <w:link w:val="122"/>
    <w:uiPriority w:val="0"/>
    <w:pPr>
      <w:spacing w:line="360" w:lineRule="auto"/>
      <w:ind w:firstLine="480" w:firstLineChars="200"/>
    </w:pPr>
    <w:rPr>
      <w:rFonts w:ascii="宋体" w:hAnsi="宋体" w:cs="宋体" w:eastAsiaTheme="minorEastAsia"/>
      <w:sz w:val="24"/>
      <w:szCs w:val="26"/>
    </w:rPr>
  </w:style>
  <w:style w:type="character" w:customStyle="1" w:styleId="124">
    <w:name w:val="表格文字-居中 Char Char"/>
    <w:link w:val="125"/>
    <w:uiPriority w:val="0"/>
    <w:rPr>
      <w:rFonts w:eastAsia="宋体"/>
      <w:szCs w:val="21"/>
    </w:rPr>
  </w:style>
  <w:style w:type="paragraph" w:customStyle="1" w:styleId="125">
    <w:name w:val="表格文字-居中"/>
    <w:basedOn w:val="1"/>
    <w:link w:val="124"/>
    <w:uiPriority w:val="0"/>
    <w:pPr>
      <w:widowControl/>
      <w:adjustRightInd w:val="0"/>
      <w:spacing w:line="400" w:lineRule="exact"/>
      <w:jc w:val="center"/>
      <w:textAlignment w:val="center"/>
    </w:pPr>
    <w:rPr>
      <w:rFonts w:asciiTheme="minorHAnsi" w:hAnsiTheme="minorHAnsi" w:cstheme="minorBidi"/>
      <w:szCs w:val="21"/>
    </w:rPr>
  </w:style>
  <w:style w:type="character" w:customStyle="1" w:styleId="126">
    <w:name w:val="特点标题 Char"/>
    <w:basedOn w:val="57"/>
    <w:uiPriority w:val="0"/>
    <w:rPr>
      <w:rFonts w:ascii="宋体" w:hAnsi="宋体" w:eastAsia="宋体" w:cs="宋体"/>
      <w:kern w:val="2"/>
      <w:sz w:val="24"/>
      <w:szCs w:val="24"/>
      <w:lang w:val="en-US" w:eastAsia="zh-CN" w:bidi="ar-SA"/>
    </w:rPr>
  </w:style>
  <w:style w:type="character" w:customStyle="1" w:styleId="127">
    <w:name w:val="文本框小五 Char Char"/>
    <w:basedOn w:val="57"/>
    <w:link w:val="128"/>
    <w:uiPriority w:val="0"/>
    <w:rPr>
      <w:rFonts w:ascii="宋体" w:hAnsi="宋体" w:eastAsia="仿宋_GB2312" w:cs="宋体"/>
      <w:sz w:val="18"/>
      <w:szCs w:val="21"/>
    </w:rPr>
  </w:style>
  <w:style w:type="paragraph" w:customStyle="1" w:styleId="128">
    <w:name w:val="文本框小五"/>
    <w:basedOn w:val="1"/>
    <w:link w:val="127"/>
    <w:uiPriority w:val="0"/>
    <w:pPr>
      <w:jc w:val="center"/>
    </w:pPr>
    <w:rPr>
      <w:rFonts w:ascii="宋体" w:hAnsi="宋体" w:eastAsia="仿宋_GB2312" w:cs="宋体"/>
      <w:sz w:val="18"/>
      <w:szCs w:val="21"/>
    </w:rPr>
  </w:style>
  <w:style w:type="character" w:customStyle="1" w:styleId="129">
    <w:name w:val="样式 样式 标题 2节H2节标题 1.1二级标题标题 lxb21.1h2第一层条二级标题 Char表标题单位名... + 宋体... Char Char"/>
    <w:basedOn w:val="130"/>
    <w:link w:val="132"/>
    <w:uiPriority w:val="0"/>
    <w:rPr>
      <w:rFonts w:ascii="宋体" w:hAnsi="宋体" w:eastAsia="黑体" w:cs="宋体"/>
      <w:color w:val="000000"/>
      <w:sz w:val="24"/>
      <w:szCs w:val="28"/>
    </w:rPr>
  </w:style>
  <w:style w:type="character" w:customStyle="1" w:styleId="130">
    <w:name w:val="样式 标题 2节H2节标题 1.1二级标题标题 lxb21.1h2第一层条二级标题 Char表标题单位名... Char Char"/>
    <w:basedOn w:val="57"/>
    <w:link w:val="131"/>
    <w:uiPriority w:val="0"/>
    <w:rPr>
      <w:rFonts w:ascii="黑体" w:hAnsi="宋体" w:eastAsia="黑体" w:cs="宋体"/>
      <w:bCs/>
      <w:color w:val="000000"/>
      <w:sz w:val="28"/>
      <w:szCs w:val="28"/>
    </w:rPr>
  </w:style>
  <w:style w:type="paragraph" w:customStyle="1" w:styleId="131">
    <w:name w:val="样式 标题 2节H2节标题 1.1二级标题标题 lxb21.1h2第一层条二级标题 Char表标题单位名... Char"/>
    <w:basedOn w:val="4"/>
    <w:link w:val="130"/>
    <w:uiPriority w:val="0"/>
    <w:pPr>
      <w:keepNext w:val="0"/>
      <w:keepLines w:val="0"/>
      <w:overflowPunct w:val="0"/>
      <w:autoSpaceDE w:val="0"/>
      <w:autoSpaceDN w:val="0"/>
      <w:adjustRightInd w:val="0"/>
      <w:spacing w:before="0" w:after="0" w:line="360" w:lineRule="auto"/>
      <w:ind w:left="314" w:hanging="314"/>
      <w:textAlignment w:val="baseline"/>
    </w:pPr>
    <w:rPr>
      <w:rFonts w:ascii="黑体" w:hAnsi="宋体" w:cs="宋体"/>
      <w:b w:val="0"/>
      <w:color w:val="000000"/>
      <w:szCs w:val="28"/>
    </w:rPr>
  </w:style>
  <w:style w:type="paragraph" w:customStyle="1" w:styleId="132">
    <w:name w:val="样式 样式 标题 2节H2节标题 1.1二级标题标题 lxb21.1h2第一层条二级标题 Char表标题单位名... + 宋体... Char"/>
    <w:basedOn w:val="131"/>
    <w:link w:val="129"/>
    <w:uiPriority w:val="0"/>
    <w:pPr>
      <w:ind w:left="0"/>
    </w:pPr>
    <w:rPr>
      <w:rFonts w:ascii="宋体"/>
      <w:sz w:val="24"/>
    </w:rPr>
  </w:style>
  <w:style w:type="character" w:customStyle="1" w:styleId="133">
    <w:name w:val="文档结构图 字符"/>
    <w:basedOn w:val="57"/>
    <w:link w:val="16"/>
    <w:uiPriority w:val="0"/>
    <w:rPr>
      <w:rFonts w:ascii="宋体" w:hAnsi="宋体" w:eastAsia="宋体" w:cs="宋体"/>
      <w:szCs w:val="24"/>
      <w:shd w:val="clear" w:color="auto" w:fill="000080"/>
    </w:rPr>
  </w:style>
  <w:style w:type="character" w:customStyle="1" w:styleId="134">
    <w:name w:val="纯文本 Char"/>
    <w:uiPriority w:val="0"/>
    <w:rPr>
      <w:rFonts w:ascii="宋体" w:hAnsi="Courier New" w:eastAsia="宋体"/>
      <w:kern w:val="2"/>
      <w:sz w:val="28"/>
      <w:lang w:val="en-US" w:eastAsia="zh-CN" w:bidi="ar-SA"/>
    </w:rPr>
  </w:style>
  <w:style w:type="character" w:customStyle="1" w:styleId="135">
    <w:name w:val="表格文字 Char"/>
    <w:basedOn w:val="57"/>
    <w:link w:val="136"/>
    <w:uiPriority w:val="0"/>
    <w:rPr>
      <w:rFonts w:ascii="宋体" w:hAnsi="宋体" w:eastAsia="宋体" w:cs="宋体"/>
      <w:szCs w:val="21"/>
    </w:rPr>
  </w:style>
  <w:style w:type="paragraph" w:customStyle="1" w:styleId="136">
    <w:name w:val="表格文字"/>
    <w:basedOn w:val="1"/>
    <w:link w:val="135"/>
    <w:uiPriority w:val="0"/>
    <w:pPr>
      <w:adjustRightInd w:val="0"/>
      <w:spacing w:line="400" w:lineRule="exact"/>
      <w:jc w:val="center"/>
      <w:textAlignment w:val="baseline"/>
    </w:pPr>
    <w:rPr>
      <w:rFonts w:ascii="宋体" w:hAnsi="宋体" w:cs="宋体"/>
      <w:szCs w:val="21"/>
    </w:rPr>
  </w:style>
  <w:style w:type="character" w:customStyle="1" w:styleId="137">
    <w:name w:val="正文样式1 Char"/>
    <w:basedOn w:val="57"/>
    <w:link w:val="138"/>
    <w:uiPriority w:val="0"/>
    <w:rPr>
      <w:rFonts w:ascii="宋体" w:hAnsi="宋体" w:eastAsia="宋体" w:cs="Calibri"/>
      <w:sz w:val="28"/>
      <w:szCs w:val="26"/>
    </w:rPr>
  </w:style>
  <w:style w:type="paragraph" w:customStyle="1" w:styleId="138">
    <w:name w:val="正文样式1"/>
    <w:basedOn w:val="1"/>
    <w:link w:val="137"/>
    <w:uiPriority w:val="0"/>
    <w:pPr>
      <w:adjustRightInd w:val="0"/>
      <w:spacing w:line="480" w:lineRule="atLeast"/>
      <w:ind w:firstLine="567"/>
      <w:jc w:val="left"/>
      <w:textAlignment w:val="baseline"/>
    </w:pPr>
    <w:rPr>
      <w:rFonts w:ascii="宋体" w:hAnsi="宋体" w:cs="Calibri"/>
      <w:sz w:val="28"/>
      <w:szCs w:val="26"/>
    </w:rPr>
  </w:style>
  <w:style w:type="character" w:customStyle="1" w:styleId="139">
    <w:name w:val="报告 Char"/>
    <w:basedOn w:val="57"/>
    <w:link w:val="140"/>
    <w:uiPriority w:val="0"/>
    <w:rPr>
      <w:rFonts w:ascii="宋体" w:hAnsi="宋体" w:cs="宋体"/>
      <w:sz w:val="24"/>
      <w:szCs w:val="26"/>
    </w:rPr>
  </w:style>
  <w:style w:type="paragraph" w:customStyle="1" w:styleId="140">
    <w:name w:val="报告"/>
    <w:basedOn w:val="1"/>
    <w:link w:val="139"/>
    <w:uiPriority w:val="0"/>
    <w:pPr>
      <w:adjustRightInd w:val="0"/>
      <w:spacing w:line="360" w:lineRule="auto"/>
      <w:ind w:firstLine="505"/>
      <w:textAlignment w:val="center"/>
    </w:pPr>
    <w:rPr>
      <w:rFonts w:ascii="宋体" w:hAnsi="宋体" w:cs="宋体" w:eastAsiaTheme="minorEastAsia"/>
      <w:sz w:val="24"/>
      <w:szCs w:val="26"/>
    </w:rPr>
  </w:style>
  <w:style w:type="character" w:customStyle="1" w:styleId="141">
    <w:name w:val="Char Char4"/>
    <w:basedOn w:val="57"/>
    <w:uiPriority w:val="0"/>
    <w:rPr>
      <w:rFonts w:ascii="宋体" w:hAnsi="宋体" w:eastAsia="宋体" w:cs="宋体"/>
      <w:b/>
      <w:bCs/>
      <w:spacing w:val="4"/>
      <w:kern w:val="44"/>
      <w:sz w:val="44"/>
      <w:szCs w:val="44"/>
      <w:lang w:val="en-US" w:eastAsia="zh-CN" w:bidi="ar-SA"/>
    </w:rPr>
  </w:style>
  <w:style w:type="character" w:customStyle="1" w:styleId="142">
    <w:name w:val="标题三A Char"/>
    <w:basedOn w:val="57"/>
    <w:link w:val="143"/>
    <w:uiPriority w:val="0"/>
    <w:rPr>
      <w:rFonts w:ascii="华文仿宋" w:hAnsi="华文仿宋" w:eastAsia="华文仿宋" w:cs="宋体"/>
      <w:b/>
      <w:bCs/>
      <w:sz w:val="28"/>
      <w:szCs w:val="28"/>
    </w:rPr>
  </w:style>
  <w:style w:type="paragraph" w:customStyle="1" w:styleId="143">
    <w:name w:val="标题三A"/>
    <w:basedOn w:val="5"/>
    <w:link w:val="142"/>
    <w:uiPriority w:val="0"/>
    <w:pPr>
      <w:keepNext w:val="0"/>
      <w:keepLines w:val="0"/>
      <w:spacing w:before="0" w:line="500" w:lineRule="exact"/>
      <w:ind w:left="720" w:hanging="720"/>
    </w:pPr>
    <w:rPr>
      <w:rFonts w:ascii="华文仿宋" w:hAnsi="华文仿宋" w:eastAsia="华文仿宋" w:cs="宋体"/>
      <w:b w:val="0"/>
      <w:bCs/>
      <w:spacing w:val="0"/>
      <w:sz w:val="28"/>
      <w:szCs w:val="28"/>
    </w:rPr>
  </w:style>
  <w:style w:type="character" w:customStyle="1" w:styleId="144">
    <w:name w:val="报告正文 Char1"/>
    <w:basedOn w:val="57"/>
    <w:uiPriority w:val="0"/>
    <w:rPr>
      <w:rFonts w:ascii="宋体" w:hAnsi="宋体" w:eastAsia="宋体" w:cs="宋体"/>
      <w:bCs/>
      <w:spacing w:val="-4"/>
      <w:kern w:val="2"/>
      <w:sz w:val="24"/>
      <w:szCs w:val="24"/>
      <w:lang w:val="en-US" w:eastAsia="zh-CN" w:bidi="ar-SA"/>
    </w:rPr>
  </w:style>
  <w:style w:type="character" w:customStyle="1" w:styleId="145">
    <w:name w:val="样式 楷体_GB2312 小四 居中 行距: 单倍行距 Char"/>
    <w:basedOn w:val="57"/>
    <w:link w:val="146"/>
    <w:uiPriority w:val="0"/>
    <w:rPr>
      <w:rFonts w:ascii="宋体" w:hAnsi="宋体" w:eastAsia="楷体_GB2312" w:cs="宋体"/>
      <w:sz w:val="24"/>
      <w:szCs w:val="24"/>
    </w:rPr>
  </w:style>
  <w:style w:type="paragraph" w:customStyle="1" w:styleId="146">
    <w:name w:val="样式 楷体_GB2312 小四 居中 行距: 单倍行距"/>
    <w:basedOn w:val="1"/>
    <w:link w:val="145"/>
    <w:uiPriority w:val="0"/>
    <w:pPr>
      <w:jc w:val="center"/>
    </w:pPr>
    <w:rPr>
      <w:rFonts w:ascii="宋体" w:hAnsi="宋体" w:eastAsia="楷体_GB2312" w:cs="宋体"/>
      <w:sz w:val="24"/>
    </w:rPr>
  </w:style>
  <w:style w:type="character" w:customStyle="1" w:styleId="147">
    <w:name w:val="正文(首行缩进) Char"/>
    <w:basedOn w:val="57"/>
    <w:link w:val="148"/>
    <w:qFormat/>
    <w:uiPriority w:val="99"/>
    <w:rPr>
      <w:rFonts w:ascii="宋体" w:hAnsi="宋体" w:eastAsia="宋体" w:cs="宋体"/>
      <w:snapToGrid w:val="0"/>
      <w:color w:val="000000"/>
      <w:sz w:val="24"/>
      <w:szCs w:val="26"/>
    </w:rPr>
  </w:style>
  <w:style w:type="paragraph" w:customStyle="1" w:styleId="148">
    <w:name w:val="正文(首行缩进)"/>
    <w:basedOn w:val="1"/>
    <w:next w:val="1"/>
    <w:link w:val="147"/>
    <w:qFormat/>
    <w:uiPriority w:val="99"/>
    <w:pPr>
      <w:spacing w:line="360" w:lineRule="auto"/>
      <w:ind w:firstLine="540" w:firstLineChars="225"/>
    </w:pPr>
    <w:rPr>
      <w:rFonts w:ascii="宋体" w:hAnsi="宋体" w:cs="宋体"/>
      <w:snapToGrid w:val="0"/>
      <w:color w:val="000000"/>
      <w:sz w:val="24"/>
      <w:szCs w:val="26"/>
    </w:rPr>
  </w:style>
  <w:style w:type="character" w:customStyle="1" w:styleId="149">
    <w:name w:val="上标"/>
    <w:basedOn w:val="57"/>
    <w:uiPriority w:val="0"/>
    <w:rPr>
      <w:rFonts w:ascii="宋体" w:hAnsi="宋体" w:cs="宋体"/>
      <w:sz w:val="24"/>
      <w:szCs w:val="26"/>
      <w:vertAlign w:val="superscript"/>
    </w:rPr>
  </w:style>
  <w:style w:type="character" w:customStyle="1" w:styleId="150">
    <w:name w:val="注释标题 字符"/>
    <w:basedOn w:val="57"/>
    <w:link w:val="12"/>
    <w:uiPriority w:val="0"/>
    <w:rPr>
      <w:rFonts w:ascii="宋体" w:hAnsi="宋体" w:eastAsia="黑体" w:cs="宋体"/>
      <w:sz w:val="24"/>
      <w:szCs w:val="24"/>
    </w:rPr>
  </w:style>
  <w:style w:type="character" w:customStyle="1" w:styleId="151">
    <w:name w:val="正文A Char"/>
    <w:basedOn w:val="152"/>
    <w:link w:val="156"/>
    <w:uiPriority w:val="0"/>
    <w:rPr>
      <w:rFonts w:ascii="华文仿宋" w:hAnsi="华文仿宋" w:eastAsia="华文仿宋" w:cs="宋体"/>
      <w:sz w:val="24"/>
      <w:szCs w:val="24"/>
    </w:rPr>
  </w:style>
  <w:style w:type="character" w:customStyle="1" w:styleId="152">
    <w:name w:val="正文!!!!!!!!!!! Char"/>
    <w:basedOn w:val="153"/>
    <w:link w:val="155"/>
    <w:uiPriority w:val="0"/>
    <w:rPr>
      <w:rFonts w:ascii="华文仿宋" w:hAnsi="华文仿宋" w:eastAsia="华文仿宋" w:cs="宋体"/>
      <w:sz w:val="24"/>
      <w:szCs w:val="24"/>
    </w:rPr>
  </w:style>
  <w:style w:type="character" w:customStyle="1" w:styleId="153">
    <w:name w:val="正文 楷体 Char Char"/>
    <w:basedOn w:val="57"/>
    <w:link w:val="154"/>
    <w:uiPriority w:val="0"/>
    <w:rPr>
      <w:rFonts w:ascii="华文仿宋" w:hAnsi="华文仿宋" w:eastAsia="华文仿宋" w:cs="宋体"/>
      <w:sz w:val="24"/>
      <w:szCs w:val="24"/>
    </w:rPr>
  </w:style>
  <w:style w:type="paragraph" w:customStyle="1" w:styleId="154">
    <w:name w:val="正文 楷体"/>
    <w:basedOn w:val="1"/>
    <w:link w:val="153"/>
    <w:uiPriority w:val="0"/>
    <w:pPr>
      <w:spacing w:line="500" w:lineRule="exact"/>
      <w:ind w:firstLine="200" w:firstLineChars="200"/>
      <w:jc w:val="left"/>
    </w:pPr>
    <w:rPr>
      <w:rFonts w:ascii="华文仿宋" w:hAnsi="华文仿宋" w:eastAsia="华文仿宋" w:cs="宋体"/>
      <w:sz w:val="24"/>
    </w:rPr>
  </w:style>
  <w:style w:type="paragraph" w:customStyle="1" w:styleId="155">
    <w:name w:val="正文!!!!!!!!!!!"/>
    <w:basedOn w:val="154"/>
    <w:link w:val="152"/>
    <w:uiPriority w:val="0"/>
    <w:pPr>
      <w:ind w:firstLine="480"/>
      <w:jc w:val="both"/>
    </w:pPr>
  </w:style>
  <w:style w:type="paragraph" w:customStyle="1" w:styleId="156">
    <w:name w:val="正文A"/>
    <w:basedOn w:val="155"/>
    <w:link w:val="151"/>
    <w:uiPriority w:val="0"/>
  </w:style>
  <w:style w:type="character" w:customStyle="1" w:styleId="157">
    <w:name w:val="可研正文 Char"/>
    <w:basedOn w:val="158"/>
    <w:link w:val="160"/>
    <w:uiPriority w:val="0"/>
    <w:rPr>
      <w:rFonts w:ascii="宋体" w:hAnsi="Arial" w:eastAsia="楷体_GB2312" w:cs="宋体"/>
      <w:sz w:val="24"/>
      <w:szCs w:val="24"/>
    </w:rPr>
  </w:style>
  <w:style w:type="character" w:customStyle="1" w:styleId="158">
    <w:name w:val="正文样式 Char"/>
    <w:basedOn w:val="57"/>
    <w:link w:val="159"/>
    <w:uiPriority w:val="0"/>
    <w:rPr>
      <w:rFonts w:ascii="楷体_GB2312" w:hAnsi="宋体" w:eastAsia="楷体_GB2312" w:cs="宋体"/>
      <w:sz w:val="24"/>
      <w:szCs w:val="24"/>
    </w:rPr>
  </w:style>
  <w:style w:type="paragraph" w:customStyle="1" w:styleId="159">
    <w:name w:val="正文样式"/>
    <w:basedOn w:val="1"/>
    <w:link w:val="158"/>
    <w:uiPriority w:val="0"/>
    <w:pPr>
      <w:adjustRightInd w:val="0"/>
      <w:spacing w:line="360" w:lineRule="auto"/>
      <w:ind w:firstLine="480" w:firstLineChars="200"/>
    </w:pPr>
    <w:rPr>
      <w:rFonts w:ascii="楷体_GB2312" w:hAnsi="宋体" w:eastAsia="楷体_GB2312" w:cs="宋体"/>
      <w:sz w:val="24"/>
    </w:rPr>
  </w:style>
  <w:style w:type="paragraph" w:customStyle="1" w:styleId="160">
    <w:name w:val="可研正文"/>
    <w:basedOn w:val="159"/>
    <w:link w:val="157"/>
    <w:uiPriority w:val="0"/>
    <w:pPr>
      <w:snapToGrid w:val="0"/>
      <w:spacing w:line="440" w:lineRule="exact"/>
      <w:ind w:firstLine="200"/>
    </w:pPr>
    <w:rPr>
      <w:rFonts w:ascii="宋体" w:hAnsi="Arial"/>
    </w:rPr>
  </w:style>
  <w:style w:type="character" w:customStyle="1" w:styleId="161">
    <w:name w:val="样式 样式 楷体_GB2312 小四 居中 行距: 单倍行距 + 宋体 Char"/>
    <w:basedOn w:val="145"/>
    <w:link w:val="162"/>
    <w:uiPriority w:val="0"/>
    <w:rPr>
      <w:rFonts w:ascii="宋体" w:hAnsi="宋体" w:eastAsia="楷体_GB2312" w:cs="宋体"/>
      <w:sz w:val="24"/>
      <w:szCs w:val="24"/>
    </w:rPr>
  </w:style>
  <w:style w:type="paragraph" w:customStyle="1" w:styleId="162">
    <w:name w:val="样式 样式 楷体_GB2312 小四 居中 行距: 单倍行距 + 宋体"/>
    <w:basedOn w:val="146"/>
    <w:link w:val="161"/>
    <w:uiPriority w:val="0"/>
  </w:style>
  <w:style w:type="character" w:customStyle="1" w:styleId="163">
    <w:name w:val="样式 标题 3 Char"/>
    <w:basedOn w:val="57"/>
    <w:link w:val="164"/>
    <w:uiPriority w:val="0"/>
    <w:rPr>
      <w:rFonts w:ascii="黑体" w:hAnsi="宋体" w:eastAsia="黑体" w:cs="宋体"/>
      <w:b/>
      <w:bCs/>
      <w:color w:val="FF0000"/>
      <w:sz w:val="24"/>
      <w:szCs w:val="32"/>
    </w:rPr>
  </w:style>
  <w:style w:type="paragraph" w:customStyle="1" w:styleId="164">
    <w:name w:val="样式 标题 3"/>
    <w:basedOn w:val="5"/>
    <w:link w:val="163"/>
    <w:uiPriority w:val="0"/>
    <w:pPr>
      <w:spacing w:before="0" w:line="360" w:lineRule="auto"/>
      <w:ind w:left="720" w:hanging="720"/>
    </w:pPr>
    <w:rPr>
      <w:rFonts w:hAnsi="宋体" w:cs="宋体"/>
      <w:b w:val="0"/>
      <w:bCs/>
      <w:color w:val="FF0000"/>
      <w:spacing w:val="0"/>
      <w:szCs w:val="32"/>
    </w:rPr>
  </w:style>
  <w:style w:type="character" w:customStyle="1" w:styleId="165">
    <w:name w:val="Char Char Char Char Char Char Char Char"/>
    <w:link w:val="166"/>
    <w:uiPriority w:val="0"/>
    <w:rPr>
      <w:rFonts w:ascii="宋体" w:hAnsi="宋体"/>
      <w:b/>
      <w:szCs w:val="24"/>
    </w:rPr>
  </w:style>
  <w:style w:type="paragraph" w:customStyle="1" w:styleId="166">
    <w:name w:val="Char3"/>
    <w:basedOn w:val="1"/>
    <w:link w:val="165"/>
    <w:uiPriority w:val="0"/>
    <w:pPr>
      <w:widowControl/>
      <w:snapToGrid w:val="0"/>
      <w:spacing w:line="360" w:lineRule="auto"/>
      <w:ind w:firstLine="529" w:firstLineChars="200"/>
      <w:jc w:val="left"/>
    </w:pPr>
    <w:rPr>
      <w:rFonts w:ascii="宋体" w:hAnsi="宋体" w:eastAsiaTheme="minorEastAsia" w:cstheme="minorBidi"/>
      <w:b/>
    </w:rPr>
  </w:style>
  <w:style w:type="character" w:customStyle="1" w:styleId="167">
    <w:name w:val="正文JWJ Char"/>
    <w:basedOn w:val="57"/>
    <w:link w:val="168"/>
    <w:semiHidden/>
    <w:uiPriority w:val="0"/>
    <w:rPr>
      <w:rFonts w:ascii="宋体" w:hAnsi="宋体" w:cs="宋体"/>
      <w:sz w:val="24"/>
      <w:szCs w:val="24"/>
    </w:rPr>
  </w:style>
  <w:style w:type="paragraph" w:customStyle="1" w:styleId="168">
    <w:name w:val="正文JWJ"/>
    <w:basedOn w:val="1"/>
    <w:link w:val="167"/>
    <w:semiHidden/>
    <w:uiPriority w:val="0"/>
    <w:pPr>
      <w:spacing w:line="360" w:lineRule="auto"/>
      <w:ind w:firstLine="480" w:firstLineChars="200"/>
    </w:pPr>
    <w:rPr>
      <w:rFonts w:ascii="宋体" w:hAnsi="宋体" w:cs="宋体" w:eastAsiaTheme="minorEastAsia"/>
      <w:sz w:val="24"/>
    </w:rPr>
  </w:style>
  <w:style w:type="character" w:customStyle="1" w:styleId="169">
    <w:name w:val="tz_input"/>
    <w:basedOn w:val="57"/>
    <w:uiPriority w:val="0"/>
    <w:rPr>
      <w:rFonts w:ascii="宋体" w:hAnsi="宋体" w:cs="宋体"/>
      <w:color w:val="A01211"/>
      <w:sz w:val="24"/>
      <w:szCs w:val="24"/>
    </w:rPr>
  </w:style>
  <w:style w:type="character" w:customStyle="1" w:styleId="170">
    <w:name w:val="标题5 Char Char1"/>
    <w:basedOn w:val="57"/>
    <w:link w:val="171"/>
    <w:uiPriority w:val="0"/>
    <w:rPr>
      <w:rFonts w:ascii="宋体" w:hAnsi="宋体" w:cs="宋体"/>
      <w:b/>
      <w:spacing w:val="10"/>
      <w:sz w:val="28"/>
      <w:szCs w:val="26"/>
    </w:rPr>
  </w:style>
  <w:style w:type="paragraph" w:customStyle="1" w:styleId="171">
    <w:name w:val="标题5"/>
    <w:basedOn w:val="14"/>
    <w:link w:val="170"/>
    <w:uiPriority w:val="0"/>
    <w:pPr>
      <w:tabs>
        <w:tab w:val="left" w:pos="900"/>
      </w:tabs>
      <w:ind w:left="900" w:hanging="900"/>
    </w:pPr>
    <w:rPr>
      <w:rFonts w:ascii="宋体" w:hAnsi="宋体" w:cs="宋体" w:eastAsiaTheme="minorEastAsia"/>
      <w:b/>
      <w:spacing w:val="10"/>
      <w:sz w:val="28"/>
      <w:szCs w:val="26"/>
    </w:rPr>
  </w:style>
  <w:style w:type="character" w:customStyle="1" w:styleId="172">
    <w:name w:val="正文文本 2 字符"/>
    <w:basedOn w:val="57"/>
    <w:link w:val="47"/>
    <w:uiPriority w:val="0"/>
    <w:rPr>
      <w:rFonts w:ascii="宋体" w:hAnsi="宋体" w:eastAsia="宋体" w:cs="宋体"/>
      <w:szCs w:val="24"/>
    </w:rPr>
  </w:style>
  <w:style w:type="character" w:customStyle="1" w:styleId="173">
    <w:name w:val="报告书正文 Char"/>
    <w:basedOn w:val="57"/>
    <w:link w:val="174"/>
    <w:uiPriority w:val="0"/>
    <w:rPr>
      <w:rFonts w:ascii="宋体" w:hAnsi="宋体" w:eastAsia="宋体" w:cs="宋体"/>
      <w:sz w:val="28"/>
      <w:szCs w:val="28"/>
    </w:rPr>
  </w:style>
  <w:style w:type="paragraph" w:customStyle="1" w:styleId="174">
    <w:name w:val="报告书正文"/>
    <w:basedOn w:val="1"/>
    <w:link w:val="173"/>
    <w:uiPriority w:val="0"/>
    <w:pPr>
      <w:autoSpaceDE w:val="0"/>
      <w:autoSpaceDN w:val="0"/>
      <w:spacing w:line="520" w:lineRule="exact"/>
      <w:ind w:firstLine="200" w:firstLineChars="200"/>
    </w:pPr>
    <w:rPr>
      <w:rFonts w:ascii="宋体" w:hAnsi="宋体" w:cs="宋体"/>
      <w:sz w:val="28"/>
      <w:szCs w:val="28"/>
    </w:rPr>
  </w:style>
  <w:style w:type="character" w:customStyle="1" w:styleId="175">
    <w:name w:val="项目正文内容 Char1"/>
    <w:basedOn w:val="57"/>
    <w:link w:val="176"/>
    <w:uiPriority w:val="0"/>
    <w:rPr>
      <w:rFonts w:ascii="宋体" w:hAnsi="Courier New" w:cs="宋体"/>
      <w:sz w:val="24"/>
      <w:szCs w:val="21"/>
    </w:rPr>
  </w:style>
  <w:style w:type="paragraph" w:customStyle="1" w:styleId="176">
    <w:name w:val="项目正文内容"/>
    <w:basedOn w:val="1"/>
    <w:link w:val="175"/>
    <w:uiPriority w:val="0"/>
    <w:pPr>
      <w:adjustRightInd w:val="0"/>
      <w:snapToGrid w:val="0"/>
      <w:spacing w:line="360" w:lineRule="auto"/>
      <w:ind w:firstLine="200" w:firstLineChars="200"/>
    </w:pPr>
    <w:rPr>
      <w:rFonts w:ascii="宋体" w:hAnsi="Courier New" w:cs="宋体" w:eastAsiaTheme="minorEastAsia"/>
      <w:sz w:val="24"/>
      <w:szCs w:val="21"/>
    </w:rPr>
  </w:style>
  <w:style w:type="character" w:customStyle="1" w:styleId="177">
    <w:name w:val="正文86 Char"/>
    <w:basedOn w:val="178"/>
    <w:link w:val="180"/>
    <w:uiPriority w:val="0"/>
    <w:rPr>
      <w:rFonts w:ascii="楷体_GB2312" w:hAnsi="宋体" w:eastAsia="楷体_GB2312" w:cs="宋体"/>
      <w:sz w:val="24"/>
      <w:szCs w:val="24"/>
    </w:rPr>
  </w:style>
  <w:style w:type="character" w:customStyle="1" w:styleId="178">
    <w:name w:val="正文88 Char"/>
    <w:basedOn w:val="57"/>
    <w:link w:val="179"/>
    <w:uiPriority w:val="0"/>
    <w:rPr>
      <w:rFonts w:ascii="楷体_GB2312" w:hAnsi="宋体" w:eastAsia="楷体_GB2312" w:cs="宋体"/>
      <w:sz w:val="24"/>
      <w:szCs w:val="24"/>
    </w:rPr>
  </w:style>
  <w:style w:type="paragraph" w:customStyle="1" w:styleId="179">
    <w:name w:val="正文88"/>
    <w:basedOn w:val="1"/>
    <w:link w:val="178"/>
    <w:uiPriority w:val="0"/>
    <w:pPr>
      <w:tabs>
        <w:tab w:val="left" w:pos="567"/>
      </w:tabs>
      <w:adjustRightInd w:val="0"/>
      <w:spacing w:line="500" w:lineRule="exact"/>
      <w:ind w:firstLine="480" w:firstLineChars="200"/>
    </w:pPr>
    <w:rPr>
      <w:rFonts w:ascii="楷体_GB2312" w:hAnsi="宋体" w:eastAsia="楷体_GB2312" w:cs="宋体"/>
      <w:sz w:val="24"/>
    </w:rPr>
  </w:style>
  <w:style w:type="paragraph" w:customStyle="1" w:styleId="180">
    <w:name w:val="正文86"/>
    <w:basedOn w:val="179"/>
    <w:link w:val="177"/>
    <w:uiPriority w:val="0"/>
  </w:style>
  <w:style w:type="character" w:customStyle="1" w:styleId="181">
    <w:name w:val="表格后空行 Char Char"/>
    <w:basedOn w:val="57"/>
    <w:link w:val="182"/>
    <w:locked/>
    <w:uiPriority w:val="0"/>
    <w:rPr>
      <w:rFonts w:ascii="宋体" w:hAnsi="宋体" w:cs="宋体"/>
      <w:color w:val="000000"/>
      <w:szCs w:val="26"/>
      <w:u w:color="000000"/>
    </w:rPr>
  </w:style>
  <w:style w:type="paragraph" w:customStyle="1" w:styleId="182">
    <w:name w:val="表格后空行"/>
    <w:basedOn w:val="1"/>
    <w:link w:val="181"/>
    <w:uiPriority w:val="0"/>
    <w:pPr>
      <w:widowControl/>
      <w:spacing w:line="240" w:lineRule="exact"/>
      <w:textAlignment w:val="baseline"/>
    </w:pPr>
    <w:rPr>
      <w:rFonts w:ascii="宋体" w:hAnsi="宋体" w:cs="宋体" w:eastAsiaTheme="minorEastAsia"/>
      <w:color w:val="000000"/>
      <w:szCs w:val="26"/>
      <w:u w:color="000000"/>
    </w:rPr>
  </w:style>
  <w:style w:type="character" w:customStyle="1" w:styleId="183">
    <w:name w:val="标题四！！！！！！！！！！！！！！！！！！ Char"/>
    <w:basedOn w:val="57"/>
    <w:link w:val="184"/>
    <w:uiPriority w:val="0"/>
    <w:rPr>
      <w:rFonts w:ascii="楷体_GB2312" w:hAnsi="宋体" w:eastAsia="楷体_GB2312" w:cs="宋体"/>
      <w:b/>
      <w:sz w:val="24"/>
      <w:szCs w:val="21"/>
    </w:rPr>
  </w:style>
  <w:style w:type="paragraph" w:customStyle="1" w:styleId="184">
    <w:name w:val="标题四！！！！！！！！！！！！！！！！！！"/>
    <w:basedOn w:val="1"/>
    <w:link w:val="183"/>
    <w:uiPriority w:val="0"/>
    <w:pPr>
      <w:spacing w:line="500" w:lineRule="exact"/>
    </w:pPr>
    <w:rPr>
      <w:rFonts w:ascii="楷体_GB2312" w:hAnsi="宋体" w:eastAsia="楷体_GB2312" w:cs="宋体"/>
      <w:b/>
      <w:sz w:val="24"/>
      <w:szCs w:val="21"/>
    </w:rPr>
  </w:style>
  <w:style w:type="character" w:customStyle="1" w:styleId="185">
    <w:name w:val="样式 标题 3H3B Head标题 3 Char条标题1.1.1三级标题标题3h33rd level第二层条...1 Char Char"/>
    <w:basedOn w:val="57"/>
    <w:link w:val="186"/>
    <w:qFormat/>
    <w:uiPriority w:val="0"/>
    <w:rPr>
      <w:rFonts w:ascii="黑体" w:hAnsi="宋体" w:eastAsia="黑体" w:cs="宋体"/>
      <w:b/>
      <w:bCs/>
      <w:snapToGrid w:val="0"/>
      <w:color w:val="FF0000"/>
      <w:sz w:val="24"/>
      <w:szCs w:val="24"/>
    </w:rPr>
  </w:style>
  <w:style w:type="paragraph" w:customStyle="1" w:styleId="186">
    <w:name w:val="样式 标题 3H3B Head标题 3 Char条标题1.1.1三级标题标题3h33rd level第二层条...1 Char"/>
    <w:basedOn w:val="5"/>
    <w:link w:val="185"/>
    <w:uiPriority w:val="0"/>
    <w:pPr>
      <w:keepNext w:val="0"/>
      <w:keepLines w:val="0"/>
      <w:overflowPunct w:val="0"/>
      <w:autoSpaceDE w:val="0"/>
      <w:autoSpaceDN w:val="0"/>
      <w:adjustRightInd w:val="0"/>
      <w:snapToGrid w:val="0"/>
      <w:spacing w:before="31" w:after="31" w:line="360" w:lineRule="auto"/>
      <w:ind w:left="720" w:hanging="720"/>
      <w:textAlignment w:val="baseline"/>
    </w:pPr>
    <w:rPr>
      <w:rFonts w:hAnsi="宋体" w:cs="宋体"/>
      <w:b w:val="0"/>
      <w:bCs/>
      <w:snapToGrid w:val="0"/>
      <w:color w:val="FF0000"/>
      <w:spacing w:val="0"/>
      <w:szCs w:val="24"/>
    </w:rPr>
  </w:style>
  <w:style w:type="character" w:customStyle="1" w:styleId="187">
    <w:name w:val="尾注文本 字符"/>
    <w:basedOn w:val="57"/>
    <w:link w:val="32"/>
    <w:uiPriority w:val="0"/>
    <w:rPr>
      <w:rFonts w:ascii="楷体_GB2312" w:hAnsi="楷体_GB2312" w:eastAsia="楷体_GB2312" w:cs="宋体"/>
      <w:sz w:val="24"/>
      <w:szCs w:val="24"/>
    </w:rPr>
  </w:style>
  <w:style w:type="character" w:customStyle="1" w:styleId="188">
    <w:name w:val="正文表格 Char"/>
    <w:basedOn w:val="57"/>
    <w:link w:val="189"/>
    <w:uiPriority w:val="0"/>
    <w:rPr>
      <w:rFonts w:ascii="宋体" w:hAnsi="宋体" w:cs="宋体"/>
      <w:szCs w:val="24"/>
    </w:rPr>
  </w:style>
  <w:style w:type="paragraph" w:customStyle="1" w:styleId="189">
    <w:name w:val="正文表格"/>
    <w:basedOn w:val="1"/>
    <w:link w:val="188"/>
    <w:uiPriority w:val="0"/>
    <w:pPr>
      <w:keepNext/>
      <w:keepLines/>
      <w:spacing w:before="80"/>
      <w:jc w:val="center"/>
      <w:textAlignment w:val="bottom"/>
    </w:pPr>
    <w:rPr>
      <w:rFonts w:ascii="宋体" w:hAnsi="宋体" w:cs="宋体" w:eastAsiaTheme="minorEastAsia"/>
    </w:rPr>
  </w:style>
  <w:style w:type="character" w:customStyle="1" w:styleId="190">
    <w:name w:val="样式 标题 2 + 黑色 Char"/>
    <w:basedOn w:val="57"/>
    <w:link w:val="191"/>
    <w:uiPriority w:val="0"/>
    <w:rPr>
      <w:rFonts w:ascii="黑体" w:hAnsi="Arial" w:eastAsia="黑体" w:cs="宋体"/>
      <w:b/>
      <w:bCs/>
      <w:color w:val="000000"/>
      <w:kern w:val="18"/>
      <w:sz w:val="30"/>
      <w:szCs w:val="30"/>
    </w:rPr>
  </w:style>
  <w:style w:type="paragraph" w:customStyle="1" w:styleId="191">
    <w:name w:val="样式 标题 2 + 黑色"/>
    <w:basedOn w:val="4"/>
    <w:next w:val="54"/>
    <w:link w:val="190"/>
    <w:uiPriority w:val="0"/>
    <w:pPr>
      <w:snapToGrid w:val="0"/>
      <w:spacing w:before="100" w:beforeAutospacing="1" w:after="0" w:line="360" w:lineRule="auto"/>
    </w:pPr>
    <w:rPr>
      <w:rFonts w:ascii="黑体" w:cs="宋体"/>
      <w:color w:val="000000"/>
      <w:kern w:val="18"/>
      <w:sz w:val="30"/>
      <w:szCs w:val="30"/>
    </w:rPr>
  </w:style>
  <w:style w:type="character" w:customStyle="1" w:styleId="192">
    <w:name w:val="四级 Char"/>
    <w:basedOn w:val="193"/>
    <w:link w:val="197"/>
    <w:uiPriority w:val="0"/>
    <w:rPr>
      <w:rFonts w:ascii="宋体" w:hAnsi="宋体" w:eastAsia="Times New Roman" w:cs="Arial"/>
      <w:sz w:val="32"/>
      <w:szCs w:val="32"/>
    </w:rPr>
  </w:style>
  <w:style w:type="character" w:customStyle="1" w:styleId="193">
    <w:name w:val="三级 Char"/>
    <w:basedOn w:val="194"/>
    <w:link w:val="196"/>
    <w:uiPriority w:val="0"/>
    <w:rPr>
      <w:rFonts w:ascii="宋体" w:hAnsi="宋体" w:eastAsia="Times New Roman" w:cs="Arial"/>
      <w:sz w:val="32"/>
      <w:szCs w:val="32"/>
    </w:rPr>
  </w:style>
  <w:style w:type="character" w:customStyle="1" w:styleId="194">
    <w:name w:val="二级 Char"/>
    <w:basedOn w:val="57"/>
    <w:link w:val="195"/>
    <w:uiPriority w:val="0"/>
    <w:rPr>
      <w:rFonts w:ascii="宋体" w:hAnsi="宋体" w:eastAsia="Times New Roman" w:cs="Arial"/>
      <w:b/>
      <w:bCs/>
      <w:sz w:val="32"/>
      <w:szCs w:val="32"/>
    </w:rPr>
  </w:style>
  <w:style w:type="paragraph" w:customStyle="1" w:styleId="195">
    <w:name w:val="二级"/>
    <w:link w:val="194"/>
    <w:uiPriority w:val="0"/>
    <w:pPr>
      <w:spacing w:beforeLines="50" w:afterLines="50"/>
      <w:outlineLvl w:val="1"/>
    </w:pPr>
    <w:rPr>
      <w:rFonts w:ascii="宋体" w:hAnsi="宋体" w:eastAsia="Times New Roman" w:cs="Arial"/>
      <w:b/>
      <w:bCs/>
      <w:kern w:val="2"/>
      <w:sz w:val="32"/>
      <w:szCs w:val="32"/>
      <w:lang w:val="en-US" w:eastAsia="zh-CN" w:bidi="ar-SA"/>
    </w:rPr>
  </w:style>
  <w:style w:type="paragraph" w:customStyle="1" w:styleId="196">
    <w:name w:val="三级"/>
    <w:basedOn w:val="51"/>
    <w:link w:val="193"/>
    <w:uiPriority w:val="0"/>
    <w:pPr>
      <w:widowControl/>
      <w:adjustRightInd w:val="0"/>
      <w:snapToGrid w:val="0"/>
      <w:spacing w:beforeLines="50" w:afterLines="50" w:line="240" w:lineRule="auto"/>
      <w:ind w:firstLine="0" w:firstLineChars="0"/>
      <w:contextualSpacing/>
      <w:jc w:val="both"/>
      <w:outlineLvl w:val="2"/>
    </w:pPr>
    <w:rPr>
      <w:rFonts w:ascii="宋体" w:hAnsi="宋体" w:eastAsia="Times New Roman" w:cs="Arial"/>
    </w:rPr>
  </w:style>
  <w:style w:type="paragraph" w:customStyle="1" w:styleId="197">
    <w:name w:val="四级"/>
    <w:link w:val="192"/>
    <w:uiPriority w:val="0"/>
    <w:pPr>
      <w:outlineLvl w:val="3"/>
    </w:pPr>
    <w:rPr>
      <w:rFonts w:ascii="宋体" w:hAnsi="宋体" w:eastAsia="Times New Roman" w:cs="Arial"/>
      <w:b/>
      <w:bCs/>
      <w:kern w:val="2"/>
      <w:sz w:val="32"/>
      <w:szCs w:val="32"/>
      <w:lang w:val="en-US" w:eastAsia="zh-CN" w:bidi="ar-SA"/>
    </w:rPr>
  </w:style>
  <w:style w:type="character" w:customStyle="1" w:styleId="198">
    <w:name w:val="标题 字符"/>
    <w:basedOn w:val="57"/>
    <w:link w:val="51"/>
    <w:uiPriority w:val="0"/>
    <w:rPr>
      <w:rFonts w:ascii="Cambria" w:hAnsi="Cambria" w:eastAsia="宋体" w:cs="宋体"/>
      <w:b/>
      <w:bCs/>
      <w:sz w:val="32"/>
      <w:szCs w:val="32"/>
    </w:rPr>
  </w:style>
  <w:style w:type="character" w:customStyle="1" w:styleId="199">
    <w:name w:val="正文3 Char Char"/>
    <w:link w:val="200"/>
    <w:uiPriority w:val="0"/>
    <w:rPr>
      <w:rFonts w:ascii="宋体" w:hAnsi="宋体" w:eastAsia="宋体" w:cs="宋体"/>
      <w:sz w:val="24"/>
      <w:szCs w:val="24"/>
    </w:rPr>
  </w:style>
  <w:style w:type="paragraph" w:customStyle="1" w:styleId="200">
    <w:name w:val="正文3"/>
    <w:basedOn w:val="1"/>
    <w:next w:val="1"/>
    <w:link w:val="199"/>
    <w:uiPriority w:val="0"/>
    <w:pPr>
      <w:spacing w:line="529" w:lineRule="exact"/>
      <w:ind w:firstLine="200" w:firstLineChars="200"/>
    </w:pPr>
    <w:rPr>
      <w:rFonts w:ascii="宋体" w:hAnsi="宋体" w:cs="宋体"/>
      <w:sz w:val="24"/>
    </w:rPr>
  </w:style>
  <w:style w:type="character" w:customStyle="1" w:styleId="201">
    <w:name w:val="二级标题 Char"/>
    <w:link w:val="202"/>
    <w:uiPriority w:val="0"/>
    <w:rPr>
      <w:b/>
      <w:bCs/>
      <w:sz w:val="30"/>
      <w:szCs w:val="32"/>
    </w:rPr>
  </w:style>
  <w:style w:type="paragraph" w:customStyle="1" w:styleId="202">
    <w:name w:val="二级标题"/>
    <w:basedOn w:val="4"/>
    <w:link w:val="201"/>
    <w:qFormat/>
    <w:uiPriority w:val="0"/>
    <w:pPr>
      <w:spacing w:after="0" w:line="420" w:lineRule="exact"/>
      <w:jc w:val="left"/>
    </w:pPr>
    <w:rPr>
      <w:rFonts w:asciiTheme="minorHAnsi" w:hAnsiTheme="minorHAnsi" w:eastAsiaTheme="minorEastAsia" w:cstheme="minorBidi"/>
      <w:sz w:val="30"/>
    </w:rPr>
  </w:style>
  <w:style w:type="character" w:customStyle="1" w:styleId="203">
    <w:name w:val="123 Char"/>
    <w:basedOn w:val="57"/>
    <w:uiPriority w:val="0"/>
    <w:rPr>
      <w:rFonts w:ascii="宋体" w:hAnsi="Courier New" w:eastAsia="宋体" w:cs="Courier New"/>
      <w:spacing w:val="4"/>
      <w:sz w:val="24"/>
      <w:szCs w:val="21"/>
      <w:lang w:val="en-US" w:eastAsia="zh-CN" w:bidi="ar-SA"/>
    </w:rPr>
  </w:style>
  <w:style w:type="character" w:customStyle="1" w:styleId="204">
    <w:name w:val="样式15 Char"/>
    <w:basedOn w:val="57"/>
    <w:link w:val="205"/>
    <w:uiPriority w:val="0"/>
    <w:rPr>
      <w:rFonts w:ascii="宋体" w:hAnsi="宋体" w:cs="宋体"/>
      <w:b/>
      <w:sz w:val="28"/>
      <w:szCs w:val="26"/>
    </w:rPr>
  </w:style>
  <w:style w:type="paragraph" w:customStyle="1" w:styleId="205">
    <w:name w:val="样式15"/>
    <w:basedOn w:val="206"/>
    <w:link w:val="204"/>
    <w:uiPriority w:val="0"/>
  </w:style>
  <w:style w:type="paragraph" w:customStyle="1" w:styleId="206">
    <w:name w:val="样式1.1.1三级标题"/>
    <w:basedOn w:val="1"/>
    <w:next w:val="1"/>
    <w:link w:val="207"/>
    <w:uiPriority w:val="0"/>
    <w:pPr>
      <w:spacing w:line="360" w:lineRule="auto"/>
      <w:outlineLvl w:val="2"/>
    </w:pPr>
    <w:rPr>
      <w:rFonts w:ascii="宋体" w:hAnsi="宋体" w:cs="宋体" w:eastAsiaTheme="minorEastAsia"/>
      <w:b/>
      <w:sz w:val="28"/>
      <w:szCs w:val="26"/>
    </w:rPr>
  </w:style>
  <w:style w:type="character" w:customStyle="1" w:styleId="207">
    <w:name w:val="样式1.1.1三级标题 Char"/>
    <w:basedOn w:val="57"/>
    <w:link w:val="206"/>
    <w:uiPriority w:val="0"/>
    <w:rPr>
      <w:rFonts w:ascii="宋体" w:hAnsi="宋体" w:cs="宋体"/>
      <w:b/>
      <w:sz w:val="28"/>
      <w:szCs w:val="26"/>
    </w:rPr>
  </w:style>
  <w:style w:type="character" w:customStyle="1" w:styleId="208">
    <w:name w:val="普通(网站) 字符"/>
    <w:basedOn w:val="57"/>
    <w:link w:val="50"/>
    <w:locked/>
    <w:uiPriority w:val="0"/>
    <w:rPr>
      <w:rFonts w:ascii="宋体" w:hAnsi="宋体" w:eastAsia="宋体" w:cs="宋体"/>
      <w:sz w:val="24"/>
      <w:szCs w:val="24"/>
    </w:rPr>
  </w:style>
  <w:style w:type="character" w:customStyle="1" w:styleId="209">
    <w:name w:val="样式 仿宋_GB2312 四号"/>
    <w:basedOn w:val="57"/>
    <w:uiPriority w:val="0"/>
    <w:rPr>
      <w:rFonts w:ascii="仿宋_GB2312" w:hAnsi="宋体" w:eastAsia="仿宋_GB2312" w:cs="宋体"/>
      <w:sz w:val="28"/>
      <w:szCs w:val="28"/>
    </w:rPr>
  </w:style>
  <w:style w:type="character" w:customStyle="1" w:styleId="210">
    <w:name w:val="正文(首行缩进) Char Char Char Char"/>
    <w:basedOn w:val="57"/>
    <w:link w:val="211"/>
    <w:uiPriority w:val="0"/>
    <w:rPr>
      <w:rFonts w:ascii="宋体" w:hAnsi="宋体" w:cs="宋体"/>
      <w:snapToGrid w:val="0"/>
      <w:sz w:val="24"/>
      <w:szCs w:val="24"/>
    </w:rPr>
  </w:style>
  <w:style w:type="paragraph" w:customStyle="1" w:styleId="211">
    <w:name w:val="正文(首行缩进) Char Char Char"/>
    <w:basedOn w:val="1"/>
    <w:link w:val="210"/>
    <w:uiPriority w:val="0"/>
    <w:pPr>
      <w:spacing w:line="360" w:lineRule="auto"/>
      <w:ind w:firstLine="480" w:firstLineChars="200"/>
    </w:pPr>
    <w:rPr>
      <w:rFonts w:ascii="宋体" w:hAnsi="宋体" w:cs="宋体" w:eastAsiaTheme="minorEastAsia"/>
      <w:snapToGrid w:val="0"/>
      <w:sz w:val="24"/>
    </w:rPr>
  </w:style>
  <w:style w:type="character" w:customStyle="1" w:styleId="212">
    <w:name w:val="样式 首行缩进:  2 字符 Char"/>
    <w:link w:val="213"/>
    <w:uiPriority w:val="0"/>
    <w:rPr>
      <w:rFonts w:ascii="宋体" w:hAnsi="宋体" w:eastAsia="宋体"/>
      <w:sz w:val="24"/>
      <w:szCs w:val="18"/>
    </w:rPr>
  </w:style>
  <w:style w:type="paragraph" w:customStyle="1" w:styleId="213">
    <w:name w:val="样式 首行缩进:  2 字符"/>
    <w:basedOn w:val="1"/>
    <w:link w:val="212"/>
    <w:uiPriority w:val="0"/>
    <w:pPr>
      <w:spacing w:line="360" w:lineRule="auto"/>
      <w:ind w:firstLine="480" w:firstLineChars="200"/>
    </w:pPr>
    <w:rPr>
      <w:rFonts w:ascii="宋体" w:hAnsi="宋体" w:cstheme="minorBidi"/>
      <w:sz w:val="24"/>
      <w:szCs w:val="18"/>
    </w:rPr>
  </w:style>
  <w:style w:type="character" w:customStyle="1" w:styleId="214">
    <w:name w:val="样式 纯文本表格内容纯文本 Char普通文字加粗正文普通文字 Char Char普通文字 Char Char Cha...3 Char"/>
    <w:basedOn w:val="57"/>
    <w:link w:val="215"/>
    <w:uiPriority w:val="0"/>
    <w:rPr>
      <w:rFonts w:ascii="楷体_GB2312" w:hAnsi="楷体_GB2312" w:eastAsia="楷体_GB2312" w:cs="宋体"/>
      <w:sz w:val="24"/>
      <w:szCs w:val="24"/>
    </w:rPr>
  </w:style>
  <w:style w:type="paragraph" w:customStyle="1" w:styleId="215">
    <w:name w:val="样式 纯文本表格内容纯文本 Char普通文字加粗正文普通文字 Char Char普通文字 Char Char Cha...3"/>
    <w:basedOn w:val="28"/>
    <w:link w:val="214"/>
    <w:uiPriority w:val="0"/>
    <w:pPr>
      <w:ind w:firstLine="200" w:firstLineChars="200"/>
    </w:pPr>
    <w:rPr>
      <w:rFonts w:ascii="楷体_GB2312" w:hAnsi="楷体_GB2312" w:eastAsia="楷体_GB2312" w:cs="宋体"/>
      <w:sz w:val="24"/>
      <w:szCs w:val="24"/>
    </w:rPr>
  </w:style>
  <w:style w:type="character" w:customStyle="1" w:styleId="216">
    <w:name w:val="纯文本 字符"/>
    <w:link w:val="28"/>
    <w:qFormat/>
    <w:uiPriority w:val="0"/>
    <w:rPr>
      <w:rFonts w:ascii="宋体" w:hAnsi="Courier New" w:eastAsia="宋体"/>
      <w:sz w:val="28"/>
      <w:szCs w:val="21"/>
    </w:rPr>
  </w:style>
  <w:style w:type="character" w:customStyle="1" w:styleId="217">
    <w:name w:val="样式5 Char"/>
    <w:basedOn w:val="57"/>
    <w:link w:val="218"/>
    <w:uiPriority w:val="0"/>
    <w:rPr>
      <w:rFonts w:ascii="宋体" w:hAnsi="宋体" w:eastAsia="仿宋_GB2312" w:cs="宋体"/>
      <w:sz w:val="24"/>
      <w:szCs w:val="24"/>
    </w:rPr>
  </w:style>
  <w:style w:type="paragraph" w:customStyle="1" w:styleId="218">
    <w:name w:val="样式5"/>
    <w:basedOn w:val="1"/>
    <w:link w:val="217"/>
    <w:uiPriority w:val="0"/>
    <w:pPr>
      <w:spacing w:line="360" w:lineRule="auto"/>
      <w:ind w:firstLine="480" w:firstLineChars="200"/>
    </w:pPr>
    <w:rPr>
      <w:rFonts w:ascii="宋体" w:hAnsi="宋体" w:eastAsia="仿宋_GB2312" w:cs="宋体"/>
      <w:sz w:val="24"/>
    </w:rPr>
  </w:style>
  <w:style w:type="character" w:customStyle="1" w:styleId="219">
    <w:name w:val="2级标题 Char"/>
    <w:link w:val="220"/>
    <w:uiPriority w:val="0"/>
    <w:rPr>
      <w:rFonts w:ascii="Arial" w:hAnsi="Arial"/>
      <w:b/>
      <w:sz w:val="28"/>
      <w:szCs w:val="28"/>
    </w:rPr>
  </w:style>
  <w:style w:type="paragraph" w:customStyle="1" w:styleId="220">
    <w:name w:val="2级标题"/>
    <w:basedOn w:val="1"/>
    <w:link w:val="219"/>
    <w:uiPriority w:val="0"/>
    <w:pPr>
      <w:keepNext/>
      <w:keepLines/>
      <w:spacing w:line="240" w:lineRule="atLeast"/>
      <w:outlineLvl w:val="1"/>
    </w:pPr>
    <w:rPr>
      <w:rFonts w:ascii="Arial" w:hAnsi="Arial" w:eastAsiaTheme="minorEastAsia" w:cstheme="minorBidi"/>
      <w:b/>
      <w:sz w:val="28"/>
      <w:szCs w:val="28"/>
    </w:rPr>
  </w:style>
  <w:style w:type="character" w:customStyle="1" w:styleId="221">
    <w:name w:val="表蕊 Char1"/>
    <w:basedOn w:val="57"/>
    <w:link w:val="222"/>
    <w:uiPriority w:val="0"/>
    <w:rPr>
      <w:rFonts w:ascii="宋体" w:hAnsi="宋体" w:eastAsia="楷体_GB2312" w:cs="宋体"/>
      <w:spacing w:val="-10"/>
      <w:szCs w:val="26"/>
    </w:rPr>
  </w:style>
  <w:style w:type="paragraph" w:customStyle="1" w:styleId="222">
    <w:name w:val="表蕊"/>
    <w:basedOn w:val="1"/>
    <w:link w:val="221"/>
    <w:uiPriority w:val="0"/>
    <w:pPr>
      <w:adjustRightInd w:val="0"/>
      <w:spacing w:line="320" w:lineRule="atLeast"/>
      <w:jc w:val="left"/>
      <w:textAlignment w:val="baseline"/>
    </w:pPr>
    <w:rPr>
      <w:rFonts w:ascii="宋体" w:hAnsi="宋体" w:eastAsia="楷体_GB2312" w:cs="宋体"/>
      <w:spacing w:val="-10"/>
      <w:szCs w:val="26"/>
    </w:rPr>
  </w:style>
  <w:style w:type="character" w:customStyle="1" w:styleId="223">
    <w:name w:val="信息标题 字符"/>
    <w:basedOn w:val="57"/>
    <w:link w:val="48"/>
    <w:uiPriority w:val="0"/>
    <w:rPr>
      <w:rFonts w:ascii="Arial" w:hAnsi="Arial" w:cs="宋体"/>
      <w:sz w:val="24"/>
      <w:szCs w:val="24"/>
      <w:shd w:val="pct20" w:color="auto" w:fill="auto"/>
    </w:rPr>
  </w:style>
  <w:style w:type="character" w:customStyle="1" w:styleId="224">
    <w:name w:val="Char Char Char1"/>
    <w:basedOn w:val="57"/>
    <w:uiPriority w:val="0"/>
    <w:rPr>
      <w:rFonts w:ascii="宋体" w:hAnsi="Courier New" w:eastAsia="宋体" w:cs="Courier New"/>
      <w:kern w:val="2"/>
      <w:sz w:val="21"/>
      <w:szCs w:val="21"/>
      <w:lang w:val="en-US" w:eastAsia="zh-CN" w:bidi="ar-SA"/>
    </w:rPr>
  </w:style>
  <w:style w:type="character" w:customStyle="1" w:styleId="225">
    <w:name w:val="Char Char12"/>
    <w:basedOn w:val="57"/>
    <w:uiPriority w:val="0"/>
    <w:rPr>
      <w:rFonts w:ascii="宋体" w:hAnsi="宋体" w:eastAsia="宋体" w:cs="宋体"/>
      <w:kern w:val="2"/>
      <w:sz w:val="18"/>
      <w:szCs w:val="18"/>
      <w:lang w:val="en-US" w:eastAsia="zh-CN" w:bidi="ar-SA"/>
    </w:rPr>
  </w:style>
  <w:style w:type="character" w:customStyle="1" w:styleId="226">
    <w:name w:val="环保专篇 Char"/>
    <w:basedOn w:val="57"/>
    <w:link w:val="227"/>
    <w:uiPriority w:val="0"/>
    <w:rPr>
      <w:rFonts w:ascii="宋体" w:hAnsi="宋体" w:eastAsia="Times New Roman" w:cs="宋体"/>
      <w:sz w:val="24"/>
      <w:szCs w:val="24"/>
    </w:rPr>
  </w:style>
  <w:style w:type="paragraph" w:customStyle="1" w:styleId="227">
    <w:name w:val="环保专篇"/>
    <w:link w:val="226"/>
    <w:uiPriority w:val="0"/>
    <w:pPr>
      <w:spacing w:line="360" w:lineRule="auto"/>
      <w:ind w:firstLine="200" w:firstLineChars="200"/>
      <w:jc w:val="both"/>
    </w:pPr>
    <w:rPr>
      <w:rFonts w:ascii="宋体" w:hAnsi="宋体" w:eastAsia="Times New Roman" w:cs="宋体"/>
      <w:kern w:val="2"/>
      <w:sz w:val="24"/>
      <w:szCs w:val="24"/>
      <w:lang w:val="en-US" w:eastAsia="zh-CN" w:bidi="ar-SA"/>
    </w:rPr>
  </w:style>
  <w:style w:type="character" w:customStyle="1" w:styleId="228">
    <w:name w:val="1正文段落 Char"/>
    <w:link w:val="229"/>
    <w:qFormat/>
    <w:uiPriority w:val="0"/>
    <w:rPr>
      <w:rFonts w:eastAsia="宋体"/>
      <w:snapToGrid w:val="0"/>
      <w:sz w:val="24"/>
      <w:szCs w:val="24"/>
    </w:rPr>
  </w:style>
  <w:style w:type="paragraph" w:customStyle="1" w:styleId="229">
    <w:name w:val="1正文段落"/>
    <w:basedOn w:val="1"/>
    <w:link w:val="228"/>
    <w:uiPriority w:val="0"/>
    <w:pPr>
      <w:spacing w:line="360" w:lineRule="auto"/>
      <w:ind w:firstLine="480" w:firstLineChars="200"/>
      <w:jc w:val="left"/>
    </w:pPr>
    <w:rPr>
      <w:rFonts w:asciiTheme="minorHAnsi" w:hAnsiTheme="minorHAnsi" w:cstheme="minorBidi"/>
      <w:snapToGrid w:val="0"/>
      <w:sz w:val="24"/>
    </w:rPr>
  </w:style>
  <w:style w:type="character" w:customStyle="1" w:styleId="230">
    <w:name w:val="标2 Char"/>
    <w:basedOn w:val="57"/>
    <w:link w:val="231"/>
    <w:uiPriority w:val="0"/>
    <w:rPr>
      <w:rFonts w:ascii="宋体" w:hAnsi="宋体" w:cs="宋体"/>
      <w:b/>
      <w:color w:val="FF0000"/>
      <w:sz w:val="30"/>
      <w:szCs w:val="30"/>
    </w:rPr>
  </w:style>
  <w:style w:type="paragraph" w:customStyle="1" w:styleId="231">
    <w:name w:val="标2"/>
    <w:basedOn w:val="4"/>
    <w:next w:val="28"/>
    <w:link w:val="230"/>
    <w:uiPriority w:val="0"/>
    <w:pPr>
      <w:tabs>
        <w:tab w:val="left" w:pos="315"/>
        <w:tab w:val="left" w:pos="1134"/>
        <w:tab w:val="left" w:pos="1400"/>
        <w:tab w:val="center" w:pos="6804"/>
        <w:tab w:val="right" w:pos="7371"/>
      </w:tabs>
      <w:spacing w:before="0" w:after="0" w:line="500" w:lineRule="exact"/>
      <w:ind w:left="1400" w:hanging="420" w:firstLineChars="200"/>
      <w:jc w:val="left"/>
    </w:pPr>
    <w:rPr>
      <w:rFonts w:ascii="宋体" w:hAnsi="宋体" w:cs="宋体" w:eastAsiaTheme="minorEastAsia"/>
      <w:bCs w:val="0"/>
      <w:color w:val="FF0000"/>
      <w:sz w:val="30"/>
      <w:szCs w:val="30"/>
    </w:rPr>
  </w:style>
  <w:style w:type="character" w:customStyle="1" w:styleId="232">
    <w:name w:val="（1）标题 Char"/>
    <w:basedOn w:val="57"/>
    <w:link w:val="233"/>
    <w:uiPriority w:val="0"/>
    <w:rPr>
      <w:rFonts w:ascii="宋体" w:hAnsi="宋体" w:cs="宋体"/>
      <w:sz w:val="28"/>
      <w:szCs w:val="26"/>
    </w:rPr>
  </w:style>
  <w:style w:type="paragraph" w:customStyle="1" w:styleId="233">
    <w:name w:val="（1）标题"/>
    <w:basedOn w:val="1"/>
    <w:link w:val="232"/>
    <w:uiPriority w:val="0"/>
    <w:pPr>
      <w:widowControl/>
      <w:ind w:firstLine="560" w:firstLineChars="200"/>
      <w:jc w:val="left"/>
    </w:pPr>
    <w:rPr>
      <w:rFonts w:ascii="宋体" w:hAnsi="宋体" w:cs="宋体" w:eastAsiaTheme="minorEastAsia"/>
      <w:sz w:val="28"/>
      <w:szCs w:val="26"/>
    </w:rPr>
  </w:style>
  <w:style w:type="character" w:customStyle="1" w:styleId="234">
    <w:name w:val="text2"/>
    <w:basedOn w:val="57"/>
    <w:uiPriority w:val="0"/>
    <w:rPr>
      <w:rFonts w:ascii="宋体" w:hAnsi="宋体" w:cs="宋体"/>
      <w:sz w:val="24"/>
      <w:szCs w:val="26"/>
    </w:rPr>
  </w:style>
  <w:style w:type="character" w:customStyle="1" w:styleId="235">
    <w:name w:val="我的表格文字 Char"/>
    <w:basedOn w:val="57"/>
    <w:link w:val="236"/>
    <w:uiPriority w:val="0"/>
    <w:rPr>
      <w:rFonts w:ascii="宋体" w:hAnsi="宋体" w:cs="宋体"/>
      <w:szCs w:val="21"/>
    </w:rPr>
  </w:style>
  <w:style w:type="paragraph" w:customStyle="1" w:styleId="236">
    <w:name w:val="我的表格文字"/>
    <w:basedOn w:val="1"/>
    <w:link w:val="235"/>
    <w:uiPriority w:val="0"/>
    <w:pPr>
      <w:adjustRightInd w:val="0"/>
      <w:spacing w:line="320" w:lineRule="exact"/>
      <w:jc w:val="center"/>
      <w:textAlignment w:val="center"/>
    </w:pPr>
    <w:rPr>
      <w:rFonts w:ascii="宋体" w:hAnsi="宋体" w:cs="宋体" w:eastAsiaTheme="minorEastAsia"/>
      <w:szCs w:val="21"/>
    </w:rPr>
  </w:style>
  <w:style w:type="character" w:customStyle="1" w:styleId="237">
    <w:name w:val="标题 1[858D7CFB-ED40-4347-BF05-701D383B685F]"/>
    <w:uiPriority w:val="0"/>
    <w:rPr>
      <w:sz w:val="44"/>
    </w:rPr>
  </w:style>
  <w:style w:type="character" w:customStyle="1" w:styleId="238">
    <w:name w:val="四级标题 Char"/>
    <w:link w:val="239"/>
    <w:qFormat/>
    <w:uiPriority w:val="0"/>
    <w:rPr>
      <w:b/>
      <w:bCs/>
      <w:sz w:val="28"/>
      <w:szCs w:val="28"/>
    </w:rPr>
  </w:style>
  <w:style w:type="paragraph" w:customStyle="1" w:styleId="239">
    <w:name w:val="四级标题"/>
    <w:basedOn w:val="2"/>
    <w:link w:val="238"/>
    <w:qFormat/>
    <w:uiPriority w:val="0"/>
    <w:pPr>
      <w:keepNext/>
      <w:keepLines/>
      <w:wordWrap/>
      <w:topLinePunct w:val="0"/>
      <w:autoSpaceDN/>
      <w:spacing w:beforeLines="50" w:line="420" w:lineRule="exact"/>
      <w:ind w:firstLine="0" w:firstLineChars="0"/>
      <w:jc w:val="left"/>
    </w:pPr>
    <w:rPr>
      <w:rFonts w:asciiTheme="minorHAnsi" w:hAnsiTheme="minorHAnsi" w:eastAsiaTheme="minorEastAsia" w:cstheme="minorBidi"/>
      <w:b/>
      <w:color w:val="auto"/>
    </w:rPr>
  </w:style>
  <w:style w:type="character" w:customStyle="1" w:styleId="240">
    <w:name w:val="L4 Char Char Char Char2"/>
    <w:basedOn w:val="57"/>
    <w:uiPriority w:val="0"/>
    <w:rPr>
      <w:rFonts w:ascii="Arial" w:hAnsi="Arial" w:eastAsia="黑体" w:cs="宋体"/>
      <w:b/>
      <w:bCs/>
      <w:kern w:val="2"/>
      <w:sz w:val="28"/>
      <w:szCs w:val="28"/>
      <w:lang w:val="en-US" w:eastAsia="zh-CN" w:bidi="ar-SA"/>
    </w:rPr>
  </w:style>
  <w:style w:type="character" w:customStyle="1" w:styleId="241">
    <w:name w:val="说明书1 Char Char"/>
    <w:basedOn w:val="57"/>
    <w:link w:val="242"/>
    <w:uiPriority w:val="0"/>
    <w:rPr>
      <w:rFonts w:ascii="宋体" w:hAnsi="宋体" w:cs="宋体"/>
      <w:sz w:val="28"/>
      <w:szCs w:val="26"/>
    </w:rPr>
  </w:style>
  <w:style w:type="paragraph" w:customStyle="1" w:styleId="242">
    <w:name w:val="说明书1"/>
    <w:basedOn w:val="1"/>
    <w:link w:val="241"/>
    <w:qFormat/>
    <w:uiPriority w:val="0"/>
    <w:pPr>
      <w:spacing w:line="520" w:lineRule="exact"/>
      <w:ind w:firstLine="567"/>
    </w:pPr>
    <w:rPr>
      <w:rFonts w:ascii="宋体" w:hAnsi="宋体" w:cs="宋体" w:eastAsiaTheme="minorEastAsia"/>
      <w:sz w:val="28"/>
      <w:szCs w:val="26"/>
    </w:rPr>
  </w:style>
  <w:style w:type="character" w:customStyle="1" w:styleId="243">
    <w:name w:val="表格名称 Char Char"/>
    <w:basedOn w:val="57"/>
    <w:link w:val="244"/>
    <w:locked/>
    <w:uiPriority w:val="0"/>
    <w:rPr>
      <w:rFonts w:ascii="宋体" w:hAnsi="宋体" w:cs="宋体"/>
      <w:sz w:val="28"/>
      <w:szCs w:val="28"/>
    </w:rPr>
  </w:style>
  <w:style w:type="paragraph" w:customStyle="1" w:styleId="244">
    <w:name w:val="表格名称"/>
    <w:basedOn w:val="1"/>
    <w:next w:val="245"/>
    <w:link w:val="243"/>
    <w:uiPriority w:val="0"/>
    <w:pPr>
      <w:spacing w:line="480" w:lineRule="exact"/>
    </w:pPr>
    <w:rPr>
      <w:rFonts w:ascii="宋体" w:hAnsi="宋体" w:cs="宋体" w:eastAsiaTheme="minorEastAsia"/>
      <w:sz w:val="28"/>
      <w:szCs w:val="28"/>
    </w:rPr>
  </w:style>
  <w:style w:type="paragraph" w:customStyle="1" w:styleId="245">
    <w:name w:val="表格"/>
    <w:next w:val="1"/>
    <w:link w:val="246"/>
    <w:uiPriority w:val="0"/>
    <w:pPr>
      <w:spacing w:line="360" w:lineRule="exact"/>
      <w:jc w:val="center"/>
    </w:pPr>
    <w:rPr>
      <w:rFonts w:asciiTheme="minorHAnsi" w:hAnsiTheme="minorHAnsi" w:eastAsiaTheme="minorEastAsia" w:cstheme="minorBidi"/>
      <w:kern w:val="2"/>
      <w:sz w:val="21"/>
      <w:szCs w:val="21"/>
      <w:lang w:val="en-US" w:eastAsia="zh-CN" w:bidi="ar-SA"/>
    </w:rPr>
  </w:style>
  <w:style w:type="character" w:customStyle="1" w:styleId="246">
    <w:name w:val="表格 Char"/>
    <w:link w:val="245"/>
    <w:qFormat/>
    <w:uiPriority w:val="0"/>
    <w:rPr>
      <w:szCs w:val="21"/>
    </w:rPr>
  </w:style>
  <w:style w:type="character" w:customStyle="1" w:styleId="247">
    <w:name w:val="表格标题自定 Char"/>
    <w:basedOn w:val="248"/>
    <w:link w:val="250"/>
    <w:uiPriority w:val="0"/>
    <w:rPr>
      <w:rFonts w:ascii="宋体" w:hAnsi="宋体" w:eastAsia="华文仿宋" w:cs="宋体"/>
      <w:color w:val="000000"/>
      <w:sz w:val="24"/>
      <w:szCs w:val="24"/>
    </w:rPr>
  </w:style>
  <w:style w:type="character" w:customStyle="1" w:styleId="248">
    <w:name w:val="样式7 Char"/>
    <w:basedOn w:val="152"/>
    <w:link w:val="249"/>
    <w:uiPriority w:val="0"/>
    <w:rPr>
      <w:rFonts w:ascii="宋体" w:hAnsi="华文仿宋" w:eastAsia="华文仿宋" w:cs="宋体"/>
      <w:b/>
      <w:sz w:val="24"/>
      <w:szCs w:val="24"/>
    </w:rPr>
  </w:style>
  <w:style w:type="paragraph" w:customStyle="1" w:styleId="249">
    <w:name w:val="样式7"/>
    <w:basedOn w:val="8"/>
    <w:link w:val="248"/>
    <w:uiPriority w:val="0"/>
    <w:pPr>
      <w:spacing w:before="0" w:after="0" w:line="360" w:lineRule="auto"/>
    </w:pPr>
    <w:rPr>
      <w:rFonts w:ascii="宋体" w:hAnsi="华文仿宋" w:eastAsia="华文仿宋" w:cs="宋体"/>
      <w:bCs w:val="0"/>
    </w:rPr>
  </w:style>
  <w:style w:type="paragraph" w:customStyle="1" w:styleId="250">
    <w:name w:val="表格标题自定"/>
    <w:basedOn w:val="249"/>
    <w:link w:val="247"/>
    <w:uiPriority w:val="0"/>
    <w:pPr>
      <w:keepNext w:val="0"/>
      <w:keepLines w:val="0"/>
      <w:jc w:val="center"/>
      <w:outlineLvl w:val="9"/>
    </w:pPr>
    <w:rPr>
      <w:rFonts w:hAnsi="宋体"/>
      <w:color w:val="000000"/>
    </w:rPr>
  </w:style>
  <w:style w:type="character" w:customStyle="1" w:styleId="251">
    <w:name w:val="五级 Char"/>
    <w:basedOn w:val="192"/>
    <w:link w:val="252"/>
    <w:uiPriority w:val="0"/>
    <w:rPr>
      <w:rFonts w:ascii="宋体" w:hAnsi="宋体" w:eastAsia="Times New Roman" w:cs="Arial"/>
      <w:sz w:val="32"/>
      <w:szCs w:val="32"/>
    </w:rPr>
  </w:style>
  <w:style w:type="paragraph" w:customStyle="1" w:styleId="252">
    <w:name w:val="五级"/>
    <w:basedOn w:val="197"/>
    <w:link w:val="251"/>
    <w:uiPriority w:val="0"/>
    <w:pPr>
      <w:outlineLvl w:val="4"/>
    </w:pPr>
  </w:style>
  <w:style w:type="character" w:customStyle="1" w:styleId="253">
    <w:name w:val="777777777 Char"/>
    <w:basedOn w:val="57"/>
    <w:link w:val="254"/>
    <w:uiPriority w:val="0"/>
    <w:rPr>
      <w:rFonts w:ascii="宋体" w:hAnsi="宋体" w:cs="宋体"/>
      <w:sz w:val="28"/>
      <w:szCs w:val="26"/>
    </w:rPr>
  </w:style>
  <w:style w:type="paragraph" w:customStyle="1" w:styleId="254">
    <w:name w:val="777777777"/>
    <w:basedOn w:val="1"/>
    <w:link w:val="253"/>
    <w:uiPriority w:val="0"/>
    <w:pPr>
      <w:widowControl/>
      <w:spacing w:line="400" w:lineRule="exact"/>
      <w:ind w:firstLine="560" w:firstLineChars="200"/>
      <w:jc w:val="left"/>
    </w:pPr>
    <w:rPr>
      <w:rFonts w:ascii="宋体" w:hAnsi="宋体" w:cs="宋体" w:eastAsiaTheme="minorEastAsia"/>
      <w:sz w:val="28"/>
      <w:szCs w:val="26"/>
    </w:rPr>
  </w:style>
  <w:style w:type="character" w:customStyle="1" w:styleId="255">
    <w:name w:val="Char Char15"/>
    <w:locked/>
    <w:uiPriority w:val="0"/>
    <w:rPr>
      <w:kern w:val="2"/>
      <w:sz w:val="21"/>
      <w:szCs w:val="24"/>
    </w:rPr>
  </w:style>
  <w:style w:type="character" w:customStyle="1" w:styleId="256">
    <w:name w:val="文本_zxj Char"/>
    <w:link w:val="257"/>
    <w:uiPriority w:val="0"/>
    <w:rPr>
      <w:sz w:val="28"/>
    </w:rPr>
  </w:style>
  <w:style w:type="paragraph" w:customStyle="1" w:styleId="257">
    <w:name w:val="文本_zxj"/>
    <w:basedOn w:val="1"/>
    <w:link w:val="256"/>
    <w:uiPriority w:val="0"/>
    <w:pPr>
      <w:spacing w:line="360" w:lineRule="auto"/>
      <w:ind w:firstLine="560"/>
    </w:pPr>
    <w:rPr>
      <w:rFonts w:asciiTheme="minorHAnsi" w:hAnsiTheme="minorHAnsi" w:eastAsiaTheme="minorEastAsia" w:cstheme="minorBidi"/>
      <w:sz w:val="28"/>
      <w:szCs w:val="22"/>
    </w:rPr>
  </w:style>
  <w:style w:type="character" w:customStyle="1" w:styleId="258">
    <w:name w:val="表底说明 Char"/>
    <w:basedOn w:val="57"/>
    <w:link w:val="259"/>
    <w:uiPriority w:val="0"/>
    <w:rPr>
      <w:rFonts w:ascii="宋体" w:hAnsi="宋体" w:cs="宋体"/>
      <w:sz w:val="18"/>
      <w:szCs w:val="24"/>
    </w:rPr>
  </w:style>
  <w:style w:type="paragraph" w:customStyle="1" w:styleId="259">
    <w:name w:val="表底说明"/>
    <w:basedOn w:val="1"/>
    <w:link w:val="258"/>
    <w:uiPriority w:val="0"/>
    <w:rPr>
      <w:rFonts w:ascii="宋体" w:hAnsi="宋体" w:cs="宋体" w:eastAsiaTheme="minorEastAsia"/>
      <w:sz w:val="18"/>
    </w:rPr>
  </w:style>
  <w:style w:type="character" w:customStyle="1" w:styleId="260">
    <w:name w:val="纯文本 Char Char"/>
    <w:uiPriority w:val="0"/>
    <w:rPr>
      <w:rFonts w:ascii="宋体" w:hAnsi="Courier New" w:eastAsia="宋体"/>
      <w:kern w:val="2"/>
      <w:sz w:val="28"/>
      <w:lang w:val="en-US" w:eastAsia="zh-CN" w:bidi="ar-SA"/>
    </w:rPr>
  </w:style>
  <w:style w:type="character" w:customStyle="1" w:styleId="261">
    <w:name w:val="666666-正文文本 Char"/>
    <w:basedOn w:val="57"/>
    <w:link w:val="262"/>
    <w:semiHidden/>
    <w:locked/>
    <w:uiPriority w:val="0"/>
    <w:rPr>
      <w:rFonts w:ascii="宋体" w:hAnsi="宋体" w:eastAsia="Times New Roman" w:cs="宋体"/>
      <w:sz w:val="24"/>
      <w:szCs w:val="24"/>
    </w:rPr>
  </w:style>
  <w:style w:type="paragraph" w:customStyle="1" w:styleId="262">
    <w:name w:val="666666-正文文本"/>
    <w:link w:val="261"/>
    <w:semiHidden/>
    <w:uiPriority w:val="0"/>
    <w:pPr>
      <w:autoSpaceDE w:val="0"/>
      <w:autoSpaceDN w:val="0"/>
      <w:adjustRightInd w:val="0"/>
      <w:spacing w:line="360" w:lineRule="auto"/>
      <w:ind w:firstLine="200" w:firstLineChars="200"/>
      <w:jc w:val="both"/>
    </w:pPr>
    <w:rPr>
      <w:rFonts w:ascii="宋体" w:hAnsi="宋体" w:eastAsia="Times New Roman" w:cs="宋体"/>
      <w:kern w:val="2"/>
      <w:sz w:val="24"/>
      <w:szCs w:val="24"/>
      <w:lang w:val="en-US" w:eastAsia="zh-CN" w:bidi="ar-SA"/>
    </w:rPr>
  </w:style>
  <w:style w:type="character" w:customStyle="1" w:styleId="263">
    <w:name w:val="自定表格 Char"/>
    <w:basedOn w:val="235"/>
    <w:link w:val="264"/>
    <w:uiPriority w:val="0"/>
    <w:rPr>
      <w:rFonts w:ascii="宋体" w:hAnsi="宋体" w:cs="宋体"/>
      <w:szCs w:val="21"/>
    </w:rPr>
  </w:style>
  <w:style w:type="paragraph" w:customStyle="1" w:styleId="264">
    <w:name w:val="自定表格"/>
    <w:basedOn w:val="236"/>
    <w:link w:val="263"/>
    <w:uiPriority w:val="0"/>
  </w:style>
  <w:style w:type="character" w:customStyle="1" w:styleId="265">
    <w:name w:val="标题4！！！！！ Char"/>
    <w:basedOn w:val="266"/>
    <w:link w:val="267"/>
    <w:uiPriority w:val="0"/>
    <w:rPr>
      <w:rFonts w:ascii="楷体_GB2312" w:hAnsi="楷体_GB2312" w:eastAsia="楷体_GB2312" w:cs="宋体"/>
      <w:b/>
      <w:kern w:val="2"/>
      <w:sz w:val="24"/>
      <w:szCs w:val="24"/>
    </w:rPr>
  </w:style>
  <w:style w:type="character" w:customStyle="1" w:styleId="266">
    <w:name w:val="正文 楷体 Char"/>
    <w:basedOn w:val="57"/>
    <w:uiPriority w:val="0"/>
    <w:rPr>
      <w:rFonts w:ascii="楷体_GB2312" w:hAnsi="楷体_GB2312" w:eastAsia="楷体_GB2312" w:cs="宋体"/>
      <w:kern w:val="2"/>
      <w:sz w:val="24"/>
      <w:szCs w:val="24"/>
    </w:rPr>
  </w:style>
  <w:style w:type="paragraph" w:customStyle="1" w:styleId="267">
    <w:name w:val="标题4！！！！！"/>
    <w:basedOn w:val="154"/>
    <w:link w:val="265"/>
    <w:uiPriority w:val="0"/>
    <w:pPr>
      <w:ind w:firstLine="0" w:firstLineChars="0"/>
    </w:pPr>
    <w:rPr>
      <w:rFonts w:ascii="楷体_GB2312" w:hAnsi="楷体_GB2312" w:eastAsia="楷体_GB2312"/>
      <w:b/>
    </w:rPr>
  </w:style>
  <w:style w:type="character" w:customStyle="1" w:styleId="268">
    <w:name w:val="标题003 Char"/>
    <w:basedOn w:val="57"/>
    <w:link w:val="269"/>
    <w:uiPriority w:val="0"/>
    <w:rPr>
      <w:rFonts w:ascii="宋体" w:hAnsi="Monospac821 BT" w:eastAsia="楷体_GB2312" w:cs="宋体"/>
      <w:b/>
      <w:bCs/>
      <w:color w:val="000000"/>
      <w:sz w:val="28"/>
      <w:szCs w:val="24"/>
    </w:rPr>
  </w:style>
  <w:style w:type="paragraph" w:customStyle="1" w:styleId="269">
    <w:name w:val="标题003"/>
    <w:basedOn w:val="5"/>
    <w:link w:val="268"/>
    <w:uiPriority w:val="0"/>
    <w:pPr>
      <w:adjustRightInd w:val="0"/>
      <w:snapToGrid w:val="0"/>
      <w:spacing w:before="0" w:line="360" w:lineRule="auto"/>
      <w:ind w:left="720" w:firstLine="562" w:firstLineChars="200"/>
    </w:pPr>
    <w:rPr>
      <w:rFonts w:ascii="宋体" w:hAnsi="Monospac821 BT" w:eastAsia="楷体_GB2312" w:cs="宋体"/>
      <w:b w:val="0"/>
      <w:bCs/>
      <w:color w:val="000000"/>
      <w:spacing w:val="0"/>
      <w:sz w:val="28"/>
      <w:szCs w:val="24"/>
    </w:rPr>
  </w:style>
  <w:style w:type="character" w:customStyle="1" w:styleId="270">
    <w:name w:val="日期 字符"/>
    <w:link w:val="30"/>
    <w:uiPriority w:val="0"/>
    <w:rPr>
      <w:szCs w:val="24"/>
    </w:rPr>
  </w:style>
  <w:style w:type="character" w:customStyle="1" w:styleId="271">
    <w:name w:val="中文报告书样式 Char"/>
    <w:basedOn w:val="57"/>
    <w:link w:val="272"/>
    <w:uiPriority w:val="0"/>
    <w:rPr>
      <w:rFonts w:ascii="宋体" w:hAnsi="宋体" w:cs="宋体"/>
      <w:kern w:val="24"/>
      <w:sz w:val="24"/>
      <w:szCs w:val="26"/>
    </w:rPr>
  </w:style>
  <w:style w:type="paragraph" w:customStyle="1" w:styleId="272">
    <w:name w:val="中文报告书样式"/>
    <w:basedOn w:val="1"/>
    <w:link w:val="271"/>
    <w:uiPriority w:val="0"/>
    <w:pPr>
      <w:adjustRightInd w:val="0"/>
      <w:spacing w:line="480" w:lineRule="atLeast"/>
      <w:ind w:firstLine="482"/>
      <w:textAlignment w:val="baseline"/>
    </w:pPr>
    <w:rPr>
      <w:rFonts w:ascii="宋体" w:hAnsi="宋体" w:cs="宋体" w:eastAsiaTheme="minorEastAsia"/>
      <w:kern w:val="24"/>
      <w:sz w:val="24"/>
      <w:szCs w:val="26"/>
    </w:rPr>
  </w:style>
  <w:style w:type="character" w:customStyle="1" w:styleId="273">
    <w:name w:val="Quote Char"/>
    <w:basedOn w:val="57"/>
    <w:link w:val="274"/>
    <w:semiHidden/>
    <w:locked/>
    <w:uiPriority w:val="0"/>
    <w:rPr>
      <w:rFonts w:ascii="宋体" w:hAnsi="宋体" w:cs="宋体"/>
      <w:i/>
      <w:iCs/>
      <w:color w:val="000000"/>
      <w:sz w:val="22"/>
      <w:lang w:eastAsia="en-US"/>
    </w:rPr>
  </w:style>
  <w:style w:type="paragraph" w:customStyle="1" w:styleId="274">
    <w:name w:val="引用1"/>
    <w:basedOn w:val="1"/>
    <w:next w:val="1"/>
    <w:link w:val="273"/>
    <w:semiHidden/>
    <w:uiPriority w:val="0"/>
    <w:pPr>
      <w:widowControl/>
      <w:spacing w:after="200" w:line="276" w:lineRule="auto"/>
      <w:jc w:val="left"/>
    </w:pPr>
    <w:rPr>
      <w:rFonts w:ascii="宋体" w:hAnsi="宋体" w:cs="宋体" w:eastAsiaTheme="minorEastAsia"/>
      <w:i/>
      <w:iCs/>
      <w:color w:val="000000"/>
      <w:sz w:val="22"/>
      <w:szCs w:val="22"/>
      <w:lang w:eastAsia="en-US"/>
    </w:rPr>
  </w:style>
  <w:style w:type="character" w:customStyle="1" w:styleId="275">
    <w:name w:val="a) Char"/>
    <w:basedOn w:val="57"/>
    <w:link w:val="276"/>
    <w:uiPriority w:val="0"/>
    <w:rPr>
      <w:rFonts w:ascii="宋体" w:hAnsi="宋体" w:cs="宋体"/>
      <w:sz w:val="28"/>
      <w:szCs w:val="26"/>
    </w:rPr>
  </w:style>
  <w:style w:type="paragraph" w:customStyle="1" w:styleId="276">
    <w:name w:val="a)"/>
    <w:basedOn w:val="1"/>
    <w:link w:val="275"/>
    <w:uiPriority w:val="0"/>
    <w:pPr>
      <w:widowControl/>
      <w:adjustRightInd w:val="0"/>
      <w:spacing w:line="360" w:lineRule="auto"/>
      <w:ind w:firstLine="567"/>
      <w:jc w:val="left"/>
      <w:textAlignment w:val="baseline"/>
    </w:pPr>
    <w:rPr>
      <w:rFonts w:ascii="宋体" w:hAnsi="宋体" w:cs="宋体" w:eastAsiaTheme="minorEastAsia"/>
      <w:sz w:val="28"/>
      <w:szCs w:val="26"/>
    </w:rPr>
  </w:style>
  <w:style w:type="character" w:customStyle="1" w:styleId="277">
    <w:name w:val="样式 标题 3H3 + 黑色 Char"/>
    <w:link w:val="278"/>
    <w:uiPriority w:val="0"/>
    <w:rPr>
      <w:b/>
      <w:snapToGrid w:val="0"/>
      <w:color w:val="000000"/>
      <w:sz w:val="24"/>
      <w:szCs w:val="24"/>
    </w:rPr>
  </w:style>
  <w:style w:type="paragraph" w:customStyle="1" w:styleId="278">
    <w:name w:val="样式 标题 3H3 + 黑色"/>
    <w:basedOn w:val="5"/>
    <w:link w:val="277"/>
    <w:uiPriority w:val="0"/>
    <w:pPr>
      <w:keepNext w:val="0"/>
      <w:keepLines w:val="0"/>
      <w:adjustRightInd w:val="0"/>
      <w:snapToGrid w:val="0"/>
      <w:spacing w:before="0" w:line="460" w:lineRule="exact"/>
      <w:ind w:left="720" w:hanging="720"/>
    </w:pPr>
    <w:rPr>
      <w:rFonts w:asciiTheme="minorHAnsi" w:hAnsiTheme="minorHAnsi" w:eastAsiaTheme="minorEastAsia" w:cstheme="minorBidi"/>
      <w:b w:val="0"/>
      <w:snapToGrid w:val="0"/>
      <w:color w:val="000000"/>
      <w:spacing w:val="0"/>
      <w:szCs w:val="24"/>
    </w:rPr>
  </w:style>
  <w:style w:type="character" w:customStyle="1" w:styleId="279">
    <w:name w:val="表头1 Char"/>
    <w:link w:val="280"/>
    <w:uiPriority w:val="0"/>
    <w:rPr>
      <w:rFonts w:eastAsia="黑体"/>
      <w:szCs w:val="28"/>
    </w:rPr>
  </w:style>
  <w:style w:type="paragraph" w:customStyle="1" w:styleId="280">
    <w:name w:val="表头1"/>
    <w:basedOn w:val="1"/>
    <w:next w:val="1"/>
    <w:link w:val="279"/>
    <w:uiPriority w:val="0"/>
    <w:pPr>
      <w:tabs>
        <w:tab w:val="left" w:pos="605"/>
      </w:tabs>
      <w:adjustRightInd w:val="0"/>
      <w:snapToGrid w:val="0"/>
      <w:jc w:val="center"/>
    </w:pPr>
    <w:rPr>
      <w:rFonts w:eastAsia="黑体" w:asciiTheme="minorHAnsi" w:hAnsiTheme="minorHAnsi" w:cstheme="minorBidi"/>
      <w:szCs w:val="28"/>
    </w:rPr>
  </w:style>
  <w:style w:type="character" w:customStyle="1" w:styleId="281">
    <w:name w:val="Char Char"/>
    <w:basedOn w:val="57"/>
    <w:link w:val="282"/>
    <w:uiPriority w:val="0"/>
    <w:rPr>
      <w:rFonts w:ascii="仿宋_GB2312" w:hAnsi="宋体" w:eastAsia="仿宋_GB2312" w:cs="宋体"/>
      <w:b/>
      <w:sz w:val="32"/>
      <w:szCs w:val="32"/>
    </w:rPr>
  </w:style>
  <w:style w:type="paragraph" w:customStyle="1" w:styleId="282">
    <w:name w:val="Char1"/>
    <w:basedOn w:val="1"/>
    <w:link w:val="281"/>
    <w:uiPriority w:val="0"/>
    <w:rPr>
      <w:rFonts w:ascii="仿宋_GB2312" w:hAnsi="宋体" w:eastAsia="仿宋_GB2312" w:cs="宋体"/>
      <w:b/>
      <w:sz w:val="32"/>
      <w:szCs w:val="32"/>
    </w:rPr>
  </w:style>
  <w:style w:type="character" w:customStyle="1" w:styleId="283">
    <w:name w:val="表头标题格式 Char"/>
    <w:basedOn w:val="57"/>
    <w:link w:val="284"/>
    <w:uiPriority w:val="0"/>
    <w:rPr>
      <w:rFonts w:ascii="黑体" w:hAnsi="宋体" w:eastAsia="黑体" w:cs="宋体"/>
      <w:b/>
      <w:bCs/>
      <w:sz w:val="24"/>
      <w:szCs w:val="26"/>
    </w:rPr>
  </w:style>
  <w:style w:type="paragraph" w:customStyle="1" w:styleId="284">
    <w:name w:val="表头标题格式"/>
    <w:basedOn w:val="1"/>
    <w:link w:val="283"/>
    <w:uiPriority w:val="0"/>
    <w:pPr>
      <w:tabs>
        <w:tab w:val="left" w:pos="360"/>
        <w:tab w:val="left" w:pos="1620"/>
      </w:tabs>
      <w:spacing w:line="360" w:lineRule="auto"/>
      <w:jc w:val="center"/>
    </w:pPr>
    <w:rPr>
      <w:rFonts w:ascii="黑体" w:hAnsi="宋体" w:eastAsia="黑体" w:cs="宋体"/>
      <w:b/>
      <w:bCs/>
      <w:sz w:val="24"/>
      <w:szCs w:val="26"/>
    </w:rPr>
  </w:style>
  <w:style w:type="character" w:customStyle="1" w:styleId="285">
    <w:name w:val="标题二A Char"/>
    <w:basedOn w:val="92"/>
    <w:link w:val="286"/>
    <w:uiPriority w:val="0"/>
    <w:rPr>
      <w:rFonts w:ascii="华文仿宋" w:hAnsi="华文仿宋" w:eastAsia="华文仿宋" w:cs="楷体_GB2312"/>
      <w:sz w:val="30"/>
      <w:szCs w:val="30"/>
    </w:rPr>
  </w:style>
  <w:style w:type="paragraph" w:customStyle="1" w:styleId="286">
    <w:name w:val="标题二A"/>
    <w:basedOn w:val="95"/>
    <w:link w:val="285"/>
    <w:uiPriority w:val="0"/>
    <w:rPr>
      <w:rFonts w:ascii="华文仿宋" w:hAnsi="华文仿宋" w:eastAsia="华文仿宋"/>
    </w:rPr>
  </w:style>
  <w:style w:type="character" w:customStyle="1" w:styleId="287">
    <w:name w:val="无间隔 字符"/>
    <w:basedOn w:val="57"/>
    <w:link w:val="288"/>
    <w:uiPriority w:val="0"/>
    <w:rPr>
      <w:rFonts w:ascii="宋体" w:hAnsi="宋体" w:eastAsia="Times New Roman" w:cs="宋体"/>
      <w:sz w:val="22"/>
      <w:lang w:eastAsia="en-US" w:bidi="en-US"/>
    </w:rPr>
  </w:style>
  <w:style w:type="paragraph" w:styleId="288">
    <w:name w:val="No Spacing"/>
    <w:link w:val="287"/>
    <w:uiPriority w:val="0"/>
    <w:rPr>
      <w:rFonts w:ascii="宋体" w:hAnsi="宋体" w:eastAsia="Times New Roman" w:cs="宋体"/>
      <w:kern w:val="2"/>
      <w:sz w:val="22"/>
      <w:szCs w:val="22"/>
      <w:lang w:val="en-US" w:eastAsia="en-US" w:bidi="en-US"/>
    </w:rPr>
  </w:style>
  <w:style w:type="character" w:customStyle="1" w:styleId="289">
    <w:name w:val="表名 Char"/>
    <w:basedOn w:val="57"/>
    <w:link w:val="290"/>
    <w:uiPriority w:val="0"/>
    <w:rPr>
      <w:rFonts w:ascii="宋体" w:hAnsi="宋体" w:eastAsia="宋体" w:cs="宋体"/>
      <w:b/>
      <w:szCs w:val="24"/>
    </w:rPr>
  </w:style>
  <w:style w:type="paragraph" w:customStyle="1" w:styleId="290">
    <w:name w:val="表名"/>
    <w:basedOn w:val="1"/>
    <w:next w:val="291"/>
    <w:link w:val="289"/>
    <w:uiPriority w:val="0"/>
    <w:pPr>
      <w:keepNext/>
      <w:spacing w:before="120"/>
      <w:jc w:val="center"/>
    </w:pPr>
    <w:rPr>
      <w:rFonts w:ascii="宋体" w:hAnsi="宋体" w:cs="宋体"/>
      <w:b/>
    </w:rPr>
  </w:style>
  <w:style w:type="paragraph" w:customStyle="1" w:styleId="291">
    <w:name w:val="表头，alt+D"/>
    <w:basedOn w:val="1"/>
    <w:qFormat/>
    <w:uiPriority w:val="0"/>
    <w:pPr>
      <w:spacing w:before="60" w:after="60" w:line="240" w:lineRule="atLeast"/>
      <w:ind w:left="-113" w:right="-113"/>
      <w:jc w:val="center"/>
      <w:textAlignment w:val="center"/>
    </w:pPr>
    <w:rPr>
      <w:color w:val="808000"/>
      <w:sz w:val="24"/>
    </w:rPr>
  </w:style>
  <w:style w:type="character" w:customStyle="1" w:styleId="292">
    <w:name w:val="报告正文小四 Char"/>
    <w:basedOn w:val="57"/>
    <w:link w:val="293"/>
    <w:uiPriority w:val="0"/>
    <w:rPr>
      <w:rFonts w:ascii="宋体" w:hAnsi="宋体" w:eastAsia="宋体" w:cs="宋体"/>
      <w:sz w:val="24"/>
      <w:szCs w:val="24"/>
    </w:rPr>
  </w:style>
  <w:style w:type="paragraph" w:customStyle="1" w:styleId="293">
    <w:name w:val="报告正文小四"/>
    <w:basedOn w:val="1"/>
    <w:link w:val="292"/>
    <w:uiPriority w:val="0"/>
    <w:pPr>
      <w:adjustRightInd w:val="0"/>
      <w:snapToGrid w:val="0"/>
      <w:spacing w:before="120" w:line="360" w:lineRule="atLeast"/>
      <w:ind w:firstLine="750"/>
    </w:pPr>
    <w:rPr>
      <w:rFonts w:ascii="宋体" w:hAnsi="宋体" w:cs="宋体"/>
      <w:sz w:val="24"/>
    </w:rPr>
  </w:style>
  <w:style w:type="character" w:customStyle="1" w:styleId="294">
    <w:name w:val="批注文字 字符"/>
    <w:basedOn w:val="57"/>
    <w:link w:val="17"/>
    <w:qFormat/>
    <w:uiPriority w:val="0"/>
    <w:rPr>
      <w:rFonts w:ascii="宋体" w:hAnsi="宋体" w:eastAsia="宋体" w:cs="宋体"/>
      <w:szCs w:val="24"/>
    </w:rPr>
  </w:style>
  <w:style w:type="character" w:customStyle="1" w:styleId="295">
    <w:name w:val="000 Char"/>
    <w:basedOn w:val="57"/>
    <w:link w:val="296"/>
    <w:uiPriority w:val="0"/>
    <w:rPr>
      <w:rFonts w:ascii="Arial" w:hAnsi="Arial" w:eastAsia="楷体_GB2312" w:cs="宋体"/>
      <w:color w:val="000000"/>
      <w:sz w:val="24"/>
      <w:szCs w:val="26"/>
    </w:rPr>
  </w:style>
  <w:style w:type="paragraph" w:customStyle="1" w:styleId="296">
    <w:name w:val="000"/>
    <w:basedOn w:val="1"/>
    <w:link w:val="295"/>
    <w:uiPriority w:val="0"/>
    <w:pPr>
      <w:ind w:firstLine="2" w:firstLineChars="2"/>
      <w:jc w:val="center"/>
    </w:pPr>
    <w:rPr>
      <w:rFonts w:ascii="Arial" w:hAnsi="Arial" w:eastAsia="楷体_GB2312" w:cs="宋体"/>
      <w:color w:val="000000"/>
      <w:sz w:val="24"/>
      <w:szCs w:val="26"/>
    </w:rPr>
  </w:style>
  <w:style w:type="character" w:customStyle="1" w:styleId="297">
    <w:name w:val="样式 居中 首行缩进:  0 字符 Char"/>
    <w:basedOn w:val="57"/>
    <w:link w:val="298"/>
    <w:locked/>
    <w:uiPriority w:val="0"/>
    <w:rPr>
      <w:rFonts w:ascii="宋体" w:hAnsi="宋体" w:eastAsia="仿宋_GB2312" w:cs="宋体"/>
      <w:szCs w:val="26"/>
    </w:rPr>
  </w:style>
  <w:style w:type="paragraph" w:customStyle="1" w:styleId="298">
    <w:name w:val="样式 居中 首行缩进:  0 字符"/>
    <w:basedOn w:val="1"/>
    <w:next w:val="1"/>
    <w:link w:val="297"/>
    <w:uiPriority w:val="0"/>
    <w:pPr>
      <w:tabs>
        <w:tab w:val="left" w:pos="9128"/>
      </w:tabs>
      <w:spacing w:line="500" w:lineRule="exact"/>
      <w:jc w:val="center"/>
    </w:pPr>
    <w:rPr>
      <w:rFonts w:ascii="宋体" w:hAnsi="宋体" w:eastAsia="仿宋_GB2312" w:cs="宋体"/>
      <w:szCs w:val="26"/>
    </w:rPr>
  </w:style>
  <w:style w:type="character" w:customStyle="1" w:styleId="299">
    <w:name w:val="样式16 Char"/>
    <w:basedOn w:val="57"/>
    <w:link w:val="300"/>
    <w:uiPriority w:val="0"/>
    <w:rPr>
      <w:rFonts w:ascii="宋体" w:hAnsi="宋体" w:eastAsia="黑体" w:cs="宋体"/>
      <w:b/>
      <w:sz w:val="30"/>
      <w:szCs w:val="26"/>
    </w:rPr>
  </w:style>
  <w:style w:type="paragraph" w:customStyle="1" w:styleId="300">
    <w:name w:val="样式16"/>
    <w:basedOn w:val="301"/>
    <w:link w:val="299"/>
    <w:uiPriority w:val="0"/>
    <w:pPr>
      <w:spacing w:before="163"/>
    </w:pPr>
  </w:style>
  <w:style w:type="paragraph" w:customStyle="1" w:styleId="301">
    <w:name w:val="1.1二级标题"/>
    <w:basedOn w:val="1"/>
    <w:link w:val="302"/>
    <w:uiPriority w:val="0"/>
    <w:pPr>
      <w:spacing w:beforeLines="50" w:line="360" w:lineRule="auto"/>
      <w:outlineLvl w:val="1"/>
    </w:pPr>
    <w:rPr>
      <w:rFonts w:ascii="宋体" w:hAnsi="宋体" w:eastAsia="黑体" w:cs="宋体"/>
      <w:b/>
      <w:sz w:val="30"/>
      <w:szCs w:val="26"/>
    </w:rPr>
  </w:style>
  <w:style w:type="character" w:customStyle="1" w:styleId="302">
    <w:name w:val="1.1二级标题 Char"/>
    <w:basedOn w:val="57"/>
    <w:link w:val="301"/>
    <w:uiPriority w:val="0"/>
    <w:rPr>
      <w:rFonts w:ascii="宋体" w:hAnsi="宋体" w:eastAsia="黑体" w:cs="宋体"/>
      <w:b/>
      <w:sz w:val="30"/>
      <w:szCs w:val="26"/>
    </w:rPr>
  </w:style>
  <w:style w:type="character" w:customStyle="1" w:styleId="303">
    <w:name w:val="样式 标题4 1.1.1.1 Char"/>
    <w:basedOn w:val="57"/>
    <w:link w:val="304"/>
    <w:locked/>
    <w:uiPriority w:val="0"/>
    <w:rPr>
      <w:rFonts w:ascii="宋体" w:hAnsi="宋体" w:cs="宋体"/>
      <w:bCs/>
      <w:color w:val="000000"/>
      <w:sz w:val="24"/>
      <w:szCs w:val="26"/>
    </w:rPr>
  </w:style>
  <w:style w:type="paragraph" w:customStyle="1" w:styleId="304">
    <w:name w:val="样式 标题4 1.1.1.1"/>
    <w:basedOn w:val="2"/>
    <w:next w:val="79"/>
    <w:link w:val="303"/>
    <w:uiPriority w:val="0"/>
    <w:pPr>
      <w:keepNext/>
      <w:keepLines/>
      <w:wordWrap/>
      <w:topLinePunct w:val="0"/>
      <w:autoSpaceDN/>
      <w:spacing w:line="360" w:lineRule="auto"/>
      <w:ind w:firstLine="470" w:firstLineChars="196"/>
      <w:outlineLvl w:val="9"/>
    </w:pPr>
    <w:rPr>
      <w:rFonts w:ascii="宋体" w:hAnsi="宋体" w:cs="宋体" w:eastAsiaTheme="minorEastAsia"/>
      <w:sz w:val="24"/>
      <w:szCs w:val="26"/>
    </w:rPr>
  </w:style>
  <w:style w:type="character" w:customStyle="1" w:styleId="305">
    <w:name w:val="Char Char3"/>
    <w:link w:val="306"/>
    <w:uiPriority w:val="0"/>
    <w:rPr>
      <w:szCs w:val="24"/>
    </w:rPr>
  </w:style>
  <w:style w:type="paragraph" w:customStyle="1" w:styleId="306">
    <w:name w:val="Char2"/>
    <w:basedOn w:val="1"/>
    <w:link w:val="305"/>
    <w:uiPriority w:val="0"/>
    <w:rPr>
      <w:rFonts w:asciiTheme="minorHAnsi" w:hAnsiTheme="minorHAnsi" w:eastAsiaTheme="minorEastAsia" w:cstheme="minorBidi"/>
    </w:rPr>
  </w:style>
  <w:style w:type="character" w:customStyle="1" w:styleId="307">
    <w:name w:val="样式 1.1二级标题 Char"/>
    <w:basedOn w:val="57"/>
    <w:link w:val="308"/>
    <w:locked/>
    <w:uiPriority w:val="0"/>
    <w:rPr>
      <w:rFonts w:ascii="黑体" w:hAnsi="宋体" w:eastAsia="黑体" w:cs="宋体"/>
      <w:b/>
      <w:sz w:val="30"/>
      <w:szCs w:val="30"/>
    </w:rPr>
  </w:style>
  <w:style w:type="paragraph" w:customStyle="1" w:styleId="308">
    <w:name w:val="样式 1.1二级标题"/>
    <w:basedOn w:val="301"/>
    <w:link w:val="307"/>
    <w:uiPriority w:val="0"/>
    <w:pPr>
      <w:spacing w:before="120"/>
    </w:pPr>
    <w:rPr>
      <w:rFonts w:ascii="黑体"/>
      <w:szCs w:val="30"/>
    </w:rPr>
  </w:style>
  <w:style w:type="character" w:customStyle="1" w:styleId="309">
    <w:name w:val="表格内部样式 Char"/>
    <w:basedOn w:val="57"/>
    <w:link w:val="310"/>
    <w:uiPriority w:val="0"/>
    <w:rPr>
      <w:rFonts w:ascii="楷体_GB2312" w:hAnsi="宋体" w:eastAsia="楷体_GB2312" w:cs="宋体"/>
      <w:color w:val="000000"/>
      <w:sz w:val="18"/>
      <w:szCs w:val="18"/>
    </w:rPr>
  </w:style>
  <w:style w:type="paragraph" w:customStyle="1" w:styleId="310">
    <w:name w:val="表格内部样式"/>
    <w:basedOn w:val="1"/>
    <w:link w:val="309"/>
    <w:uiPriority w:val="0"/>
    <w:pPr>
      <w:widowControl/>
      <w:spacing w:line="280" w:lineRule="exact"/>
      <w:jc w:val="center"/>
    </w:pPr>
    <w:rPr>
      <w:rFonts w:ascii="楷体_GB2312" w:hAnsi="宋体" w:eastAsia="楷体_GB2312" w:cs="宋体"/>
      <w:color w:val="000000"/>
      <w:sz w:val="18"/>
      <w:szCs w:val="18"/>
    </w:rPr>
  </w:style>
  <w:style w:type="character" w:customStyle="1" w:styleId="311">
    <w:name w:val="自定正文 Char"/>
    <w:basedOn w:val="248"/>
    <w:link w:val="312"/>
    <w:uiPriority w:val="0"/>
    <w:rPr>
      <w:rFonts w:ascii="宋体" w:hAnsi="宋体" w:eastAsia="华文仿宋" w:cs="宋体"/>
      <w:color w:val="000000"/>
      <w:sz w:val="24"/>
      <w:szCs w:val="24"/>
    </w:rPr>
  </w:style>
  <w:style w:type="paragraph" w:customStyle="1" w:styleId="312">
    <w:name w:val="自定正文"/>
    <w:basedOn w:val="249"/>
    <w:link w:val="311"/>
    <w:uiPriority w:val="0"/>
    <w:pPr>
      <w:keepNext w:val="0"/>
      <w:keepLines w:val="0"/>
      <w:ind w:firstLine="480" w:firstLineChars="200"/>
      <w:outlineLvl w:val="9"/>
    </w:pPr>
    <w:rPr>
      <w:rFonts w:hAnsi="宋体"/>
      <w:color w:val="000000"/>
    </w:rPr>
  </w:style>
  <w:style w:type="character" w:customStyle="1" w:styleId="313">
    <w:name w:val="引用 字符"/>
    <w:basedOn w:val="57"/>
    <w:link w:val="314"/>
    <w:uiPriority w:val="0"/>
    <w:rPr>
      <w:rFonts w:ascii="Calibri" w:hAnsi="Calibri" w:eastAsia="宋体" w:cs="宋体"/>
      <w:i/>
      <w:iCs/>
      <w:color w:val="000000"/>
      <w:sz w:val="22"/>
      <w:szCs w:val="26"/>
      <w:lang w:eastAsia="en-US" w:bidi="en-US"/>
    </w:rPr>
  </w:style>
  <w:style w:type="paragraph" w:styleId="314">
    <w:name w:val="Quote"/>
    <w:basedOn w:val="1"/>
    <w:next w:val="1"/>
    <w:link w:val="313"/>
    <w:uiPriority w:val="0"/>
    <w:pPr>
      <w:widowControl/>
      <w:spacing w:after="200" w:line="276" w:lineRule="auto"/>
      <w:jc w:val="left"/>
    </w:pPr>
    <w:rPr>
      <w:rFonts w:ascii="Calibri" w:hAnsi="Calibri" w:cs="宋体"/>
      <w:i/>
      <w:iCs/>
      <w:color w:val="000000"/>
      <w:sz w:val="22"/>
      <w:szCs w:val="26"/>
      <w:lang w:eastAsia="en-US" w:bidi="en-US"/>
    </w:rPr>
  </w:style>
  <w:style w:type="character" w:customStyle="1" w:styleId="315">
    <w:name w:val="样式 题注 + 首行缩进:  2 字符2 Char"/>
    <w:link w:val="316"/>
    <w:uiPriority w:val="0"/>
    <w:rPr>
      <w:rFonts w:ascii="黑体" w:hAnsi="宋体" w:eastAsia="黑体"/>
      <w:color w:val="000000"/>
      <w:sz w:val="24"/>
      <w:szCs w:val="28"/>
    </w:rPr>
  </w:style>
  <w:style w:type="paragraph" w:customStyle="1" w:styleId="316">
    <w:name w:val="样式 题注 + 首行缩进:  2 字符2"/>
    <w:basedOn w:val="15"/>
    <w:link w:val="315"/>
    <w:uiPriority w:val="0"/>
    <w:pPr>
      <w:keepNext/>
      <w:adjustRightInd w:val="0"/>
      <w:snapToGrid w:val="0"/>
      <w:spacing w:line="240" w:lineRule="auto"/>
      <w:ind w:firstLine="0" w:firstLineChars="0"/>
      <w:jc w:val="center"/>
    </w:pPr>
    <w:rPr>
      <w:rFonts w:ascii="黑体" w:hAnsi="宋体" w:cstheme="minorBidi"/>
      <w:color w:val="000000"/>
      <w:szCs w:val="28"/>
    </w:rPr>
  </w:style>
  <w:style w:type="character" w:customStyle="1" w:styleId="317">
    <w:name w:val="段落 Char1 Char Char Char Char Char Char Char"/>
    <w:link w:val="318"/>
    <w:uiPriority w:val="0"/>
    <w:rPr>
      <w:color w:val="000000"/>
      <w:kern w:val="24"/>
      <w:sz w:val="24"/>
      <w:szCs w:val="24"/>
    </w:rPr>
  </w:style>
  <w:style w:type="paragraph" w:customStyle="1" w:styleId="318">
    <w:name w:val="段落 Char1 Char Char Char Char Char Char"/>
    <w:basedOn w:val="1"/>
    <w:link w:val="317"/>
    <w:uiPriority w:val="0"/>
    <w:pPr>
      <w:tabs>
        <w:tab w:val="left" w:pos="1021"/>
      </w:tabs>
      <w:spacing w:line="326" w:lineRule="auto"/>
      <w:ind w:firstLine="480" w:firstLineChars="200"/>
    </w:pPr>
    <w:rPr>
      <w:rFonts w:asciiTheme="minorHAnsi" w:hAnsiTheme="minorHAnsi" w:eastAsiaTheme="minorEastAsia" w:cstheme="minorBidi"/>
      <w:color w:val="000000"/>
      <w:kern w:val="24"/>
      <w:sz w:val="24"/>
    </w:rPr>
  </w:style>
  <w:style w:type="character" w:customStyle="1" w:styleId="319">
    <w:name w:val="正文缩进 Char"/>
    <w:uiPriority w:val="0"/>
    <w:rPr>
      <w:rFonts w:eastAsia="宋体"/>
      <w:kern w:val="2"/>
      <w:sz w:val="21"/>
      <w:szCs w:val="24"/>
      <w:lang w:val="en-US" w:eastAsia="zh-CN" w:bidi="ar-SA"/>
    </w:rPr>
  </w:style>
  <w:style w:type="character" w:customStyle="1" w:styleId="320">
    <w:name w:val="正文01 Char Char"/>
    <w:basedOn w:val="57"/>
    <w:link w:val="321"/>
    <w:locked/>
    <w:uiPriority w:val="0"/>
    <w:rPr>
      <w:rFonts w:ascii="Arial" w:hAnsi="Arial" w:cs="宋体"/>
      <w:sz w:val="24"/>
      <w:szCs w:val="26"/>
    </w:rPr>
  </w:style>
  <w:style w:type="paragraph" w:customStyle="1" w:styleId="321">
    <w:name w:val="正文01"/>
    <w:basedOn w:val="1"/>
    <w:link w:val="320"/>
    <w:uiPriority w:val="0"/>
    <w:pPr>
      <w:spacing w:before="60" w:line="460" w:lineRule="exact"/>
      <w:ind w:firstLine="200" w:firstLineChars="200"/>
    </w:pPr>
    <w:rPr>
      <w:rFonts w:ascii="Arial" w:hAnsi="Arial" w:cs="宋体" w:eastAsiaTheme="minorEastAsia"/>
      <w:sz w:val="24"/>
      <w:szCs w:val="26"/>
    </w:rPr>
  </w:style>
  <w:style w:type="character" w:customStyle="1" w:styleId="322">
    <w:name w:val="正文四号 Char"/>
    <w:link w:val="323"/>
    <w:uiPriority w:val="0"/>
    <w:rPr>
      <w:sz w:val="24"/>
      <w:szCs w:val="24"/>
    </w:rPr>
  </w:style>
  <w:style w:type="paragraph" w:customStyle="1" w:styleId="323">
    <w:name w:val="正文四号"/>
    <w:basedOn w:val="1"/>
    <w:link w:val="322"/>
    <w:uiPriority w:val="0"/>
    <w:pPr>
      <w:spacing w:line="360" w:lineRule="auto"/>
      <w:ind w:firstLine="200" w:firstLineChars="200"/>
    </w:pPr>
    <w:rPr>
      <w:rFonts w:asciiTheme="minorHAnsi" w:hAnsiTheme="minorHAnsi" w:eastAsiaTheme="minorEastAsia" w:cstheme="minorBidi"/>
      <w:sz w:val="24"/>
    </w:rPr>
  </w:style>
  <w:style w:type="character" w:customStyle="1" w:styleId="324">
    <w:name w:val="样式 列表1 + 左侧:  0 厘米 悬挂缩进: 2 字符1 Char Char"/>
    <w:basedOn w:val="57"/>
    <w:link w:val="325"/>
    <w:semiHidden/>
    <w:locked/>
    <w:uiPriority w:val="0"/>
    <w:rPr>
      <w:rFonts w:ascii="仿宋_GB2312" w:hAnsi="宋体" w:eastAsia="仿宋_GB2312" w:cs="宋体"/>
      <w:sz w:val="28"/>
      <w:szCs w:val="26"/>
    </w:rPr>
  </w:style>
  <w:style w:type="paragraph" w:customStyle="1" w:styleId="325">
    <w:name w:val="样式 列表1 + 左侧:  0 厘米 悬挂缩进: 2 字符1"/>
    <w:basedOn w:val="1"/>
    <w:link w:val="324"/>
    <w:semiHidden/>
    <w:uiPriority w:val="0"/>
    <w:rPr>
      <w:rFonts w:ascii="仿宋_GB2312" w:hAnsi="宋体" w:eastAsia="仿宋_GB2312" w:cs="宋体"/>
      <w:sz w:val="28"/>
      <w:szCs w:val="26"/>
    </w:rPr>
  </w:style>
  <w:style w:type="character" w:customStyle="1" w:styleId="326">
    <w:name w:val="单晶硅表头 Char"/>
    <w:basedOn w:val="57"/>
    <w:link w:val="327"/>
    <w:uiPriority w:val="0"/>
    <w:rPr>
      <w:rFonts w:ascii="黑体" w:hAnsi="宋体" w:eastAsia="黑体" w:cs="宋体"/>
      <w:sz w:val="24"/>
      <w:szCs w:val="24"/>
      <w14:shadow w14:blurRad="50800" w14:dist="38100" w14:dir="2700000" w14:sx="100000" w14:sy="100000" w14:kx="0" w14:ky="0" w14:algn="tl">
        <w14:srgbClr w14:val="000000">
          <w14:alpha w14:val="60000"/>
        </w14:srgbClr>
      </w14:shadow>
    </w:rPr>
  </w:style>
  <w:style w:type="paragraph" w:customStyle="1" w:styleId="327">
    <w:name w:val="单晶硅表头"/>
    <w:basedOn w:val="1"/>
    <w:link w:val="326"/>
    <w:uiPriority w:val="0"/>
    <w:pPr>
      <w:spacing w:line="560" w:lineRule="exact"/>
      <w:jc w:val="center"/>
    </w:pPr>
    <w:rPr>
      <w:rFonts w:ascii="黑体" w:hAnsi="宋体" w:eastAsia="黑体" w:cs="宋体"/>
      <w:sz w:val="24"/>
      <w14:shadow w14:blurRad="50800" w14:dist="38100" w14:dir="2700000" w14:sx="100000" w14:sy="100000" w14:kx="0" w14:ky="0" w14:algn="tl">
        <w14:srgbClr w14:val="000000">
          <w14:alpha w14:val="60000"/>
        </w14:srgbClr>
      </w14:shadow>
    </w:rPr>
  </w:style>
  <w:style w:type="character" w:customStyle="1" w:styleId="328">
    <w:name w:val="表体 Char"/>
    <w:basedOn w:val="57"/>
    <w:link w:val="329"/>
    <w:uiPriority w:val="0"/>
    <w:rPr>
      <w:rFonts w:ascii="宋体" w:hAnsi="宋体" w:cs="宋体"/>
      <w:color w:val="000080"/>
      <w:sz w:val="24"/>
      <w:szCs w:val="24"/>
    </w:rPr>
  </w:style>
  <w:style w:type="paragraph" w:customStyle="1" w:styleId="329">
    <w:name w:val="表体"/>
    <w:link w:val="328"/>
    <w:uiPriority w:val="0"/>
    <w:pPr>
      <w:spacing w:before="40" w:after="40"/>
      <w:jc w:val="center"/>
    </w:pPr>
    <w:rPr>
      <w:rFonts w:ascii="宋体" w:hAnsi="宋体" w:cs="宋体" w:eastAsiaTheme="minorEastAsia"/>
      <w:color w:val="000080"/>
      <w:kern w:val="2"/>
      <w:sz w:val="24"/>
      <w:szCs w:val="24"/>
      <w:lang w:val="en-US" w:eastAsia="zh-CN" w:bidi="ar-SA"/>
    </w:rPr>
  </w:style>
  <w:style w:type="character" w:customStyle="1" w:styleId="330">
    <w:name w:val="预案3号 Char"/>
    <w:basedOn w:val="57"/>
    <w:link w:val="331"/>
    <w:uiPriority w:val="0"/>
    <w:rPr>
      <w:rFonts w:ascii="宋体" w:hAnsi="宋体" w:eastAsia="宋体" w:cs="楷体_GB2312"/>
      <w:b/>
      <w:color w:val="000000"/>
      <w:sz w:val="28"/>
      <w:szCs w:val="28"/>
    </w:rPr>
  </w:style>
  <w:style w:type="paragraph" w:customStyle="1" w:styleId="331">
    <w:name w:val="预案3号"/>
    <w:basedOn w:val="332"/>
    <w:link w:val="330"/>
    <w:uiPriority w:val="0"/>
    <w:pPr>
      <w:keepNext w:val="0"/>
      <w:keepLines w:val="0"/>
      <w:widowControl w:val="0"/>
      <w:spacing w:before="0" w:after="0" w:line="360" w:lineRule="auto"/>
      <w:jc w:val="both"/>
    </w:pPr>
    <w:rPr>
      <w:rFonts w:ascii="宋体" w:hAnsi="宋体" w:eastAsia="宋体"/>
      <w:b w:val="0"/>
      <w:color w:val="000000"/>
      <w:kern w:val="2"/>
    </w:rPr>
  </w:style>
  <w:style w:type="paragraph" w:customStyle="1" w:styleId="332">
    <w:name w:val="标题三！！！！！！！"/>
    <w:basedOn w:val="5"/>
    <w:uiPriority w:val="0"/>
    <w:pPr>
      <w:widowControl/>
      <w:spacing w:before="260" w:after="260" w:line="500" w:lineRule="exact"/>
      <w:ind w:left="720" w:hanging="720"/>
      <w:jc w:val="left"/>
    </w:pPr>
    <w:rPr>
      <w:rFonts w:ascii="楷体_GB2312" w:hAnsi="楷体_GB2312" w:eastAsia="楷体_GB2312" w:cs="楷体_GB2312"/>
      <w:spacing w:val="0"/>
      <w:kern w:val="0"/>
      <w:sz w:val="28"/>
      <w:szCs w:val="28"/>
    </w:rPr>
  </w:style>
  <w:style w:type="character" w:customStyle="1" w:styleId="333">
    <w:name w:val="J【表头】 Char"/>
    <w:basedOn w:val="57"/>
    <w:link w:val="334"/>
    <w:uiPriority w:val="0"/>
    <w:rPr>
      <w:rFonts w:ascii="宋体" w:hAnsi="宋体" w:cs="宋体"/>
      <w:b/>
      <w:sz w:val="24"/>
      <w:szCs w:val="24"/>
    </w:rPr>
  </w:style>
  <w:style w:type="paragraph" w:customStyle="1" w:styleId="334">
    <w:name w:val="J【表头】"/>
    <w:basedOn w:val="1"/>
    <w:link w:val="333"/>
    <w:uiPriority w:val="0"/>
    <w:pPr>
      <w:spacing w:line="360" w:lineRule="auto"/>
      <w:jc w:val="center"/>
    </w:pPr>
    <w:rPr>
      <w:rFonts w:ascii="宋体" w:hAnsi="宋体" w:cs="宋体" w:eastAsiaTheme="minorEastAsia"/>
      <w:b/>
      <w:sz w:val="24"/>
    </w:rPr>
  </w:style>
  <w:style w:type="character" w:customStyle="1" w:styleId="335">
    <w:name w:val="样式 样式 正文文本 + 首行缩进:  2 字符 + 宋体 首行缩进:  2 字符 Char"/>
    <w:link w:val="336"/>
    <w:uiPriority w:val="0"/>
    <w:rPr>
      <w:color w:val="FF0000"/>
      <w:sz w:val="24"/>
      <w:szCs w:val="24"/>
    </w:rPr>
  </w:style>
  <w:style w:type="paragraph" w:customStyle="1" w:styleId="336">
    <w:name w:val="样式 样式 正文文本 + 首行缩进:  2 字符 + 宋体 首行缩进:  2 字符"/>
    <w:basedOn w:val="91"/>
    <w:link w:val="335"/>
    <w:uiPriority w:val="0"/>
    <w:pPr>
      <w:ind w:firstLine="480"/>
    </w:pPr>
  </w:style>
  <w:style w:type="character" w:customStyle="1" w:styleId="337">
    <w:name w:val="正文（首行缩进两字） Char"/>
    <w:basedOn w:val="57"/>
    <w:uiPriority w:val="0"/>
    <w:rPr>
      <w:rFonts w:ascii="宋体" w:hAnsi="宋体" w:eastAsia="宋体" w:cs="宋体"/>
      <w:kern w:val="2"/>
      <w:sz w:val="28"/>
      <w:szCs w:val="26"/>
      <w:lang w:val="en-US" w:eastAsia="zh-CN" w:bidi="ar-SA"/>
    </w:rPr>
  </w:style>
  <w:style w:type="character" w:customStyle="1" w:styleId="338">
    <w:name w:val="文本框五号 Char"/>
    <w:basedOn w:val="57"/>
    <w:link w:val="339"/>
    <w:uiPriority w:val="0"/>
    <w:rPr>
      <w:rFonts w:ascii="宋体" w:hAnsi="宋体" w:eastAsia="仿宋_GB2312" w:cs="宋体"/>
      <w:szCs w:val="21"/>
    </w:rPr>
  </w:style>
  <w:style w:type="paragraph" w:customStyle="1" w:styleId="339">
    <w:name w:val="文本框五号"/>
    <w:basedOn w:val="1"/>
    <w:link w:val="338"/>
    <w:uiPriority w:val="0"/>
    <w:pPr>
      <w:jc w:val="center"/>
    </w:pPr>
    <w:rPr>
      <w:rFonts w:ascii="宋体" w:hAnsi="宋体" w:eastAsia="仿宋_GB2312" w:cs="宋体"/>
      <w:szCs w:val="21"/>
    </w:rPr>
  </w:style>
  <w:style w:type="character" w:customStyle="1" w:styleId="340">
    <w:name w:val="样式 标题 3H3 + 黑色1 Char"/>
    <w:link w:val="341"/>
    <w:uiPriority w:val="0"/>
    <w:rPr>
      <w:b/>
      <w:snapToGrid w:val="0"/>
      <w:color w:val="000000"/>
      <w:sz w:val="24"/>
      <w:szCs w:val="24"/>
    </w:rPr>
  </w:style>
  <w:style w:type="paragraph" w:customStyle="1" w:styleId="341">
    <w:name w:val="样式 标题 3H3 + 黑色1"/>
    <w:basedOn w:val="5"/>
    <w:link w:val="340"/>
    <w:uiPriority w:val="0"/>
    <w:pPr>
      <w:keepNext w:val="0"/>
      <w:keepLines w:val="0"/>
      <w:adjustRightInd w:val="0"/>
      <w:snapToGrid w:val="0"/>
      <w:spacing w:before="0" w:line="460" w:lineRule="exact"/>
      <w:ind w:left="720" w:hanging="720"/>
      <w:jc w:val="left"/>
    </w:pPr>
    <w:rPr>
      <w:rFonts w:asciiTheme="minorHAnsi" w:hAnsiTheme="minorHAnsi" w:eastAsiaTheme="minorEastAsia" w:cstheme="minorBidi"/>
      <w:b w:val="0"/>
      <w:snapToGrid w:val="0"/>
      <w:color w:val="000000"/>
      <w:spacing w:val="0"/>
      <w:szCs w:val="24"/>
    </w:rPr>
  </w:style>
  <w:style w:type="character" w:customStyle="1" w:styleId="342">
    <w:name w:val="样式 (符号) 宋体 小四 行距: 固定值 26 磅 Char Char Char"/>
    <w:basedOn w:val="57"/>
    <w:link w:val="343"/>
    <w:uiPriority w:val="0"/>
    <w:rPr>
      <w:rFonts w:ascii="宋体" w:hAnsi="宋体" w:cs="宋体"/>
      <w:color w:val="000000"/>
      <w:sz w:val="28"/>
      <w:szCs w:val="28"/>
    </w:rPr>
  </w:style>
  <w:style w:type="paragraph" w:customStyle="1" w:styleId="343">
    <w:name w:val="样式 (符号) 宋体 小四 行距: 固定值 26 磅 Char Char"/>
    <w:basedOn w:val="1"/>
    <w:link w:val="342"/>
    <w:uiPriority w:val="0"/>
    <w:pPr>
      <w:spacing w:line="360" w:lineRule="auto"/>
      <w:ind w:firstLine="480" w:firstLineChars="200"/>
    </w:pPr>
    <w:rPr>
      <w:rFonts w:ascii="宋体" w:hAnsi="宋体" w:cs="宋体" w:eastAsiaTheme="minorEastAsia"/>
      <w:color w:val="000000"/>
      <w:sz w:val="28"/>
      <w:szCs w:val="28"/>
    </w:rPr>
  </w:style>
  <w:style w:type="character" w:customStyle="1" w:styleId="344">
    <w:name w:val="表文字 Char Char"/>
    <w:basedOn w:val="57"/>
    <w:link w:val="345"/>
    <w:uiPriority w:val="0"/>
    <w:rPr>
      <w:rFonts w:ascii="仿宋_GB2312" w:hAnsi="宋体" w:eastAsia="仿宋_GB2312" w:cs="宋体"/>
      <w:b/>
      <w:bCs/>
      <w:sz w:val="18"/>
      <w:szCs w:val="18"/>
    </w:rPr>
  </w:style>
  <w:style w:type="paragraph" w:customStyle="1" w:styleId="345">
    <w:name w:val="表文字 Char"/>
    <w:basedOn w:val="1"/>
    <w:link w:val="344"/>
    <w:uiPriority w:val="0"/>
    <w:pPr>
      <w:keepNext/>
      <w:widowControl/>
      <w:spacing w:line="240" w:lineRule="exact"/>
    </w:pPr>
    <w:rPr>
      <w:rFonts w:ascii="仿宋_GB2312" w:hAnsi="宋体" w:eastAsia="仿宋_GB2312" w:cs="宋体"/>
      <w:b/>
      <w:bCs/>
      <w:sz w:val="18"/>
      <w:szCs w:val="18"/>
    </w:rPr>
  </w:style>
  <w:style w:type="character" w:customStyle="1" w:styleId="346">
    <w:name w:val="图框 Char"/>
    <w:link w:val="347"/>
    <w:qFormat/>
    <w:uiPriority w:val="0"/>
    <w:rPr>
      <w:rFonts w:eastAsia="宋体"/>
      <w:szCs w:val="21"/>
      <w:lang w:val="zh-CN"/>
    </w:rPr>
  </w:style>
  <w:style w:type="paragraph" w:customStyle="1" w:styleId="347">
    <w:name w:val="图框"/>
    <w:basedOn w:val="1"/>
    <w:link w:val="346"/>
    <w:uiPriority w:val="0"/>
    <w:pPr>
      <w:jc w:val="center"/>
    </w:pPr>
    <w:rPr>
      <w:rFonts w:asciiTheme="minorHAnsi" w:hAnsiTheme="minorHAnsi" w:cstheme="minorBidi"/>
      <w:szCs w:val="21"/>
      <w:lang w:val="zh-CN"/>
    </w:rPr>
  </w:style>
  <w:style w:type="character" w:customStyle="1" w:styleId="348">
    <w:name w:val="预案2号 Char"/>
    <w:basedOn w:val="57"/>
    <w:link w:val="349"/>
    <w:qFormat/>
    <w:uiPriority w:val="0"/>
    <w:rPr>
      <w:rFonts w:ascii="宋体" w:hAnsi="宋体" w:eastAsia="宋体" w:cs="楷体_GB2312"/>
      <w:b/>
      <w:bCs/>
      <w:sz w:val="30"/>
      <w:szCs w:val="30"/>
    </w:rPr>
  </w:style>
  <w:style w:type="paragraph" w:customStyle="1" w:styleId="349">
    <w:name w:val="预案2号"/>
    <w:basedOn w:val="94"/>
    <w:link w:val="348"/>
    <w:qFormat/>
    <w:uiPriority w:val="0"/>
    <w:rPr>
      <w:rFonts w:ascii="宋体" w:hAnsi="宋体" w:eastAsia="宋体"/>
    </w:rPr>
  </w:style>
  <w:style w:type="character" w:customStyle="1" w:styleId="350">
    <w:name w:val="表格后 Char"/>
    <w:basedOn w:val="57"/>
    <w:link w:val="351"/>
    <w:uiPriority w:val="0"/>
    <w:rPr>
      <w:rFonts w:ascii="宋体" w:hAnsi="宋体" w:eastAsia="宋体" w:cs="宋体"/>
      <w:sz w:val="24"/>
      <w:szCs w:val="24"/>
    </w:rPr>
  </w:style>
  <w:style w:type="paragraph" w:customStyle="1" w:styleId="351">
    <w:name w:val="表格后"/>
    <w:basedOn w:val="1"/>
    <w:next w:val="1"/>
    <w:link w:val="350"/>
    <w:qFormat/>
    <w:uiPriority w:val="0"/>
    <w:pPr>
      <w:spacing w:beforeLines="50" w:line="360" w:lineRule="auto"/>
      <w:ind w:firstLine="200" w:firstLineChars="200"/>
    </w:pPr>
    <w:rPr>
      <w:rFonts w:ascii="宋体" w:hAnsi="宋体" w:cs="宋体"/>
      <w:sz w:val="24"/>
    </w:rPr>
  </w:style>
  <w:style w:type="character" w:customStyle="1" w:styleId="352">
    <w:name w:val="5 Char"/>
    <w:basedOn w:val="57"/>
    <w:link w:val="353"/>
    <w:qFormat/>
    <w:uiPriority w:val="0"/>
    <w:rPr>
      <w:rFonts w:ascii="宋体" w:hAnsi="宋体" w:cs="宋体"/>
      <w:sz w:val="24"/>
      <w:szCs w:val="26"/>
    </w:rPr>
  </w:style>
  <w:style w:type="paragraph" w:customStyle="1" w:styleId="353">
    <w:name w:val="5"/>
    <w:basedOn w:val="1"/>
    <w:next w:val="14"/>
    <w:link w:val="352"/>
    <w:uiPriority w:val="0"/>
    <w:pPr>
      <w:snapToGrid w:val="0"/>
      <w:spacing w:before="120" w:line="360" w:lineRule="auto"/>
      <w:ind w:firstLine="510"/>
    </w:pPr>
    <w:rPr>
      <w:rFonts w:ascii="宋体" w:hAnsi="宋体" w:cs="宋体" w:eastAsiaTheme="minorEastAsia"/>
      <w:sz w:val="24"/>
      <w:szCs w:val="26"/>
    </w:rPr>
  </w:style>
  <w:style w:type="character" w:customStyle="1" w:styleId="354">
    <w:name w:val="正文文本 3 字符"/>
    <w:basedOn w:val="57"/>
    <w:link w:val="19"/>
    <w:qFormat/>
    <w:uiPriority w:val="0"/>
    <w:rPr>
      <w:rFonts w:ascii="宋体" w:hAnsi="宋体" w:eastAsia="宋体" w:cs="宋体"/>
      <w:sz w:val="16"/>
      <w:szCs w:val="16"/>
    </w:rPr>
  </w:style>
  <w:style w:type="character" w:customStyle="1" w:styleId="355">
    <w:name w:val="正文首行不缩进 Char Char"/>
    <w:basedOn w:val="172"/>
    <w:link w:val="356"/>
    <w:semiHidden/>
    <w:locked/>
    <w:uiPriority w:val="0"/>
    <w:rPr>
      <w:rFonts w:ascii="宋体" w:hAnsi="宋体" w:eastAsia="宋体" w:cs="宋体"/>
      <w:sz w:val="24"/>
      <w:szCs w:val="28"/>
      <w:lang w:eastAsia="en-US" w:bidi="en-US"/>
    </w:rPr>
  </w:style>
  <w:style w:type="paragraph" w:customStyle="1" w:styleId="356">
    <w:name w:val="正文首行不缩进"/>
    <w:basedOn w:val="1"/>
    <w:link w:val="355"/>
    <w:semiHidden/>
    <w:qFormat/>
    <w:uiPriority w:val="0"/>
    <w:pPr>
      <w:widowControl/>
      <w:spacing w:line="360" w:lineRule="auto"/>
    </w:pPr>
    <w:rPr>
      <w:rFonts w:ascii="宋体" w:hAnsi="宋体" w:cs="宋体"/>
      <w:sz w:val="24"/>
      <w:szCs w:val="28"/>
      <w:lang w:eastAsia="en-US" w:bidi="en-US"/>
    </w:rPr>
  </w:style>
  <w:style w:type="character" w:customStyle="1" w:styleId="357">
    <w:name w:val="标题四 Char"/>
    <w:basedOn w:val="266"/>
    <w:link w:val="358"/>
    <w:qFormat/>
    <w:uiPriority w:val="0"/>
    <w:rPr>
      <w:rFonts w:ascii="楷体_GB2312" w:hAnsi="楷体_GB2312" w:eastAsia="楷体_GB2312" w:cs="宋体"/>
      <w:b/>
      <w:kern w:val="2"/>
      <w:sz w:val="24"/>
      <w:szCs w:val="24"/>
    </w:rPr>
  </w:style>
  <w:style w:type="paragraph" w:customStyle="1" w:styleId="358">
    <w:name w:val="标题四"/>
    <w:basedOn w:val="154"/>
    <w:link w:val="357"/>
    <w:uiPriority w:val="0"/>
    <w:pPr>
      <w:ind w:firstLine="0" w:firstLineChars="0"/>
    </w:pPr>
    <w:rPr>
      <w:rFonts w:ascii="楷体_GB2312" w:hAnsi="楷体_GB2312" w:eastAsia="楷体_GB2312"/>
      <w:b/>
    </w:rPr>
  </w:style>
  <w:style w:type="character" w:customStyle="1" w:styleId="359">
    <w:name w:val="4 Char"/>
    <w:basedOn w:val="57"/>
    <w:link w:val="360"/>
    <w:qFormat/>
    <w:uiPriority w:val="0"/>
    <w:rPr>
      <w:rFonts w:ascii="宋体" w:hAnsi="宋体" w:eastAsia="汉鼎简书宋" w:cs="宋体"/>
      <w:szCs w:val="21"/>
    </w:rPr>
  </w:style>
  <w:style w:type="paragraph" w:customStyle="1" w:styleId="360">
    <w:name w:val="4"/>
    <w:basedOn w:val="1"/>
    <w:next w:val="14"/>
    <w:link w:val="359"/>
    <w:qFormat/>
    <w:uiPriority w:val="0"/>
    <w:pPr>
      <w:ind w:firstLine="482" w:firstLineChars="200"/>
    </w:pPr>
    <w:rPr>
      <w:rFonts w:ascii="宋体" w:hAnsi="宋体" w:eastAsia="汉鼎简书宋" w:cs="宋体"/>
      <w:szCs w:val="21"/>
    </w:rPr>
  </w:style>
  <w:style w:type="character" w:customStyle="1" w:styleId="361">
    <w:name w:val="标题四A Char"/>
    <w:basedOn w:val="57"/>
    <w:link w:val="362"/>
    <w:uiPriority w:val="0"/>
    <w:rPr>
      <w:rFonts w:ascii="华文仿宋" w:hAnsi="华文仿宋" w:eastAsia="华文仿宋" w:cs="宋体"/>
      <w:b/>
      <w:sz w:val="24"/>
      <w:szCs w:val="24"/>
    </w:rPr>
  </w:style>
  <w:style w:type="paragraph" w:customStyle="1" w:styleId="362">
    <w:name w:val="标题四A"/>
    <w:basedOn w:val="1"/>
    <w:link w:val="361"/>
    <w:qFormat/>
    <w:uiPriority w:val="0"/>
    <w:pPr>
      <w:spacing w:line="500" w:lineRule="exact"/>
      <w:outlineLvl w:val="3"/>
    </w:pPr>
    <w:rPr>
      <w:rFonts w:ascii="华文仿宋" w:hAnsi="华文仿宋" w:eastAsia="华文仿宋" w:cs="宋体"/>
      <w:b/>
      <w:sz w:val="24"/>
    </w:rPr>
  </w:style>
  <w:style w:type="character" w:customStyle="1" w:styleId="363">
    <w:name w:val="Char Char41"/>
    <w:basedOn w:val="57"/>
    <w:link w:val="364"/>
    <w:qFormat/>
    <w:uiPriority w:val="0"/>
    <w:rPr>
      <w:rFonts w:ascii="宋体" w:hAnsi="宋体" w:eastAsia="宋体" w:cs="宋体"/>
      <w:b/>
      <w:bCs/>
      <w:kern w:val="44"/>
      <w:sz w:val="28"/>
      <w:szCs w:val="28"/>
    </w:rPr>
  </w:style>
  <w:style w:type="paragraph" w:customStyle="1" w:styleId="364">
    <w:name w:val="Char4"/>
    <w:basedOn w:val="1"/>
    <w:link w:val="363"/>
    <w:uiPriority w:val="0"/>
    <w:pPr>
      <w:widowControl/>
      <w:snapToGrid w:val="0"/>
      <w:spacing w:line="360" w:lineRule="auto"/>
      <w:ind w:firstLine="529" w:firstLineChars="200"/>
      <w:jc w:val="left"/>
    </w:pPr>
    <w:rPr>
      <w:rFonts w:ascii="宋体" w:hAnsi="宋体" w:cs="宋体"/>
      <w:b/>
      <w:bCs/>
      <w:kern w:val="44"/>
      <w:sz w:val="28"/>
      <w:szCs w:val="28"/>
    </w:rPr>
  </w:style>
  <w:style w:type="character" w:customStyle="1" w:styleId="365">
    <w:name w:val="表格注 Char"/>
    <w:basedOn w:val="57"/>
    <w:link w:val="366"/>
    <w:qFormat/>
    <w:uiPriority w:val="0"/>
    <w:rPr>
      <w:rFonts w:ascii="宋体" w:hAnsi="宋体" w:eastAsia="宋体" w:cs="宋体"/>
      <w:sz w:val="18"/>
      <w:szCs w:val="24"/>
    </w:rPr>
  </w:style>
  <w:style w:type="paragraph" w:customStyle="1" w:styleId="366">
    <w:name w:val="表格注"/>
    <w:basedOn w:val="1"/>
    <w:next w:val="1"/>
    <w:link w:val="365"/>
    <w:qFormat/>
    <w:uiPriority w:val="0"/>
    <w:pPr>
      <w:spacing w:line="240" w:lineRule="exact"/>
      <w:jc w:val="left"/>
    </w:pPr>
    <w:rPr>
      <w:rFonts w:ascii="宋体" w:hAnsi="宋体" w:cs="宋体"/>
      <w:sz w:val="18"/>
    </w:rPr>
  </w:style>
  <w:style w:type="character" w:customStyle="1" w:styleId="367">
    <w:name w:val="标题一!!!! Char"/>
    <w:basedOn w:val="57"/>
    <w:link w:val="368"/>
    <w:uiPriority w:val="0"/>
    <w:rPr>
      <w:rFonts w:ascii="华文仿宋" w:hAnsi="华文仿宋" w:eastAsia="华文仿宋" w:cs="宋体"/>
      <w:b/>
      <w:bCs/>
      <w:color w:val="000000"/>
      <w:spacing w:val="5"/>
      <w:kern w:val="44"/>
      <w:sz w:val="32"/>
      <w:szCs w:val="32"/>
      <w:lang w:val="zh-CN"/>
    </w:rPr>
  </w:style>
  <w:style w:type="paragraph" w:customStyle="1" w:styleId="368">
    <w:name w:val="标题一!!!!"/>
    <w:basedOn w:val="3"/>
    <w:link w:val="367"/>
    <w:qFormat/>
    <w:uiPriority w:val="0"/>
    <w:pPr>
      <w:keepNext w:val="0"/>
      <w:tabs>
        <w:tab w:val="left" w:pos="2100"/>
        <w:tab w:val="center" w:pos="4170"/>
      </w:tabs>
      <w:adjustRightInd w:val="0"/>
      <w:snapToGrid w:val="0"/>
      <w:spacing w:beforeLines="200" w:afterLines="100"/>
    </w:pPr>
    <w:rPr>
      <w:rFonts w:ascii="华文仿宋" w:hAnsi="华文仿宋" w:eastAsia="华文仿宋" w:cs="宋体"/>
      <w:b w:val="0"/>
      <w:bCs/>
      <w:color w:val="000000"/>
      <w:spacing w:val="5"/>
      <w:kern w:val="44"/>
      <w:sz w:val="32"/>
      <w:szCs w:val="32"/>
      <w:lang w:val="zh-CN"/>
    </w:rPr>
  </w:style>
  <w:style w:type="character" w:customStyle="1" w:styleId="369">
    <w:name w:val="表格头 Char Char"/>
    <w:link w:val="370"/>
    <w:qFormat/>
    <w:uiPriority w:val="0"/>
    <w:rPr>
      <w:rFonts w:ascii="宋体" w:hAnsi="宋体" w:eastAsia="宋体"/>
      <w:sz w:val="24"/>
      <w:szCs w:val="24"/>
    </w:rPr>
  </w:style>
  <w:style w:type="paragraph" w:customStyle="1" w:styleId="370">
    <w:name w:val="表格头"/>
    <w:basedOn w:val="1"/>
    <w:link w:val="369"/>
    <w:uiPriority w:val="0"/>
    <w:pPr>
      <w:spacing w:line="360" w:lineRule="auto"/>
      <w:jc w:val="left"/>
    </w:pPr>
    <w:rPr>
      <w:rFonts w:ascii="宋体" w:hAnsi="宋体" w:cstheme="minorBidi"/>
      <w:sz w:val="24"/>
    </w:rPr>
  </w:style>
  <w:style w:type="character" w:customStyle="1" w:styleId="371">
    <w:name w:val="签名 字符"/>
    <w:basedOn w:val="57"/>
    <w:link w:val="36"/>
    <w:qFormat/>
    <w:uiPriority w:val="0"/>
    <w:rPr>
      <w:rFonts w:ascii="宋体" w:hAnsi="宋体" w:cs="宋体"/>
      <w:szCs w:val="24"/>
    </w:rPr>
  </w:style>
  <w:style w:type="character" w:customStyle="1" w:styleId="372">
    <w:name w:val="dl正文 Char"/>
    <w:link w:val="373"/>
    <w:uiPriority w:val="0"/>
    <w:rPr>
      <w:rFonts w:eastAsia="宋体"/>
      <w:color w:val="000000"/>
      <w:kern w:val="10"/>
      <w:sz w:val="28"/>
      <w:szCs w:val="28"/>
    </w:rPr>
  </w:style>
  <w:style w:type="paragraph" w:customStyle="1" w:styleId="373">
    <w:name w:val="dl正文"/>
    <w:basedOn w:val="1"/>
    <w:link w:val="372"/>
    <w:qFormat/>
    <w:uiPriority w:val="0"/>
    <w:pPr>
      <w:ind w:firstLine="708" w:firstLineChars="253"/>
    </w:pPr>
    <w:rPr>
      <w:rFonts w:asciiTheme="minorHAnsi" w:hAnsiTheme="minorHAnsi" w:cstheme="minorBidi"/>
      <w:color w:val="000000"/>
      <w:kern w:val="10"/>
      <w:sz w:val="28"/>
      <w:szCs w:val="28"/>
    </w:rPr>
  </w:style>
  <w:style w:type="character" w:customStyle="1" w:styleId="374">
    <w:name w:val="表头 Char2"/>
    <w:basedOn w:val="57"/>
    <w:qFormat/>
    <w:uiPriority w:val="0"/>
    <w:rPr>
      <w:rFonts w:ascii="宋体" w:hAnsi="宋体" w:eastAsia="仿宋_GB2312" w:cs="宋体"/>
      <w:bCs/>
      <w:color w:val="000000"/>
      <w:sz w:val="28"/>
      <w:szCs w:val="24"/>
    </w:rPr>
  </w:style>
  <w:style w:type="character" w:customStyle="1" w:styleId="375">
    <w:name w:val="标题1 Char"/>
    <w:basedOn w:val="57"/>
    <w:uiPriority w:val="0"/>
    <w:rPr>
      <w:rFonts w:ascii="Arial" w:hAnsi="Arial" w:eastAsia="黑体" w:cs="宋体"/>
      <w:b/>
      <w:bCs/>
      <w:kern w:val="44"/>
      <w:sz w:val="44"/>
      <w:szCs w:val="44"/>
      <w:lang w:val="en-US" w:eastAsia="zh-CN" w:bidi="ar-SA"/>
    </w:rPr>
  </w:style>
  <w:style w:type="character" w:customStyle="1" w:styleId="376">
    <w:name w:val="_正文格式 Char Char"/>
    <w:link w:val="377"/>
    <w:qFormat/>
    <w:uiPriority w:val="0"/>
    <w:rPr>
      <w:rFonts w:eastAsia="宋体"/>
      <w:sz w:val="24"/>
      <w:szCs w:val="24"/>
    </w:rPr>
  </w:style>
  <w:style w:type="paragraph" w:customStyle="1" w:styleId="377">
    <w:name w:val="_正文格式"/>
    <w:basedOn w:val="1"/>
    <w:link w:val="376"/>
    <w:qFormat/>
    <w:uiPriority w:val="0"/>
    <w:pPr>
      <w:spacing w:line="500" w:lineRule="exact"/>
      <w:ind w:firstLine="567"/>
      <w:jc w:val="left"/>
    </w:pPr>
    <w:rPr>
      <w:rFonts w:asciiTheme="minorHAnsi" w:hAnsiTheme="minorHAnsi" w:cstheme="minorBidi"/>
      <w:sz w:val="24"/>
    </w:rPr>
  </w:style>
  <w:style w:type="character" w:customStyle="1" w:styleId="378">
    <w:name w:val="自定图标题 Char"/>
    <w:basedOn w:val="57"/>
    <w:link w:val="379"/>
    <w:uiPriority w:val="0"/>
    <w:rPr>
      <w:rFonts w:ascii="宋体" w:hAnsi="宋体" w:cs="宋体"/>
      <w:b/>
      <w:sz w:val="24"/>
      <w:szCs w:val="24"/>
    </w:rPr>
  </w:style>
  <w:style w:type="paragraph" w:customStyle="1" w:styleId="379">
    <w:name w:val="自定图标题"/>
    <w:basedOn w:val="1"/>
    <w:link w:val="378"/>
    <w:qFormat/>
    <w:uiPriority w:val="0"/>
    <w:pPr>
      <w:widowControl/>
      <w:jc w:val="center"/>
    </w:pPr>
    <w:rPr>
      <w:rFonts w:ascii="宋体" w:hAnsi="宋体" w:cs="宋体" w:eastAsiaTheme="minorEastAsia"/>
      <w:b/>
      <w:sz w:val="24"/>
    </w:rPr>
  </w:style>
  <w:style w:type="character" w:customStyle="1" w:styleId="380">
    <w:name w:val="样式 正文001 + 首行缩进:  2 字符 Char"/>
    <w:link w:val="381"/>
    <w:qFormat/>
    <w:uiPriority w:val="0"/>
    <w:rPr>
      <w:sz w:val="24"/>
    </w:rPr>
  </w:style>
  <w:style w:type="paragraph" w:customStyle="1" w:styleId="381">
    <w:name w:val="样式 正文001 + 首行缩进:  2 字符"/>
    <w:basedOn w:val="1"/>
    <w:link w:val="380"/>
    <w:uiPriority w:val="0"/>
    <w:pPr>
      <w:spacing w:before="60" w:line="460" w:lineRule="atLeast"/>
      <w:ind w:firstLine="480" w:firstLineChars="200"/>
    </w:pPr>
    <w:rPr>
      <w:rFonts w:asciiTheme="minorHAnsi" w:hAnsiTheme="minorHAnsi" w:eastAsiaTheme="minorEastAsia" w:cstheme="minorBidi"/>
      <w:sz w:val="24"/>
      <w:szCs w:val="22"/>
    </w:rPr>
  </w:style>
  <w:style w:type="character" w:customStyle="1" w:styleId="382">
    <w:name w:val="★正文缩进2字符 Char"/>
    <w:basedOn w:val="57"/>
    <w:link w:val="383"/>
    <w:qFormat/>
    <w:uiPriority w:val="0"/>
    <w:rPr>
      <w:rFonts w:ascii="宋体" w:hAnsi="宋体" w:eastAsia="宋体" w:cs="宋体"/>
      <w:color w:val="000000"/>
      <w:sz w:val="22"/>
      <w:szCs w:val="26"/>
      <w:lang w:val="en-GB" w:eastAsia="en-US" w:bidi="en-US"/>
    </w:rPr>
  </w:style>
  <w:style w:type="paragraph" w:customStyle="1" w:styleId="383">
    <w:name w:val="★正文缩进2字符"/>
    <w:basedOn w:val="1"/>
    <w:link w:val="382"/>
    <w:qFormat/>
    <w:uiPriority w:val="0"/>
    <w:pPr>
      <w:widowControl/>
      <w:spacing w:after="200" w:line="500" w:lineRule="exact"/>
      <w:ind w:firstLine="480"/>
      <w:jc w:val="left"/>
    </w:pPr>
    <w:rPr>
      <w:rFonts w:ascii="宋体" w:hAnsi="宋体" w:cs="宋体"/>
      <w:color w:val="000000"/>
      <w:sz w:val="22"/>
      <w:szCs w:val="26"/>
      <w:lang w:val="en-GB" w:eastAsia="en-US" w:bidi="en-US"/>
    </w:rPr>
  </w:style>
  <w:style w:type="character" w:customStyle="1" w:styleId="384">
    <w:name w:val="脚注文本 字符"/>
    <w:basedOn w:val="57"/>
    <w:link w:val="41"/>
    <w:uiPriority w:val="0"/>
    <w:rPr>
      <w:rFonts w:ascii="Arial" w:hAnsi="Arial" w:eastAsia="宋体" w:cs="宋体"/>
      <w:sz w:val="18"/>
      <w:szCs w:val="18"/>
    </w:rPr>
  </w:style>
  <w:style w:type="character" w:customStyle="1" w:styleId="385">
    <w:name w:val="表头标题 Char"/>
    <w:basedOn w:val="57"/>
    <w:link w:val="386"/>
    <w:qFormat/>
    <w:uiPriority w:val="0"/>
    <w:rPr>
      <w:rFonts w:ascii="黑体" w:hAnsi="微软雅黑" w:eastAsia="黑体" w:cs="宋体"/>
      <w:bCs/>
      <w:sz w:val="24"/>
      <w:szCs w:val="24"/>
      <w:lang w:val="zh-CN"/>
    </w:rPr>
  </w:style>
  <w:style w:type="paragraph" w:customStyle="1" w:styleId="386">
    <w:name w:val="表头标题"/>
    <w:basedOn w:val="1"/>
    <w:link w:val="385"/>
    <w:uiPriority w:val="0"/>
    <w:pPr>
      <w:tabs>
        <w:tab w:val="left" w:pos="905"/>
      </w:tabs>
      <w:snapToGrid w:val="0"/>
      <w:jc w:val="center"/>
    </w:pPr>
    <w:rPr>
      <w:rFonts w:ascii="黑体" w:hAnsi="微软雅黑" w:eastAsia="黑体" w:cs="宋体"/>
      <w:bCs/>
      <w:sz w:val="24"/>
      <w:lang w:val="zh-CN"/>
    </w:rPr>
  </w:style>
  <w:style w:type="character" w:customStyle="1" w:styleId="387">
    <w:name w:val="结束语 字符"/>
    <w:basedOn w:val="57"/>
    <w:link w:val="20"/>
    <w:qFormat/>
    <w:uiPriority w:val="0"/>
    <w:rPr>
      <w:rFonts w:ascii="宋体" w:hAnsi="宋体" w:cs="宋体"/>
      <w:szCs w:val="24"/>
    </w:rPr>
  </w:style>
  <w:style w:type="character" w:customStyle="1" w:styleId="388">
    <w:name w:val="样式12 Char"/>
    <w:basedOn w:val="311"/>
    <w:link w:val="389"/>
    <w:uiPriority w:val="0"/>
    <w:rPr>
      <w:rFonts w:ascii="宋体" w:hAnsi="宋体" w:eastAsia="华文仿宋" w:cs="宋体"/>
      <w:snapToGrid w:val="0"/>
      <w:color w:val="000000"/>
      <w:sz w:val="24"/>
      <w:szCs w:val="24"/>
    </w:rPr>
  </w:style>
  <w:style w:type="paragraph" w:customStyle="1" w:styleId="389">
    <w:name w:val="样式12"/>
    <w:basedOn w:val="312"/>
    <w:link w:val="388"/>
    <w:qFormat/>
    <w:uiPriority w:val="0"/>
    <w:pPr>
      <w:ind w:firstLine="0" w:firstLineChars="0"/>
    </w:pPr>
    <w:rPr>
      <w:snapToGrid w:val="0"/>
    </w:rPr>
  </w:style>
  <w:style w:type="character" w:customStyle="1" w:styleId="390">
    <w:name w:val="CEE正文 Char"/>
    <w:link w:val="391"/>
    <w:qFormat/>
    <w:uiPriority w:val="0"/>
    <w:rPr>
      <w:sz w:val="24"/>
      <w:szCs w:val="24"/>
    </w:rPr>
  </w:style>
  <w:style w:type="paragraph" w:customStyle="1" w:styleId="391">
    <w:name w:val="CEE正文"/>
    <w:basedOn w:val="1"/>
    <w:link w:val="390"/>
    <w:uiPriority w:val="0"/>
    <w:pPr>
      <w:spacing w:line="312" w:lineRule="auto"/>
      <w:ind w:firstLine="200" w:firstLineChars="200"/>
    </w:pPr>
    <w:rPr>
      <w:rFonts w:asciiTheme="minorHAnsi" w:hAnsiTheme="minorHAnsi" w:eastAsiaTheme="minorEastAsia" w:cstheme="minorBidi"/>
      <w:sz w:val="24"/>
    </w:rPr>
  </w:style>
  <w:style w:type="character" w:customStyle="1" w:styleId="392">
    <w:name w:val="一标题 Char Char"/>
    <w:basedOn w:val="57"/>
    <w:link w:val="393"/>
    <w:qFormat/>
    <w:uiPriority w:val="0"/>
    <w:rPr>
      <w:rFonts w:ascii="宋体" w:hAnsi="宋体" w:cs="宋体"/>
      <w:sz w:val="28"/>
      <w:szCs w:val="26"/>
    </w:rPr>
  </w:style>
  <w:style w:type="paragraph" w:customStyle="1" w:styleId="393">
    <w:name w:val="一标题 Char"/>
    <w:basedOn w:val="1"/>
    <w:link w:val="392"/>
    <w:qFormat/>
    <w:uiPriority w:val="0"/>
    <w:pPr>
      <w:widowControl/>
      <w:ind w:firstLine="538" w:firstLineChars="192"/>
      <w:jc w:val="left"/>
    </w:pPr>
    <w:rPr>
      <w:rFonts w:ascii="宋体" w:hAnsi="宋体" w:cs="宋体" w:eastAsiaTheme="minorEastAsia"/>
      <w:sz w:val="28"/>
      <w:szCs w:val="26"/>
    </w:rPr>
  </w:style>
  <w:style w:type="character" w:customStyle="1" w:styleId="394">
    <w:name w:val="Normal Char"/>
    <w:link w:val="395"/>
    <w:uiPriority w:val="0"/>
    <w:rPr>
      <w:rFonts w:ascii="宋体" w:eastAsia="Times New Roman"/>
      <w:sz w:val="24"/>
    </w:rPr>
  </w:style>
  <w:style w:type="paragraph" w:customStyle="1" w:styleId="395">
    <w:name w:val="正文1"/>
    <w:link w:val="394"/>
    <w:qFormat/>
    <w:uiPriority w:val="0"/>
    <w:pPr>
      <w:widowControl w:val="0"/>
      <w:adjustRightInd w:val="0"/>
      <w:spacing w:line="315" w:lineRule="atLeast"/>
      <w:textAlignment w:val="baseline"/>
    </w:pPr>
    <w:rPr>
      <w:rFonts w:ascii="宋体" w:eastAsia="Times New Roman" w:hAnsiTheme="minorHAnsi" w:cstheme="minorBidi"/>
      <w:kern w:val="2"/>
      <w:sz w:val="24"/>
      <w:szCs w:val="22"/>
      <w:lang w:val="en-US" w:eastAsia="zh-CN" w:bidi="ar-SA"/>
    </w:rPr>
  </w:style>
  <w:style w:type="character" w:customStyle="1" w:styleId="396">
    <w:name w:val="正文样板 Char"/>
    <w:basedOn w:val="57"/>
    <w:link w:val="397"/>
    <w:qFormat/>
    <w:uiPriority w:val="0"/>
    <w:rPr>
      <w:rFonts w:ascii="宋体" w:hAnsi="宋体" w:cs="宋体"/>
      <w:snapToGrid w:val="0"/>
      <w:spacing w:val="6"/>
      <w:sz w:val="24"/>
      <w:szCs w:val="26"/>
    </w:rPr>
  </w:style>
  <w:style w:type="paragraph" w:customStyle="1" w:styleId="397">
    <w:name w:val="正文样板"/>
    <w:basedOn w:val="1"/>
    <w:link w:val="396"/>
    <w:uiPriority w:val="0"/>
    <w:pPr>
      <w:adjustRightInd w:val="0"/>
      <w:snapToGrid w:val="0"/>
      <w:spacing w:line="360" w:lineRule="auto"/>
      <w:ind w:firstLine="504" w:firstLineChars="200"/>
    </w:pPr>
    <w:rPr>
      <w:rFonts w:ascii="宋体" w:hAnsi="宋体" w:cs="宋体" w:eastAsiaTheme="minorEastAsia"/>
      <w:snapToGrid w:val="0"/>
      <w:spacing w:val="6"/>
      <w:sz w:val="24"/>
      <w:szCs w:val="26"/>
    </w:rPr>
  </w:style>
  <w:style w:type="character" w:customStyle="1" w:styleId="398">
    <w:name w:val="单晶硅图中文字格式 Char"/>
    <w:basedOn w:val="374"/>
    <w:link w:val="399"/>
    <w:qFormat/>
    <w:uiPriority w:val="0"/>
    <w:rPr>
      <w:rFonts w:ascii="楷体_GB2312" w:hAnsi="宋体" w:eastAsia="楷体_GB2312" w:cs="楷体_GB2312"/>
      <w:b/>
      <w:color w:val="000000"/>
      <w:sz w:val="28"/>
      <w:szCs w:val="21"/>
    </w:rPr>
  </w:style>
  <w:style w:type="paragraph" w:customStyle="1" w:styleId="399">
    <w:name w:val="单晶硅图中文字格式"/>
    <w:basedOn w:val="400"/>
    <w:link w:val="398"/>
    <w:qFormat/>
    <w:uiPriority w:val="0"/>
    <w:pPr>
      <w:widowControl/>
      <w:tabs>
        <w:tab w:val="left" w:pos="360"/>
        <w:tab w:val="left" w:pos="1620"/>
      </w:tabs>
      <w:topLinePunct w:val="0"/>
      <w:snapToGrid/>
      <w:spacing w:line="320" w:lineRule="exact"/>
    </w:pPr>
    <w:rPr>
      <w:rFonts w:ascii="楷体_GB2312" w:eastAsia="楷体_GB2312" w:cs="楷体_GB2312"/>
      <w:color w:val="000000"/>
      <w:kern w:val="2"/>
      <w:szCs w:val="21"/>
    </w:rPr>
  </w:style>
  <w:style w:type="paragraph" w:customStyle="1" w:styleId="400">
    <w:name w:val="报告书表头"/>
    <w:basedOn w:val="1"/>
    <w:next w:val="1"/>
    <w:link w:val="401"/>
    <w:qFormat/>
    <w:uiPriority w:val="0"/>
    <w:pPr>
      <w:tabs>
        <w:tab w:val="left" w:pos="6840"/>
      </w:tabs>
      <w:topLinePunct/>
      <w:snapToGrid w:val="0"/>
      <w:ind w:firstLine="200" w:firstLineChars="200"/>
    </w:pPr>
    <w:rPr>
      <w:rFonts w:eastAsia="黑体" w:cstheme="minorBidi"/>
      <w:bCs/>
      <w:kern w:val="24"/>
      <w:szCs w:val="28"/>
    </w:rPr>
  </w:style>
  <w:style w:type="character" w:customStyle="1" w:styleId="401">
    <w:name w:val="报告书表头 字符"/>
    <w:link w:val="400"/>
    <w:qFormat/>
    <w:uiPriority w:val="0"/>
    <w:rPr>
      <w:rFonts w:ascii="Times New Roman" w:hAnsi="Times New Roman" w:eastAsia="黑体"/>
      <w:bCs/>
      <w:kern w:val="24"/>
      <w:szCs w:val="28"/>
    </w:rPr>
  </w:style>
  <w:style w:type="character" w:customStyle="1" w:styleId="402">
    <w:name w:val="自定三级标题 Char"/>
    <w:basedOn w:val="57"/>
    <w:link w:val="403"/>
    <w:qFormat/>
    <w:uiPriority w:val="0"/>
    <w:rPr>
      <w:rFonts w:ascii="宋体" w:hAnsi="宋体" w:cs="宋体"/>
      <w:b/>
      <w:sz w:val="28"/>
      <w:szCs w:val="28"/>
    </w:rPr>
  </w:style>
  <w:style w:type="paragraph" w:customStyle="1" w:styleId="403">
    <w:name w:val="自定三级标题"/>
    <w:basedOn w:val="1"/>
    <w:link w:val="402"/>
    <w:uiPriority w:val="0"/>
    <w:pPr>
      <w:widowControl/>
      <w:spacing w:line="360" w:lineRule="auto"/>
      <w:jc w:val="left"/>
    </w:pPr>
    <w:rPr>
      <w:rFonts w:ascii="宋体" w:hAnsi="宋体" w:cs="宋体" w:eastAsiaTheme="minorEastAsia"/>
      <w:b/>
      <w:sz w:val="28"/>
      <w:szCs w:val="28"/>
    </w:rPr>
  </w:style>
  <w:style w:type="character" w:customStyle="1" w:styleId="404">
    <w:name w:val="样式 标题 3s Char"/>
    <w:basedOn w:val="57"/>
    <w:link w:val="405"/>
    <w:qFormat/>
    <w:uiPriority w:val="0"/>
    <w:rPr>
      <w:rFonts w:ascii="黑体" w:hAnsi="黑体" w:eastAsia="黑体" w:cs="宋体"/>
      <w:b/>
      <w:bCs/>
      <w:sz w:val="24"/>
      <w:szCs w:val="32"/>
    </w:rPr>
  </w:style>
  <w:style w:type="paragraph" w:customStyle="1" w:styleId="405">
    <w:name w:val="样式 标题 3s"/>
    <w:basedOn w:val="5"/>
    <w:link w:val="404"/>
    <w:qFormat/>
    <w:uiPriority w:val="0"/>
    <w:pPr>
      <w:spacing w:line="360" w:lineRule="auto"/>
      <w:ind w:left="720" w:hanging="720"/>
    </w:pPr>
    <w:rPr>
      <w:rFonts w:hAnsi="黑体" w:cs="宋体"/>
      <w:b w:val="0"/>
      <w:bCs/>
      <w:spacing w:val="0"/>
      <w:szCs w:val="32"/>
    </w:rPr>
  </w:style>
  <w:style w:type="character" w:customStyle="1" w:styleId="406">
    <w:name w:val="样式 居中 首行缩进:  0 字符 Char Char Char"/>
    <w:basedOn w:val="57"/>
    <w:link w:val="407"/>
    <w:uiPriority w:val="0"/>
    <w:rPr>
      <w:rFonts w:ascii="宋体" w:hAnsi="宋体" w:cs="宋体"/>
      <w:color w:val="000000"/>
      <w:sz w:val="18"/>
      <w:szCs w:val="18"/>
    </w:rPr>
  </w:style>
  <w:style w:type="paragraph" w:customStyle="1" w:styleId="407">
    <w:name w:val="样式 居中 首行缩进:  0 字符 Char Char"/>
    <w:basedOn w:val="1"/>
    <w:next w:val="1"/>
    <w:link w:val="406"/>
    <w:qFormat/>
    <w:uiPriority w:val="0"/>
    <w:pPr>
      <w:tabs>
        <w:tab w:val="left" w:pos="9128"/>
      </w:tabs>
      <w:snapToGrid w:val="0"/>
      <w:jc w:val="center"/>
    </w:pPr>
    <w:rPr>
      <w:rFonts w:ascii="宋体" w:hAnsi="宋体" w:cs="宋体" w:eastAsiaTheme="minorEastAsia"/>
      <w:color w:val="000000"/>
      <w:sz w:val="18"/>
      <w:szCs w:val="18"/>
    </w:rPr>
  </w:style>
  <w:style w:type="character" w:customStyle="1" w:styleId="408">
    <w:name w:val="样式 样式 首行缩进:  0.85 厘米 + 段前: 0.5 行 Char1"/>
    <w:basedOn w:val="57"/>
    <w:link w:val="409"/>
    <w:qFormat/>
    <w:uiPriority w:val="0"/>
    <w:rPr>
      <w:rFonts w:ascii="宋体" w:hAnsi="宋体" w:cs="宋体"/>
      <w:sz w:val="24"/>
      <w:szCs w:val="26"/>
    </w:rPr>
  </w:style>
  <w:style w:type="paragraph" w:customStyle="1" w:styleId="409">
    <w:name w:val="样式 样式 首行缩进:  0.85 厘米 + 段前: 0.5 行"/>
    <w:basedOn w:val="1"/>
    <w:link w:val="408"/>
    <w:uiPriority w:val="0"/>
    <w:pPr>
      <w:spacing w:before="50" w:line="360" w:lineRule="auto"/>
      <w:ind w:firstLine="482"/>
    </w:pPr>
    <w:rPr>
      <w:rFonts w:ascii="宋体" w:hAnsi="宋体" w:cs="宋体" w:eastAsiaTheme="minorEastAsia"/>
      <w:sz w:val="24"/>
      <w:szCs w:val="26"/>
    </w:rPr>
  </w:style>
  <w:style w:type="character" w:customStyle="1" w:styleId="410">
    <w:name w:val="三级标题 Char1"/>
    <w:basedOn w:val="57"/>
    <w:link w:val="411"/>
    <w:qFormat/>
    <w:uiPriority w:val="0"/>
    <w:rPr>
      <w:rFonts w:ascii="宋体" w:hAnsi="宋体" w:eastAsia="宋体" w:cs="宋体"/>
      <w:b/>
      <w:bCs/>
      <w:sz w:val="28"/>
      <w:szCs w:val="32"/>
    </w:rPr>
  </w:style>
  <w:style w:type="paragraph" w:customStyle="1" w:styleId="411">
    <w:name w:val="三级标题"/>
    <w:basedOn w:val="5"/>
    <w:link w:val="410"/>
    <w:qFormat/>
    <w:uiPriority w:val="0"/>
    <w:pPr>
      <w:spacing w:line="420" w:lineRule="exact"/>
      <w:ind w:left="720" w:hanging="720"/>
      <w:jc w:val="left"/>
    </w:pPr>
    <w:rPr>
      <w:rFonts w:ascii="宋体" w:hAnsi="宋体" w:cs="宋体"/>
      <w:b w:val="0"/>
      <w:bCs/>
      <w:spacing w:val="0"/>
      <w:sz w:val="28"/>
      <w:szCs w:val="32"/>
    </w:rPr>
  </w:style>
  <w:style w:type="character" w:customStyle="1" w:styleId="412">
    <w:name w:val="正文-ls Char"/>
    <w:basedOn w:val="57"/>
    <w:link w:val="413"/>
    <w:uiPriority w:val="0"/>
    <w:rPr>
      <w:rFonts w:ascii="宋体" w:hAnsi="宋体" w:cs="宋体"/>
      <w:sz w:val="24"/>
      <w:szCs w:val="26"/>
    </w:rPr>
  </w:style>
  <w:style w:type="paragraph" w:customStyle="1" w:styleId="413">
    <w:name w:val="正文-ls"/>
    <w:basedOn w:val="1"/>
    <w:link w:val="412"/>
    <w:qFormat/>
    <w:uiPriority w:val="0"/>
    <w:pPr>
      <w:spacing w:line="360" w:lineRule="auto"/>
      <w:ind w:firstLine="200" w:firstLineChars="200"/>
    </w:pPr>
    <w:rPr>
      <w:rFonts w:ascii="宋体" w:hAnsi="宋体" w:cs="宋体" w:eastAsiaTheme="minorEastAsia"/>
      <w:sz w:val="24"/>
      <w:szCs w:val="26"/>
    </w:rPr>
  </w:style>
  <w:style w:type="character" w:customStyle="1" w:styleId="414">
    <w:name w:val="Подзаголовок главы Знак"/>
    <w:link w:val="415"/>
    <w:qFormat/>
    <w:locked/>
    <w:uiPriority w:val="0"/>
    <w:rPr>
      <w:rFonts w:ascii="Arial Narrow" w:hAnsi="Arial Narrow"/>
      <w:b/>
      <w:sz w:val="24"/>
      <w:lang w:eastAsia="ru-RU"/>
    </w:rPr>
  </w:style>
  <w:style w:type="paragraph" w:customStyle="1" w:styleId="415">
    <w:name w:val="Подзаголовок главы"/>
    <w:basedOn w:val="1"/>
    <w:link w:val="414"/>
    <w:uiPriority w:val="0"/>
    <w:pPr>
      <w:widowControl/>
      <w:ind w:firstLine="720"/>
    </w:pPr>
    <w:rPr>
      <w:rFonts w:ascii="Arial Narrow" w:hAnsi="Arial Narrow" w:eastAsiaTheme="minorEastAsia" w:cstheme="minorBidi"/>
      <w:b/>
      <w:sz w:val="24"/>
      <w:szCs w:val="22"/>
      <w:lang w:eastAsia="ru-RU"/>
    </w:rPr>
  </w:style>
  <w:style w:type="character" w:customStyle="1" w:styleId="416">
    <w:name w:val="节标题 Char"/>
    <w:basedOn w:val="57"/>
    <w:qFormat/>
    <w:uiPriority w:val="0"/>
    <w:rPr>
      <w:rFonts w:ascii="Arial" w:hAnsi="Arial" w:eastAsia="黑体" w:cs="宋体"/>
      <w:b/>
      <w:bCs/>
      <w:kern w:val="2"/>
      <w:sz w:val="32"/>
      <w:szCs w:val="32"/>
      <w:lang w:val="en-US" w:eastAsia="zh-CN" w:bidi="ar-SA"/>
    </w:rPr>
  </w:style>
  <w:style w:type="character" w:customStyle="1" w:styleId="417">
    <w:name w:val="正文小四首缩1.3行距 Char"/>
    <w:basedOn w:val="57"/>
    <w:link w:val="418"/>
    <w:qFormat/>
    <w:uiPriority w:val="0"/>
    <w:rPr>
      <w:rFonts w:ascii="宋体" w:hAnsi="宋体" w:cs="宋体"/>
      <w:sz w:val="24"/>
      <w:szCs w:val="24"/>
    </w:rPr>
  </w:style>
  <w:style w:type="paragraph" w:customStyle="1" w:styleId="418">
    <w:name w:val="正文小四首缩1.3行距"/>
    <w:basedOn w:val="1"/>
    <w:link w:val="417"/>
    <w:uiPriority w:val="0"/>
    <w:pPr>
      <w:spacing w:line="312" w:lineRule="auto"/>
      <w:ind w:firstLine="420" w:firstLineChars="200"/>
    </w:pPr>
    <w:rPr>
      <w:rFonts w:ascii="宋体" w:hAnsi="宋体" w:cs="宋体" w:eastAsiaTheme="minorEastAsia"/>
      <w:sz w:val="24"/>
    </w:rPr>
  </w:style>
  <w:style w:type="character" w:customStyle="1" w:styleId="419">
    <w:name w:val="表头A Char"/>
    <w:basedOn w:val="374"/>
    <w:link w:val="420"/>
    <w:qFormat/>
    <w:uiPriority w:val="0"/>
    <w:rPr>
      <w:rFonts w:ascii="华文仿宋" w:hAnsi="华文仿宋" w:eastAsia="华文仿宋" w:cs="楷体_GB2312"/>
      <w:b/>
      <w:color w:val="000000"/>
      <w:sz w:val="24"/>
      <w:szCs w:val="24"/>
    </w:rPr>
  </w:style>
  <w:style w:type="paragraph" w:customStyle="1" w:styleId="420">
    <w:name w:val="表头A"/>
    <w:basedOn w:val="400"/>
    <w:link w:val="419"/>
    <w:qFormat/>
    <w:uiPriority w:val="0"/>
    <w:pPr>
      <w:tabs>
        <w:tab w:val="clear" w:pos="6840"/>
      </w:tabs>
      <w:topLinePunct w:val="0"/>
      <w:snapToGrid/>
      <w:spacing w:line="400" w:lineRule="exact"/>
    </w:pPr>
    <w:rPr>
      <w:rFonts w:ascii="华文仿宋" w:hAnsi="华文仿宋" w:eastAsia="华文仿宋" w:cs="楷体_GB2312"/>
      <w:color w:val="000000"/>
      <w:kern w:val="2"/>
      <w:szCs w:val="24"/>
    </w:rPr>
  </w:style>
  <w:style w:type="character" w:customStyle="1" w:styleId="421">
    <w:name w:val="333 Char"/>
    <w:basedOn w:val="422"/>
    <w:link w:val="424"/>
    <w:uiPriority w:val="0"/>
    <w:rPr>
      <w:rFonts w:ascii="Arial" w:hAnsi="Arial" w:eastAsia="楷体_GB2312" w:cs="宋体"/>
      <w:sz w:val="28"/>
      <w:szCs w:val="26"/>
      <w:lang w:eastAsia="en-US" w:bidi="en-US"/>
    </w:rPr>
  </w:style>
  <w:style w:type="character" w:customStyle="1" w:styleId="422">
    <w:name w:val="444 Char"/>
    <w:basedOn w:val="57"/>
    <w:link w:val="423"/>
    <w:qFormat/>
    <w:uiPriority w:val="0"/>
    <w:rPr>
      <w:rFonts w:ascii="Arial" w:hAnsi="Arial" w:eastAsia="楷体_GB2312" w:cs="宋体"/>
      <w:b/>
      <w:bCs/>
      <w:sz w:val="28"/>
      <w:szCs w:val="26"/>
      <w:lang w:eastAsia="en-US" w:bidi="en-US"/>
    </w:rPr>
  </w:style>
  <w:style w:type="paragraph" w:customStyle="1" w:styleId="423">
    <w:name w:val="444"/>
    <w:basedOn w:val="28"/>
    <w:link w:val="422"/>
    <w:qFormat/>
    <w:uiPriority w:val="0"/>
    <w:pPr>
      <w:spacing w:line="360" w:lineRule="auto"/>
    </w:pPr>
    <w:rPr>
      <w:rFonts w:ascii="Arial" w:hAnsi="Arial" w:eastAsia="楷体_GB2312" w:cs="宋体"/>
      <w:b/>
      <w:bCs/>
      <w:szCs w:val="26"/>
      <w:lang w:eastAsia="en-US" w:bidi="en-US"/>
    </w:rPr>
  </w:style>
  <w:style w:type="paragraph" w:customStyle="1" w:styleId="424">
    <w:name w:val="333"/>
    <w:basedOn w:val="423"/>
    <w:link w:val="421"/>
    <w:uiPriority w:val="0"/>
    <w:pPr>
      <w:ind w:firstLine="132" w:firstLineChars="50"/>
    </w:pPr>
  </w:style>
  <w:style w:type="character" w:customStyle="1" w:styleId="425">
    <w:name w:val="明显引用 字符"/>
    <w:basedOn w:val="57"/>
    <w:link w:val="426"/>
    <w:qFormat/>
    <w:uiPriority w:val="0"/>
    <w:rPr>
      <w:rFonts w:ascii="Calibri" w:hAnsi="Calibri" w:eastAsia="宋体" w:cs="宋体"/>
      <w:b/>
      <w:bCs/>
      <w:i/>
      <w:iCs/>
      <w:color w:val="4F81BD"/>
      <w:sz w:val="22"/>
      <w:szCs w:val="26"/>
      <w:lang w:eastAsia="en-US" w:bidi="en-US"/>
    </w:rPr>
  </w:style>
  <w:style w:type="paragraph" w:styleId="426">
    <w:name w:val="Intense Quote"/>
    <w:basedOn w:val="1"/>
    <w:next w:val="1"/>
    <w:link w:val="425"/>
    <w:qFormat/>
    <w:uiPriority w:val="0"/>
    <w:pPr>
      <w:widowControl/>
      <w:pBdr>
        <w:bottom w:val="single" w:color="4F81BD" w:sz="4" w:space="4"/>
      </w:pBdr>
      <w:spacing w:before="200" w:after="280" w:line="276" w:lineRule="auto"/>
      <w:ind w:left="936" w:right="936"/>
      <w:jc w:val="left"/>
    </w:pPr>
    <w:rPr>
      <w:rFonts w:ascii="Calibri" w:hAnsi="Calibri" w:cs="宋体"/>
      <w:b/>
      <w:bCs/>
      <w:i/>
      <w:iCs/>
      <w:color w:val="4F81BD"/>
      <w:sz w:val="22"/>
      <w:szCs w:val="26"/>
      <w:lang w:eastAsia="en-US" w:bidi="en-US"/>
    </w:rPr>
  </w:style>
  <w:style w:type="character" w:customStyle="1" w:styleId="427">
    <w:name w:val="段落1 Char1"/>
    <w:basedOn w:val="57"/>
    <w:link w:val="428"/>
    <w:uiPriority w:val="0"/>
    <w:rPr>
      <w:rFonts w:ascii="宋体" w:hAnsi="宋体" w:eastAsia="宋体" w:cs="宋体"/>
      <w:iCs/>
      <w:color w:val="000000"/>
      <w:spacing w:val="6"/>
      <w:sz w:val="24"/>
      <w:szCs w:val="24"/>
    </w:rPr>
  </w:style>
  <w:style w:type="paragraph" w:customStyle="1" w:styleId="428">
    <w:name w:val="段落1"/>
    <w:basedOn w:val="1"/>
    <w:link w:val="427"/>
    <w:qFormat/>
    <w:uiPriority w:val="0"/>
    <w:pPr>
      <w:adjustRightInd w:val="0"/>
      <w:spacing w:line="360" w:lineRule="auto"/>
      <w:jc w:val="left"/>
    </w:pPr>
    <w:rPr>
      <w:rFonts w:ascii="宋体" w:hAnsi="宋体" w:cs="宋体"/>
      <w:iCs/>
      <w:color w:val="000000"/>
      <w:spacing w:val="6"/>
      <w:sz w:val="24"/>
    </w:rPr>
  </w:style>
  <w:style w:type="character" w:customStyle="1" w:styleId="429">
    <w:name w:val="正文样式自定 Char"/>
    <w:basedOn w:val="248"/>
    <w:link w:val="430"/>
    <w:qFormat/>
    <w:uiPriority w:val="0"/>
    <w:rPr>
      <w:rFonts w:ascii="宋体" w:hAnsi="宋体" w:eastAsia="华文仿宋" w:cs="宋体"/>
      <w:color w:val="000000"/>
      <w:sz w:val="24"/>
      <w:szCs w:val="24"/>
    </w:rPr>
  </w:style>
  <w:style w:type="paragraph" w:customStyle="1" w:styleId="430">
    <w:name w:val="正文样式自定"/>
    <w:basedOn w:val="249"/>
    <w:link w:val="429"/>
    <w:uiPriority w:val="0"/>
    <w:pPr>
      <w:keepNext w:val="0"/>
      <w:keepLines w:val="0"/>
      <w:ind w:firstLine="480" w:firstLineChars="200"/>
      <w:outlineLvl w:val="9"/>
    </w:pPr>
    <w:rPr>
      <w:rFonts w:hAnsi="宋体"/>
      <w:color w:val="000000"/>
    </w:rPr>
  </w:style>
  <w:style w:type="character" w:customStyle="1" w:styleId="431">
    <w:name w:val="1级标题 Char"/>
    <w:basedOn w:val="57"/>
    <w:link w:val="432"/>
    <w:qFormat/>
    <w:uiPriority w:val="0"/>
    <w:rPr>
      <w:rFonts w:ascii="Arial" w:hAnsi="Arial" w:eastAsia="宋体" w:cs="宋体"/>
      <w:b/>
      <w:bCs/>
      <w:kern w:val="44"/>
      <w:sz w:val="28"/>
      <w:szCs w:val="28"/>
    </w:rPr>
  </w:style>
  <w:style w:type="paragraph" w:customStyle="1" w:styleId="432">
    <w:name w:val="1级标题"/>
    <w:basedOn w:val="1"/>
    <w:link w:val="431"/>
    <w:qFormat/>
    <w:uiPriority w:val="0"/>
    <w:pPr>
      <w:keepNext/>
      <w:keepLines/>
      <w:spacing w:line="240" w:lineRule="atLeast"/>
      <w:outlineLvl w:val="0"/>
    </w:pPr>
    <w:rPr>
      <w:rFonts w:ascii="Arial" w:hAnsi="Arial" w:cs="宋体"/>
      <w:b/>
      <w:bCs/>
      <w:kern w:val="44"/>
      <w:sz w:val="28"/>
      <w:szCs w:val="28"/>
    </w:rPr>
  </w:style>
  <w:style w:type="character" w:customStyle="1" w:styleId="433">
    <w:name w:val="表格标题004 Char"/>
    <w:basedOn w:val="57"/>
    <w:link w:val="434"/>
    <w:uiPriority w:val="0"/>
    <w:rPr>
      <w:rFonts w:ascii="Arial" w:hAnsi="Arial" w:eastAsia="楷体_GB2312" w:cs="宋体"/>
      <w:b/>
      <w:color w:val="000000"/>
      <w:spacing w:val="20"/>
      <w:sz w:val="28"/>
      <w:szCs w:val="28"/>
    </w:rPr>
  </w:style>
  <w:style w:type="paragraph" w:customStyle="1" w:styleId="434">
    <w:name w:val="表格标题004"/>
    <w:basedOn w:val="1"/>
    <w:link w:val="433"/>
    <w:qFormat/>
    <w:uiPriority w:val="0"/>
    <w:pPr>
      <w:adjustRightInd w:val="0"/>
      <w:snapToGrid w:val="0"/>
      <w:spacing w:line="360" w:lineRule="auto"/>
      <w:jc w:val="center"/>
    </w:pPr>
    <w:rPr>
      <w:rFonts w:ascii="Arial" w:hAnsi="Arial" w:eastAsia="楷体_GB2312" w:cs="宋体"/>
      <w:b/>
      <w:color w:val="000000"/>
      <w:spacing w:val="20"/>
      <w:sz w:val="28"/>
      <w:szCs w:val="28"/>
    </w:rPr>
  </w:style>
  <w:style w:type="character" w:customStyle="1" w:styleId="435">
    <w:name w:val="表题重复 Char"/>
    <w:basedOn w:val="235"/>
    <w:link w:val="436"/>
    <w:qFormat/>
    <w:uiPriority w:val="0"/>
    <w:rPr>
      <w:rFonts w:ascii="宋体" w:hAnsi="宋体" w:cs="宋体"/>
      <w:szCs w:val="21"/>
    </w:rPr>
  </w:style>
  <w:style w:type="paragraph" w:customStyle="1" w:styleId="436">
    <w:name w:val="表题重复"/>
    <w:basedOn w:val="236"/>
    <w:link w:val="435"/>
    <w:uiPriority w:val="0"/>
  </w:style>
  <w:style w:type="character" w:customStyle="1" w:styleId="437">
    <w:name w:val="图表目录 字符"/>
    <w:basedOn w:val="57"/>
    <w:link w:val="44"/>
    <w:qFormat/>
    <w:uiPriority w:val="0"/>
    <w:rPr>
      <w:rFonts w:ascii="宋体" w:hAnsi="宋体" w:eastAsia="楷体_GB2312" w:cs="宋体"/>
      <w:color w:val="000000"/>
      <w:szCs w:val="24"/>
    </w:rPr>
  </w:style>
  <w:style w:type="character" w:customStyle="1" w:styleId="438">
    <w:name w:val="Intense Quote Char"/>
    <w:basedOn w:val="57"/>
    <w:link w:val="439"/>
    <w:semiHidden/>
    <w:locked/>
    <w:uiPriority w:val="0"/>
    <w:rPr>
      <w:rFonts w:ascii="宋体" w:hAnsi="宋体" w:cs="宋体"/>
      <w:b/>
      <w:bCs/>
      <w:i/>
      <w:iCs/>
      <w:color w:val="4F81BD"/>
      <w:sz w:val="22"/>
      <w:lang w:eastAsia="en-US"/>
    </w:rPr>
  </w:style>
  <w:style w:type="paragraph" w:customStyle="1" w:styleId="439">
    <w:name w:val="明显引用1"/>
    <w:basedOn w:val="1"/>
    <w:next w:val="1"/>
    <w:link w:val="438"/>
    <w:semiHidden/>
    <w:qFormat/>
    <w:uiPriority w:val="0"/>
    <w:pPr>
      <w:widowControl/>
      <w:pBdr>
        <w:bottom w:val="single" w:color="4F81BD" w:sz="4" w:space="4"/>
      </w:pBdr>
      <w:spacing w:before="200" w:after="280" w:line="276" w:lineRule="auto"/>
      <w:ind w:left="936" w:right="936"/>
      <w:jc w:val="left"/>
    </w:pPr>
    <w:rPr>
      <w:rFonts w:ascii="宋体" w:hAnsi="宋体" w:cs="宋体" w:eastAsiaTheme="minorEastAsia"/>
      <w:b/>
      <w:bCs/>
      <w:i/>
      <w:iCs/>
      <w:color w:val="4F81BD"/>
      <w:sz w:val="22"/>
      <w:szCs w:val="22"/>
      <w:lang w:eastAsia="en-US"/>
    </w:rPr>
  </w:style>
  <w:style w:type="character" w:customStyle="1" w:styleId="440">
    <w:name w:val="正文文本 Char"/>
    <w:basedOn w:val="57"/>
    <w:qFormat/>
    <w:uiPriority w:val="0"/>
    <w:rPr>
      <w:rFonts w:ascii="宋体" w:hAnsi="宋体" w:cs="宋体"/>
      <w:sz w:val="24"/>
      <w:szCs w:val="26"/>
    </w:rPr>
  </w:style>
  <w:style w:type="character" w:customStyle="1" w:styleId="441">
    <w:name w:val="cauc-0 Char"/>
    <w:basedOn w:val="57"/>
    <w:link w:val="442"/>
    <w:locked/>
    <w:uiPriority w:val="0"/>
    <w:rPr>
      <w:rFonts w:ascii="宋体" w:hAnsi="宋体" w:eastAsia="Times New Roman" w:cs="宋体"/>
      <w:sz w:val="24"/>
      <w:szCs w:val="24"/>
      <w:lang w:eastAsia="en-US" w:bidi="en-US"/>
    </w:rPr>
  </w:style>
  <w:style w:type="paragraph" w:customStyle="1" w:styleId="442">
    <w:name w:val="cauc-0"/>
    <w:link w:val="441"/>
    <w:qFormat/>
    <w:uiPriority w:val="0"/>
    <w:pPr>
      <w:spacing w:after="200" w:line="360" w:lineRule="auto"/>
      <w:ind w:firstLine="480" w:firstLineChars="200"/>
    </w:pPr>
    <w:rPr>
      <w:rFonts w:ascii="宋体" w:hAnsi="宋体" w:eastAsia="Times New Roman" w:cs="宋体"/>
      <w:kern w:val="2"/>
      <w:sz w:val="24"/>
      <w:szCs w:val="24"/>
      <w:lang w:val="en-US" w:eastAsia="en-US" w:bidi="en-US"/>
    </w:rPr>
  </w:style>
  <w:style w:type="character" w:customStyle="1" w:styleId="443">
    <w:name w:val="正文文本缩进 3 字符"/>
    <w:basedOn w:val="57"/>
    <w:link w:val="43"/>
    <w:qFormat/>
    <w:uiPriority w:val="0"/>
    <w:rPr>
      <w:rFonts w:ascii="宋体" w:hAnsi="宋体" w:eastAsia="宋体" w:cs="宋体"/>
      <w:sz w:val="24"/>
      <w:szCs w:val="24"/>
    </w:rPr>
  </w:style>
  <w:style w:type="character" w:customStyle="1" w:styleId="444">
    <w:name w:val="正文（首行式样2） Char"/>
    <w:link w:val="445"/>
    <w:qFormat/>
    <w:uiPriority w:val="0"/>
    <w:rPr>
      <w:rFonts w:ascii="宋体" w:hAnsi="宋体"/>
      <w:color w:val="000000"/>
      <w:sz w:val="24"/>
      <w:szCs w:val="24"/>
    </w:rPr>
  </w:style>
  <w:style w:type="paragraph" w:customStyle="1" w:styleId="445">
    <w:name w:val="正文（首行式样2）"/>
    <w:basedOn w:val="14"/>
    <w:link w:val="444"/>
    <w:qFormat/>
    <w:uiPriority w:val="0"/>
    <w:pPr>
      <w:snapToGrid w:val="0"/>
      <w:spacing w:line="360" w:lineRule="auto"/>
      <w:ind w:right="-13" w:rightChars="-6" w:firstLine="526" w:firstLineChars="219"/>
    </w:pPr>
    <w:rPr>
      <w:rFonts w:ascii="宋体" w:hAnsi="宋体" w:eastAsiaTheme="minorEastAsia"/>
      <w:color w:val="000000"/>
      <w:sz w:val="24"/>
    </w:rPr>
  </w:style>
  <w:style w:type="character" w:customStyle="1" w:styleId="446">
    <w:name w:val="电子邮件签名 字符"/>
    <w:basedOn w:val="57"/>
    <w:link w:val="13"/>
    <w:uiPriority w:val="0"/>
    <w:rPr>
      <w:rFonts w:ascii="宋体" w:hAnsi="宋体" w:cs="宋体"/>
      <w:szCs w:val="24"/>
    </w:rPr>
  </w:style>
  <w:style w:type="character" w:customStyle="1" w:styleId="447">
    <w:name w:val="样式 正文1 + 首行缩进:  2 字符 Char3"/>
    <w:link w:val="448"/>
    <w:qFormat/>
    <w:uiPriority w:val="0"/>
    <w:rPr>
      <w:rFonts w:ascii="宋体" w:eastAsia="宋体"/>
      <w:sz w:val="24"/>
    </w:rPr>
  </w:style>
  <w:style w:type="paragraph" w:customStyle="1" w:styleId="448">
    <w:name w:val="样式 正文1 + 首行缩进:  2 字符"/>
    <w:basedOn w:val="1"/>
    <w:link w:val="447"/>
    <w:uiPriority w:val="0"/>
    <w:pPr>
      <w:spacing w:line="360" w:lineRule="auto"/>
      <w:ind w:firstLine="200" w:firstLineChars="200"/>
    </w:pPr>
    <w:rPr>
      <w:rFonts w:ascii="宋体" w:hAnsiTheme="minorHAnsi" w:cstheme="minorBidi"/>
      <w:sz w:val="24"/>
      <w:szCs w:val="22"/>
    </w:rPr>
  </w:style>
  <w:style w:type="character" w:customStyle="1" w:styleId="449">
    <w:name w:val="副标题 字符"/>
    <w:basedOn w:val="57"/>
    <w:link w:val="39"/>
    <w:qFormat/>
    <w:uiPriority w:val="0"/>
    <w:rPr>
      <w:rFonts w:ascii="Cambria" w:hAnsi="Cambria" w:eastAsia="宋体" w:cs="宋体"/>
      <w:i/>
      <w:iCs/>
      <w:color w:val="4F81BD"/>
      <w:spacing w:val="15"/>
      <w:sz w:val="24"/>
      <w:szCs w:val="24"/>
      <w:lang w:eastAsia="en-US" w:bidi="en-US"/>
    </w:rPr>
  </w:style>
  <w:style w:type="character" w:customStyle="1" w:styleId="450">
    <w:name w:val="表号 Char Char"/>
    <w:link w:val="451"/>
    <w:uiPriority w:val="0"/>
    <w:rPr>
      <w:rFonts w:eastAsia="Times New Roman"/>
      <w:sz w:val="24"/>
      <w:szCs w:val="24"/>
    </w:rPr>
  </w:style>
  <w:style w:type="paragraph" w:customStyle="1" w:styleId="451">
    <w:name w:val="表号"/>
    <w:link w:val="450"/>
    <w:qFormat/>
    <w:uiPriority w:val="0"/>
    <w:pPr>
      <w:adjustRightInd w:val="0"/>
      <w:snapToGrid w:val="0"/>
      <w:spacing w:line="240" w:lineRule="atLeast"/>
      <w:jc w:val="both"/>
      <w:outlineLvl w:val="4"/>
    </w:pPr>
    <w:rPr>
      <w:rFonts w:eastAsia="Times New Roman" w:asciiTheme="minorHAnsi" w:hAnsiTheme="minorHAnsi" w:cstheme="minorBidi"/>
      <w:kern w:val="2"/>
      <w:sz w:val="24"/>
      <w:szCs w:val="24"/>
      <w:lang w:val="en-US" w:eastAsia="zh-CN" w:bidi="ar-SA"/>
    </w:rPr>
  </w:style>
  <w:style w:type="character" w:customStyle="1" w:styleId="452">
    <w:name w:val="下标"/>
    <w:basedOn w:val="57"/>
    <w:qFormat/>
    <w:uiPriority w:val="0"/>
    <w:rPr>
      <w:rFonts w:ascii="宋体" w:hAnsi="宋体" w:cs="宋体"/>
      <w:sz w:val="24"/>
      <w:szCs w:val="26"/>
      <w:vertAlign w:val="subscript"/>
    </w:rPr>
  </w:style>
  <w:style w:type="character" w:customStyle="1" w:styleId="453">
    <w:name w:val="1标题 Char"/>
    <w:basedOn w:val="57"/>
    <w:link w:val="454"/>
    <w:uiPriority w:val="0"/>
    <w:rPr>
      <w:rFonts w:ascii="宋体" w:hAnsi="宋体" w:cs="宋体"/>
      <w:sz w:val="28"/>
      <w:szCs w:val="26"/>
    </w:rPr>
  </w:style>
  <w:style w:type="paragraph" w:customStyle="1" w:styleId="454">
    <w:name w:val="1标题"/>
    <w:basedOn w:val="1"/>
    <w:link w:val="453"/>
    <w:qFormat/>
    <w:uiPriority w:val="0"/>
    <w:pPr>
      <w:widowControl/>
      <w:ind w:firstLine="560" w:firstLineChars="200"/>
      <w:jc w:val="left"/>
    </w:pPr>
    <w:rPr>
      <w:rFonts w:ascii="宋体" w:hAnsi="宋体" w:cs="宋体" w:eastAsiaTheme="minorEastAsia"/>
      <w:sz w:val="28"/>
      <w:szCs w:val="26"/>
    </w:rPr>
  </w:style>
  <w:style w:type="character" w:customStyle="1" w:styleId="455">
    <w:name w:val="正文的样式 Char Char"/>
    <w:basedOn w:val="57"/>
    <w:link w:val="456"/>
    <w:qFormat/>
    <w:uiPriority w:val="0"/>
    <w:rPr>
      <w:rFonts w:ascii="宋体" w:hAnsi="Symbol" w:cs="宋体"/>
      <w:bCs/>
      <w:sz w:val="24"/>
      <w:szCs w:val="24"/>
    </w:rPr>
  </w:style>
  <w:style w:type="paragraph" w:customStyle="1" w:styleId="456">
    <w:name w:val="正文的样式 Char"/>
    <w:basedOn w:val="1"/>
    <w:link w:val="455"/>
    <w:uiPriority w:val="0"/>
    <w:pPr>
      <w:adjustRightInd w:val="0"/>
      <w:snapToGrid w:val="0"/>
      <w:spacing w:line="360" w:lineRule="auto"/>
      <w:ind w:firstLine="480" w:firstLineChars="200"/>
    </w:pPr>
    <w:rPr>
      <w:rFonts w:ascii="宋体" w:hAnsi="Symbol" w:cs="宋体" w:eastAsiaTheme="minorEastAsia"/>
      <w:bCs/>
      <w:sz w:val="24"/>
    </w:rPr>
  </w:style>
  <w:style w:type="character" w:customStyle="1" w:styleId="457">
    <w:name w:val="预案正文 Char"/>
    <w:basedOn w:val="57"/>
    <w:link w:val="458"/>
    <w:qFormat/>
    <w:uiPriority w:val="0"/>
    <w:rPr>
      <w:rFonts w:ascii="宋体" w:hAnsi="宋体" w:eastAsia="宋体" w:cs="宋体"/>
      <w:color w:val="000000"/>
      <w:sz w:val="28"/>
      <w:szCs w:val="28"/>
    </w:rPr>
  </w:style>
  <w:style w:type="paragraph" w:customStyle="1" w:styleId="458">
    <w:name w:val="预案正文"/>
    <w:basedOn w:val="1"/>
    <w:link w:val="457"/>
    <w:qFormat/>
    <w:uiPriority w:val="0"/>
    <w:pPr>
      <w:snapToGrid w:val="0"/>
      <w:spacing w:line="500" w:lineRule="exact"/>
      <w:ind w:firstLine="560" w:firstLineChars="200"/>
      <w:contextualSpacing/>
    </w:pPr>
    <w:rPr>
      <w:rFonts w:ascii="宋体" w:hAnsi="宋体" w:cs="宋体"/>
      <w:color w:val="000000"/>
      <w:sz w:val="28"/>
      <w:szCs w:val="28"/>
    </w:rPr>
  </w:style>
  <w:style w:type="character" w:customStyle="1" w:styleId="459">
    <w:name w:val="表头！！！！！！！！！！ Char"/>
    <w:basedOn w:val="57"/>
    <w:link w:val="460"/>
    <w:uiPriority w:val="0"/>
    <w:rPr>
      <w:rFonts w:ascii="楷体_GB2312" w:hAnsi="宋体" w:eastAsia="楷体_GB2312" w:cs="宋体"/>
      <w:b/>
      <w:snapToGrid w:val="0"/>
      <w:sz w:val="24"/>
      <w:szCs w:val="24"/>
    </w:rPr>
  </w:style>
  <w:style w:type="paragraph" w:customStyle="1" w:styleId="460">
    <w:name w:val="表头！！！！！！！！！！"/>
    <w:basedOn w:val="14"/>
    <w:link w:val="459"/>
    <w:qFormat/>
    <w:uiPriority w:val="0"/>
    <w:pPr>
      <w:autoSpaceDE w:val="0"/>
      <w:autoSpaceDN w:val="0"/>
      <w:adjustRightInd w:val="0"/>
      <w:spacing w:line="500" w:lineRule="exact"/>
      <w:ind w:firstLine="0"/>
      <w:jc w:val="center"/>
      <w:textAlignment w:val="baseline"/>
    </w:pPr>
    <w:rPr>
      <w:rFonts w:ascii="楷体_GB2312" w:hAnsi="宋体" w:eastAsia="楷体_GB2312" w:cs="宋体"/>
      <w:b/>
      <w:snapToGrid w:val="0"/>
      <w:sz w:val="24"/>
    </w:rPr>
  </w:style>
  <w:style w:type="character" w:customStyle="1" w:styleId="461">
    <w:name w:val="表格1 Char"/>
    <w:basedOn w:val="57"/>
    <w:link w:val="462"/>
    <w:qFormat/>
    <w:uiPriority w:val="0"/>
    <w:rPr>
      <w:rFonts w:ascii="宋体" w:hAnsi="宋体" w:eastAsia="宋体" w:cs="宋体"/>
      <w:sz w:val="24"/>
      <w:szCs w:val="26"/>
    </w:rPr>
  </w:style>
  <w:style w:type="paragraph" w:customStyle="1" w:styleId="462">
    <w:name w:val="表格1"/>
    <w:basedOn w:val="1"/>
    <w:link w:val="461"/>
    <w:uiPriority w:val="0"/>
    <w:pPr>
      <w:adjustRightInd w:val="0"/>
      <w:spacing w:line="400" w:lineRule="atLeast"/>
      <w:jc w:val="center"/>
      <w:textAlignment w:val="baseline"/>
    </w:pPr>
    <w:rPr>
      <w:rFonts w:ascii="宋体" w:hAnsi="宋体" w:cs="宋体"/>
      <w:sz w:val="24"/>
      <w:szCs w:val="26"/>
    </w:rPr>
  </w:style>
  <w:style w:type="character" w:customStyle="1" w:styleId="463">
    <w:name w:val="HTML 地址 字符"/>
    <w:basedOn w:val="57"/>
    <w:link w:val="25"/>
    <w:qFormat/>
    <w:uiPriority w:val="0"/>
    <w:rPr>
      <w:rFonts w:ascii="宋体" w:hAnsi="宋体" w:cs="宋体"/>
      <w:i/>
      <w:iCs/>
      <w:szCs w:val="24"/>
    </w:rPr>
  </w:style>
  <w:style w:type="character" w:customStyle="1" w:styleId="464">
    <w:name w:val="样式 (符号) 宋体 小四 加粗"/>
    <w:qFormat/>
    <w:uiPriority w:val="0"/>
    <w:rPr>
      <w:b/>
      <w:bCs/>
      <w:sz w:val="24"/>
    </w:rPr>
  </w:style>
  <w:style w:type="character" w:customStyle="1" w:styleId="465">
    <w:name w:val="分目录1 Char"/>
    <w:basedOn w:val="57"/>
    <w:link w:val="466"/>
    <w:uiPriority w:val="0"/>
    <w:rPr>
      <w:rFonts w:ascii="宋体" w:hAnsi="宋体" w:cs="宋体"/>
      <w:snapToGrid w:val="0"/>
      <w:sz w:val="28"/>
      <w:szCs w:val="26"/>
    </w:rPr>
  </w:style>
  <w:style w:type="paragraph" w:customStyle="1" w:styleId="466">
    <w:name w:val="分目录1"/>
    <w:basedOn w:val="1"/>
    <w:link w:val="465"/>
    <w:qFormat/>
    <w:uiPriority w:val="0"/>
    <w:pPr>
      <w:tabs>
        <w:tab w:val="right" w:leader="dot" w:pos="8304"/>
      </w:tabs>
      <w:adjustRightInd w:val="0"/>
      <w:snapToGrid w:val="0"/>
      <w:spacing w:line="360" w:lineRule="auto"/>
    </w:pPr>
    <w:rPr>
      <w:rFonts w:ascii="宋体" w:hAnsi="宋体" w:cs="宋体" w:eastAsiaTheme="minorEastAsia"/>
      <w:snapToGrid w:val="0"/>
      <w:sz w:val="28"/>
      <w:szCs w:val="26"/>
    </w:rPr>
  </w:style>
  <w:style w:type="character" w:customStyle="1" w:styleId="467">
    <w:name w:val="正文wang Char"/>
    <w:basedOn w:val="57"/>
    <w:link w:val="468"/>
    <w:qFormat/>
    <w:uiPriority w:val="0"/>
    <w:rPr>
      <w:rFonts w:ascii="宋体" w:hAnsi="宋体" w:cs="宋体"/>
      <w:szCs w:val="21"/>
    </w:rPr>
  </w:style>
  <w:style w:type="paragraph" w:customStyle="1" w:styleId="468">
    <w:name w:val="正文wang"/>
    <w:basedOn w:val="1"/>
    <w:link w:val="467"/>
    <w:uiPriority w:val="0"/>
    <w:pPr>
      <w:adjustRightInd w:val="0"/>
      <w:spacing w:beforeLines="25"/>
      <w:ind w:firstLine="420"/>
    </w:pPr>
    <w:rPr>
      <w:rFonts w:ascii="宋体" w:hAnsi="宋体" w:cs="宋体" w:eastAsiaTheme="minorEastAsia"/>
      <w:szCs w:val="21"/>
    </w:rPr>
  </w:style>
  <w:style w:type="character" w:customStyle="1" w:styleId="469">
    <w:name w:val="样式 样式 表格 + (符号) 宋体 五号 居中 + 小五 Char"/>
    <w:basedOn w:val="57"/>
    <w:link w:val="470"/>
    <w:qFormat/>
    <w:uiPriority w:val="0"/>
    <w:rPr>
      <w:rFonts w:ascii="宋体" w:hAnsi="宋体" w:cs="宋体"/>
      <w:snapToGrid w:val="0"/>
      <w:sz w:val="18"/>
      <w:szCs w:val="21"/>
    </w:rPr>
  </w:style>
  <w:style w:type="paragraph" w:customStyle="1" w:styleId="470">
    <w:name w:val="样式 样式 表格 + (符号) 宋体 五号 居中 + 小五"/>
    <w:basedOn w:val="1"/>
    <w:link w:val="469"/>
    <w:uiPriority w:val="0"/>
    <w:pPr>
      <w:kinsoku w:val="0"/>
      <w:overflowPunct w:val="0"/>
      <w:adjustRightInd w:val="0"/>
      <w:snapToGrid w:val="0"/>
      <w:jc w:val="center"/>
    </w:pPr>
    <w:rPr>
      <w:rFonts w:ascii="宋体" w:hAnsi="宋体" w:cs="宋体" w:eastAsiaTheme="minorEastAsia"/>
      <w:snapToGrid w:val="0"/>
      <w:sz w:val="18"/>
      <w:szCs w:val="21"/>
    </w:rPr>
  </w:style>
  <w:style w:type="character" w:customStyle="1" w:styleId="471">
    <w:name w:val="表、图名 Char"/>
    <w:basedOn w:val="57"/>
    <w:link w:val="472"/>
    <w:qFormat/>
    <w:uiPriority w:val="0"/>
    <w:rPr>
      <w:rFonts w:ascii="宋体" w:hAnsi="宋体" w:eastAsia="宋体" w:cs="宋体"/>
      <w:b/>
      <w:bCs/>
      <w:color w:val="000000"/>
      <w:szCs w:val="21"/>
    </w:rPr>
  </w:style>
  <w:style w:type="paragraph" w:customStyle="1" w:styleId="472">
    <w:name w:val="表、图名"/>
    <w:basedOn w:val="1"/>
    <w:link w:val="471"/>
    <w:qFormat/>
    <w:uiPriority w:val="0"/>
    <w:pPr>
      <w:ind w:firstLine="482"/>
      <w:textAlignment w:val="baseline"/>
    </w:pPr>
    <w:rPr>
      <w:rFonts w:ascii="宋体" w:hAnsi="宋体" w:cs="宋体"/>
      <w:b/>
      <w:bCs/>
      <w:color w:val="000000"/>
      <w:szCs w:val="21"/>
    </w:rPr>
  </w:style>
  <w:style w:type="character" w:customStyle="1" w:styleId="473">
    <w:name w:val="报告书表格 Char"/>
    <w:basedOn w:val="57"/>
    <w:link w:val="474"/>
    <w:uiPriority w:val="0"/>
    <w:rPr>
      <w:rFonts w:ascii="宋体" w:hAnsi="宋体" w:cs="宋体"/>
      <w:sz w:val="24"/>
      <w:szCs w:val="26"/>
    </w:rPr>
  </w:style>
  <w:style w:type="paragraph" w:customStyle="1" w:styleId="474">
    <w:name w:val="报告书表格"/>
    <w:basedOn w:val="1"/>
    <w:link w:val="473"/>
    <w:qFormat/>
    <w:uiPriority w:val="0"/>
    <w:pPr>
      <w:adjustRightInd w:val="0"/>
      <w:spacing w:before="60" w:after="60" w:line="240" w:lineRule="atLeast"/>
      <w:jc w:val="center"/>
      <w:textAlignment w:val="baseline"/>
    </w:pPr>
    <w:rPr>
      <w:rFonts w:ascii="宋体" w:hAnsi="宋体" w:cs="宋体" w:eastAsiaTheme="minorEastAsia"/>
      <w:sz w:val="24"/>
      <w:szCs w:val="26"/>
    </w:rPr>
  </w:style>
  <w:style w:type="character" w:customStyle="1" w:styleId="475">
    <w:name w:val="表小4 Char"/>
    <w:basedOn w:val="57"/>
    <w:link w:val="476"/>
    <w:qFormat/>
    <w:locked/>
    <w:uiPriority w:val="0"/>
    <w:rPr>
      <w:rFonts w:ascii="宋体" w:hAnsi="宋体" w:cs="宋体"/>
      <w:sz w:val="28"/>
      <w:szCs w:val="26"/>
    </w:rPr>
  </w:style>
  <w:style w:type="paragraph" w:customStyle="1" w:styleId="476">
    <w:name w:val="表小4"/>
    <w:basedOn w:val="1"/>
    <w:link w:val="475"/>
    <w:qFormat/>
    <w:uiPriority w:val="0"/>
    <w:pPr>
      <w:tabs>
        <w:tab w:val="left" w:pos="0"/>
        <w:tab w:val="left" w:pos="2619"/>
      </w:tabs>
      <w:adjustRightInd w:val="0"/>
      <w:spacing w:line="0" w:lineRule="atLeast"/>
      <w:jc w:val="center"/>
    </w:pPr>
    <w:rPr>
      <w:rFonts w:ascii="宋体" w:hAnsi="宋体" w:cs="宋体" w:eastAsiaTheme="minorEastAsia"/>
      <w:sz w:val="28"/>
      <w:szCs w:val="26"/>
    </w:rPr>
  </w:style>
  <w:style w:type="character" w:customStyle="1" w:styleId="477">
    <w:name w:val="环评正文 Char"/>
    <w:link w:val="478"/>
    <w:qFormat/>
    <w:uiPriority w:val="0"/>
    <w:rPr>
      <w:sz w:val="24"/>
      <w:szCs w:val="24"/>
    </w:rPr>
  </w:style>
  <w:style w:type="paragraph" w:customStyle="1" w:styleId="478">
    <w:name w:val="环评正文"/>
    <w:basedOn w:val="1"/>
    <w:link w:val="477"/>
    <w:qFormat/>
    <w:uiPriority w:val="0"/>
    <w:pPr>
      <w:spacing w:line="360" w:lineRule="auto"/>
      <w:ind w:firstLine="200" w:firstLineChars="200"/>
    </w:pPr>
    <w:rPr>
      <w:rFonts w:asciiTheme="minorHAnsi" w:hAnsiTheme="minorHAnsi" w:eastAsiaTheme="minorEastAsia" w:cstheme="minorBidi"/>
      <w:sz w:val="24"/>
    </w:rPr>
  </w:style>
  <w:style w:type="character" w:customStyle="1" w:styleId="479">
    <w:name w:val="样式 标题 2 + (西文) Times New Roman (中文) 黑体 三号 自动设置 Char"/>
    <w:basedOn w:val="57"/>
    <w:link w:val="480"/>
    <w:semiHidden/>
    <w:qFormat/>
    <w:uiPriority w:val="0"/>
    <w:rPr>
      <w:rFonts w:ascii="楷体_GB2312" w:hAnsi="宋体" w:eastAsia="黑体" w:cs="宋体"/>
      <w:b/>
      <w:spacing w:val="10"/>
      <w:sz w:val="30"/>
      <w:szCs w:val="30"/>
    </w:rPr>
  </w:style>
  <w:style w:type="paragraph" w:customStyle="1" w:styleId="480">
    <w:name w:val="样式 标题 2 + (西文) Times New Roman (中文) 黑体 三号 自动设置"/>
    <w:basedOn w:val="4"/>
    <w:link w:val="479"/>
    <w:semiHidden/>
    <w:qFormat/>
    <w:uiPriority w:val="0"/>
    <w:pPr>
      <w:snapToGrid w:val="0"/>
      <w:spacing w:before="120" w:after="0" w:line="360" w:lineRule="auto"/>
      <w:ind w:left="723" w:hanging="723" w:hangingChars="240"/>
    </w:pPr>
    <w:rPr>
      <w:rFonts w:ascii="楷体_GB2312" w:hAnsi="宋体" w:cs="宋体"/>
      <w:bCs w:val="0"/>
      <w:spacing w:val="10"/>
      <w:sz w:val="30"/>
      <w:szCs w:val="30"/>
    </w:rPr>
  </w:style>
  <w:style w:type="character" w:customStyle="1" w:styleId="481">
    <w:name w:val="正文内容 Char"/>
    <w:basedOn w:val="57"/>
    <w:link w:val="482"/>
    <w:uiPriority w:val="0"/>
    <w:rPr>
      <w:rFonts w:ascii="宋体" w:hAnsi="宋体" w:cs="宋体"/>
      <w:color w:val="1C1C1C"/>
      <w:spacing w:val="8"/>
      <w:sz w:val="24"/>
      <w:szCs w:val="26"/>
    </w:rPr>
  </w:style>
  <w:style w:type="paragraph" w:customStyle="1" w:styleId="482">
    <w:name w:val="正文内容"/>
    <w:basedOn w:val="47"/>
    <w:link w:val="481"/>
    <w:qFormat/>
    <w:uiPriority w:val="0"/>
    <w:pPr>
      <w:spacing w:before="60" w:after="0" w:line="360" w:lineRule="auto"/>
      <w:ind w:firstLine="200" w:firstLineChars="200"/>
    </w:pPr>
    <w:rPr>
      <w:rFonts w:eastAsiaTheme="minorEastAsia"/>
      <w:color w:val="1C1C1C"/>
      <w:spacing w:val="8"/>
      <w:sz w:val="24"/>
      <w:szCs w:val="26"/>
    </w:rPr>
  </w:style>
  <w:style w:type="character" w:customStyle="1" w:styleId="483">
    <w:name w:val="TOC 1 字符"/>
    <w:link w:val="37"/>
    <w:qFormat/>
    <w:uiPriority w:val="39"/>
    <w:rPr>
      <w:rFonts w:eastAsia="宋体" w:cs="Times New Roman"/>
      <w:b/>
      <w:bCs/>
      <w:caps/>
      <w:sz w:val="20"/>
      <w:szCs w:val="20"/>
    </w:rPr>
  </w:style>
  <w:style w:type="character" w:customStyle="1" w:styleId="484">
    <w:name w:val="Footer-Even Char2"/>
    <w:qFormat/>
    <w:uiPriority w:val="0"/>
    <w:rPr>
      <w:rFonts w:ascii="Calibri" w:hAnsi="Calibri" w:eastAsia="宋体" w:cs="Times New Roman"/>
      <w:sz w:val="18"/>
      <w:szCs w:val="18"/>
    </w:rPr>
  </w:style>
  <w:style w:type="character" w:customStyle="1" w:styleId="485">
    <w:name w:val="555 Char"/>
    <w:basedOn w:val="57"/>
    <w:link w:val="486"/>
    <w:qFormat/>
    <w:uiPriority w:val="0"/>
    <w:rPr>
      <w:rFonts w:ascii="Arial" w:hAnsi="Arial" w:eastAsia="楷体_GB2312" w:cs="宋体"/>
      <w:sz w:val="28"/>
      <w:szCs w:val="26"/>
    </w:rPr>
  </w:style>
  <w:style w:type="paragraph" w:customStyle="1" w:styleId="486">
    <w:name w:val="555"/>
    <w:basedOn w:val="1"/>
    <w:link w:val="485"/>
    <w:uiPriority w:val="0"/>
    <w:pPr>
      <w:spacing w:line="360" w:lineRule="auto"/>
      <w:ind w:firstLine="527" w:firstLineChars="200"/>
    </w:pPr>
    <w:rPr>
      <w:rFonts w:ascii="Arial" w:hAnsi="Arial" w:eastAsia="楷体_GB2312" w:cs="宋体"/>
      <w:sz w:val="28"/>
      <w:szCs w:val="26"/>
    </w:rPr>
  </w:style>
  <w:style w:type="character" w:customStyle="1" w:styleId="487">
    <w:name w:val="正文1 Char Char"/>
    <w:basedOn w:val="57"/>
    <w:link w:val="488"/>
    <w:qFormat/>
    <w:locked/>
    <w:uiPriority w:val="0"/>
    <w:rPr>
      <w:rFonts w:ascii="宋体" w:hAnsi="宋体" w:cs="宋体"/>
      <w:sz w:val="24"/>
      <w:szCs w:val="24"/>
    </w:rPr>
  </w:style>
  <w:style w:type="paragraph" w:customStyle="1" w:styleId="488">
    <w:name w:val="正文11"/>
    <w:basedOn w:val="1"/>
    <w:link w:val="487"/>
    <w:qFormat/>
    <w:uiPriority w:val="0"/>
    <w:pPr>
      <w:spacing w:line="480" w:lineRule="exact"/>
      <w:ind w:firstLine="200" w:firstLineChars="200"/>
    </w:pPr>
    <w:rPr>
      <w:rFonts w:ascii="宋体" w:hAnsi="宋体" w:cs="宋体" w:eastAsiaTheme="minorEastAsia"/>
      <w:sz w:val="24"/>
    </w:rPr>
  </w:style>
  <w:style w:type="character" w:customStyle="1" w:styleId="489">
    <w:name w:val="缩进 Char"/>
    <w:basedOn w:val="57"/>
    <w:link w:val="490"/>
    <w:uiPriority w:val="0"/>
    <w:rPr>
      <w:rFonts w:ascii="宋体" w:hAnsi="宋体" w:eastAsia="宋体" w:cs="宋体"/>
      <w:sz w:val="24"/>
      <w:szCs w:val="26"/>
    </w:rPr>
  </w:style>
  <w:style w:type="paragraph" w:customStyle="1" w:styleId="490">
    <w:name w:val="缩进"/>
    <w:basedOn w:val="1"/>
    <w:link w:val="489"/>
    <w:qFormat/>
    <w:uiPriority w:val="0"/>
    <w:pPr>
      <w:autoSpaceDE w:val="0"/>
      <w:autoSpaceDN w:val="0"/>
      <w:adjustRightInd w:val="0"/>
      <w:spacing w:line="400" w:lineRule="atLeast"/>
      <w:ind w:firstLine="200" w:firstLineChars="200"/>
      <w:textAlignment w:val="baseline"/>
    </w:pPr>
    <w:rPr>
      <w:rFonts w:ascii="宋体" w:hAnsi="宋体" w:cs="宋体"/>
      <w:sz w:val="24"/>
      <w:szCs w:val="26"/>
    </w:rPr>
  </w:style>
  <w:style w:type="character" w:customStyle="1" w:styleId="491">
    <w:name w:val="表后空格 Char"/>
    <w:basedOn w:val="266"/>
    <w:link w:val="492"/>
    <w:qFormat/>
    <w:uiPriority w:val="0"/>
    <w:rPr>
      <w:rFonts w:ascii="楷体_GB2312" w:hAnsi="楷体_GB2312" w:eastAsia="楷体_GB2312" w:cs="宋体"/>
      <w:kern w:val="2"/>
      <w:sz w:val="24"/>
      <w:szCs w:val="24"/>
    </w:rPr>
  </w:style>
  <w:style w:type="paragraph" w:customStyle="1" w:styleId="492">
    <w:name w:val="表后空格"/>
    <w:basedOn w:val="154"/>
    <w:link w:val="491"/>
    <w:uiPriority w:val="0"/>
    <w:pPr>
      <w:spacing w:line="240" w:lineRule="exact"/>
      <w:ind w:firstLine="480"/>
      <w:jc w:val="both"/>
    </w:pPr>
    <w:rPr>
      <w:rFonts w:ascii="楷体_GB2312" w:hAnsi="楷体_GB2312" w:eastAsia="楷体_GB2312"/>
    </w:rPr>
  </w:style>
  <w:style w:type="character" w:customStyle="1" w:styleId="493">
    <w:name w:val="报告书文本 字符"/>
    <w:link w:val="494"/>
    <w:qFormat/>
    <w:uiPriority w:val="0"/>
    <w:rPr>
      <w:rFonts w:ascii="Times New Roman" w:hAnsi="Times New Roman" w:eastAsia="宋体"/>
      <w:sz w:val="24"/>
      <w:szCs w:val="24"/>
    </w:rPr>
  </w:style>
  <w:style w:type="paragraph" w:customStyle="1" w:styleId="494">
    <w:name w:val="报告书文本"/>
    <w:basedOn w:val="1"/>
    <w:link w:val="493"/>
    <w:qFormat/>
    <w:uiPriority w:val="0"/>
    <w:pPr>
      <w:spacing w:line="460" w:lineRule="exact"/>
      <w:ind w:firstLine="200" w:firstLineChars="200"/>
    </w:pPr>
    <w:rPr>
      <w:rFonts w:cstheme="minorBidi"/>
      <w:sz w:val="24"/>
    </w:rPr>
  </w:style>
  <w:style w:type="character" w:customStyle="1" w:styleId="495">
    <w:name w:val="单晶硅项目正文 Char"/>
    <w:basedOn w:val="57"/>
    <w:link w:val="496"/>
    <w:uiPriority w:val="0"/>
    <w:rPr>
      <w:rFonts w:ascii="宋体" w:hAnsi="宋体" w:cs="宋体"/>
      <w:color w:val="000000"/>
      <w:sz w:val="24"/>
      <w:szCs w:val="24"/>
    </w:rPr>
  </w:style>
  <w:style w:type="paragraph" w:customStyle="1" w:styleId="496">
    <w:name w:val="单晶硅项目正文"/>
    <w:basedOn w:val="1"/>
    <w:link w:val="495"/>
    <w:qFormat/>
    <w:uiPriority w:val="0"/>
    <w:pPr>
      <w:spacing w:line="560" w:lineRule="exact"/>
      <w:ind w:firstLine="480" w:firstLineChars="200"/>
    </w:pPr>
    <w:rPr>
      <w:rFonts w:ascii="宋体" w:hAnsi="宋体" w:cs="宋体" w:eastAsiaTheme="minorEastAsia"/>
      <w:color w:val="000000"/>
      <w:sz w:val="24"/>
    </w:rPr>
  </w:style>
  <w:style w:type="character" w:customStyle="1" w:styleId="497">
    <w:name w:val="Char Char25"/>
    <w:basedOn w:val="57"/>
    <w:link w:val="498"/>
    <w:qFormat/>
    <w:uiPriority w:val="0"/>
    <w:rPr>
      <w:rFonts w:ascii="宋体" w:hAnsi="宋体" w:cs="宋体"/>
      <w:b/>
      <w:bCs/>
      <w:kern w:val="44"/>
      <w:sz w:val="44"/>
      <w:szCs w:val="44"/>
    </w:rPr>
  </w:style>
  <w:style w:type="paragraph" w:customStyle="1" w:styleId="498">
    <w:name w:val="Char Char25 Para"/>
    <w:basedOn w:val="1"/>
    <w:link w:val="497"/>
    <w:uiPriority w:val="0"/>
    <w:pPr>
      <w:widowControl/>
      <w:jc w:val="left"/>
    </w:pPr>
    <w:rPr>
      <w:rFonts w:ascii="宋体" w:hAnsi="宋体" w:cs="宋体" w:eastAsiaTheme="minorEastAsia"/>
      <w:b/>
      <w:bCs/>
      <w:kern w:val="44"/>
      <w:sz w:val="44"/>
      <w:szCs w:val="44"/>
    </w:rPr>
  </w:style>
  <w:style w:type="character" w:customStyle="1" w:styleId="499">
    <w:name w:val="5级正文 Char"/>
    <w:basedOn w:val="57"/>
    <w:link w:val="500"/>
    <w:qFormat/>
    <w:uiPriority w:val="0"/>
    <w:rPr>
      <w:rFonts w:ascii="宋体" w:hAnsi="宋体" w:eastAsia="宋体" w:cs="宋体"/>
      <w:b/>
      <w:sz w:val="24"/>
      <w:szCs w:val="24"/>
    </w:rPr>
  </w:style>
  <w:style w:type="paragraph" w:customStyle="1" w:styleId="500">
    <w:name w:val="5级正文"/>
    <w:basedOn w:val="1"/>
    <w:next w:val="490"/>
    <w:link w:val="499"/>
    <w:qFormat/>
    <w:uiPriority w:val="0"/>
    <w:pPr>
      <w:tabs>
        <w:tab w:val="left" w:pos="420"/>
        <w:tab w:val="left" w:pos="432"/>
      </w:tabs>
      <w:spacing w:line="360" w:lineRule="auto"/>
      <w:ind w:left="432" w:hanging="432"/>
      <w:outlineLvl w:val="4"/>
    </w:pPr>
    <w:rPr>
      <w:rFonts w:ascii="宋体" w:hAnsi="宋体" w:cs="宋体"/>
      <w:b/>
      <w:sz w:val="24"/>
    </w:rPr>
  </w:style>
  <w:style w:type="character" w:customStyle="1" w:styleId="501">
    <w:name w:val="无间隔 Char Char"/>
    <w:basedOn w:val="57"/>
    <w:link w:val="502"/>
    <w:uiPriority w:val="0"/>
    <w:rPr>
      <w:rFonts w:ascii="宋体" w:hAnsi="宋体" w:eastAsia="Times New Roman" w:cs="宋体"/>
      <w:sz w:val="22"/>
      <w:szCs w:val="26"/>
    </w:rPr>
  </w:style>
  <w:style w:type="paragraph" w:customStyle="1" w:styleId="502">
    <w:name w:val="无间隔1"/>
    <w:link w:val="501"/>
    <w:qFormat/>
    <w:uiPriority w:val="0"/>
    <w:rPr>
      <w:rFonts w:ascii="宋体" w:hAnsi="宋体" w:eastAsia="Times New Roman" w:cs="宋体"/>
      <w:kern w:val="2"/>
      <w:sz w:val="22"/>
      <w:szCs w:val="26"/>
      <w:lang w:val="en-US" w:eastAsia="zh-CN" w:bidi="ar-SA"/>
    </w:rPr>
  </w:style>
  <w:style w:type="character" w:customStyle="1" w:styleId="503">
    <w:name w:val="样式 标题 2 Char"/>
    <w:basedOn w:val="57"/>
    <w:link w:val="504"/>
    <w:qFormat/>
    <w:uiPriority w:val="0"/>
    <w:rPr>
      <w:rFonts w:ascii="黑体" w:hAnsi="黑体" w:eastAsia="黑体" w:cs="宋体"/>
      <w:color w:val="000000"/>
      <w:sz w:val="28"/>
      <w:szCs w:val="32"/>
    </w:rPr>
  </w:style>
  <w:style w:type="paragraph" w:customStyle="1" w:styleId="504">
    <w:name w:val="样式 标题 2"/>
    <w:basedOn w:val="4"/>
    <w:link w:val="503"/>
    <w:uiPriority w:val="0"/>
    <w:pPr>
      <w:spacing w:after="0" w:line="360" w:lineRule="auto"/>
    </w:pPr>
    <w:rPr>
      <w:rFonts w:ascii="黑体" w:hAnsi="黑体" w:cs="宋体"/>
      <w:b w:val="0"/>
      <w:bCs w:val="0"/>
      <w:color w:val="000000"/>
    </w:rPr>
  </w:style>
  <w:style w:type="character" w:customStyle="1" w:styleId="505">
    <w:name w:val="样式 标题 3 + 宋体 Char Char Char"/>
    <w:basedOn w:val="57"/>
    <w:link w:val="506"/>
    <w:qFormat/>
    <w:uiPriority w:val="0"/>
    <w:rPr>
      <w:rFonts w:ascii="宋体" w:hAnsi="宋体" w:cs="宋体"/>
      <w:b/>
      <w:bCs/>
      <w:sz w:val="32"/>
      <w:szCs w:val="32"/>
    </w:rPr>
  </w:style>
  <w:style w:type="paragraph" w:customStyle="1" w:styleId="506">
    <w:name w:val="样式 标题 3 + 宋体 Char Char"/>
    <w:basedOn w:val="5"/>
    <w:link w:val="505"/>
    <w:qFormat/>
    <w:uiPriority w:val="0"/>
    <w:pPr>
      <w:spacing w:before="200" w:line="420" w:lineRule="auto"/>
      <w:ind w:left="720" w:hanging="720"/>
    </w:pPr>
    <w:rPr>
      <w:rFonts w:ascii="宋体" w:hAnsi="宋体" w:cs="宋体" w:eastAsiaTheme="minorEastAsia"/>
      <w:b w:val="0"/>
      <w:bCs/>
      <w:spacing w:val="0"/>
      <w:sz w:val="32"/>
      <w:szCs w:val="32"/>
    </w:rPr>
  </w:style>
  <w:style w:type="character" w:customStyle="1" w:styleId="507">
    <w:name w:val="表格后缀 Char"/>
    <w:basedOn w:val="266"/>
    <w:link w:val="508"/>
    <w:uiPriority w:val="0"/>
    <w:rPr>
      <w:rFonts w:ascii="楷体_GB2312" w:hAnsi="楷体_GB2312" w:eastAsia="楷体_GB2312" w:cs="宋体"/>
      <w:kern w:val="2"/>
      <w:sz w:val="24"/>
      <w:szCs w:val="24"/>
    </w:rPr>
  </w:style>
  <w:style w:type="paragraph" w:customStyle="1" w:styleId="508">
    <w:name w:val="表格后缀"/>
    <w:basedOn w:val="154"/>
    <w:link w:val="507"/>
    <w:qFormat/>
    <w:uiPriority w:val="0"/>
    <w:pPr>
      <w:spacing w:line="240" w:lineRule="exact"/>
      <w:ind w:firstLine="480"/>
    </w:pPr>
    <w:rPr>
      <w:rFonts w:ascii="楷体_GB2312" w:hAnsi="楷体_GB2312" w:eastAsia="楷体_GB2312"/>
    </w:rPr>
  </w:style>
  <w:style w:type="character" w:customStyle="1" w:styleId="509">
    <w:name w:val="表头应急预案 Char"/>
    <w:basedOn w:val="57"/>
    <w:link w:val="510"/>
    <w:qFormat/>
    <w:uiPriority w:val="0"/>
    <w:rPr>
      <w:rFonts w:ascii="宋体" w:hAnsi="宋体" w:eastAsia="宋体" w:cs="宋体"/>
      <w:b/>
      <w:color w:val="000000"/>
      <w:sz w:val="24"/>
      <w:szCs w:val="24"/>
    </w:rPr>
  </w:style>
  <w:style w:type="paragraph" w:customStyle="1" w:styleId="510">
    <w:name w:val="表头应急预案"/>
    <w:basedOn w:val="1"/>
    <w:link w:val="509"/>
    <w:uiPriority w:val="0"/>
    <w:pPr>
      <w:snapToGrid w:val="0"/>
      <w:spacing w:line="500" w:lineRule="exact"/>
      <w:contextualSpacing/>
      <w:jc w:val="center"/>
    </w:pPr>
    <w:rPr>
      <w:rFonts w:ascii="宋体" w:hAnsi="宋体" w:cs="宋体"/>
      <w:b/>
      <w:color w:val="000000"/>
      <w:sz w:val="24"/>
    </w:rPr>
  </w:style>
  <w:style w:type="character" w:customStyle="1" w:styleId="511">
    <w:name w:val="文本框小四 Char Char"/>
    <w:basedOn w:val="57"/>
    <w:link w:val="512"/>
    <w:qFormat/>
    <w:uiPriority w:val="0"/>
    <w:rPr>
      <w:rFonts w:ascii="宋体" w:hAnsi="宋体" w:eastAsia="仿宋_GB2312" w:cs="宋体"/>
      <w:sz w:val="24"/>
      <w:szCs w:val="24"/>
    </w:rPr>
  </w:style>
  <w:style w:type="paragraph" w:customStyle="1" w:styleId="512">
    <w:name w:val="文本框小四"/>
    <w:basedOn w:val="1"/>
    <w:link w:val="511"/>
    <w:qFormat/>
    <w:uiPriority w:val="0"/>
    <w:pPr>
      <w:spacing w:line="360" w:lineRule="auto"/>
      <w:jc w:val="center"/>
    </w:pPr>
    <w:rPr>
      <w:rFonts w:ascii="宋体" w:hAnsi="宋体" w:eastAsia="仿宋_GB2312" w:cs="宋体"/>
      <w:sz w:val="24"/>
    </w:rPr>
  </w:style>
  <w:style w:type="character" w:customStyle="1" w:styleId="513">
    <w:name w:val="样式1 Char"/>
    <w:basedOn w:val="57"/>
    <w:link w:val="514"/>
    <w:uiPriority w:val="0"/>
    <w:rPr>
      <w:rFonts w:ascii="仿宋_GB2312" w:hAnsi="宋体" w:eastAsia="仿宋_GB2312" w:cs="宋体"/>
      <w:sz w:val="28"/>
      <w:szCs w:val="24"/>
    </w:rPr>
  </w:style>
  <w:style w:type="paragraph" w:customStyle="1" w:styleId="514">
    <w:name w:val="样式1"/>
    <w:basedOn w:val="1"/>
    <w:link w:val="513"/>
    <w:qFormat/>
    <w:uiPriority w:val="0"/>
    <w:pPr>
      <w:spacing w:line="500" w:lineRule="exact"/>
    </w:pPr>
    <w:rPr>
      <w:rFonts w:ascii="仿宋_GB2312" w:hAnsi="宋体" w:eastAsia="仿宋_GB2312" w:cs="宋体"/>
      <w:sz w:val="28"/>
    </w:rPr>
  </w:style>
  <w:style w:type="character" w:customStyle="1" w:styleId="515">
    <w:name w:val="称呼 字符"/>
    <w:basedOn w:val="57"/>
    <w:link w:val="18"/>
    <w:qFormat/>
    <w:uiPriority w:val="0"/>
    <w:rPr>
      <w:rFonts w:ascii="宋体" w:hAnsi="宋体" w:cs="宋体"/>
      <w:szCs w:val="24"/>
    </w:rPr>
  </w:style>
  <w:style w:type="character" w:customStyle="1" w:styleId="516">
    <w:name w:val="文字 Char"/>
    <w:basedOn w:val="57"/>
    <w:link w:val="517"/>
    <w:qFormat/>
    <w:uiPriority w:val="0"/>
    <w:rPr>
      <w:rFonts w:ascii="宋体" w:hAnsi="宋体" w:cs="宋体"/>
      <w:sz w:val="24"/>
      <w:szCs w:val="24"/>
    </w:rPr>
  </w:style>
  <w:style w:type="paragraph" w:customStyle="1" w:styleId="517">
    <w:name w:val="文字"/>
    <w:basedOn w:val="1"/>
    <w:link w:val="516"/>
    <w:qFormat/>
    <w:uiPriority w:val="0"/>
    <w:pPr>
      <w:widowControl/>
      <w:spacing w:afterLines="50" w:line="360" w:lineRule="auto"/>
      <w:ind w:firstLine="420"/>
    </w:pPr>
    <w:rPr>
      <w:rFonts w:ascii="宋体" w:hAnsi="宋体" w:cs="宋体" w:eastAsiaTheme="minorEastAsia"/>
      <w:sz w:val="24"/>
    </w:rPr>
  </w:style>
  <w:style w:type="character" w:customStyle="1" w:styleId="518">
    <w:name w:val="样式8 Char Char"/>
    <w:basedOn w:val="57"/>
    <w:link w:val="519"/>
    <w:uiPriority w:val="0"/>
    <w:rPr>
      <w:rFonts w:ascii="宋体" w:hAnsi="宋体" w:cs="宋体"/>
      <w:sz w:val="24"/>
      <w:szCs w:val="26"/>
    </w:rPr>
  </w:style>
  <w:style w:type="paragraph" w:customStyle="1" w:styleId="519">
    <w:name w:val="样式8"/>
    <w:basedOn w:val="1"/>
    <w:link w:val="518"/>
    <w:qFormat/>
    <w:uiPriority w:val="0"/>
    <w:pPr>
      <w:ind w:firstLine="499"/>
    </w:pPr>
    <w:rPr>
      <w:rFonts w:ascii="宋体" w:hAnsi="宋体" w:cs="宋体" w:eastAsiaTheme="minorEastAsia"/>
      <w:sz w:val="24"/>
      <w:szCs w:val="26"/>
    </w:rPr>
  </w:style>
  <w:style w:type="character" w:customStyle="1" w:styleId="520">
    <w:name w:val="批注框文本 字符"/>
    <w:link w:val="33"/>
    <w:qFormat/>
    <w:uiPriority w:val="0"/>
    <w:rPr>
      <w:sz w:val="18"/>
      <w:szCs w:val="18"/>
    </w:rPr>
  </w:style>
  <w:style w:type="character" w:customStyle="1" w:styleId="521">
    <w:name w:val="样式 标题 2_Heading 2HEAD_2HEAD_21HEAD_22HEAD_211HEAD_23HEAD_... Char"/>
    <w:link w:val="522"/>
    <w:qFormat/>
    <w:uiPriority w:val="0"/>
    <w:rPr>
      <w:rFonts w:hAnsi="宋体"/>
      <w:b/>
      <w:snapToGrid w:val="0"/>
      <w:color w:val="000000"/>
      <w:sz w:val="24"/>
      <w:szCs w:val="24"/>
    </w:rPr>
  </w:style>
  <w:style w:type="paragraph" w:customStyle="1" w:styleId="522">
    <w:name w:val="样式 标题 2_Heading 2HEAD_2HEAD_21HEAD_22HEAD_211HEAD_23HEAD_..."/>
    <w:basedOn w:val="4"/>
    <w:link w:val="521"/>
    <w:qFormat/>
    <w:uiPriority w:val="0"/>
    <w:pPr>
      <w:keepNext w:val="0"/>
      <w:keepLines w:val="0"/>
      <w:widowControl/>
      <w:adjustRightInd w:val="0"/>
      <w:snapToGrid w:val="0"/>
      <w:spacing w:before="0" w:after="0" w:line="460" w:lineRule="exact"/>
      <w:ind w:firstLine="445" w:firstLineChars="196"/>
      <w:jc w:val="left"/>
    </w:pPr>
    <w:rPr>
      <w:rFonts w:hAnsi="宋体" w:asciiTheme="minorHAnsi" w:eastAsiaTheme="minorEastAsia" w:cstheme="minorBidi"/>
      <w:bCs w:val="0"/>
      <w:snapToGrid w:val="0"/>
      <w:color w:val="000000"/>
      <w:sz w:val="24"/>
      <w:szCs w:val="24"/>
    </w:rPr>
  </w:style>
  <w:style w:type="character" w:customStyle="1" w:styleId="523">
    <w:name w:val="样式 标题 2标题 2 Char Char节标题标题 2 Char1节1标题 2 Char标题 2 Char Ch... Char"/>
    <w:link w:val="524"/>
    <w:uiPriority w:val="0"/>
    <w:rPr>
      <w:rFonts w:ascii="宋体" w:hAnsi="宋体"/>
      <w:bCs/>
      <w:color w:val="FF0000"/>
      <w:sz w:val="24"/>
      <w:szCs w:val="24"/>
    </w:rPr>
  </w:style>
  <w:style w:type="paragraph" w:customStyle="1" w:styleId="524">
    <w:name w:val="样式 标题 2标题 2 Char Char节标题标题 2 Char1节1标题 2 Char标题 2 Char Ch..."/>
    <w:basedOn w:val="4"/>
    <w:link w:val="523"/>
    <w:qFormat/>
    <w:uiPriority w:val="0"/>
    <w:pPr>
      <w:spacing w:before="100" w:beforeAutospacing="1" w:after="100" w:afterAutospacing="1" w:line="360" w:lineRule="auto"/>
      <w:ind w:firstLine="240"/>
      <w:jc w:val="left"/>
    </w:pPr>
    <w:rPr>
      <w:rFonts w:ascii="宋体" w:hAnsi="宋体" w:eastAsiaTheme="minorEastAsia" w:cstheme="minorBidi"/>
      <w:b w:val="0"/>
      <w:color w:val="FF0000"/>
      <w:sz w:val="24"/>
      <w:szCs w:val="24"/>
    </w:rPr>
  </w:style>
  <w:style w:type="character" w:customStyle="1" w:styleId="525">
    <w:name w:val="样式 样式1 + Char"/>
    <w:link w:val="526"/>
    <w:qFormat/>
    <w:uiPriority w:val="0"/>
    <w:rPr>
      <w:sz w:val="24"/>
      <w:szCs w:val="24"/>
    </w:rPr>
  </w:style>
  <w:style w:type="paragraph" w:customStyle="1" w:styleId="526">
    <w:name w:val="样式 样式1 +"/>
    <w:basedOn w:val="514"/>
    <w:link w:val="525"/>
    <w:uiPriority w:val="0"/>
    <w:pPr>
      <w:spacing w:line="480" w:lineRule="exact"/>
      <w:ind w:firstLine="200" w:firstLineChars="200"/>
    </w:pPr>
    <w:rPr>
      <w:rFonts w:asciiTheme="minorHAnsi" w:hAnsiTheme="minorHAnsi" w:eastAsiaTheme="minorEastAsia" w:cstheme="minorBidi"/>
      <w:sz w:val="24"/>
    </w:rPr>
  </w:style>
  <w:style w:type="character" w:customStyle="1" w:styleId="527">
    <w:name w:val="1) Char"/>
    <w:basedOn w:val="275"/>
    <w:link w:val="528"/>
    <w:qFormat/>
    <w:uiPriority w:val="0"/>
    <w:rPr>
      <w:rFonts w:ascii="宋体" w:hAnsi="宋体" w:cs="宋体"/>
      <w:sz w:val="28"/>
      <w:szCs w:val="26"/>
    </w:rPr>
  </w:style>
  <w:style w:type="paragraph" w:customStyle="1" w:styleId="528">
    <w:name w:val="1)"/>
    <w:basedOn w:val="276"/>
    <w:link w:val="527"/>
    <w:qFormat/>
    <w:uiPriority w:val="0"/>
    <w:pPr>
      <w:ind w:firstLine="845"/>
    </w:pPr>
  </w:style>
  <w:style w:type="character" w:customStyle="1" w:styleId="529">
    <w:name w:val="设计四号 Char"/>
    <w:basedOn w:val="57"/>
    <w:link w:val="530"/>
    <w:uiPriority w:val="0"/>
    <w:rPr>
      <w:rFonts w:ascii="仿宋_GB2312" w:hAnsi="仿宋_GB2312" w:eastAsia="仿宋_GB2312" w:cs="宋体"/>
      <w:bCs/>
      <w:sz w:val="28"/>
      <w:szCs w:val="26"/>
    </w:rPr>
  </w:style>
  <w:style w:type="paragraph" w:customStyle="1" w:styleId="530">
    <w:name w:val="设计四号"/>
    <w:basedOn w:val="1"/>
    <w:link w:val="529"/>
    <w:qFormat/>
    <w:uiPriority w:val="0"/>
    <w:pPr>
      <w:adjustRightInd w:val="0"/>
      <w:snapToGrid w:val="0"/>
      <w:spacing w:before="120" w:line="500" w:lineRule="atLeast"/>
      <w:ind w:firstLine="624"/>
      <w:jc w:val="left"/>
      <w:textAlignment w:val="baseline"/>
    </w:pPr>
    <w:rPr>
      <w:rFonts w:ascii="仿宋_GB2312" w:hAnsi="仿宋_GB2312" w:eastAsia="仿宋_GB2312" w:cs="宋体"/>
      <w:bCs/>
      <w:sz w:val="28"/>
      <w:szCs w:val="26"/>
    </w:rPr>
  </w:style>
  <w:style w:type="character" w:customStyle="1" w:styleId="531">
    <w:name w:val="分目录2 Char"/>
    <w:basedOn w:val="465"/>
    <w:link w:val="532"/>
    <w:qFormat/>
    <w:uiPriority w:val="0"/>
    <w:rPr>
      <w:rFonts w:ascii="宋体" w:hAnsi="宋体" w:cs="宋体"/>
      <w:snapToGrid w:val="0"/>
      <w:sz w:val="24"/>
      <w:szCs w:val="26"/>
    </w:rPr>
  </w:style>
  <w:style w:type="paragraph" w:customStyle="1" w:styleId="532">
    <w:name w:val="分目录2"/>
    <w:basedOn w:val="466"/>
    <w:link w:val="531"/>
    <w:uiPriority w:val="0"/>
    <w:pPr>
      <w:ind w:firstLine="480" w:firstLineChars="200"/>
    </w:pPr>
    <w:rPr>
      <w:sz w:val="24"/>
    </w:rPr>
  </w:style>
  <w:style w:type="character" w:customStyle="1" w:styleId="533">
    <w:name w:val="4号宋体左齐行距1.5倍 Char"/>
    <w:basedOn w:val="57"/>
    <w:qFormat/>
    <w:uiPriority w:val="0"/>
    <w:rPr>
      <w:rFonts w:ascii="黑体" w:hAnsi="宋体" w:eastAsia="黑体" w:cs="宋体"/>
      <w:spacing w:val="6"/>
      <w:kern w:val="2"/>
      <w:sz w:val="30"/>
      <w:szCs w:val="30"/>
      <w:lang w:val="en-US" w:eastAsia="zh-CN" w:bidi="ar-SA"/>
    </w:rPr>
  </w:style>
  <w:style w:type="character" w:customStyle="1" w:styleId="534">
    <w:name w:val="普通文字 Char Char Char1"/>
    <w:basedOn w:val="57"/>
    <w:qFormat/>
    <w:uiPriority w:val="0"/>
    <w:rPr>
      <w:rFonts w:ascii="宋体" w:hAnsi="Courier New" w:eastAsia="宋体" w:cs="Courier New"/>
      <w:kern w:val="2"/>
      <w:sz w:val="21"/>
      <w:szCs w:val="21"/>
      <w:lang w:val="en-US" w:eastAsia="zh-CN" w:bidi="ar-SA"/>
    </w:rPr>
  </w:style>
  <w:style w:type="character" w:customStyle="1" w:styleId="535">
    <w:name w:val="正文！！！！！ Char"/>
    <w:basedOn w:val="57"/>
    <w:link w:val="536"/>
    <w:uiPriority w:val="0"/>
    <w:rPr>
      <w:rFonts w:ascii="宋体" w:hAnsi="宋体" w:cs="宋体"/>
      <w:snapToGrid w:val="0"/>
      <w:sz w:val="24"/>
      <w:szCs w:val="24"/>
    </w:rPr>
  </w:style>
  <w:style w:type="paragraph" w:customStyle="1" w:styleId="536">
    <w:name w:val="正文！！！！！"/>
    <w:basedOn w:val="154"/>
    <w:link w:val="535"/>
    <w:qFormat/>
    <w:uiPriority w:val="0"/>
    <w:pPr>
      <w:adjustRightInd w:val="0"/>
      <w:snapToGrid w:val="0"/>
      <w:spacing w:line="360" w:lineRule="auto"/>
    </w:pPr>
    <w:rPr>
      <w:rFonts w:ascii="宋体" w:hAnsi="宋体" w:eastAsiaTheme="minorEastAsia"/>
      <w:snapToGrid w:val="0"/>
    </w:rPr>
  </w:style>
  <w:style w:type="character" w:customStyle="1" w:styleId="537">
    <w:name w:val="样式 首行缩进:  0.85 厘米 Char1"/>
    <w:basedOn w:val="57"/>
    <w:link w:val="538"/>
    <w:qFormat/>
    <w:uiPriority w:val="0"/>
    <w:rPr>
      <w:rFonts w:ascii="楷体_GB2312" w:hAnsi="楷体_GB2312" w:eastAsia="楷体_GB2312" w:cs="宋体"/>
      <w:sz w:val="24"/>
      <w:szCs w:val="24"/>
    </w:rPr>
  </w:style>
  <w:style w:type="paragraph" w:customStyle="1" w:styleId="538">
    <w:name w:val="样式 首行缩进:  0.85 厘米"/>
    <w:basedOn w:val="1"/>
    <w:link w:val="537"/>
    <w:uiPriority w:val="0"/>
    <w:pPr>
      <w:spacing w:line="500" w:lineRule="exact"/>
      <w:ind w:firstLine="200" w:firstLineChars="200"/>
    </w:pPr>
    <w:rPr>
      <w:rFonts w:ascii="楷体_GB2312" w:hAnsi="楷体_GB2312" w:eastAsia="楷体_GB2312" w:cs="宋体"/>
      <w:sz w:val="24"/>
    </w:rPr>
  </w:style>
  <w:style w:type="character" w:customStyle="1" w:styleId="539">
    <w:name w:val="hb4 Char"/>
    <w:basedOn w:val="57"/>
    <w:link w:val="540"/>
    <w:qFormat/>
    <w:uiPriority w:val="0"/>
    <w:rPr>
      <w:rFonts w:ascii="宋体" w:hAnsi="宋体" w:eastAsia="宋体" w:cs="宋体"/>
      <w:b/>
      <w:sz w:val="24"/>
      <w:szCs w:val="24"/>
    </w:rPr>
  </w:style>
  <w:style w:type="paragraph" w:customStyle="1" w:styleId="540">
    <w:name w:val="hb4"/>
    <w:basedOn w:val="2"/>
    <w:link w:val="539"/>
    <w:qFormat/>
    <w:uiPriority w:val="0"/>
    <w:pPr>
      <w:keepNext/>
      <w:keepLines/>
      <w:wordWrap/>
      <w:autoSpaceDN/>
      <w:spacing w:before="360" w:after="360" w:line="240" w:lineRule="auto"/>
      <w:ind w:firstLine="0" w:firstLineChars="0"/>
    </w:pPr>
    <w:rPr>
      <w:rFonts w:ascii="宋体" w:hAnsi="宋体" w:eastAsia="宋体" w:cs="宋体"/>
      <w:b/>
      <w:bCs w:val="0"/>
      <w:color w:val="auto"/>
      <w:sz w:val="24"/>
      <w:szCs w:val="24"/>
    </w:rPr>
  </w:style>
  <w:style w:type="paragraph" w:customStyle="1" w:styleId="541">
    <w:name w:val="Defaul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542">
    <w:name w:val="称呼 Char1"/>
    <w:basedOn w:val="57"/>
    <w:semiHidden/>
    <w:qFormat/>
    <w:uiPriority w:val="99"/>
    <w:rPr>
      <w:rFonts w:ascii="Times New Roman" w:hAnsi="Times New Roman" w:eastAsia="宋体" w:cs="Times New Roman"/>
      <w:szCs w:val="24"/>
    </w:rPr>
  </w:style>
  <w:style w:type="character" w:customStyle="1" w:styleId="543">
    <w:name w:val="文档结构图 Char2"/>
    <w:basedOn w:val="57"/>
    <w:semiHidden/>
    <w:uiPriority w:val="99"/>
    <w:rPr>
      <w:rFonts w:ascii="宋体" w:hAnsi="Times New Roman" w:eastAsia="宋体" w:cs="Times New Roman"/>
      <w:sz w:val="18"/>
      <w:szCs w:val="18"/>
    </w:rPr>
  </w:style>
  <w:style w:type="character" w:customStyle="1" w:styleId="544">
    <w:name w:val="注释标题 Char1"/>
    <w:basedOn w:val="57"/>
    <w:semiHidden/>
    <w:qFormat/>
    <w:uiPriority w:val="99"/>
    <w:rPr>
      <w:rFonts w:ascii="Times New Roman" w:hAnsi="Times New Roman" w:eastAsia="宋体" w:cs="Times New Roman"/>
      <w:szCs w:val="24"/>
    </w:rPr>
  </w:style>
  <w:style w:type="character" w:customStyle="1" w:styleId="545">
    <w:name w:val="正文首行缩进 Char1"/>
    <w:basedOn w:val="80"/>
    <w:semiHidden/>
    <w:qFormat/>
    <w:uiPriority w:val="99"/>
    <w:rPr>
      <w:rFonts w:ascii="Times New Roman" w:hAnsi="Times New Roman" w:eastAsia="宋体" w:cs="Times New Roman"/>
      <w:szCs w:val="24"/>
    </w:rPr>
  </w:style>
  <w:style w:type="character" w:customStyle="1" w:styleId="546">
    <w:name w:val="正文文本缩进 Char1"/>
    <w:basedOn w:val="57"/>
    <w:semiHidden/>
    <w:qFormat/>
    <w:uiPriority w:val="99"/>
    <w:rPr>
      <w:rFonts w:ascii="Times New Roman" w:hAnsi="Times New Roman" w:eastAsia="宋体" w:cs="Times New Roman"/>
      <w:szCs w:val="24"/>
    </w:rPr>
  </w:style>
  <w:style w:type="character" w:customStyle="1" w:styleId="547">
    <w:name w:val="结束语 Char1"/>
    <w:basedOn w:val="57"/>
    <w:semiHidden/>
    <w:qFormat/>
    <w:uiPriority w:val="99"/>
    <w:rPr>
      <w:rFonts w:ascii="Times New Roman" w:hAnsi="Times New Roman" w:eastAsia="宋体" w:cs="Times New Roman"/>
      <w:szCs w:val="24"/>
    </w:rPr>
  </w:style>
  <w:style w:type="character" w:customStyle="1" w:styleId="548">
    <w:name w:val="批注文字 Char1"/>
    <w:basedOn w:val="57"/>
    <w:semiHidden/>
    <w:uiPriority w:val="99"/>
    <w:rPr>
      <w:rFonts w:ascii="Times New Roman" w:hAnsi="Times New Roman" w:eastAsia="宋体" w:cs="Times New Roman"/>
      <w:szCs w:val="24"/>
    </w:rPr>
  </w:style>
  <w:style w:type="character" w:customStyle="1" w:styleId="549">
    <w:name w:val="批注主题 字符"/>
    <w:basedOn w:val="548"/>
    <w:link w:val="52"/>
    <w:qFormat/>
    <w:uiPriority w:val="0"/>
    <w:rPr>
      <w:rFonts w:ascii="宋体" w:hAnsi="宋体" w:eastAsia="宋体" w:cs="宋体"/>
      <w:b/>
      <w:bCs/>
      <w:szCs w:val="24"/>
    </w:rPr>
  </w:style>
  <w:style w:type="character" w:customStyle="1" w:styleId="550">
    <w:name w:val="HTML 地址 Char1"/>
    <w:basedOn w:val="57"/>
    <w:semiHidden/>
    <w:qFormat/>
    <w:uiPriority w:val="99"/>
    <w:rPr>
      <w:rFonts w:ascii="Times New Roman" w:hAnsi="Times New Roman" w:eastAsia="宋体" w:cs="Times New Roman"/>
      <w:i/>
      <w:iCs/>
      <w:szCs w:val="24"/>
    </w:rPr>
  </w:style>
  <w:style w:type="paragraph" w:customStyle="1" w:styleId="551">
    <w:name w:val="Char Char Char Char Char2 Char Char Char Char"/>
    <w:basedOn w:val="1"/>
    <w:semiHidden/>
    <w:qFormat/>
    <w:uiPriority w:val="0"/>
    <w:pPr>
      <w:adjustRightInd w:val="0"/>
      <w:snapToGrid w:val="0"/>
      <w:spacing w:line="360" w:lineRule="auto"/>
      <w:ind w:firstLine="200" w:firstLineChars="200"/>
    </w:pPr>
    <w:rPr>
      <w:rFonts w:ascii="宋体" w:hAnsi="宋体" w:cs="宋体"/>
      <w:sz w:val="24"/>
      <w:szCs w:val="26"/>
    </w:rPr>
  </w:style>
  <w:style w:type="character" w:customStyle="1" w:styleId="552">
    <w:name w:val="正文文本 3 Char1"/>
    <w:basedOn w:val="57"/>
    <w:semiHidden/>
    <w:uiPriority w:val="99"/>
    <w:rPr>
      <w:rFonts w:ascii="Times New Roman" w:hAnsi="Times New Roman" w:eastAsia="宋体" w:cs="Times New Roman"/>
      <w:sz w:val="16"/>
      <w:szCs w:val="16"/>
    </w:rPr>
  </w:style>
  <w:style w:type="character" w:customStyle="1" w:styleId="553">
    <w:name w:val="电子邮件签名 Char1"/>
    <w:basedOn w:val="57"/>
    <w:semiHidden/>
    <w:qFormat/>
    <w:uiPriority w:val="99"/>
    <w:rPr>
      <w:rFonts w:ascii="Times New Roman" w:hAnsi="Times New Roman" w:eastAsia="宋体" w:cs="Times New Roman"/>
      <w:szCs w:val="24"/>
    </w:rPr>
  </w:style>
  <w:style w:type="character" w:customStyle="1" w:styleId="554">
    <w:name w:val="日期 Char1"/>
    <w:basedOn w:val="57"/>
    <w:semiHidden/>
    <w:uiPriority w:val="99"/>
    <w:rPr>
      <w:rFonts w:ascii="Times New Roman" w:hAnsi="Times New Roman" w:eastAsia="宋体" w:cs="Times New Roman"/>
      <w:szCs w:val="24"/>
    </w:rPr>
  </w:style>
  <w:style w:type="character" w:customStyle="1" w:styleId="555">
    <w:name w:val="副标题 Char1"/>
    <w:basedOn w:val="57"/>
    <w:qFormat/>
    <w:uiPriority w:val="11"/>
    <w:rPr>
      <w:rFonts w:eastAsia="宋体" w:asciiTheme="majorHAnsi" w:hAnsiTheme="majorHAnsi" w:cstheme="majorBidi"/>
      <w:b/>
      <w:bCs/>
      <w:kern w:val="28"/>
      <w:sz w:val="32"/>
      <w:szCs w:val="32"/>
    </w:rPr>
  </w:style>
  <w:style w:type="character" w:customStyle="1" w:styleId="556">
    <w:name w:val="正文文本缩进 2 字符"/>
    <w:basedOn w:val="57"/>
    <w:link w:val="31"/>
    <w:qFormat/>
    <w:uiPriority w:val="0"/>
    <w:rPr>
      <w:rFonts w:ascii="宋体" w:hAnsi="宋体" w:eastAsia="宋体" w:cs="Times New Roman"/>
      <w:sz w:val="24"/>
      <w:szCs w:val="24"/>
    </w:rPr>
  </w:style>
  <w:style w:type="character" w:customStyle="1" w:styleId="557">
    <w:name w:val="HTML 预设格式 Char1"/>
    <w:basedOn w:val="57"/>
    <w:semiHidden/>
    <w:qFormat/>
    <w:uiPriority w:val="99"/>
    <w:rPr>
      <w:rFonts w:ascii="Courier New" w:hAnsi="Courier New" w:eastAsia="宋体" w:cs="Courier New"/>
      <w:sz w:val="20"/>
      <w:szCs w:val="20"/>
    </w:rPr>
  </w:style>
  <w:style w:type="character" w:customStyle="1" w:styleId="558">
    <w:name w:val="正文文本 2 Char1"/>
    <w:basedOn w:val="57"/>
    <w:semiHidden/>
    <w:uiPriority w:val="99"/>
    <w:rPr>
      <w:rFonts w:ascii="Times New Roman" w:hAnsi="Times New Roman" w:eastAsia="宋体" w:cs="Times New Roman"/>
      <w:szCs w:val="24"/>
    </w:rPr>
  </w:style>
  <w:style w:type="character" w:customStyle="1" w:styleId="559">
    <w:name w:val="脚注文本 Char1"/>
    <w:basedOn w:val="57"/>
    <w:semiHidden/>
    <w:qFormat/>
    <w:uiPriority w:val="99"/>
    <w:rPr>
      <w:rFonts w:ascii="Times New Roman" w:hAnsi="Times New Roman" w:eastAsia="宋体" w:cs="Times New Roman"/>
      <w:sz w:val="18"/>
      <w:szCs w:val="18"/>
    </w:rPr>
  </w:style>
  <w:style w:type="character" w:customStyle="1" w:styleId="560">
    <w:name w:val="批注框文本 Char1"/>
    <w:basedOn w:val="57"/>
    <w:semiHidden/>
    <w:qFormat/>
    <w:uiPriority w:val="99"/>
    <w:rPr>
      <w:rFonts w:ascii="Times New Roman" w:hAnsi="Times New Roman" w:eastAsia="宋体" w:cs="Times New Roman"/>
      <w:sz w:val="18"/>
      <w:szCs w:val="18"/>
    </w:rPr>
  </w:style>
  <w:style w:type="character" w:customStyle="1" w:styleId="561">
    <w:name w:val="签名 Char1"/>
    <w:basedOn w:val="57"/>
    <w:semiHidden/>
    <w:uiPriority w:val="99"/>
    <w:rPr>
      <w:rFonts w:ascii="Times New Roman" w:hAnsi="Times New Roman" w:eastAsia="宋体" w:cs="Times New Roman"/>
      <w:szCs w:val="24"/>
    </w:rPr>
  </w:style>
  <w:style w:type="character" w:customStyle="1" w:styleId="562">
    <w:name w:val="信息标题 Char1"/>
    <w:basedOn w:val="57"/>
    <w:semiHidden/>
    <w:qFormat/>
    <w:uiPriority w:val="99"/>
    <w:rPr>
      <w:rFonts w:asciiTheme="majorHAnsi" w:hAnsiTheme="majorHAnsi" w:eastAsiaTheme="majorEastAsia" w:cstheme="majorBidi"/>
      <w:sz w:val="24"/>
      <w:szCs w:val="24"/>
      <w:shd w:val="pct20" w:color="auto" w:fill="auto"/>
    </w:rPr>
  </w:style>
  <w:style w:type="character" w:customStyle="1" w:styleId="563">
    <w:name w:val="正文文本缩进 3 Char1"/>
    <w:basedOn w:val="57"/>
    <w:semiHidden/>
    <w:qFormat/>
    <w:uiPriority w:val="99"/>
    <w:rPr>
      <w:rFonts w:ascii="Times New Roman" w:hAnsi="Times New Roman" w:eastAsia="宋体" w:cs="Times New Roman"/>
      <w:sz w:val="16"/>
      <w:szCs w:val="16"/>
    </w:rPr>
  </w:style>
  <w:style w:type="character" w:customStyle="1" w:styleId="564">
    <w:name w:val="正文首行缩进 2 Char1"/>
    <w:basedOn w:val="546"/>
    <w:semiHidden/>
    <w:qFormat/>
    <w:uiPriority w:val="99"/>
    <w:rPr>
      <w:rFonts w:ascii="Times New Roman" w:hAnsi="Times New Roman" w:eastAsia="宋体" w:cs="Times New Roman"/>
      <w:szCs w:val="24"/>
    </w:rPr>
  </w:style>
  <w:style w:type="character" w:customStyle="1" w:styleId="565">
    <w:name w:val="纯文本 Char2"/>
    <w:basedOn w:val="57"/>
    <w:semiHidden/>
    <w:uiPriority w:val="99"/>
    <w:rPr>
      <w:rFonts w:ascii="宋体" w:hAnsi="Courier New" w:eastAsia="宋体" w:cs="Courier New"/>
      <w:szCs w:val="21"/>
    </w:rPr>
  </w:style>
  <w:style w:type="character" w:customStyle="1" w:styleId="566">
    <w:name w:val="尾注文本 Char1"/>
    <w:basedOn w:val="57"/>
    <w:semiHidden/>
    <w:qFormat/>
    <w:uiPriority w:val="99"/>
    <w:rPr>
      <w:rFonts w:ascii="Times New Roman" w:hAnsi="Times New Roman" w:eastAsia="宋体" w:cs="Times New Roman"/>
      <w:szCs w:val="24"/>
    </w:rPr>
  </w:style>
  <w:style w:type="character" w:customStyle="1" w:styleId="567">
    <w:name w:val="标题 Char1"/>
    <w:basedOn w:val="57"/>
    <w:uiPriority w:val="10"/>
    <w:rPr>
      <w:rFonts w:eastAsia="宋体" w:asciiTheme="majorHAnsi" w:hAnsiTheme="majorHAnsi" w:cstheme="majorBidi"/>
      <w:b/>
      <w:bCs/>
      <w:sz w:val="32"/>
      <w:szCs w:val="32"/>
    </w:rPr>
  </w:style>
  <w:style w:type="paragraph" w:customStyle="1" w:styleId="56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kern w:val="0"/>
      <w:sz w:val="18"/>
      <w:szCs w:val="18"/>
    </w:rPr>
  </w:style>
  <w:style w:type="paragraph" w:customStyle="1" w:styleId="569">
    <w:name w:val="样式2"/>
    <w:basedOn w:val="1"/>
    <w:qFormat/>
    <w:uiPriority w:val="99"/>
    <w:pPr>
      <w:adjustRightInd w:val="0"/>
      <w:ind w:left="170"/>
      <w:jc w:val="left"/>
    </w:pPr>
    <w:rPr>
      <w:b/>
      <w:kern w:val="0"/>
      <w:sz w:val="24"/>
      <w:szCs w:val="20"/>
    </w:rPr>
  </w:style>
  <w:style w:type="paragraph" w:customStyle="1" w:styleId="570">
    <w:name w:val="Char Char Char Char Char Char Char Char Char Char Char Char Char Char Char Char Char Char Char Char Char Char Char Char"/>
    <w:basedOn w:val="1"/>
    <w:uiPriority w:val="0"/>
    <w:pPr>
      <w:widowControl/>
      <w:spacing w:line="360" w:lineRule="auto"/>
      <w:jc w:val="left"/>
    </w:pPr>
    <w:rPr>
      <w:szCs w:val="21"/>
    </w:rPr>
  </w:style>
  <w:style w:type="paragraph" w:styleId="571">
    <w:name w:val="List Paragraph"/>
    <w:basedOn w:val="1"/>
    <w:qFormat/>
    <w:uiPriority w:val="1"/>
    <w:pPr>
      <w:spacing w:line="360" w:lineRule="auto"/>
      <w:ind w:firstLine="420" w:firstLineChars="200"/>
    </w:pPr>
    <w:rPr>
      <w:sz w:val="24"/>
      <w:szCs w:val="20"/>
    </w:rPr>
  </w:style>
  <w:style w:type="paragraph" w:customStyle="1" w:styleId="572">
    <w:name w:val="表正文"/>
    <w:basedOn w:val="1"/>
    <w:qFormat/>
    <w:uiPriority w:val="0"/>
    <w:pPr>
      <w:keepNext/>
      <w:spacing w:line="320" w:lineRule="exact"/>
      <w:jc w:val="center"/>
    </w:pPr>
    <w:rPr>
      <w:rFonts w:eastAsia="仿宋_GB2312"/>
      <w:bCs/>
      <w:sz w:val="28"/>
      <w:szCs w:val="16"/>
    </w:rPr>
  </w:style>
  <w:style w:type="paragraph" w:customStyle="1" w:styleId="573">
    <w:name w:val="节"/>
    <w:basedOn w:val="6"/>
    <w:next w:val="1"/>
    <w:uiPriority w:val="0"/>
    <w:pPr>
      <w:spacing w:line="480" w:lineRule="exact"/>
      <w:ind w:firstLine="560" w:firstLineChars="200"/>
    </w:pPr>
    <w:rPr>
      <w:rFonts w:ascii="宋体"/>
    </w:rPr>
  </w:style>
  <w:style w:type="paragraph" w:customStyle="1" w:styleId="574">
    <w:name w:val="样式 标题 23号宋体居中行距2倍三号宋体居中行距2倍标题 2 Char Char Char Char节3号宋体居中2...2"/>
    <w:basedOn w:val="4"/>
    <w:uiPriority w:val="0"/>
    <w:pPr>
      <w:keepLines w:val="0"/>
      <w:adjustRightInd w:val="0"/>
      <w:snapToGrid w:val="0"/>
      <w:spacing w:before="100" w:beforeAutospacing="1" w:after="100" w:afterAutospacing="1" w:line="360" w:lineRule="auto"/>
      <w:ind w:left="882" w:hanging="567"/>
      <w:jc w:val="left"/>
    </w:pPr>
    <w:rPr>
      <w:rFonts w:ascii="宋体" w:hAnsi="宋体" w:cs="宋体"/>
      <w:color w:val="2E74B5"/>
      <w:sz w:val="30"/>
      <w:szCs w:val="30"/>
    </w:rPr>
  </w:style>
  <w:style w:type="paragraph" w:customStyle="1" w:styleId="575">
    <w:name w:val="Revision"/>
    <w:semiHidden/>
    <w:uiPriority w:val="99"/>
    <w:rPr>
      <w:rFonts w:ascii="Times New Roman" w:hAnsi="Times New Roman" w:eastAsia="宋体" w:cs="Times New Roman"/>
      <w:kern w:val="2"/>
      <w:sz w:val="21"/>
      <w:szCs w:val="24"/>
      <w:lang w:val="en-US" w:eastAsia="zh-CN" w:bidi="ar-SA"/>
    </w:rPr>
  </w:style>
  <w:style w:type="paragraph" w:customStyle="1" w:styleId="576">
    <w:name w:val="001"/>
    <w:basedOn w:val="1"/>
    <w:next w:val="1"/>
    <w:uiPriority w:val="0"/>
    <w:pPr>
      <w:spacing w:line="480" w:lineRule="exact"/>
      <w:ind w:firstLine="200" w:firstLineChars="200"/>
    </w:pPr>
    <w:rPr>
      <w:rFonts w:ascii="宋体" w:hAnsi="宋体"/>
      <w:sz w:val="24"/>
    </w:rPr>
  </w:style>
  <w:style w:type="paragraph" w:customStyle="1" w:styleId="577">
    <w:name w:val="条"/>
    <w:basedOn w:val="7"/>
    <w:next w:val="1"/>
    <w:uiPriority w:val="0"/>
    <w:pPr>
      <w:adjustRightInd/>
      <w:snapToGrid/>
      <w:ind w:firstLine="560" w:firstLineChars="200"/>
      <w:textAlignment w:val="auto"/>
    </w:pPr>
    <w:rPr>
      <w:rFonts w:ascii="宋体"/>
      <w:spacing w:val="0"/>
      <w:kern w:val="2"/>
      <w:sz w:val="28"/>
    </w:rPr>
  </w:style>
  <w:style w:type="paragraph" w:customStyle="1" w:styleId="578">
    <w:name w:val="正文位子1"/>
    <w:basedOn w:val="21"/>
    <w:uiPriority w:val="0"/>
    <w:pPr>
      <w:wordWrap w:val="0"/>
      <w:topLinePunct/>
      <w:autoSpaceDN w:val="0"/>
      <w:spacing w:after="0"/>
      <w:jc w:val="center"/>
    </w:pPr>
    <w:rPr>
      <w:rFonts w:eastAsia="楷体_GB2312"/>
      <w:color w:val="000000"/>
      <w:w w:val="90"/>
    </w:rPr>
  </w:style>
  <w:style w:type="paragraph" w:customStyle="1" w:styleId="579">
    <w:name w:val="样式 1正文段落 + 黑色1"/>
    <w:basedOn w:val="1"/>
    <w:uiPriority w:val="0"/>
    <w:pPr>
      <w:widowControl/>
      <w:spacing w:after="200" w:line="540" w:lineRule="exact"/>
      <w:ind w:firstLine="200" w:firstLineChars="200"/>
      <w:jc w:val="left"/>
    </w:pPr>
    <w:rPr>
      <w:rFonts w:ascii="宋体" w:hAnsi="宋体" w:eastAsia="华文中宋"/>
      <w:color w:val="000000"/>
      <w:spacing w:val="2"/>
      <w:kern w:val="0"/>
      <w:sz w:val="24"/>
      <w:szCs w:val="21"/>
    </w:rPr>
  </w:style>
  <w:style w:type="paragraph" w:customStyle="1" w:styleId="58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81">
    <w:name w:val="样式 小四"/>
    <w:basedOn w:val="1"/>
    <w:uiPriority w:val="0"/>
    <w:pPr>
      <w:adjustRightInd w:val="0"/>
      <w:snapToGrid w:val="0"/>
      <w:spacing w:line="360" w:lineRule="auto"/>
      <w:ind w:firstLine="200" w:firstLineChars="200"/>
    </w:pPr>
    <w:rPr>
      <w:sz w:val="24"/>
    </w:rPr>
  </w:style>
  <w:style w:type="paragraph" w:customStyle="1" w:styleId="582">
    <w:name w:val="四号正文"/>
    <w:basedOn w:val="1"/>
    <w:uiPriority w:val="0"/>
    <w:rPr>
      <w:sz w:val="28"/>
    </w:rPr>
  </w:style>
  <w:style w:type="paragraph" w:customStyle="1" w:styleId="583">
    <w:name w:val="标准正文"/>
    <w:basedOn w:val="1"/>
    <w:uiPriority w:val="0"/>
    <w:pPr>
      <w:spacing w:line="360" w:lineRule="auto"/>
      <w:ind w:firstLine="480" w:firstLineChars="200"/>
      <w:jc w:val="left"/>
    </w:pPr>
    <w:rPr>
      <w:rFonts w:ascii="宋体"/>
      <w:sz w:val="28"/>
      <w:szCs w:val="22"/>
    </w:rPr>
  </w:style>
  <w:style w:type="paragraph" w:customStyle="1" w:styleId="584">
    <w:name w:val="表文字"/>
    <w:basedOn w:val="1"/>
    <w:uiPriority w:val="0"/>
    <w:pPr>
      <w:topLinePunct/>
      <w:adjustRightInd w:val="0"/>
      <w:spacing w:line="240" w:lineRule="exact"/>
      <w:jc w:val="center"/>
      <w:textAlignment w:val="baseline"/>
    </w:pPr>
    <w:rPr>
      <w:szCs w:val="21"/>
    </w:rPr>
  </w:style>
  <w:style w:type="paragraph" w:customStyle="1" w:styleId="585">
    <w:name w:val="xl27"/>
    <w:basedOn w:val="1"/>
    <w:uiPriority w:val="0"/>
    <w:pPr>
      <w:widowControl/>
      <w:spacing w:before="100" w:beforeAutospacing="1" w:after="100" w:afterAutospacing="1"/>
      <w:jc w:val="center"/>
    </w:pPr>
    <w:rPr>
      <w:rFonts w:eastAsia="Arial Unicode MS"/>
      <w:kern w:val="0"/>
      <w:szCs w:val="21"/>
    </w:rPr>
  </w:style>
  <w:style w:type="paragraph" w:customStyle="1" w:styleId="586">
    <w:name w:val="表后空行"/>
    <w:basedOn w:val="1"/>
    <w:next w:val="1"/>
    <w:uiPriority w:val="0"/>
    <w:rPr>
      <w:kern w:val="18"/>
    </w:rPr>
  </w:style>
  <w:style w:type="paragraph" w:customStyle="1" w:styleId="587">
    <w:name w:val="CC Char Char Char Char Char Char"/>
    <w:basedOn w:val="31"/>
    <w:next w:val="31"/>
    <w:uiPriority w:val="0"/>
    <w:pPr>
      <w:adjustRightInd/>
      <w:snapToGrid/>
      <w:spacing w:after="120" w:line="480" w:lineRule="auto"/>
      <w:ind w:left="630" w:leftChars="100" w:right="100" w:rightChars="100" w:firstLine="0"/>
    </w:pPr>
    <w:rPr>
      <w:rFonts w:ascii="Times New Roman" w:hAnsi="Times New Roman" w:eastAsia="黑体"/>
    </w:rPr>
  </w:style>
  <w:style w:type="paragraph" w:customStyle="1" w:styleId="588">
    <w:name w:val="样式 仿宋_GB2312 四号 黑色 行距: 1.5 倍行距"/>
    <w:basedOn w:val="1"/>
    <w:uiPriority w:val="0"/>
    <w:pPr>
      <w:ind w:firstLine="200" w:firstLineChars="200"/>
    </w:pPr>
    <w:rPr>
      <w:rFonts w:ascii="仿宋_GB2312" w:hAnsi="宋体" w:eastAsia="仿宋_GB2312" w:cs="宋体"/>
      <w:color w:val="000000"/>
      <w:sz w:val="28"/>
      <w:szCs w:val="20"/>
    </w:rPr>
  </w:style>
  <w:style w:type="paragraph" w:customStyle="1" w:styleId="589">
    <w:name w:val="p0"/>
    <w:basedOn w:val="1"/>
    <w:uiPriority w:val="0"/>
    <w:pPr>
      <w:widowControl/>
      <w:spacing w:line="520" w:lineRule="atLeast"/>
    </w:pPr>
    <w:rPr>
      <w:kern w:val="0"/>
      <w:sz w:val="26"/>
      <w:szCs w:val="26"/>
    </w:rPr>
  </w:style>
  <w:style w:type="paragraph" w:customStyle="1" w:styleId="590">
    <w:name w:val="图标题"/>
    <w:basedOn w:val="400"/>
    <w:uiPriority w:val="0"/>
    <w:pPr>
      <w:widowControl/>
      <w:tabs>
        <w:tab w:val="clear" w:pos="6840"/>
      </w:tabs>
      <w:topLinePunct w:val="0"/>
      <w:snapToGrid/>
      <w:spacing w:beforeLines="25" w:line="360" w:lineRule="auto"/>
    </w:pPr>
    <w:rPr>
      <w:rFonts w:ascii="Arial" w:hAnsi="Arial"/>
      <w:b/>
      <w:kern w:val="2"/>
      <w:szCs w:val="24"/>
    </w:rPr>
  </w:style>
  <w:style w:type="paragraph" w:customStyle="1" w:styleId="591">
    <w:name w:val="默认段落字体 Para Char Char Char Char"/>
    <w:basedOn w:val="1"/>
    <w:uiPriority w:val="0"/>
    <w:pPr>
      <w:spacing w:beforeLines="50" w:afterLines="50" w:line="360" w:lineRule="auto"/>
      <w:jc w:val="left"/>
    </w:pPr>
    <w:rPr>
      <w:rFonts w:eastAsia="黑体"/>
      <w:sz w:val="30"/>
    </w:rPr>
  </w:style>
  <w:style w:type="paragraph" w:customStyle="1" w:styleId="592">
    <w:name w:val="Char Char Char Char"/>
    <w:basedOn w:val="1"/>
    <w:uiPriority w:val="0"/>
  </w:style>
  <w:style w:type="paragraph" w:customStyle="1" w:styleId="593">
    <w:name w:val="样式 正文首行缩进 + 首行缩进:  2 字符1"/>
    <w:basedOn w:val="53"/>
    <w:uiPriority w:val="0"/>
    <w:pPr>
      <w:spacing w:after="0" w:line="360" w:lineRule="auto"/>
      <w:ind w:firstLine="480" w:firstLineChars="200"/>
    </w:pPr>
    <w:rPr>
      <w:sz w:val="24"/>
    </w:rPr>
  </w:style>
  <w:style w:type="paragraph" w:customStyle="1" w:styleId="594">
    <w:name w:val="1.1.1.1"/>
    <w:basedOn w:val="1"/>
    <w:uiPriority w:val="0"/>
    <w:pPr>
      <w:adjustRightInd w:val="0"/>
      <w:snapToGrid w:val="0"/>
      <w:spacing w:before="40" w:after="40" w:line="288" w:lineRule="auto"/>
      <w:jc w:val="left"/>
      <w:textAlignment w:val="baseline"/>
    </w:pPr>
    <w:rPr>
      <w:rFonts w:ascii="黑体" w:eastAsia="黑体"/>
      <w:spacing w:val="4"/>
      <w:kern w:val="0"/>
      <w:szCs w:val="20"/>
    </w:rPr>
  </w:style>
  <w:style w:type="paragraph" w:customStyle="1" w:styleId="595">
    <w:name w:val="表格居中"/>
    <w:basedOn w:val="1"/>
    <w:uiPriority w:val="0"/>
    <w:pPr>
      <w:adjustRightInd w:val="0"/>
      <w:spacing w:line="240" w:lineRule="exact"/>
      <w:jc w:val="center"/>
      <w:textAlignment w:val="baseline"/>
    </w:pPr>
    <w:rPr>
      <w:rFonts w:ascii="仿宋_GB2312" w:hAnsi="宋体" w:eastAsia="仿宋_GB2312"/>
      <w:bCs/>
      <w:kern w:val="0"/>
      <w:sz w:val="18"/>
      <w:szCs w:val="20"/>
    </w:rPr>
  </w:style>
  <w:style w:type="character" w:customStyle="1" w:styleId="596">
    <w:name w:val="引用 Char1"/>
    <w:basedOn w:val="57"/>
    <w:uiPriority w:val="29"/>
    <w:rPr>
      <w:rFonts w:ascii="Times New Roman" w:hAnsi="Times New Roman" w:eastAsia="宋体" w:cs="Times New Roman"/>
      <w:i/>
      <w:iCs/>
      <w:color w:val="000000" w:themeColor="text1"/>
      <w:szCs w:val="24"/>
      <w14:textFill>
        <w14:solidFill>
          <w14:schemeClr w14:val="tx1"/>
        </w14:solidFill>
      </w14:textFill>
    </w:rPr>
  </w:style>
  <w:style w:type="paragraph" w:customStyle="1" w:styleId="597">
    <w:name w:val="Char Char11"/>
    <w:basedOn w:val="1"/>
    <w:uiPriority w:val="0"/>
  </w:style>
  <w:style w:type="paragraph" w:customStyle="1" w:styleId="598">
    <w:name w:val="默认段落字体 Para Char"/>
    <w:basedOn w:val="1"/>
    <w:next w:val="1"/>
    <w:uiPriority w:val="0"/>
    <w:pPr>
      <w:spacing w:line="360" w:lineRule="auto"/>
      <w:ind w:firstLine="200" w:firstLineChars="200"/>
    </w:pPr>
    <w:rPr>
      <w:rFonts w:ascii="宋体" w:hAnsi="宋体" w:cs="宋体"/>
      <w:sz w:val="24"/>
    </w:rPr>
  </w:style>
  <w:style w:type="paragraph" w:customStyle="1" w:styleId="599">
    <w:name w:val="Char Char Char Char Char Char Char"/>
    <w:basedOn w:val="1"/>
    <w:uiPriority w:val="0"/>
    <w:pPr>
      <w:widowControl/>
      <w:spacing w:after="160" w:line="240" w:lineRule="exact"/>
      <w:jc w:val="left"/>
    </w:pPr>
  </w:style>
  <w:style w:type="paragraph" w:customStyle="1" w:styleId="600">
    <w:name w:val="xl29"/>
    <w:basedOn w:val="1"/>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line="300" w:lineRule="auto"/>
      <w:jc w:val="center"/>
      <w:textAlignment w:val="center"/>
    </w:pPr>
    <w:rPr>
      <w:rFonts w:hint="eastAsia" w:ascii="仿宋_GB2312" w:hAnsi="Arial Unicode MS" w:eastAsia="仿宋_GB2312" w:cs="Arial Unicode MS"/>
      <w:spacing w:val="4"/>
      <w:kern w:val="0"/>
      <w:sz w:val="24"/>
      <w:szCs w:val="21"/>
    </w:rPr>
  </w:style>
  <w:style w:type="paragraph" w:customStyle="1" w:styleId="601">
    <w:name w:val="font8"/>
    <w:basedOn w:val="1"/>
    <w:uiPriority w:val="0"/>
    <w:pPr>
      <w:widowControl/>
      <w:spacing w:before="100" w:beforeAutospacing="1" w:after="100" w:afterAutospacing="1"/>
      <w:jc w:val="left"/>
    </w:pPr>
    <w:rPr>
      <w:rFonts w:eastAsia="Arial Unicode MS"/>
      <w:kern w:val="0"/>
      <w:sz w:val="36"/>
      <w:szCs w:val="36"/>
    </w:rPr>
  </w:style>
  <w:style w:type="paragraph" w:customStyle="1" w:styleId="602">
    <w:name w:val="Char Char Char Char1"/>
    <w:basedOn w:val="1"/>
    <w:uiPriority w:val="0"/>
    <w:pPr>
      <w:spacing w:line="360" w:lineRule="auto"/>
      <w:ind w:firstLine="640" w:firstLineChars="200"/>
    </w:pPr>
    <w:rPr>
      <w:sz w:val="24"/>
    </w:rPr>
  </w:style>
  <w:style w:type="paragraph" w:customStyle="1" w:styleId="603">
    <w:name w:val="font6"/>
    <w:basedOn w:val="1"/>
    <w:uiPriority w:val="0"/>
    <w:pPr>
      <w:widowControl/>
      <w:spacing w:before="100" w:beforeAutospacing="1" w:after="100" w:afterAutospacing="1"/>
      <w:jc w:val="left"/>
    </w:pPr>
    <w:rPr>
      <w:rFonts w:hint="eastAsia" w:ascii="宋体" w:hAnsi="宋体"/>
      <w:kern w:val="0"/>
      <w:sz w:val="28"/>
      <w:szCs w:val="28"/>
    </w:rPr>
  </w:style>
  <w:style w:type="paragraph" w:customStyle="1" w:styleId="604">
    <w:name w:val="xl28"/>
    <w:basedOn w:val="1"/>
    <w:uiPriority w:val="0"/>
    <w:pPr>
      <w:widowControl/>
      <w:spacing w:before="100" w:beforeAutospacing="1" w:after="100" w:afterAutospacing="1"/>
      <w:jc w:val="center"/>
    </w:pPr>
    <w:rPr>
      <w:rFonts w:hint="eastAsia" w:ascii="Arial Unicode MS" w:hAnsi="Arial Unicode MS" w:eastAsia="Arial Unicode MS" w:cs="Arial Unicode MS"/>
      <w:kern w:val="0"/>
      <w:sz w:val="24"/>
    </w:rPr>
  </w:style>
  <w:style w:type="paragraph" w:customStyle="1" w:styleId="605">
    <w:name w:val="表"/>
    <w:basedOn w:val="21"/>
    <w:next w:val="14"/>
    <w:uiPriority w:val="0"/>
    <w:pPr>
      <w:overflowPunct w:val="0"/>
      <w:adjustRightInd w:val="0"/>
      <w:snapToGrid w:val="0"/>
      <w:contextualSpacing/>
      <w:jc w:val="center"/>
    </w:pPr>
    <w:rPr>
      <w:sz w:val="24"/>
      <w:szCs w:val="20"/>
    </w:rPr>
  </w:style>
  <w:style w:type="paragraph" w:customStyle="1" w:styleId="606">
    <w:name w:val="总结正文"/>
    <w:basedOn w:val="1"/>
    <w:uiPriority w:val="0"/>
    <w:pPr>
      <w:adjustRightInd w:val="0"/>
      <w:snapToGrid w:val="0"/>
      <w:spacing w:line="300" w:lineRule="auto"/>
      <w:ind w:firstLine="560" w:firstLineChars="200"/>
      <w:textAlignment w:val="baseline"/>
    </w:pPr>
    <w:rPr>
      <w:rFonts w:ascii="宋体" w:hAnsi="宋体"/>
      <w:spacing w:val="4"/>
      <w:kern w:val="0"/>
      <w:sz w:val="28"/>
      <w:szCs w:val="28"/>
    </w:rPr>
  </w:style>
  <w:style w:type="paragraph" w:customStyle="1" w:styleId="607">
    <w:name w:val="pic-info"/>
    <w:basedOn w:val="1"/>
    <w:uiPriority w:val="0"/>
    <w:pPr>
      <w:widowControl/>
      <w:spacing w:before="100" w:beforeAutospacing="1" w:after="100" w:afterAutospacing="1"/>
      <w:jc w:val="left"/>
    </w:pPr>
    <w:rPr>
      <w:rFonts w:ascii="宋体" w:hAnsi="宋体" w:cs="宋体"/>
      <w:kern w:val="0"/>
      <w:sz w:val="24"/>
    </w:rPr>
  </w:style>
  <w:style w:type="paragraph" w:customStyle="1" w:styleId="608">
    <w:name w:val="正文小四缩"/>
    <w:basedOn w:val="1"/>
    <w:uiPriority w:val="0"/>
    <w:pPr>
      <w:adjustRightInd w:val="0"/>
      <w:spacing w:before="120" w:line="420" w:lineRule="atLeast"/>
      <w:ind w:firstLine="510"/>
      <w:textAlignment w:val="baseline"/>
    </w:pPr>
    <w:rPr>
      <w:rFonts w:ascii="宋体"/>
      <w:bCs/>
      <w:kern w:val="0"/>
      <w:sz w:val="24"/>
      <w:szCs w:val="20"/>
    </w:rPr>
  </w:style>
  <w:style w:type="paragraph" w:customStyle="1" w:styleId="609">
    <w:name w:val="正文文本 21"/>
    <w:basedOn w:val="1"/>
    <w:next w:val="1"/>
    <w:uiPriority w:val="0"/>
    <w:pPr>
      <w:spacing w:line="360" w:lineRule="auto"/>
      <w:ind w:firstLine="480" w:firstLineChars="200"/>
      <w:jc w:val="left"/>
    </w:pPr>
    <w:rPr>
      <w:rFonts w:ascii="宋体" w:hAnsi="宋体"/>
      <w:sz w:val="24"/>
    </w:rPr>
  </w:style>
  <w:style w:type="paragraph" w:customStyle="1" w:styleId="610">
    <w:name w:val="Char"/>
    <w:basedOn w:val="1"/>
    <w:uiPriority w:val="0"/>
    <w:rPr>
      <w:szCs w:val="20"/>
    </w:rPr>
  </w:style>
  <w:style w:type="paragraph" w:customStyle="1" w:styleId="611">
    <w:name w:val="样式 标题 4 + (西文) Times New Roman (中文) 楷体_GB2312 非加粗 黑色 首行缩进:  ..."/>
    <w:basedOn w:val="2"/>
    <w:uiPriority w:val="0"/>
    <w:pPr>
      <w:keepNext/>
      <w:keepLines/>
      <w:wordWrap/>
      <w:topLinePunct w:val="0"/>
      <w:autoSpaceDN/>
      <w:spacing w:line="360" w:lineRule="auto"/>
      <w:ind w:firstLine="0" w:firstLineChars="0"/>
      <w:jc w:val="left"/>
    </w:pPr>
    <w:rPr>
      <w:rFonts w:eastAsia="宋体"/>
      <w:b/>
      <w:bCs w:val="0"/>
      <w:kern w:val="0"/>
      <w:sz w:val="24"/>
      <w:szCs w:val="20"/>
    </w:rPr>
  </w:style>
  <w:style w:type="paragraph" w:customStyle="1" w:styleId="612">
    <w:name w:val="表注"/>
    <w:basedOn w:val="1"/>
    <w:next w:val="586"/>
    <w:uiPriority w:val="0"/>
    <w:pPr>
      <w:keepLines/>
      <w:ind w:left="300" w:leftChars="100" w:right="50" w:rightChars="50" w:hanging="200" w:hangingChars="200"/>
    </w:pPr>
    <w:rPr>
      <w:rFonts w:ascii="宋体"/>
      <w:color w:val="FF0000"/>
      <w:szCs w:val="20"/>
    </w:rPr>
  </w:style>
  <w:style w:type="paragraph" w:customStyle="1" w:styleId="613">
    <w:name w:val="Char Char Char Char Char Char1 Char"/>
    <w:basedOn w:val="1"/>
    <w:uiPriority w:val="0"/>
  </w:style>
  <w:style w:type="paragraph" w:customStyle="1" w:styleId="614">
    <w:name w:val="Char Char Char Char Char Char Char Char Char Char Char Char Char Char Char Char"/>
    <w:basedOn w:val="1"/>
    <w:uiPriority w:val="0"/>
  </w:style>
  <w:style w:type="paragraph" w:customStyle="1" w:styleId="615">
    <w:name w:val="区调设计标题1"/>
    <w:basedOn w:val="1"/>
    <w:uiPriority w:val="0"/>
    <w:pPr>
      <w:pageBreakBefore/>
      <w:spacing w:beforeLines="50" w:afterLines="50" w:line="480" w:lineRule="exact"/>
      <w:jc w:val="center"/>
    </w:pPr>
    <w:rPr>
      <w:rFonts w:ascii="宋体"/>
      <w:b/>
      <w:bCs/>
      <w:sz w:val="28"/>
    </w:rPr>
  </w:style>
  <w:style w:type="character" w:customStyle="1" w:styleId="616">
    <w:name w:val="明显引用 Char1"/>
    <w:basedOn w:val="57"/>
    <w:uiPriority w:val="30"/>
    <w:rPr>
      <w:rFonts w:ascii="Times New Roman" w:hAnsi="Times New Roman" w:eastAsia="宋体" w:cs="Times New Roman"/>
      <w:b/>
      <w:bCs/>
      <w:i/>
      <w:iCs/>
      <w:color w:val="4F81BD" w:themeColor="accent1"/>
      <w:szCs w:val="24"/>
      <w14:textFill>
        <w14:solidFill>
          <w14:schemeClr w14:val="accent1"/>
        </w14:solidFill>
      </w14:textFill>
    </w:rPr>
  </w:style>
  <w:style w:type="paragraph" w:customStyle="1" w:styleId="617">
    <w:name w:val="样式 标题 3 + 首行缩进:  2 字符"/>
    <w:basedOn w:val="5"/>
    <w:next w:val="1"/>
    <w:semiHidden/>
    <w:uiPriority w:val="0"/>
    <w:pPr>
      <w:snapToGrid w:val="0"/>
      <w:spacing w:before="0" w:after="120"/>
      <w:ind w:left="720" w:hanging="720"/>
    </w:pPr>
    <w:rPr>
      <w:rFonts w:cs="宋体"/>
      <w:bCs/>
      <w:spacing w:val="-6"/>
      <w:sz w:val="28"/>
      <w:szCs w:val="24"/>
    </w:rPr>
  </w:style>
  <w:style w:type="paragraph" w:customStyle="1" w:styleId="618">
    <w:name w:val="表内容"/>
    <w:uiPriority w:val="0"/>
    <w:pPr>
      <w:adjustRightInd w:val="0"/>
      <w:snapToGrid w:val="0"/>
      <w:spacing w:line="288" w:lineRule="auto"/>
      <w:jc w:val="both"/>
    </w:pPr>
    <w:rPr>
      <w:rFonts w:ascii="仿宋_GB2312" w:hAnsi="宋体" w:eastAsia="仿宋_GB2312" w:cs="Times New Roman"/>
      <w:kern w:val="0"/>
      <w:sz w:val="18"/>
      <w:szCs w:val="20"/>
      <w:lang w:val="en-US" w:eastAsia="zh-CN" w:bidi="ar-SA"/>
    </w:rPr>
  </w:style>
  <w:style w:type="paragraph" w:customStyle="1" w:styleId="619">
    <w:name w:val="表格字体"/>
    <w:basedOn w:val="1"/>
    <w:uiPriority w:val="0"/>
    <w:pPr>
      <w:framePr w:hSpace="180" w:wrap="around" w:vAnchor="page" w:hAnchor="margin" w:y="1887"/>
      <w:adjustRightInd w:val="0"/>
      <w:ind w:left="28" w:right="-65" w:rightChars="-31"/>
      <w:jc w:val="center"/>
      <w:textAlignment w:val="baseline"/>
    </w:pPr>
    <w:rPr>
      <w:rFonts w:ascii="宋体" w:hAnsi="宋体"/>
      <w:kern w:val="12"/>
      <w:sz w:val="18"/>
      <w:szCs w:val="20"/>
    </w:rPr>
  </w:style>
  <w:style w:type="paragraph" w:customStyle="1" w:styleId="620">
    <w:name w:val="xl24"/>
    <w:basedOn w:val="1"/>
    <w:uiPriority w:val="0"/>
    <w:pPr>
      <w:widowControl/>
      <w:spacing w:before="100" w:beforeAutospacing="1" w:after="100" w:afterAutospacing="1"/>
      <w:jc w:val="center"/>
    </w:pPr>
    <w:rPr>
      <w:rFonts w:ascii="宋体" w:hAnsi="宋体"/>
      <w:kern w:val="0"/>
      <w:sz w:val="24"/>
    </w:rPr>
  </w:style>
  <w:style w:type="paragraph" w:customStyle="1" w:styleId="621">
    <w:name w:val="日期1"/>
    <w:basedOn w:val="1"/>
    <w:next w:val="1"/>
    <w:uiPriority w:val="0"/>
    <w:pPr>
      <w:adjustRightInd w:val="0"/>
      <w:spacing w:line="360" w:lineRule="atLeast"/>
      <w:textAlignment w:val="baseline"/>
    </w:pPr>
    <w:rPr>
      <w:rFonts w:ascii="宋体" w:eastAsia="Times New Roman"/>
      <w:kern w:val="0"/>
      <w:sz w:val="24"/>
      <w:szCs w:val="20"/>
    </w:rPr>
  </w:style>
  <w:style w:type="paragraph" w:customStyle="1" w:styleId="622">
    <w:name w:val="font7"/>
    <w:basedOn w:val="1"/>
    <w:uiPriority w:val="0"/>
    <w:pPr>
      <w:widowControl/>
      <w:spacing w:before="100" w:beforeAutospacing="1" w:after="100" w:afterAutospacing="1"/>
      <w:jc w:val="left"/>
    </w:pPr>
    <w:rPr>
      <w:rFonts w:hint="eastAsia" w:ascii="宋体" w:hAnsi="宋体" w:cs="Arial Unicode MS"/>
      <w:kern w:val="0"/>
      <w:sz w:val="36"/>
      <w:szCs w:val="36"/>
    </w:rPr>
  </w:style>
  <w:style w:type="paragraph" w:customStyle="1" w:styleId="623">
    <w:name w:val="表格2"/>
    <w:basedOn w:val="1"/>
    <w:uiPriority w:val="0"/>
    <w:pPr>
      <w:tabs>
        <w:tab w:val="left" w:pos="3105"/>
      </w:tabs>
      <w:spacing w:line="240" w:lineRule="atLeast"/>
      <w:ind w:left="-1" w:leftChars="-52" w:right="-125" w:rightChars="-52" w:hanging="124" w:hangingChars="59"/>
      <w:jc w:val="center"/>
    </w:pPr>
    <w:rPr>
      <w:rFonts w:ascii="华文中宋" w:hAnsi="华文中宋" w:eastAsia="华文中宋"/>
      <w:szCs w:val="21"/>
    </w:rPr>
  </w:style>
  <w:style w:type="paragraph" w:customStyle="1" w:styleId="624">
    <w:name w:val="样式 左侧:  -0.23 字符 右侧:  -0.21 字符1"/>
    <w:basedOn w:val="1"/>
    <w:uiPriority w:val="0"/>
    <w:pPr>
      <w:widowControl/>
      <w:adjustRightInd w:val="0"/>
      <w:spacing w:line="500" w:lineRule="exact"/>
      <w:ind w:firstLine="200" w:firstLineChars="200"/>
    </w:pPr>
    <w:rPr>
      <w:rFonts w:ascii="宋体" w:hAnsi="宋体" w:cs="宋体"/>
      <w:kern w:val="0"/>
      <w:sz w:val="24"/>
      <w:szCs w:val="20"/>
    </w:rPr>
  </w:style>
  <w:style w:type="paragraph" w:customStyle="1" w:styleId="625">
    <w:name w:val="Char51"/>
    <w:basedOn w:val="1"/>
    <w:uiPriority w:val="0"/>
    <w:pPr>
      <w:spacing w:line="360" w:lineRule="auto"/>
      <w:ind w:firstLine="200" w:firstLineChars="200"/>
    </w:pPr>
    <w:rPr>
      <w:szCs w:val="20"/>
    </w:rPr>
  </w:style>
  <w:style w:type="paragraph" w:customStyle="1" w:styleId="626">
    <w:name w:val="Char Char Char Char Char Char Char Char Char Char Char Char Char Char Char Char Char Char Char"/>
    <w:basedOn w:val="1"/>
    <w:uiPriority w:val="0"/>
    <w:rPr>
      <w:sz w:val="24"/>
      <w:szCs w:val="20"/>
    </w:rPr>
  </w:style>
  <w:style w:type="paragraph" w:customStyle="1" w:styleId="627">
    <w:name w:val="font5"/>
    <w:basedOn w:val="1"/>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628">
    <w:name w:val="正文首行缩进 21"/>
    <w:uiPriority w:val="0"/>
    <w:pPr>
      <w:spacing w:line="360" w:lineRule="auto"/>
      <w:ind w:firstLine="420" w:firstLineChars="200"/>
    </w:pPr>
    <w:rPr>
      <w:rFonts w:ascii="Times New Roman" w:hAnsi="Times New Roman" w:eastAsia="宋体" w:cs="Times New Roman"/>
      <w:kern w:val="2"/>
      <w:sz w:val="24"/>
      <w:szCs w:val="24"/>
      <w:lang w:val="en-US" w:eastAsia="zh-CN" w:bidi="ar-SA"/>
    </w:rPr>
  </w:style>
  <w:style w:type="paragraph" w:customStyle="1" w:styleId="629">
    <w:name w:val="列出段落1"/>
    <w:basedOn w:val="1"/>
    <w:uiPriority w:val="0"/>
    <w:pPr>
      <w:ind w:firstLine="420" w:firstLineChars="200"/>
    </w:pPr>
    <w:rPr>
      <w:rFonts w:ascii="Calibri" w:hAnsi="Calibri"/>
      <w:szCs w:val="22"/>
    </w:rPr>
  </w:style>
  <w:style w:type="paragraph" w:customStyle="1" w:styleId="630">
    <w:name w:val="Char Char Char Char Char Char Char Char Char Char Char Char Char Char Char Char Char Char Char1"/>
    <w:basedOn w:val="1"/>
    <w:uiPriority w:val="0"/>
    <w:pPr>
      <w:keepNext/>
      <w:spacing w:beforeLines="100" w:afterLines="100" w:line="720" w:lineRule="auto"/>
      <w:ind w:firstLine="567"/>
    </w:pPr>
    <w:rPr>
      <w:rFonts w:eastAsia="仿宋_GB2312"/>
      <w:sz w:val="28"/>
      <w:szCs w:val="20"/>
    </w:rPr>
  </w:style>
  <w:style w:type="paragraph" w:customStyle="1" w:styleId="631">
    <w:name w:val="正文a"/>
    <w:basedOn w:val="1"/>
    <w:uiPriority w:val="0"/>
    <w:pPr>
      <w:adjustRightInd w:val="0"/>
      <w:snapToGrid w:val="0"/>
      <w:spacing w:line="360" w:lineRule="auto"/>
      <w:ind w:firstLine="200" w:firstLineChars="200"/>
      <w:textAlignment w:val="baseline"/>
    </w:pPr>
    <w:rPr>
      <w:rFonts w:ascii="宋体" w:hAnsi="宋体"/>
      <w:spacing w:val="4"/>
      <w:kern w:val="0"/>
      <w:sz w:val="24"/>
      <w:szCs w:val="20"/>
    </w:rPr>
  </w:style>
  <w:style w:type="paragraph" w:customStyle="1" w:styleId="632">
    <w:name w:val="zw1"/>
    <w:basedOn w:val="14"/>
    <w:uiPriority w:val="0"/>
    <w:pPr>
      <w:spacing w:line="480" w:lineRule="exact"/>
      <w:ind w:firstLine="567"/>
      <w:textAlignment w:val="center"/>
    </w:pPr>
    <w:rPr>
      <w:rFonts w:ascii="仿宋_GB2312" w:hAnsi="宋体" w:eastAsia="仿宋_GB2312"/>
      <w:sz w:val="28"/>
      <w:szCs w:val="20"/>
    </w:rPr>
  </w:style>
  <w:style w:type="paragraph" w:customStyle="1" w:styleId="633">
    <w:name w:val="xl44"/>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宋体" w:hAnsi="宋体"/>
      <w:kern w:val="0"/>
      <w:sz w:val="24"/>
    </w:rPr>
  </w:style>
  <w:style w:type="paragraph" w:customStyle="1" w:styleId="634">
    <w:name w:val="_Style 2"/>
    <w:uiPriority w:val="1"/>
    <w:pPr>
      <w:widowControl w:val="0"/>
      <w:jc w:val="both"/>
    </w:pPr>
    <w:rPr>
      <w:rFonts w:ascii="Times New Roman" w:hAnsi="Times New Roman" w:eastAsia="宋体" w:cs="Times New Roman"/>
      <w:kern w:val="2"/>
      <w:sz w:val="21"/>
      <w:szCs w:val="21"/>
      <w:lang w:val="en-US" w:eastAsia="zh-CN" w:bidi="ar-SA"/>
    </w:rPr>
  </w:style>
  <w:style w:type="paragraph" w:customStyle="1" w:styleId="635">
    <w:name w:val="标题2 Char Char Char Char Char Char Char Char Char Char"/>
    <w:basedOn w:val="1"/>
    <w:uiPriority w:val="0"/>
    <w:pPr>
      <w:snapToGrid w:val="0"/>
      <w:spacing w:line="520" w:lineRule="exact"/>
    </w:pPr>
    <w:rPr>
      <w:szCs w:val="20"/>
    </w:rPr>
  </w:style>
  <w:style w:type="paragraph" w:customStyle="1" w:styleId="636">
    <w:name w:val="简单回函地址"/>
    <w:basedOn w:val="1"/>
    <w:uiPriority w:val="0"/>
  </w:style>
  <w:style w:type="paragraph" w:customStyle="1" w:styleId="637">
    <w:name w:val="正文 小四 行距: 1.5 倍行距"/>
    <w:basedOn w:val="1"/>
    <w:uiPriority w:val="0"/>
    <w:pPr>
      <w:spacing w:line="360" w:lineRule="auto"/>
      <w:ind w:firstLine="480" w:firstLineChars="200"/>
    </w:pPr>
    <w:rPr>
      <w:sz w:val="24"/>
      <w:szCs w:val="20"/>
    </w:rPr>
  </w:style>
  <w:style w:type="paragraph" w:customStyle="1" w:styleId="638">
    <w:name w:val="Char Char Char Char Char Char Char Char Char Char Char Char Char Char Char Char Char Char Char Char Char Char Char Char Char Char Char Char Char Char Char Char Char"/>
    <w:basedOn w:val="1"/>
    <w:uiPriority w:val="0"/>
    <w:pPr>
      <w:widowControl/>
      <w:spacing w:after="160" w:line="240" w:lineRule="exact"/>
      <w:jc w:val="left"/>
    </w:pPr>
    <w:rPr>
      <w:rFonts w:ascii="Verdana" w:hAnsi="Verdana" w:eastAsia="仿宋_GB2312" w:cs="Verdana"/>
      <w:color w:val="000000"/>
      <w:kern w:val="0"/>
      <w:sz w:val="24"/>
      <w:szCs w:val="21"/>
      <w:lang w:eastAsia="en-US"/>
    </w:rPr>
  </w:style>
  <w:style w:type="paragraph" w:customStyle="1" w:styleId="639">
    <w:name w:val="样式 标题 3 + 段前: 6 磅"/>
    <w:basedOn w:val="5"/>
    <w:uiPriority w:val="0"/>
    <w:pPr>
      <w:spacing w:before="0" w:line="413" w:lineRule="auto"/>
      <w:ind w:left="720" w:hanging="720"/>
    </w:pPr>
    <w:rPr>
      <w:b w:val="0"/>
      <w:bCs/>
      <w:spacing w:val="0"/>
      <w:sz w:val="28"/>
      <w:szCs w:val="20"/>
    </w:rPr>
  </w:style>
  <w:style w:type="paragraph" w:customStyle="1" w:styleId="640">
    <w:name w:val="zw-con-con"/>
    <w:basedOn w:val="1"/>
    <w:uiPriority w:val="0"/>
    <w:pPr>
      <w:widowControl/>
      <w:spacing w:before="100" w:beforeAutospacing="1" w:after="100" w:afterAutospacing="1"/>
      <w:jc w:val="left"/>
    </w:pPr>
    <w:rPr>
      <w:rFonts w:ascii="宋体" w:hAnsi="宋体" w:cs="宋体"/>
      <w:kern w:val="0"/>
      <w:sz w:val="24"/>
    </w:rPr>
  </w:style>
  <w:style w:type="paragraph" w:customStyle="1" w:styleId="641">
    <w:name w:val="样式 (符号) 宋体 小四 行距: 固定值 25 磅"/>
    <w:basedOn w:val="1"/>
    <w:uiPriority w:val="0"/>
    <w:pPr>
      <w:spacing w:line="500" w:lineRule="exact"/>
      <w:ind w:firstLine="200" w:firstLineChars="200"/>
    </w:pPr>
    <w:rPr>
      <w:rFonts w:hAnsi="宋体" w:cs="宋体"/>
      <w:sz w:val="24"/>
    </w:rPr>
  </w:style>
  <w:style w:type="paragraph" w:customStyle="1" w:styleId="642">
    <w:name w:val="正文（首行缩进）"/>
    <w:basedOn w:val="1"/>
    <w:uiPriority w:val="0"/>
    <w:pPr>
      <w:widowControl/>
      <w:spacing w:line="360" w:lineRule="auto"/>
      <w:ind w:firstLine="200" w:firstLineChars="200"/>
      <w:jc w:val="left"/>
    </w:pPr>
    <w:rPr>
      <w:rFonts w:ascii="宋体" w:hAnsi="宋体"/>
      <w:snapToGrid w:val="0"/>
      <w:color w:val="000000"/>
      <w:sz w:val="24"/>
      <w:szCs w:val="20"/>
    </w:rPr>
  </w:style>
  <w:style w:type="paragraph" w:customStyle="1" w:styleId="643">
    <w:name w:val="Char11"/>
    <w:basedOn w:val="1"/>
    <w:uiPriority w:val="0"/>
    <w:rPr>
      <w:rFonts w:ascii="宋体"/>
      <w:spacing w:val="4"/>
      <w:kern w:val="0"/>
      <w:sz w:val="24"/>
      <w:szCs w:val="20"/>
    </w:rPr>
  </w:style>
  <w:style w:type="paragraph" w:customStyle="1" w:styleId="644">
    <w:name w:val="p16"/>
    <w:basedOn w:val="1"/>
    <w:uiPriority w:val="0"/>
    <w:pPr>
      <w:widowControl/>
      <w:spacing w:after="120" w:line="480" w:lineRule="auto"/>
      <w:ind w:left="420"/>
    </w:pPr>
    <w:rPr>
      <w:kern w:val="0"/>
      <w:sz w:val="26"/>
      <w:szCs w:val="26"/>
    </w:rPr>
  </w:style>
  <w:style w:type="paragraph" w:customStyle="1" w:styleId="645">
    <w:name w:val="报告表格"/>
    <w:basedOn w:val="1"/>
    <w:uiPriority w:val="0"/>
    <w:pPr>
      <w:autoSpaceDE w:val="0"/>
      <w:autoSpaceDN w:val="0"/>
      <w:adjustRightInd w:val="0"/>
      <w:spacing w:before="40" w:after="40"/>
      <w:jc w:val="center"/>
      <w:textAlignment w:val="baseline"/>
    </w:pPr>
    <w:rPr>
      <w:kern w:val="0"/>
      <w:szCs w:val="20"/>
    </w:rPr>
  </w:style>
  <w:style w:type="paragraph" w:customStyle="1" w:styleId="646">
    <w:name w:val="样式 标题 2H2节标题 1.1节标题 1.1 Char + 非加粗 首行缩进:  0 厘米"/>
    <w:basedOn w:val="4"/>
    <w:uiPriority w:val="0"/>
    <w:pPr>
      <w:tabs>
        <w:tab w:val="left" w:pos="720"/>
      </w:tabs>
      <w:adjustRightInd w:val="0"/>
      <w:spacing w:before="0" w:after="0" w:line="560" w:lineRule="exact"/>
      <w:textAlignment w:val="baseline"/>
    </w:pPr>
    <w:rPr>
      <w:b w:val="0"/>
      <w:bCs w:val="0"/>
      <w:kern w:val="0"/>
      <w:szCs w:val="28"/>
    </w:rPr>
  </w:style>
  <w:style w:type="paragraph" w:customStyle="1" w:styleId="647">
    <w:name w:val="表格式"/>
    <w:basedOn w:val="40"/>
    <w:uiPriority w:val="0"/>
    <w:pPr>
      <w:spacing w:beforeLines="50" w:afterLines="50" w:line="200" w:lineRule="exact"/>
      <w:ind w:left="0" w:firstLine="0" w:firstLineChars="0"/>
      <w:jc w:val="center"/>
    </w:pPr>
    <w:rPr>
      <w:szCs w:val="20"/>
    </w:rPr>
  </w:style>
  <w:style w:type="paragraph" w:customStyle="1" w:styleId="648">
    <w:name w:val="款"/>
    <w:basedOn w:val="8"/>
    <w:next w:val="1"/>
    <w:uiPriority w:val="0"/>
    <w:pPr>
      <w:spacing w:before="0" w:after="0" w:line="400" w:lineRule="exact"/>
    </w:pPr>
    <w:rPr>
      <w:rFonts w:ascii="宋体" w:hAnsi="宋体"/>
    </w:rPr>
  </w:style>
  <w:style w:type="paragraph" w:customStyle="1" w:styleId="649">
    <w:name w:val="图表"/>
    <w:basedOn w:val="44"/>
    <w:uiPriority w:val="0"/>
    <w:pPr>
      <w:wordWrap w:val="0"/>
      <w:topLinePunct/>
      <w:autoSpaceDN w:val="0"/>
      <w:spacing w:line="240" w:lineRule="atLeast"/>
      <w:ind w:left="0" w:leftChars="0" w:right="0" w:rightChars="0" w:firstLine="0" w:firstLineChars="0"/>
      <w:jc w:val="both"/>
    </w:pPr>
    <w:rPr>
      <w:color w:val="auto"/>
    </w:rPr>
  </w:style>
  <w:style w:type="paragraph" w:customStyle="1" w:styleId="650">
    <w:name w:val="正文文本2"/>
    <w:basedOn w:val="1"/>
    <w:uiPriority w:val="0"/>
    <w:pPr>
      <w:shd w:val="clear" w:color="auto" w:fill="FFFFFF"/>
      <w:spacing w:after="200" w:line="518" w:lineRule="exact"/>
      <w:ind w:hanging="1120"/>
      <w:jc w:val="distribute"/>
    </w:pPr>
    <w:rPr>
      <w:rFonts w:ascii="MingLiU" w:eastAsia="MingLiU"/>
      <w:spacing w:val="10"/>
      <w:kern w:val="0"/>
      <w:sz w:val="22"/>
      <w:szCs w:val="22"/>
    </w:rPr>
  </w:style>
  <w:style w:type="table" w:customStyle="1" w:styleId="651">
    <w:name w:val="网格型2"/>
    <w:basedOn w:val="55"/>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52">
    <w:name w:val="00表格"/>
    <w:basedOn w:val="1"/>
    <w:uiPriority w:val="0"/>
    <w:pPr>
      <w:jc w:val="center"/>
    </w:pPr>
    <w:rPr>
      <w:szCs w:val="20"/>
    </w:rPr>
  </w:style>
  <w:style w:type="paragraph" w:customStyle="1" w:styleId="653">
    <w:name w:val="。。表头"/>
    <w:basedOn w:val="1"/>
    <w:uiPriority w:val="0"/>
    <w:pPr>
      <w:spacing w:line="360" w:lineRule="auto"/>
      <w:ind w:firstLine="602" w:firstLineChars="200"/>
      <w:jc w:val="center"/>
    </w:pPr>
    <w:rPr>
      <w:b/>
      <w:bCs/>
      <w:sz w:val="24"/>
    </w:rPr>
  </w:style>
  <w:style w:type="paragraph" w:customStyle="1" w:styleId="654">
    <w:name w:val="农贸市场表格表头"/>
    <w:basedOn w:val="1"/>
    <w:uiPriority w:val="0"/>
    <w:pPr>
      <w:ind w:firstLine="640" w:firstLineChars="200"/>
      <w:jc w:val="center"/>
    </w:pPr>
    <w:rPr>
      <w:rFonts w:ascii="宋体" w:hAnsi="宋体" w:cs="仿宋_GB2312"/>
      <w:b/>
      <w:kern w:val="0"/>
      <w:szCs w:val="21"/>
    </w:rPr>
  </w:style>
  <w:style w:type="paragraph" w:customStyle="1" w:styleId="655">
    <w:name w:val="农贸市场正文"/>
    <w:basedOn w:val="1"/>
    <w:uiPriority w:val="0"/>
    <w:pPr>
      <w:spacing w:line="460" w:lineRule="exact"/>
      <w:ind w:firstLine="200" w:firstLineChars="200"/>
    </w:pPr>
    <w:rPr>
      <w:snapToGrid w:val="0"/>
      <w:color w:val="000000"/>
      <w:kern w:val="0"/>
      <w:sz w:val="24"/>
    </w:rPr>
  </w:style>
  <w:style w:type="paragraph" w:customStyle="1" w:styleId="656">
    <w:name w:val="3级标题"/>
    <w:basedOn w:val="5"/>
    <w:uiPriority w:val="0"/>
    <w:pPr>
      <w:spacing w:before="0" w:line="360" w:lineRule="auto"/>
      <w:ind w:left="720" w:hanging="720"/>
    </w:pPr>
    <w:rPr>
      <w:b w:val="0"/>
      <w:bCs/>
      <w:spacing w:val="0"/>
      <w:sz w:val="28"/>
      <w:szCs w:val="32"/>
    </w:rPr>
  </w:style>
  <w:style w:type="paragraph" w:customStyle="1" w:styleId="657">
    <w:name w:val="。正文格式"/>
    <w:basedOn w:val="1"/>
    <w:qFormat/>
    <w:uiPriority w:val="0"/>
    <w:pPr>
      <w:spacing w:line="360" w:lineRule="auto"/>
      <w:ind w:firstLine="200" w:firstLineChars="200"/>
      <w:jc w:val="left"/>
    </w:pPr>
    <w:rPr>
      <w:kern w:val="0"/>
      <w:sz w:val="24"/>
      <w:szCs w:val="20"/>
    </w:rPr>
  </w:style>
  <w:style w:type="character" w:styleId="658">
    <w:name w:val="Placeholder Text"/>
    <w:basedOn w:val="57"/>
    <w:semiHidden/>
    <w:uiPriority w:val="99"/>
    <w:rPr>
      <w:color w:val="808080"/>
    </w:rPr>
  </w:style>
  <w:style w:type="character" w:customStyle="1" w:styleId="659">
    <w:name w:val="正文-1 Char"/>
    <w:link w:val="660"/>
    <w:qFormat/>
    <w:locked/>
    <w:uiPriority w:val="0"/>
    <w:rPr>
      <w:rFonts w:ascii="宋体" w:hAnsi="宋体" w:eastAsia="宋体" w:cs="宋体"/>
      <w:sz w:val="24"/>
    </w:rPr>
  </w:style>
  <w:style w:type="paragraph" w:customStyle="1" w:styleId="660">
    <w:name w:val="正文-1"/>
    <w:link w:val="659"/>
    <w:qFormat/>
    <w:uiPriority w:val="0"/>
    <w:pPr>
      <w:spacing w:line="480" w:lineRule="exact"/>
      <w:ind w:firstLine="200" w:firstLineChars="200"/>
      <w:jc w:val="both"/>
    </w:pPr>
    <w:rPr>
      <w:rFonts w:ascii="宋体" w:hAnsi="宋体" w:eastAsia="宋体" w:cs="宋体"/>
      <w:kern w:val="2"/>
      <w:sz w:val="24"/>
      <w:szCs w:val="22"/>
      <w:lang w:val="en-US" w:eastAsia="zh-CN" w:bidi="ar-SA"/>
    </w:rPr>
  </w:style>
  <w:style w:type="character" w:customStyle="1" w:styleId="661">
    <w:name w:val="表格正文 Char"/>
    <w:link w:val="662"/>
    <w:locked/>
    <w:uiPriority w:val="0"/>
    <w:rPr>
      <w:rFonts w:ascii="Times New Roman" w:hAnsi="Times New Roman" w:eastAsia="宋体" w:cs="Times New Roman"/>
      <w:szCs w:val="24"/>
    </w:rPr>
  </w:style>
  <w:style w:type="paragraph" w:customStyle="1" w:styleId="662">
    <w:name w:val="表格正文"/>
    <w:basedOn w:val="1"/>
    <w:link w:val="661"/>
    <w:uiPriority w:val="0"/>
    <w:pPr>
      <w:adjustRightInd w:val="0"/>
      <w:snapToGrid w:val="0"/>
      <w:jc w:val="center"/>
    </w:pPr>
  </w:style>
  <w:style w:type="character" w:customStyle="1" w:styleId="663">
    <w:name w:val="表格题目新 字符"/>
    <w:link w:val="664"/>
    <w:qFormat/>
    <w:locked/>
    <w:uiPriority w:val="0"/>
    <w:rPr>
      <w:rFonts w:ascii="黑体" w:hAnsi="黑体" w:eastAsia="黑体" w:cs="宋体"/>
      <w:szCs w:val="24"/>
    </w:rPr>
  </w:style>
  <w:style w:type="paragraph" w:customStyle="1" w:styleId="664">
    <w:name w:val="表格题目新"/>
    <w:basedOn w:val="1"/>
    <w:link w:val="663"/>
    <w:qFormat/>
    <w:uiPriority w:val="0"/>
    <w:pPr>
      <w:autoSpaceDE w:val="0"/>
      <w:autoSpaceDN w:val="0"/>
      <w:spacing w:line="312" w:lineRule="auto"/>
      <w:jc w:val="center"/>
    </w:pPr>
    <w:rPr>
      <w:rFonts w:ascii="黑体" w:hAnsi="黑体" w:eastAsia="黑体" w:cs="宋体"/>
    </w:rPr>
  </w:style>
  <w:style w:type="character" w:customStyle="1" w:styleId="665">
    <w:name w:val="表格新 字符"/>
    <w:link w:val="666"/>
    <w:qFormat/>
    <w:locked/>
    <w:uiPriority w:val="0"/>
    <w:rPr>
      <w:bCs/>
      <w:szCs w:val="21"/>
    </w:rPr>
  </w:style>
  <w:style w:type="paragraph" w:customStyle="1" w:styleId="666">
    <w:name w:val="表格新"/>
    <w:basedOn w:val="1"/>
    <w:link w:val="665"/>
    <w:qFormat/>
    <w:uiPriority w:val="0"/>
    <w:pPr>
      <w:jc w:val="center"/>
    </w:pPr>
    <w:rPr>
      <w:rFonts w:asciiTheme="minorHAnsi" w:hAnsiTheme="minorHAnsi" w:eastAsiaTheme="minorEastAsia" w:cstheme="minorBidi"/>
      <w:bCs/>
      <w:szCs w:val="21"/>
    </w:rPr>
  </w:style>
  <w:style w:type="paragraph" w:customStyle="1" w:styleId="667">
    <w:name w:val="表内"/>
    <w:basedOn w:val="1"/>
    <w:next w:val="1"/>
    <w:uiPriority w:val="0"/>
    <w:pPr>
      <w:jc w:val="center"/>
    </w:pPr>
    <w:rPr>
      <w:szCs w:val="21"/>
    </w:rPr>
  </w:style>
  <w:style w:type="paragraph" w:customStyle="1" w:styleId="668">
    <w:name w:val="Table Paragraph"/>
    <w:basedOn w:val="1"/>
    <w:qFormat/>
    <w:uiPriority w:val="1"/>
    <w:rPr>
      <w:rFonts w:ascii="Noto Sans CJK JP Regular" w:hAnsi="Noto Sans CJK JP Regular" w:eastAsia="Noto Sans CJK JP Regular" w:cs="Noto Sans CJK JP Regular"/>
      <w:lang w:val="zh-CN" w:bidi="zh-CN"/>
    </w:rPr>
  </w:style>
  <w:style w:type="character" w:customStyle="1" w:styleId="669">
    <w:name w:val="正文1 字符"/>
    <w:basedOn w:val="57"/>
    <w:qFormat/>
    <w:uiPriority w:val="0"/>
    <w:rPr>
      <w:rFonts w:cs="宋体"/>
      <w:color w:val="000000"/>
      <w:sz w:val="24"/>
      <w:szCs w:val="26"/>
    </w:rPr>
  </w:style>
  <w:style w:type="paragraph" w:customStyle="1" w:styleId="670">
    <w:name w:val="表格内容1"/>
    <w:basedOn w:val="1"/>
    <w:link w:val="671"/>
    <w:qFormat/>
    <w:uiPriority w:val="0"/>
    <w:pPr>
      <w:widowControl/>
      <w:jc w:val="center"/>
    </w:pPr>
    <w:rPr>
      <w:kern w:val="0"/>
      <w:szCs w:val="21"/>
      <w:lang w:eastAsia="en-US" w:bidi="en-US"/>
    </w:rPr>
  </w:style>
  <w:style w:type="character" w:customStyle="1" w:styleId="671">
    <w:name w:val="表格内容1 字符"/>
    <w:link w:val="670"/>
    <w:qFormat/>
    <w:uiPriority w:val="0"/>
    <w:rPr>
      <w:rFonts w:ascii="Times New Roman" w:hAnsi="Times New Roman" w:eastAsia="宋体" w:cs="Times New Roman"/>
      <w:kern w:val="0"/>
      <w:szCs w:val="21"/>
      <w:lang w:eastAsia="en-US" w:bidi="en-US"/>
    </w:rPr>
  </w:style>
  <w:style w:type="paragraph" w:customStyle="1" w:styleId="672">
    <w:name w:val="表格题目1"/>
    <w:basedOn w:val="1"/>
    <w:link w:val="673"/>
    <w:qFormat/>
    <w:uiPriority w:val="0"/>
    <w:pPr>
      <w:ind w:firstLine="525" w:firstLineChars="250"/>
      <w:jc w:val="left"/>
    </w:pPr>
    <w:rPr>
      <w:rFonts w:eastAsia="黑体"/>
      <w:color w:val="000000"/>
    </w:rPr>
  </w:style>
  <w:style w:type="character" w:customStyle="1" w:styleId="673">
    <w:name w:val="表格题目1 字符"/>
    <w:basedOn w:val="57"/>
    <w:link w:val="672"/>
    <w:qFormat/>
    <w:uiPriority w:val="0"/>
    <w:rPr>
      <w:rFonts w:ascii="Times New Roman" w:hAnsi="Times New Roman" w:eastAsia="黑体" w:cs="Times New Roman"/>
      <w:color w:val="000000"/>
      <w:szCs w:val="24"/>
    </w:rPr>
  </w:style>
  <w:style w:type="paragraph" w:customStyle="1" w:styleId="674">
    <w:name w:val="表格内容"/>
    <w:basedOn w:val="1"/>
    <w:link w:val="675"/>
    <w:qFormat/>
    <w:uiPriority w:val="0"/>
    <w:pPr>
      <w:widowControl/>
      <w:spacing w:line="300" w:lineRule="exact"/>
      <w:jc w:val="center"/>
    </w:pPr>
    <w:rPr>
      <w:color w:val="000000"/>
      <w:kern w:val="0"/>
      <w:sz w:val="24"/>
      <w:szCs w:val="21"/>
      <w:lang w:eastAsia="en-US" w:bidi="en-US"/>
    </w:rPr>
  </w:style>
  <w:style w:type="character" w:customStyle="1" w:styleId="675">
    <w:name w:val="表格内容 字符"/>
    <w:basedOn w:val="669"/>
    <w:link w:val="674"/>
    <w:qFormat/>
    <w:uiPriority w:val="0"/>
    <w:rPr>
      <w:rFonts w:ascii="Times New Roman" w:hAnsi="Times New Roman" w:eastAsia="宋体" w:cs="Times New Roman"/>
      <w:color w:val="000000"/>
      <w:kern w:val="0"/>
      <w:sz w:val="24"/>
      <w:szCs w:val="21"/>
      <w:lang w:eastAsia="en-US" w:bidi="en-US"/>
    </w:rPr>
  </w:style>
  <w:style w:type="paragraph" w:customStyle="1" w:styleId="676">
    <w:name w:val="正文2"/>
    <w:uiPriority w:val="0"/>
    <w:pPr>
      <w:jc w:val="both"/>
    </w:pPr>
    <w:rPr>
      <w:rFonts w:ascii="Calibri" w:hAnsi="Calibri" w:eastAsia="宋体" w:cs="宋体"/>
      <w:kern w:val="2"/>
      <w:sz w:val="21"/>
      <w:szCs w:val="21"/>
      <w:lang w:val="en-US" w:eastAsia="zh-CN" w:bidi="ar-SA"/>
    </w:rPr>
  </w:style>
  <w:style w:type="character" w:customStyle="1" w:styleId="677">
    <w:name w:val="四级标题 字符"/>
    <w:basedOn w:val="57"/>
    <w:qFormat/>
    <w:uiPriority w:val="0"/>
    <w:rPr>
      <w:rFonts w:ascii="Times New Roman" w:hAnsi="宋体" w:eastAsia="宋体" w:cs="Times New Roman"/>
      <w:color w:val="000000"/>
      <w:kern w:val="44"/>
      <w:sz w:val="24"/>
      <w:szCs w:val="36"/>
      <w:lang w:bidi="en-US"/>
    </w:rPr>
  </w:style>
  <w:style w:type="character" w:customStyle="1" w:styleId="678">
    <w:name w:val="正文新 字符"/>
    <w:link w:val="679"/>
    <w:qFormat/>
    <w:uiPriority w:val="0"/>
    <w:rPr>
      <w:rFonts w:cs="宋体"/>
      <w:sz w:val="24"/>
      <w:szCs w:val="26"/>
    </w:rPr>
  </w:style>
  <w:style w:type="paragraph" w:customStyle="1" w:styleId="679">
    <w:name w:val="正文新"/>
    <w:basedOn w:val="488"/>
    <w:link w:val="678"/>
    <w:qFormat/>
    <w:uiPriority w:val="0"/>
    <w:pPr>
      <w:widowControl/>
      <w:spacing w:line="460" w:lineRule="exact"/>
      <w:ind w:firstLine="480"/>
    </w:pPr>
    <w:rPr>
      <w:rFonts w:asciiTheme="minorHAnsi" w:hAnsiTheme="minorHAnsi"/>
      <w:szCs w:val="26"/>
    </w:rPr>
  </w:style>
  <w:style w:type="paragraph" w:customStyle="1" w:styleId="680">
    <w:name w:val="图片题目1"/>
    <w:basedOn w:val="672"/>
    <w:link w:val="681"/>
    <w:qFormat/>
    <w:uiPriority w:val="0"/>
    <w:pPr>
      <w:ind w:firstLine="0" w:firstLineChars="0"/>
      <w:jc w:val="center"/>
    </w:pPr>
    <w:rPr>
      <w:lang w:bidi="en-US"/>
    </w:rPr>
  </w:style>
  <w:style w:type="character" w:customStyle="1" w:styleId="681">
    <w:name w:val="图片题目1 字符"/>
    <w:basedOn w:val="673"/>
    <w:link w:val="680"/>
    <w:qFormat/>
    <w:uiPriority w:val="0"/>
    <w:rPr>
      <w:rFonts w:ascii="Times New Roman" w:hAnsi="Times New Roman" w:eastAsia="黑体" w:cs="Times New Roman"/>
      <w:color w:val="000000"/>
      <w:szCs w:val="24"/>
      <w:lang w:bidi="en-US"/>
    </w:rPr>
  </w:style>
  <w:style w:type="paragraph" w:customStyle="1" w:styleId="682">
    <w:name w:val="图文"/>
    <w:basedOn w:val="1"/>
    <w:semiHidden/>
    <w:uiPriority w:val="0"/>
    <w:pPr>
      <w:autoSpaceDE w:val="0"/>
      <w:autoSpaceDN w:val="0"/>
      <w:adjustRightInd w:val="0"/>
      <w:spacing w:before="100" w:beforeAutospacing="1"/>
      <w:jc w:val="center"/>
    </w:pPr>
    <w:rPr>
      <w:rFonts w:ascii="Calibri" w:hAnsi="Calibri" w:cs="宋体"/>
      <w:szCs w:val="21"/>
    </w:rPr>
  </w:style>
  <w:style w:type="paragraph" w:customStyle="1" w:styleId="683">
    <w:name w:val="表题"/>
    <w:basedOn w:val="22"/>
    <w:uiPriority w:val="0"/>
    <w:pPr>
      <w:autoSpaceDE/>
      <w:autoSpaceDN/>
      <w:snapToGrid w:val="0"/>
      <w:spacing w:beforeLines="15" w:afterLines="50" w:line="400" w:lineRule="exact"/>
      <w:ind w:firstLine="0"/>
      <w:jc w:val="center"/>
    </w:pPr>
    <w:rPr>
      <w:rFonts w:hint="default" w:eastAsia="宋体"/>
      <w:b/>
      <w:bCs/>
      <w:color w:val="auto"/>
      <w:kern w:val="2"/>
      <w:sz w:val="32"/>
      <w:szCs w:val="32"/>
    </w:rPr>
  </w:style>
  <w:style w:type="character" w:customStyle="1" w:styleId="684">
    <w:name w:val="15"/>
    <w:basedOn w:val="57"/>
    <w:uiPriority w:val="0"/>
    <w:rPr>
      <w:rFonts w:hint="eastAsia" w:ascii="宋体" w:hAnsi="宋体" w:eastAsia="宋体"/>
      <w:color w:val="000000"/>
      <w:sz w:val="22"/>
      <w:szCs w:val="22"/>
    </w:rPr>
  </w:style>
  <w:style w:type="paragraph" w:customStyle="1" w:styleId="685">
    <w:name w:val="正文4"/>
    <w:uiPriority w:val="0"/>
    <w:pPr>
      <w:jc w:val="both"/>
    </w:pPr>
    <w:rPr>
      <w:rFonts w:ascii="Times New Roman" w:hAnsi="Times New Roman" w:eastAsia="宋体" w:cs="Times New Roman"/>
      <w:kern w:val="2"/>
      <w:sz w:val="21"/>
      <w:szCs w:val="21"/>
      <w:lang w:val="en-US" w:eastAsia="zh-CN" w:bidi="ar-SA"/>
    </w:rPr>
  </w:style>
  <w:style w:type="character" w:customStyle="1" w:styleId="686">
    <w:name w:val="textbig1"/>
    <w:uiPriority w:val="0"/>
    <w:rPr>
      <w:sz w:val="18"/>
      <w:szCs w:val="18"/>
    </w:rPr>
  </w:style>
  <w:style w:type="paragraph" w:customStyle="1" w:styleId="687">
    <w:name w:val="报告书表格内容"/>
    <w:basedOn w:val="670"/>
    <w:link w:val="688"/>
    <w:qFormat/>
    <w:uiPriority w:val="0"/>
  </w:style>
  <w:style w:type="character" w:customStyle="1" w:styleId="688">
    <w:name w:val="报告书表格内容 字符"/>
    <w:basedOn w:val="671"/>
    <w:link w:val="687"/>
    <w:uiPriority w:val="0"/>
    <w:rPr>
      <w:rFonts w:ascii="Times New Roman" w:hAnsi="Times New Roman" w:eastAsia="宋体" w:cs="Times New Roman"/>
      <w:kern w:val="0"/>
      <w:szCs w:val="21"/>
      <w:lang w:eastAsia="en-US" w:bidi="en-US"/>
    </w:rPr>
  </w:style>
  <w:style w:type="paragraph" w:customStyle="1" w:styleId="689">
    <w:name w:val="TOC Heading"/>
    <w:basedOn w:val="3"/>
    <w:next w:val="1"/>
    <w:unhideWhenUsed/>
    <w:qFormat/>
    <w:uiPriority w:val="39"/>
    <w:pPr>
      <w:keepLines/>
      <w:widowControl/>
      <w:spacing w:before="24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690">
    <w:name w:val="Char5"/>
    <w:basedOn w:val="1"/>
    <w:qFormat/>
    <w:uiPriority w:val="0"/>
    <w:pPr>
      <w:spacing w:line="360" w:lineRule="auto"/>
      <w:ind w:firstLine="200" w:firstLineChars="200"/>
    </w:pPr>
    <w:rPr>
      <w:szCs w:val="20"/>
    </w:rPr>
  </w:style>
  <w:style w:type="character" w:customStyle="1" w:styleId="691">
    <w:name w:val="7 表内 字符"/>
    <w:basedOn w:val="57"/>
    <w:link w:val="692"/>
    <w:qFormat/>
    <w:locked/>
    <w:uiPriority w:val="0"/>
    <w:rPr>
      <w:szCs w:val="21"/>
    </w:rPr>
  </w:style>
  <w:style w:type="paragraph" w:customStyle="1" w:styleId="692">
    <w:name w:val="7 表内"/>
    <w:basedOn w:val="1"/>
    <w:link w:val="691"/>
    <w:uiPriority w:val="0"/>
    <w:pPr>
      <w:jc w:val="center"/>
    </w:pPr>
    <w:rPr>
      <w:rFonts w:asciiTheme="minorHAnsi" w:hAnsiTheme="minorHAnsi" w:eastAsiaTheme="minorEastAsia" w:cstheme="minorBidi"/>
      <w:szCs w:val="21"/>
    </w:rPr>
  </w:style>
  <w:style w:type="character" w:customStyle="1" w:styleId="693">
    <w:name w:val="！正文 Char"/>
    <w:link w:val="694"/>
    <w:qFormat/>
    <w:uiPriority w:val="0"/>
    <w:rPr>
      <w:sz w:val="24"/>
      <w:szCs w:val="24"/>
    </w:rPr>
  </w:style>
  <w:style w:type="paragraph" w:customStyle="1" w:styleId="694">
    <w:name w:val="！正文"/>
    <w:basedOn w:val="1"/>
    <w:link w:val="693"/>
    <w:qFormat/>
    <w:uiPriority w:val="0"/>
    <w:pPr>
      <w:spacing w:line="500" w:lineRule="exact"/>
      <w:ind w:firstLine="200" w:firstLineChars="200"/>
    </w:pPr>
    <w:rPr>
      <w:rFonts w:asciiTheme="minorHAnsi" w:hAnsiTheme="minorHAnsi" w:eastAsiaTheme="minorEastAsia" w:cstheme="minorBidi"/>
      <w:sz w:val="24"/>
    </w:rPr>
  </w:style>
  <w:style w:type="paragraph" w:customStyle="1" w:styleId="695">
    <w:name w:val="Heading #2|1"/>
    <w:basedOn w:val="1"/>
    <w:qFormat/>
    <w:uiPriority w:val="0"/>
    <w:pPr>
      <w:autoSpaceDE w:val="0"/>
      <w:autoSpaceDN w:val="0"/>
      <w:spacing w:after="200"/>
      <w:jc w:val="left"/>
      <w:outlineLvl w:val="1"/>
    </w:pPr>
    <w:rPr>
      <w:rFonts w:ascii="宋体" w:hAnsi="宋体" w:cs="宋体"/>
      <w:kern w:val="0"/>
      <w:sz w:val="28"/>
      <w:szCs w:val="28"/>
      <w:lang w:val="zh-TW" w:eastAsia="zh-TW" w:bidi="zh-TW"/>
    </w:rPr>
  </w:style>
  <w:style w:type="paragraph" w:customStyle="1" w:styleId="696">
    <w:name w:val="Body text|1"/>
    <w:basedOn w:val="1"/>
    <w:qFormat/>
    <w:uiPriority w:val="0"/>
    <w:pPr>
      <w:autoSpaceDE w:val="0"/>
      <w:autoSpaceDN w:val="0"/>
      <w:spacing w:after="330" w:line="480" w:lineRule="auto"/>
      <w:ind w:firstLine="400"/>
      <w:jc w:val="left"/>
    </w:pPr>
    <w:rPr>
      <w:rFonts w:ascii="宋体" w:hAnsi="宋体" w:cs="宋体"/>
      <w:kern w:val="0"/>
      <w:sz w:val="20"/>
      <w:szCs w:val="20"/>
      <w:lang w:val="zh-TW" w:eastAsia="zh-TW" w:bidi="zh-TW"/>
    </w:rPr>
  </w:style>
  <w:style w:type="paragraph" w:customStyle="1" w:styleId="697">
    <w:name w:val="Table caption|1"/>
    <w:basedOn w:val="1"/>
    <w:qFormat/>
    <w:uiPriority w:val="0"/>
    <w:pPr>
      <w:autoSpaceDE w:val="0"/>
      <w:autoSpaceDN w:val="0"/>
      <w:jc w:val="left"/>
    </w:pPr>
    <w:rPr>
      <w:rFonts w:ascii="宋体" w:hAnsi="宋体" w:cs="宋体"/>
      <w:b/>
      <w:bCs/>
      <w:kern w:val="0"/>
      <w:sz w:val="20"/>
      <w:szCs w:val="20"/>
      <w:lang w:val="zh-TW" w:eastAsia="zh-TW" w:bidi="zh-TW"/>
    </w:rPr>
  </w:style>
  <w:style w:type="paragraph" w:customStyle="1" w:styleId="698">
    <w:name w:val="Other|1"/>
    <w:basedOn w:val="1"/>
    <w:qFormat/>
    <w:uiPriority w:val="0"/>
    <w:pPr>
      <w:autoSpaceDE w:val="0"/>
      <w:autoSpaceDN w:val="0"/>
      <w:jc w:val="left"/>
    </w:pPr>
    <w:rPr>
      <w:rFonts w:ascii="宋体" w:hAnsi="宋体" w:cs="宋体"/>
      <w:kern w:val="0"/>
      <w:sz w:val="20"/>
      <w:szCs w:val="20"/>
      <w:lang w:val="zh-TW" w:eastAsia="zh-TW" w:bidi="zh-TW"/>
    </w:rPr>
  </w:style>
  <w:style w:type="paragraph" w:customStyle="1" w:styleId="699">
    <w:name w:val="Picture caption|1"/>
    <w:basedOn w:val="1"/>
    <w:qFormat/>
    <w:uiPriority w:val="0"/>
    <w:pPr>
      <w:autoSpaceDE w:val="0"/>
      <w:autoSpaceDN w:val="0"/>
      <w:jc w:val="left"/>
    </w:pPr>
    <w:rPr>
      <w:rFonts w:ascii="宋体" w:hAnsi="宋体" w:cs="宋体"/>
      <w:b/>
      <w:bCs/>
      <w:kern w:val="0"/>
      <w:sz w:val="20"/>
      <w:szCs w:val="20"/>
      <w:lang w:val="zh-TW" w:eastAsia="zh-TW" w:bidi="zh-TW"/>
    </w:rPr>
  </w:style>
  <w:style w:type="paragraph" w:customStyle="1" w:styleId="700">
    <w:name w:val="Heading #1|1"/>
    <w:basedOn w:val="1"/>
    <w:qFormat/>
    <w:uiPriority w:val="0"/>
    <w:pPr>
      <w:autoSpaceDE w:val="0"/>
      <w:autoSpaceDN w:val="0"/>
      <w:spacing w:after="300"/>
      <w:jc w:val="left"/>
      <w:outlineLvl w:val="0"/>
    </w:pPr>
    <w:rPr>
      <w:rFonts w:ascii="宋体" w:hAnsi="宋体" w:cs="宋体"/>
      <w:kern w:val="0"/>
      <w:sz w:val="28"/>
      <w:szCs w:val="28"/>
      <w:lang w:val="zh-TW" w:eastAsia="zh-TW" w:bidi="zh-TW"/>
    </w:rPr>
  </w:style>
  <w:style w:type="paragraph" w:customStyle="1" w:styleId="701">
    <w:name w:val="Heading #3|1"/>
    <w:basedOn w:val="1"/>
    <w:qFormat/>
    <w:uiPriority w:val="0"/>
    <w:pPr>
      <w:autoSpaceDE w:val="0"/>
      <w:autoSpaceDN w:val="0"/>
      <w:spacing w:after="200"/>
      <w:jc w:val="left"/>
      <w:outlineLvl w:val="2"/>
    </w:pPr>
    <w:rPr>
      <w:rFonts w:ascii="宋体" w:hAnsi="宋体" w:cs="宋体"/>
      <w:kern w:val="0"/>
      <w:sz w:val="28"/>
      <w:szCs w:val="28"/>
      <w:lang w:val="zh-TW" w:eastAsia="zh-TW" w:bidi="zh-TW"/>
    </w:rPr>
  </w:style>
  <w:style w:type="paragraph" w:customStyle="1" w:styleId="702">
    <w:name w:val="Header or footer|1"/>
    <w:basedOn w:val="1"/>
    <w:qFormat/>
    <w:uiPriority w:val="0"/>
    <w:pPr>
      <w:autoSpaceDE w:val="0"/>
      <w:autoSpaceDN w:val="0"/>
      <w:jc w:val="left"/>
    </w:pPr>
    <w:rPr>
      <w:rFonts w:ascii="宋体" w:hAnsi="宋体" w:cs="宋体"/>
      <w:kern w:val="0"/>
      <w:sz w:val="20"/>
      <w:szCs w:val="20"/>
      <w:lang w:val="zh-TW" w:eastAsia="zh-TW" w:bidi="zh-TW"/>
    </w:rPr>
  </w:style>
  <w:style w:type="character" w:customStyle="1" w:styleId="703">
    <w:name w:val="title-text"/>
    <w:basedOn w:val="57"/>
    <w:qFormat/>
    <w:uiPriority w:val="0"/>
  </w:style>
  <w:style w:type="table" w:customStyle="1" w:styleId="704">
    <w:name w:val="Table Normal"/>
    <w:semiHidden/>
    <w:unhideWhenUsed/>
    <w:qFormat/>
    <w:uiPriority w:val="2"/>
    <w:pPr>
      <w:widowControl w:val="0"/>
      <w:autoSpaceDE w:val="0"/>
      <w:autoSpaceDN w:val="0"/>
    </w:pPr>
    <w:rPr>
      <w:kern w:val="0"/>
      <w:sz w:val="22"/>
      <w:szCs w:val="20"/>
      <w:lang w:eastAsia="en-US"/>
    </w:rPr>
    <w:tblPr>
      <w:tblCellMar>
        <w:top w:w="0" w:type="dxa"/>
        <w:left w:w="0" w:type="dxa"/>
        <w:bottom w:w="0" w:type="dxa"/>
        <w:right w:w="0" w:type="dxa"/>
      </w:tblCellMar>
    </w:tblPr>
  </w:style>
  <w:style w:type="paragraph" w:customStyle="1" w:styleId="705">
    <w:name w:val="表中文字"/>
    <w:next w:val="1"/>
    <w:link w:val="706"/>
    <w:qFormat/>
    <w:uiPriority w:val="0"/>
    <w:pPr>
      <w:spacing w:line="360" w:lineRule="exact"/>
      <w:jc w:val="center"/>
    </w:pPr>
    <w:rPr>
      <w:rFonts w:ascii="Times New Roman" w:hAnsi="Times New Roman" w:eastAsia="宋体" w:cstheme="minorBidi"/>
      <w:color w:val="000000"/>
      <w:kern w:val="2"/>
      <w:sz w:val="21"/>
      <w:szCs w:val="24"/>
      <w:lang w:val="en-US" w:eastAsia="zh-CN" w:bidi="ar-SA"/>
    </w:rPr>
  </w:style>
  <w:style w:type="character" w:customStyle="1" w:styleId="706">
    <w:name w:val="表中文字 Char1"/>
    <w:basedOn w:val="57"/>
    <w:link w:val="705"/>
    <w:qFormat/>
    <w:uiPriority w:val="0"/>
    <w:rPr>
      <w:rFonts w:ascii="Times New Roman" w:hAnsi="Times New Roman" w:eastAsia="宋体"/>
      <w:color w:val="000000"/>
      <w:szCs w:val="24"/>
    </w:rPr>
  </w:style>
  <w:style w:type="paragraph" w:customStyle="1" w:styleId="707">
    <w:name w:val="表中文字X"/>
    <w:next w:val="1"/>
    <w:qFormat/>
    <w:uiPriority w:val="0"/>
    <w:pPr>
      <w:spacing w:line="340" w:lineRule="exact"/>
      <w:jc w:val="center"/>
    </w:pPr>
    <w:rPr>
      <w:rFonts w:ascii="Times New Roman" w:hAnsi="Times New Roman" w:eastAsia="宋体" w:cs="Times New Roman"/>
      <w:color w:val="000000"/>
      <w:kern w:val="2"/>
      <w:sz w:val="21"/>
      <w:szCs w:val="24"/>
      <w:lang w:val="en-US" w:eastAsia="zh-CN" w:bidi="ar-SA"/>
    </w:rPr>
  </w:style>
  <w:style w:type="paragraph" w:customStyle="1" w:styleId="708">
    <w:name w:val="表头"/>
    <w:basedOn w:val="1"/>
    <w:next w:val="1"/>
    <w:link w:val="709"/>
    <w:qFormat/>
    <w:uiPriority w:val="0"/>
    <w:pPr>
      <w:tabs>
        <w:tab w:val="left" w:pos="6840"/>
      </w:tabs>
      <w:topLinePunct/>
      <w:snapToGrid w:val="0"/>
      <w:spacing w:line="529" w:lineRule="exact"/>
      <w:jc w:val="center"/>
    </w:pPr>
    <w:rPr>
      <w:rFonts w:ascii="宋体" w:hAnsi="宋体" w:eastAsiaTheme="minorEastAsia" w:cstheme="minorBidi"/>
      <w:b/>
      <w:bCs/>
      <w:kern w:val="24"/>
      <w:sz w:val="24"/>
      <w:szCs w:val="28"/>
    </w:rPr>
  </w:style>
  <w:style w:type="character" w:customStyle="1" w:styleId="709">
    <w:name w:val="表头 Char"/>
    <w:link w:val="708"/>
    <w:qFormat/>
    <w:uiPriority w:val="0"/>
    <w:rPr>
      <w:rFonts w:ascii="宋体" w:hAnsi="宋体"/>
      <w:b/>
      <w:bCs/>
      <w:kern w:val="24"/>
      <w:sz w:val="24"/>
      <w:szCs w:val="28"/>
    </w:rPr>
  </w:style>
  <w:style w:type="character" w:customStyle="1" w:styleId="710">
    <w:name w:val="未处理的提及1"/>
    <w:basedOn w:val="57"/>
    <w:semiHidden/>
    <w:unhideWhenUsed/>
    <w:uiPriority w:val="99"/>
    <w:rPr>
      <w:color w:val="605E5C"/>
      <w:shd w:val="clear" w:color="auto" w:fill="E1DFDD"/>
    </w:rPr>
  </w:style>
  <w:style w:type="character" w:customStyle="1" w:styleId="711">
    <w:name w:val="Unresolved Mention"/>
    <w:basedOn w:val="57"/>
    <w:semiHidden/>
    <w:unhideWhenUsed/>
    <w:uiPriority w:val="99"/>
    <w:rPr>
      <w:color w:val="605E5C"/>
      <w:shd w:val="clear" w:color="auto" w:fill="E1DFDD"/>
    </w:rPr>
  </w:style>
  <w:style w:type="character" w:customStyle="1" w:styleId="712">
    <w:name w:val="表格后文字 字符"/>
    <w:link w:val="713"/>
    <w:qFormat/>
    <w:locked/>
    <w:uiPriority w:val="0"/>
    <w:rPr>
      <w:rFonts w:ascii="宋体" w:hAnsi="宋体" w:eastAsia="宋体" w:cs="宋体"/>
      <w:sz w:val="10"/>
      <w:szCs w:val="10"/>
    </w:rPr>
  </w:style>
  <w:style w:type="paragraph" w:customStyle="1" w:styleId="713">
    <w:name w:val="表格后文字"/>
    <w:basedOn w:val="488"/>
    <w:link w:val="712"/>
    <w:qFormat/>
    <w:uiPriority w:val="0"/>
    <w:pPr>
      <w:widowControl/>
      <w:spacing w:line="240" w:lineRule="auto"/>
      <w:ind w:firstLine="480"/>
    </w:pPr>
    <w:rPr>
      <w:rFonts w:eastAsia="宋体"/>
      <w:sz w:val="10"/>
      <w:szCs w:val="10"/>
    </w:rPr>
  </w:style>
  <w:style w:type="paragraph" w:customStyle="1" w:styleId="714">
    <w:name w:val="一级标题"/>
    <w:basedOn w:val="1"/>
    <w:qFormat/>
    <w:uiPriority w:val="0"/>
    <w:pPr>
      <w:pageBreakBefore/>
      <w:spacing w:line="360" w:lineRule="auto"/>
      <w:ind w:left="4961" w:hanging="4961"/>
      <w:jc w:val="center"/>
      <w:outlineLvl w:val="0"/>
    </w:pPr>
    <w:rPr>
      <w:rFonts w:asciiTheme="minorHAnsi" w:hAnsiTheme="minorHAnsi" w:eastAsiaTheme="minorEastAsia" w:cstheme="minorBidi"/>
      <w:b/>
      <w:color w:val="000000"/>
      <w:kern w:val="44"/>
      <w:sz w:val="36"/>
      <w:szCs w:val="36"/>
    </w:rPr>
  </w:style>
  <w:style w:type="character" w:customStyle="1" w:styleId="715">
    <w:name w:val="三级标题 字符"/>
    <w:qFormat/>
    <w:locked/>
    <w:uiPriority w:val="0"/>
    <w:rPr>
      <w:b/>
      <w:color w:val="000000"/>
      <w:kern w:val="44"/>
      <w:sz w:val="24"/>
      <w:szCs w:val="36"/>
    </w:rPr>
  </w:style>
  <w:style w:type="character" w:customStyle="1" w:styleId="716">
    <w:name w:val="表格内 字符"/>
    <w:link w:val="717"/>
    <w:qFormat/>
    <w:locked/>
    <w:uiPriority w:val="0"/>
    <w:rPr>
      <w:snapToGrid w:val="0"/>
      <w:szCs w:val="21"/>
    </w:rPr>
  </w:style>
  <w:style w:type="paragraph" w:customStyle="1" w:styleId="717">
    <w:name w:val="表格内"/>
    <w:basedOn w:val="1"/>
    <w:link w:val="716"/>
    <w:qFormat/>
    <w:uiPriority w:val="0"/>
    <w:pPr>
      <w:snapToGrid w:val="0"/>
      <w:jc w:val="center"/>
    </w:pPr>
    <w:rPr>
      <w:rFonts w:asciiTheme="minorHAnsi" w:hAnsiTheme="minorHAnsi" w:eastAsiaTheme="minorEastAsia" w:cstheme="minorBidi"/>
      <w:snapToGrid w:val="0"/>
      <w:szCs w:val="21"/>
    </w:rPr>
  </w:style>
  <w:style w:type="character" w:customStyle="1" w:styleId="718">
    <w:name w:val="二级标题 字符"/>
    <w:qFormat/>
    <w:locked/>
    <w:uiPriority w:val="0"/>
    <w:rPr>
      <w:b/>
      <w:color w:val="000000"/>
      <w:kern w:val="44"/>
      <w:sz w:val="28"/>
      <w:szCs w:val="36"/>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Microsoft_Visio_2003-2010___1.vsd"/><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customXml" Target="../customXml/item1.xml"/><Relationship Id="rId53" Type="http://schemas.openxmlformats.org/officeDocument/2006/relationships/image" Target="media/image39.jpeg"/><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footer" Target="footer2.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png"/><Relationship Id="rId42" Type="http://schemas.openxmlformats.org/officeDocument/2006/relationships/image" Target="media/image28.wmf"/><Relationship Id="rId41" Type="http://schemas.openxmlformats.org/officeDocument/2006/relationships/image" Target="media/image27.wmf"/><Relationship Id="rId40" Type="http://schemas.openxmlformats.org/officeDocument/2006/relationships/image" Target="media/image26.wmf"/><Relationship Id="rId4" Type="http://schemas.openxmlformats.org/officeDocument/2006/relationships/footer" Target="footer1.xml"/><Relationship Id="rId39" Type="http://schemas.openxmlformats.org/officeDocument/2006/relationships/image" Target="media/image25.wmf"/><Relationship Id="rId38" Type="http://schemas.openxmlformats.org/officeDocument/2006/relationships/image" Target="media/image24.wmf"/><Relationship Id="rId37" Type="http://schemas.openxmlformats.org/officeDocument/2006/relationships/image" Target="media/image23.wmf"/><Relationship Id="rId36" Type="http://schemas.openxmlformats.org/officeDocument/2006/relationships/image" Target="media/image22.wmf"/><Relationship Id="rId35" Type="http://schemas.openxmlformats.org/officeDocument/2006/relationships/image" Target="media/image21.wmf"/><Relationship Id="rId34" Type="http://schemas.openxmlformats.org/officeDocument/2006/relationships/image" Target="media/image20.wmf"/><Relationship Id="rId33" Type="http://schemas.openxmlformats.org/officeDocument/2006/relationships/image" Target="media/image19.wmf"/><Relationship Id="rId32" Type="http://schemas.openxmlformats.org/officeDocument/2006/relationships/image" Target="media/image18.wmf"/><Relationship Id="rId31" Type="http://schemas.openxmlformats.org/officeDocument/2006/relationships/image" Target="media/image17.wmf"/><Relationship Id="rId30" Type="http://schemas.openxmlformats.org/officeDocument/2006/relationships/image" Target="media/image16.wmf"/><Relationship Id="rId3" Type="http://schemas.openxmlformats.org/officeDocument/2006/relationships/header" Target="header1.xml"/><Relationship Id="rId29" Type="http://schemas.openxmlformats.org/officeDocument/2006/relationships/image" Target="media/image15.wmf"/><Relationship Id="rId28" Type="http://schemas.openxmlformats.org/officeDocument/2006/relationships/image" Target="media/image14.wmf"/><Relationship Id="rId27" Type="http://schemas.openxmlformats.org/officeDocument/2006/relationships/image" Target="media/image13.wmf"/><Relationship Id="rId26" Type="http://schemas.openxmlformats.org/officeDocument/2006/relationships/image" Target="media/image12.wmf"/><Relationship Id="rId25" Type="http://schemas.openxmlformats.org/officeDocument/2006/relationships/image" Target="media/image11.wmf"/><Relationship Id="rId24" Type="http://schemas.openxmlformats.org/officeDocument/2006/relationships/image" Target="media/image10.wmf"/><Relationship Id="rId23" Type="http://schemas.openxmlformats.org/officeDocument/2006/relationships/oleObject" Target="embeddings/oleObject5.bin"/><Relationship Id="rId22" Type="http://schemas.openxmlformats.org/officeDocument/2006/relationships/image" Target="media/image9.wmf"/><Relationship Id="rId21" Type="http://schemas.openxmlformats.org/officeDocument/2006/relationships/oleObject" Target="embeddings/oleObject4.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7.wmf"/><Relationship Id="rId17" Type="http://schemas.openxmlformats.org/officeDocument/2006/relationships/oleObject" Target="embeddings/oleObject2.bin"/><Relationship Id="rId16" Type="http://schemas.openxmlformats.org/officeDocument/2006/relationships/image" Target="media/image6.wmf"/><Relationship Id="rId15" Type="http://schemas.openxmlformats.org/officeDocument/2006/relationships/oleObject" Target="embeddings/oleObject1.bin"/><Relationship Id="rId14" Type="http://schemas.openxmlformats.org/officeDocument/2006/relationships/image" Target="media/image5.emf"/><Relationship Id="rId13" Type="http://schemas.openxmlformats.org/officeDocument/2006/relationships/package" Target="embeddings/Microsoft_Visio___3.vsdx"/><Relationship Id="rId12" Type="http://schemas.openxmlformats.org/officeDocument/2006/relationships/image" Target="media/image4.emf"/><Relationship Id="rId11" Type="http://schemas.openxmlformats.org/officeDocument/2006/relationships/package" Target="embeddings/Microsoft_Visio___2.vsdx"/><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F2F3BD-2B44-494E-991F-036BD79F7E7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146</Pages>
  <Words>18568</Words>
  <Characters>105840</Characters>
  <Lines>882</Lines>
  <Paragraphs>248</Paragraphs>
  <TotalTime>25601</TotalTime>
  <ScaleCrop>false</ScaleCrop>
  <LinksUpToDate>false</LinksUpToDate>
  <CharactersWithSpaces>124160</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2020-06-04T02:22:00Z</dcterms:created>
  <dc:creator>PC</dc:creator>
  <cp:lastModifiedBy>Administrator</cp:lastModifiedBy>
  <cp:lastPrinted>2023-09-14T02:58:00Z</cp:lastPrinted>
  <dcterms:modified xsi:type="dcterms:W3CDTF">2024-07-04T09:40:41Z</dcterms:modified>
  <cp:revision>1192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771CC4E6F8534F31BBAF11EEDB857ABE</vt:lpwstr>
  </property>
</Properties>
</file>