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sz w:val="30"/>
          <w:szCs w:val="30"/>
        </w:rPr>
      </w:pPr>
      <w:bookmarkStart w:id="0" w:name="_Toc175469002"/>
      <w:bookmarkStart w:id="1" w:name="_Toc209595447"/>
      <w:bookmarkStart w:id="2" w:name="_Toc215484934"/>
      <w:bookmarkStart w:id="3" w:name="_Toc324671604"/>
      <w:bookmarkStart w:id="4" w:name="_Toc370992969"/>
      <w:bookmarkStart w:id="5" w:name="_Toc11713"/>
      <w:bookmarkStart w:id="6" w:name="_Toc163373161"/>
      <w:bookmarkStart w:id="7" w:name="_Toc146967236"/>
      <w:bookmarkStart w:id="8" w:name="_Toc188349438"/>
      <w:bookmarkStart w:id="9" w:name="_Toc149705135"/>
      <w:r>
        <w:rPr>
          <w:rFonts w:eastAsia="黑体"/>
          <w:sz w:val="30"/>
          <w:szCs w:val="30"/>
        </w:rPr>
        <w:t>目录</w:t>
      </w:r>
    </w:p>
    <w:p>
      <w:pPr>
        <w:spacing w:line="360" w:lineRule="auto"/>
        <w:ind w:firstLine="480" w:firstLineChars="200"/>
        <w:jc w:val="center"/>
        <w:rPr>
          <w:sz w:val="24"/>
        </w:rPr>
      </w:pPr>
    </w:p>
    <w:p>
      <w:pPr>
        <w:pStyle w:val="39"/>
        <w:tabs>
          <w:tab w:val="right" w:leader="dot" w:pos="8211"/>
        </w:tabs>
        <w:spacing w:line="360" w:lineRule="auto"/>
        <w:ind w:firstLine="480"/>
        <w:rPr>
          <w:rFonts w:asciiTheme="minorHAnsi" w:eastAsiaTheme="minorEastAsia"/>
          <w:color w:val="auto"/>
          <w:szCs w:val="22"/>
          <w14:ligatures w14:val="standardContextual"/>
        </w:rPr>
      </w:pPr>
      <w:r>
        <w:rPr>
          <w:rStyle w:val="69"/>
          <w:rFonts w:ascii="Times New Roman" w:hAnsi="Times New Roman" w:cs="Times New Roman"/>
          <w:color w:val="auto"/>
        </w:rPr>
        <w:fldChar w:fldCharType="begin"/>
      </w:r>
      <w:r>
        <w:rPr>
          <w:rStyle w:val="69"/>
          <w:rFonts w:ascii="Times New Roman" w:hAnsi="Times New Roman" w:cs="Times New Roman"/>
          <w:color w:val="auto"/>
        </w:rPr>
        <w:instrText xml:space="preserve"> TOC \o "1-2" \h \z \u </w:instrText>
      </w:r>
      <w:r>
        <w:rPr>
          <w:rStyle w:val="69"/>
          <w:rFonts w:ascii="Times New Roman" w:hAnsi="Times New Roman" w:cs="Times New Roman"/>
          <w:color w:val="auto"/>
        </w:rPr>
        <w:fldChar w:fldCharType="separate"/>
      </w:r>
      <w:r>
        <w:fldChar w:fldCharType="begin"/>
      </w:r>
      <w:r>
        <w:instrText xml:space="preserve"> HYPERLINK \l "_Toc165386202" </w:instrText>
      </w:r>
      <w:r>
        <w:fldChar w:fldCharType="separate"/>
      </w:r>
      <w:r>
        <w:rPr>
          <w:rStyle w:val="69"/>
          <w:color w:val="auto"/>
        </w:rPr>
        <w:t>1 概述</w:t>
      </w:r>
      <w:r>
        <w:rPr>
          <w:color w:val="auto"/>
        </w:rPr>
        <w:tab/>
      </w:r>
      <w:r>
        <w:rPr>
          <w:color w:val="auto"/>
        </w:rPr>
        <w:fldChar w:fldCharType="begin"/>
      </w:r>
      <w:r>
        <w:rPr>
          <w:color w:val="auto"/>
        </w:rPr>
        <w:instrText xml:space="preserve"> PAGEREF _Toc165386202 \h </w:instrText>
      </w:r>
      <w:r>
        <w:rPr>
          <w:color w:val="auto"/>
        </w:rPr>
        <w:fldChar w:fldCharType="separate"/>
      </w:r>
      <w:r>
        <w:rPr>
          <w:color w:val="auto"/>
        </w:rPr>
        <w:t>1</w:t>
      </w:r>
      <w:r>
        <w:rPr>
          <w:color w:val="auto"/>
        </w:rPr>
        <w:fldChar w:fldCharType="end"/>
      </w:r>
      <w:r>
        <w:rPr>
          <w:color w:val="auto"/>
        </w:rPr>
        <w:fldChar w:fldCharType="end"/>
      </w:r>
    </w:p>
    <w:p>
      <w:pPr>
        <w:pStyle w:val="48"/>
        <w:tabs>
          <w:tab w:val="right" w:leader="dot" w:pos="8211"/>
        </w:tabs>
        <w:spacing w:line="360" w:lineRule="auto"/>
        <w:ind w:firstLine="420" w:firstLineChars="200"/>
        <w:rPr>
          <w:rFonts w:asciiTheme="minorHAnsi" w:hAnsiTheme="minorHAnsi" w:eastAsiaTheme="minorEastAsia" w:cstheme="minorBidi"/>
          <w:szCs w:val="22"/>
          <w14:ligatures w14:val="standardContextual"/>
        </w:rPr>
      </w:pPr>
      <w:r>
        <w:fldChar w:fldCharType="begin"/>
      </w:r>
      <w:r>
        <w:instrText xml:space="preserve"> HYPERLINK \l "_Toc165386203" </w:instrText>
      </w:r>
      <w:r>
        <w:fldChar w:fldCharType="separate"/>
      </w:r>
      <w:r>
        <w:rPr>
          <w:rStyle w:val="69"/>
          <w:rFonts w:ascii="Times New Roman" w:hAnsi="Times New Roman"/>
          <w:color w:val="auto"/>
        </w:rPr>
        <w:t>1.1 建设项目特点</w:t>
      </w:r>
      <w:r>
        <w:tab/>
      </w:r>
      <w:r>
        <w:fldChar w:fldCharType="begin"/>
      </w:r>
      <w:r>
        <w:instrText xml:space="preserve"> PAGEREF _Toc165386203 \h </w:instrText>
      </w:r>
      <w:r>
        <w:fldChar w:fldCharType="separate"/>
      </w:r>
      <w:r>
        <w:t>1</w:t>
      </w:r>
      <w:r>
        <w:fldChar w:fldCharType="end"/>
      </w:r>
      <w:r>
        <w:fldChar w:fldCharType="end"/>
      </w:r>
    </w:p>
    <w:p>
      <w:pPr>
        <w:pStyle w:val="48"/>
        <w:tabs>
          <w:tab w:val="right" w:leader="dot" w:pos="8211"/>
        </w:tabs>
        <w:spacing w:line="360" w:lineRule="auto"/>
        <w:ind w:firstLine="420" w:firstLineChars="200"/>
        <w:rPr>
          <w:rFonts w:asciiTheme="minorHAnsi" w:hAnsiTheme="minorHAnsi" w:eastAsiaTheme="minorEastAsia" w:cstheme="minorBidi"/>
          <w:szCs w:val="22"/>
          <w14:ligatures w14:val="standardContextual"/>
        </w:rPr>
      </w:pPr>
      <w:r>
        <w:fldChar w:fldCharType="begin"/>
      </w:r>
      <w:r>
        <w:instrText xml:space="preserve"> HYPERLINK \l "_Toc165386204" </w:instrText>
      </w:r>
      <w:r>
        <w:fldChar w:fldCharType="separate"/>
      </w:r>
      <w:r>
        <w:rPr>
          <w:rStyle w:val="69"/>
          <w:rFonts w:ascii="Times New Roman" w:hAnsi="Times New Roman"/>
          <w:color w:val="auto"/>
        </w:rPr>
        <w:t>1.2 环境影响评价的工作过程</w:t>
      </w:r>
      <w:r>
        <w:tab/>
      </w:r>
      <w:r>
        <w:fldChar w:fldCharType="begin"/>
      </w:r>
      <w:r>
        <w:instrText xml:space="preserve"> PAGEREF _Toc165386204 \h </w:instrText>
      </w:r>
      <w:r>
        <w:fldChar w:fldCharType="separate"/>
      </w:r>
      <w:r>
        <w:t>3</w:t>
      </w:r>
      <w:r>
        <w:fldChar w:fldCharType="end"/>
      </w:r>
      <w:r>
        <w:fldChar w:fldCharType="end"/>
      </w:r>
    </w:p>
    <w:p>
      <w:pPr>
        <w:pStyle w:val="48"/>
        <w:tabs>
          <w:tab w:val="right" w:leader="dot" w:pos="8211"/>
        </w:tabs>
        <w:spacing w:line="360" w:lineRule="auto"/>
        <w:ind w:firstLine="420" w:firstLineChars="200"/>
        <w:rPr>
          <w:rFonts w:asciiTheme="minorHAnsi" w:hAnsiTheme="minorHAnsi" w:eastAsiaTheme="minorEastAsia" w:cstheme="minorBidi"/>
          <w:szCs w:val="22"/>
          <w14:ligatures w14:val="standardContextual"/>
        </w:rPr>
      </w:pPr>
      <w:r>
        <w:fldChar w:fldCharType="begin"/>
      </w:r>
      <w:r>
        <w:instrText xml:space="preserve"> HYPERLINK \l "_Toc165386205" </w:instrText>
      </w:r>
      <w:r>
        <w:fldChar w:fldCharType="separate"/>
      </w:r>
      <w:r>
        <w:rPr>
          <w:rStyle w:val="69"/>
          <w:rFonts w:ascii="Times New Roman" w:hAnsi="Times New Roman"/>
          <w:color w:val="auto"/>
        </w:rPr>
        <w:t>1.3 分析判定相关情况</w:t>
      </w:r>
      <w:r>
        <w:tab/>
      </w:r>
      <w:r>
        <w:fldChar w:fldCharType="begin"/>
      </w:r>
      <w:r>
        <w:instrText xml:space="preserve"> PAGEREF _Toc165386205 \h </w:instrText>
      </w:r>
      <w:r>
        <w:fldChar w:fldCharType="separate"/>
      </w:r>
      <w:r>
        <w:t>5</w:t>
      </w:r>
      <w:r>
        <w:fldChar w:fldCharType="end"/>
      </w:r>
      <w:r>
        <w:fldChar w:fldCharType="end"/>
      </w:r>
    </w:p>
    <w:p>
      <w:pPr>
        <w:pStyle w:val="48"/>
        <w:tabs>
          <w:tab w:val="right" w:leader="dot" w:pos="8211"/>
        </w:tabs>
        <w:spacing w:line="360" w:lineRule="auto"/>
        <w:ind w:firstLine="420" w:firstLineChars="200"/>
        <w:rPr>
          <w:rFonts w:asciiTheme="minorHAnsi" w:hAnsiTheme="minorHAnsi" w:eastAsiaTheme="minorEastAsia" w:cstheme="minorBidi"/>
          <w:szCs w:val="22"/>
          <w14:ligatures w14:val="standardContextual"/>
        </w:rPr>
      </w:pPr>
      <w:r>
        <w:fldChar w:fldCharType="begin"/>
      </w:r>
      <w:r>
        <w:instrText xml:space="preserve"> HYPERLINK \l "_Toc165386206" </w:instrText>
      </w:r>
      <w:r>
        <w:fldChar w:fldCharType="separate"/>
      </w:r>
      <w:r>
        <w:rPr>
          <w:rStyle w:val="69"/>
          <w:rFonts w:ascii="Times New Roman" w:hAnsi="Times New Roman"/>
          <w:color w:val="auto"/>
        </w:rPr>
        <w:t>1.4 关注的主要环境问题及环境影响</w:t>
      </w:r>
      <w:r>
        <w:tab/>
      </w:r>
      <w:r>
        <w:fldChar w:fldCharType="begin"/>
      </w:r>
      <w:r>
        <w:instrText xml:space="preserve"> PAGEREF _Toc165386206 \h </w:instrText>
      </w:r>
      <w:r>
        <w:fldChar w:fldCharType="separate"/>
      </w:r>
      <w:r>
        <w:t>30</w:t>
      </w:r>
      <w:r>
        <w:fldChar w:fldCharType="end"/>
      </w:r>
      <w:r>
        <w:fldChar w:fldCharType="end"/>
      </w:r>
    </w:p>
    <w:p>
      <w:pPr>
        <w:pStyle w:val="48"/>
        <w:tabs>
          <w:tab w:val="right" w:leader="dot" w:pos="8211"/>
        </w:tabs>
        <w:spacing w:line="360" w:lineRule="auto"/>
        <w:ind w:firstLine="420" w:firstLineChars="200"/>
        <w:rPr>
          <w:rFonts w:asciiTheme="minorHAnsi" w:hAnsiTheme="minorHAnsi" w:eastAsiaTheme="minorEastAsia" w:cstheme="minorBidi"/>
          <w:szCs w:val="22"/>
          <w14:ligatures w14:val="standardContextual"/>
        </w:rPr>
      </w:pPr>
      <w:r>
        <w:fldChar w:fldCharType="begin"/>
      </w:r>
      <w:r>
        <w:instrText xml:space="preserve"> HYPERLINK \l "_Toc165386207" </w:instrText>
      </w:r>
      <w:r>
        <w:fldChar w:fldCharType="separate"/>
      </w:r>
      <w:r>
        <w:rPr>
          <w:rStyle w:val="69"/>
          <w:rFonts w:ascii="Times New Roman" w:hAnsi="Times New Roman"/>
          <w:color w:val="auto"/>
        </w:rPr>
        <w:t>1.5 环境影响报告书的主要结论</w:t>
      </w:r>
      <w:r>
        <w:tab/>
      </w:r>
      <w:r>
        <w:fldChar w:fldCharType="begin"/>
      </w:r>
      <w:r>
        <w:instrText xml:space="preserve"> PAGEREF _Toc165386207 \h </w:instrText>
      </w:r>
      <w:r>
        <w:fldChar w:fldCharType="separate"/>
      </w:r>
      <w:r>
        <w:t>30</w:t>
      </w:r>
      <w:r>
        <w:fldChar w:fldCharType="end"/>
      </w:r>
      <w:r>
        <w:fldChar w:fldCharType="end"/>
      </w:r>
    </w:p>
    <w:p>
      <w:pPr>
        <w:pStyle w:val="39"/>
        <w:tabs>
          <w:tab w:val="right" w:leader="dot" w:pos="8211"/>
        </w:tabs>
        <w:spacing w:line="360" w:lineRule="auto"/>
        <w:rPr>
          <w:rFonts w:asciiTheme="minorHAnsi" w:eastAsiaTheme="minorEastAsia"/>
          <w:color w:val="auto"/>
          <w:szCs w:val="22"/>
          <w14:ligatures w14:val="standardContextual"/>
        </w:rPr>
      </w:pPr>
      <w:r>
        <w:fldChar w:fldCharType="begin"/>
      </w:r>
      <w:r>
        <w:instrText xml:space="preserve"> HYPERLINK \l "_Toc165386208" </w:instrText>
      </w:r>
      <w:r>
        <w:fldChar w:fldCharType="separate"/>
      </w:r>
      <w:r>
        <w:rPr>
          <w:rStyle w:val="69"/>
          <w:color w:val="auto"/>
        </w:rPr>
        <w:t>2  总则</w:t>
      </w:r>
      <w:r>
        <w:rPr>
          <w:color w:val="auto"/>
        </w:rPr>
        <w:tab/>
      </w:r>
      <w:r>
        <w:rPr>
          <w:color w:val="auto"/>
        </w:rPr>
        <w:fldChar w:fldCharType="begin"/>
      </w:r>
      <w:r>
        <w:rPr>
          <w:color w:val="auto"/>
        </w:rPr>
        <w:instrText xml:space="preserve"> PAGEREF _Toc165386208 \h </w:instrText>
      </w:r>
      <w:r>
        <w:rPr>
          <w:color w:val="auto"/>
        </w:rPr>
        <w:fldChar w:fldCharType="separate"/>
      </w:r>
      <w:r>
        <w:rPr>
          <w:color w:val="auto"/>
        </w:rPr>
        <w:t>32</w:t>
      </w:r>
      <w:r>
        <w:rPr>
          <w:color w:val="auto"/>
        </w:rPr>
        <w:fldChar w:fldCharType="end"/>
      </w:r>
      <w:r>
        <w:rPr>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"_Toc165386209" </w:instrText>
      </w:r>
      <w:r>
        <w:fldChar w:fldCharType="separate"/>
      </w:r>
      <w:r>
        <w:rPr>
          <w:rStyle w:val="69"/>
          <w:rFonts w:ascii="Times New Roman" w:hAnsi="Times New Roman"/>
          <w:color w:val="auto"/>
        </w:rPr>
        <w:t>2.1 编制依据</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_Toc165386209 \h </w:instrText>
      </w:r>
      <w:r>
        <w:rPr>
          <w:rStyle w:val="69"/>
          <w:rFonts w:ascii="Times New Roman" w:hAnsi="Times New Roman"/>
          <w:color w:val="auto"/>
        </w:rPr>
        <w:fldChar w:fldCharType="separate"/>
      </w:r>
      <w:r>
        <w:rPr>
          <w:rStyle w:val="69"/>
          <w:rFonts w:ascii="Times New Roman" w:hAnsi="Times New Roman"/>
          <w:color w:val="auto"/>
        </w:rPr>
        <w:t>32</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"_Toc165386210" </w:instrText>
      </w:r>
      <w:r>
        <w:fldChar w:fldCharType="separate"/>
      </w:r>
      <w:r>
        <w:rPr>
          <w:rStyle w:val="69"/>
          <w:rFonts w:ascii="Times New Roman" w:hAnsi="Times New Roman"/>
          <w:color w:val="auto"/>
        </w:rPr>
        <w:t>2.2 评价目的与原则</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_Toc165386210 \h </w:instrText>
      </w:r>
      <w:r>
        <w:rPr>
          <w:rStyle w:val="69"/>
          <w:rFonts w:ascii="Times New Roman" w:hAnsi="Times New Roman"/>
          <w:color w:val="auto"/>
        </w:rPr>
        <w:fldChar w:fldCharType="separate"/>
      </w:r>
      <w:r>
        <w:rPr>
          <w:rStyle w:val="69"/>
          <w:rFonts w:ascii="Times New Roman" w:hAnsi="Times New Roman"/>
          <w:color w:val="auto"/>
        </w:rPr>
        <w:t>35</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"_Toc165386211" </w:instrText>
      </w:r>
      <w:r>
        <w:fldChar w:fldCharType="separate"/>
      </w:r>
      <w:r>
        <w:rPr>
          <w:rStyle w:val="69"/>
          <w:rFonts w:ascii="Times New Roman" w:hAnsi="Times New Roman"/>
          <w:color w:val="auto"/>
        </w:rPr>
        <w:t>2.3 环境影响识别及评价因子变化</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_Toc165386211 \h </w:instrText>
      </w:r>
      <w:r>
        <w:rPr>
          <w:rStyle w:val="69"/>
          <w:rFonts w:ascii="Times New Roman" w:hAnsi="Times New Roman"/>
          <w:color w:val="auto"/>
        </w:rPr>
        <w:fldChar w:fldCharType="separate"/>
      </w:r>
      <w:r>
        <w:rPr>
          <w:rStyle w:val="69"/>
          <w:rFonts w:ascii="Times New Roman" w:hAnsi="Times New Roman"/>
          <w:color w:val="auto"/>
        </w:rPr>
        <w:t>36</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"_Toc165386212" </w:instrText>
      </w:r>
      <w:r>
        <w:fldChar w:fldCharType="separate"/>
      </w:r>
      <w:r>
        <w:rPr>
          <w:rStyle w:val="69"/>
          <w:rFonts w:ascii="Times New Roman" w:hAnsi="Times New Roman"/>
          <w:color w:val="auto"/>
        </w:rPr>
        <w:t>2.4 环境功能区划及评价标准</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_Toc165386212 \h </w:instrText>
      </w:r>
      <w:r>
        <w:rPr>
          <w:rStyle w:val="69"/>
          <w:rFonts w:ascii="Times New Roman" w:hAnsi="Times New Roman"/>
          <w:color w:val="auto"/>
        </w:rPr>
        <w:fldChar w:fldCharType="separate"/>
      </w:r>
      <w:r>
        <w:rPr>
          <w:rStyle w:val="69"/>
          <w:rFonts w:ascii="Times New Roman" w:hAnsi="Times New Roman"/>
          <w:color w:val="auto"/>
        </w:rPr>
        <w:t>37</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"_Toc165386213" </w:instrText>
      </w:r>
      <w:r>
        <w:fldChar w:fldCharType="separate"/>
      </w:r>
      <w:r>
        <w:rPr>
          <w:rStyle w:val="69"/>
          <w:rFonts w:ascii="Times New Roman" w:hAnsi="Times New Roman"/>
          <w:color w:val="auto"/>
        </w:rPr>
        <w:t>2.5 评价等级与评价范围</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_Toc165386213 \h </w:instrText>
      </w:r>
      <w:r>
        <w:rPr>
          <w:rStyle w:val="69"/>
          <w:rFonts w:ascii="Times New Roman" w:hAnsi="Times New Roman"/>
          <w:color w:val="auto"/>
        </w:rPr>
        <w:fldChar w:fldCharType="separate"/>
      </w:r>
      <w:r>
        <w:rPr>
          <w:rStyle w:val="69"/>
          <w:rFonts w:ascii="Times New Roman" w:hAnsi="Times New Roman"/>
          <w:color w:val="auto"/>
        </w:rPr>
        <w:t>41</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"_Toc165386214" </w:instrText>
      </w:r>
      <w:r>
        <w:fldChar w:fldCharType="separate"/>
      </w:r>
      <w:r>
        <w:rPr>
          <w:rStyle w:val="69"/>
          <w:rFonts w:ascii="Times New Roman" w:hAnsi="Times New Roman"/>
          <w:color w:val="auto"/>
        </w:rPr>
        <w:t>2.6 环境保护目标</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_Toc165386214 \h </w:instrText>
      </w:r>
      <w:r>
        <w:rPr>
          <w:rStyle w:val="69"/>
          <w:rFonts w:ascii="Times New Roman" w:hAnsi="Times New Roman"/>
          <w:color w:val="auto"/>
        </w:rPr>
        <w:fldChar w:fldCharType="separate"/>
      </w:r>
      <w:r>
        <w:rPr>
          <w:rStyle w:val="69"/>
          <w:rFonts w:ascii="Times New Roman" w:hAnsi="Times New Roman"/>
          <w:color w:val="auto"/>
        </w:rPr>
        <w:t>49</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Fonts w:asciiTheme="minorHAnsi" w:eastAsiaTheme="minorEastAsia"/>
          <w:color w:val="auto"/>
          <w:szCs w:val="22"/>
          <w14:ligatures w14:val="standardContextual"/>
        </w:rPr>
      </w:pPr>
      <w:r>
        <w:fldChar w:fldCharType="begin"/>
      </w:r>
      <w:r>
        <w:instrText xml:space="preserve"> HYPERLINK \l "_Toc165386215" </w:instrText>
      </w:r>
      <w:r>
        <w:fldChar w:fldCharType="separate"/>
      </w:r>
      <w:r>
        <w:rPr>
          <w:rStyle w:val="69"/>
          <w:color w:val="auto"/>
        </w:rPr>
        <w:t>3  现有工程概况</w:t>
      </w:r>
      <w:r>
        <w:rPr>
          <w:color w:val="auto"/>
        </w:rPr>
        <w:tab/>
      </w:r>
      <w:r>
        <w:rPr>
          <w:color w:val="auto"/>
        </w:rPr>
        <w:fldChar w:fldCharType="begin"/>
      </w:r>
      <w:r>
        <w:rPr>
          <w:color w:val="auto"/>
        </w:rPr>
        <w:instrText xml:space="preserve"> PAGEREF _Toc165386215 \h </w:instrText>
      </w:r>
      <w:r>
        <w:rPr>
          <w:color w:val="auto"/>
        </w:rPr>
        <w:fldChar w:fldCharType="separate"/>
      </w:r>
      <w:r>
        <w:rPr>
          <w:color w:val="auto"/>
        </w:rPr>
        <w:t>50</w:t>
      </w:r>
      <w:r>
        <w:rPr>
          <w:color w:val="auto"/>
        </w:rPr>
        <w:fldChar w:fldCharType="end"/>
      </w:r>
      <w:r>
        <w:rPr>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"_Toc165386216" </w:instrText>
      </w:r>
      <w:r>
        <w:fldChar w:fldCharType="separate"/>
      </w:r>
      <w:r>
        <w:rPr>
          <w:rStyle w:val="69"/>
          <w:rFonts w:ascii="Times New Roman" w:hAnsi="Times New Roman"/>
          <w:color w:val="auto"/>
        </w:rPr>
        <w:t>3.1 现有工程基本概况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_Toc165386216 \h </w:instrText>
      </w:r>
      <w:r>
        <w:rPr>
          <w:rStyle w:val="69"/>
          <w:rFonts w:ascii="Times New Roman" w:hAnsi="Times New Roman"/>
          <w:color w:val="auto"/>
        </w:rPr>
        <w:fldChar w:fldCharType="separate"/>
      </w:r>
      <w:r>
        <w:rPr>
          <w:rStyle w:val="69"/>
          <w:rFonts w:ascii="Times New Roman" w:hAnsi="Times New Roman"/>
          <w:color w:val="auto"/>
        </w:rPr>
        <w:t>50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"_Toc165386217" </w:instrText>
      </w:r>
      <w:r>
        <w:fldChar w:fldCharType="separate"/>
      </w:r>
      <w:r>
        <w:rPr>
          <w:rStyle w:val="69"/>
          <w:rFonts w:ascii="Times New Roman" w:hAnsi="Times New Roman"/>
          <w:color w:val="auto"/>
        </w:rPr>
        <w:t>3.2 现有工程环保手续履行情况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_Toc165386217 \h </w:instrText>
      </w:r>
      <w:r>
        <w:rPr>
          <w:rStyle w:val="69"/>
          <w:rFonts w:ascii="Times New Roman" w:hAnsi="Times New Roman"/>
          <w:color w:val="auto"/>
        </w:rPr>
        <w:fldChar w:fldCharType="separate"/>
      </w:r>
      <w:r>
        <w:rPr>
          <w:rStyle w:val="69"/>
          <w:rFonts w:ascii="Times New Roman" w:hAnsi="Times New Roman"/>
          <w:color w:val="auto"/>
        </w:rPr>
        <w:t>52</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"_Toc165386218" </w:instrText>
      </w:r>
      <w:r>
        <w:fldChar w:fldCharType="separate"/>
      </w:r>
      <w:r>
        <w:rPr>
          <w:rStyle w:val="69"/>
          <w:rFonts w:ascii="Times New Roman" w:hAnsi="Times New Roman"/>
          <w:color w:val="auto"/>
        </w:rPr>
        <w:t>3.3 现有工程污染物排放情况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_Toc165386218 \h </w:instrText>
      </w:r>
      <w:r>
        <w:rPr>
          <w:rStyle w:val="69"/>
          <w:rFonts w:ascii="Times New Roman" w:hAnsi="Times New Roman"/>
          <w:color w:val="auto"/>
        </w:rPr>
        <w:fldChar w:fldCharType="separate"/>
      </w:r>
      <w:r>
        <w:rPr>
          <w:rStyle w:val="69"/>
          <w:rFonts w:ascii="Times New Roman" w:hAnsi="Times New Roman"/>
          <w:color w:val="auto"/>
        </w:rPr>
        <w:t>52</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"_Toc165386219" </w:instrText>
      </w:r>
      <w:r>
        <w:fldChar w:fldCharType="separate"/>
      </w:r>
      <w:r>
        <w:rPr>
          <w:rStyle w:val="69"/>
          <w:rFonts w:ascii="Times New Roman" w:hAnsi="Times New Roman"/>
          <w:color w:val="auto"/>
        </w:rPr>
        <w:t>3.4 现有工程总量控制指标</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_Toc165386219 \h </w:instrText>
      </w:r>
      <w:r>
        <w:rPr>
          <w:rStyle w:val="69"/>
          <w:rFonts w:ascii="Times New Roman" w:hAnsi="Times New Roman"/>
          <w:color w:val="auto"/>
        </w:rPr>
        <w:fldChar w:fldCharType="separate"/>
      </w:r>
      <w:r>
        <w:rPr>
          <w:rStyle w:val="69"/>
          <w:rFonts w:ascii="Times New Roman" w:hAnsi="Times New Roman"/>
          <w:color w:val="auto"/>
        </w:rPr>
        <w:t>55</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"_Toc165386220" </w:instrText>
      </w:r>
      <w:r>
        <w:fldChar w:fldCharType="separate"/>
      </w:r>
      <w:r>
        <w:rPr>
          <w:rStyle w:val="69"/>
          <w:rFonts w:ascii="Times New Roman" w:hAnsi="Times New Roman"/>
          <w:color w:val="auto"/>
        </w:rPr>
        <w:t>3.5 现有工程存在的主要环境问题及整改措施</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_Toc165386220 \h </w:instrText>
      </w:r>
      <w:r>
        <w:rPr>
          <w:rStyle w:val="69"/>
          <w:rFonts w:ascii="Times New Roman" w:hAnsi="Times New Roman"/>
          <w:color w:val="auto"/>
        </w:rPr>
        <w:fldChar w:fldCharType="separate"/>
      </w:r>
      <w:r>
        <w:rPr>
          <w:rStyle w:val="69"/>
          <w:rFonts w:ascii="Times New Roman" w:hAnsi="Times New Roman"/>
          <w:color w:val="auto"/>
        </w:rPr>
        <w:t>55</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Fonts w:asciiTheme="minorHAnsi" w:eastAsiaTheme="minorEastAsia"/>
          <w:color w:val="auto"/>
          <w:szCs w:val="22"/>
          <w14:ligatures w14:val="standardContextual"/>
        </w:rPr>
      </w:pPr>
      <w:r>
        <w:fldChar w:fldCharType="begin"/>
      </w:r>
      <w:r>
        <w:instrText xml:space="preserve"> HYPERLINK \l "_Toc165386221" </w:instrText>
      </w:r>
      <w:r>
        <w:fldChar w:fldCharType="separate"/>
      </w:r>
      <w:r>
        <w:rPr>
          <w:rStyle w:val="69"/>
          <w:color w:val="auto"/>
        </w:rPr>
        <w:t>4  建设项目工程分析</w:t>
      </w:r>
      <w:r>
        <w:rPr>
          <w:color w:val="auto"/>
        </w:rPr>
        <w:tab/>
      </w:r>
      <w:r>
        <w:rPr>
          <w:color w:val="auto"/>
        </w:rPr>
        <w:fldChar w:fldCharType="begin"/>
      </w:r>
      <w:r>
        <w:rPr>
          <w:color w:val="auto"/>
        </w:rPr>
        <w:instrText xml:space="preserve"> PAGEREF _Toc165386221 \h </w:instrText>
      </w:r>
      <w:r>
        <w:rPr>
          <w:color w:val="auto"/>
        </w:rPr>
        <w:fldChar w:fldCharType="separate"/>
      </w:r>
      <w:r>
        <w:rPr>
          <w:color w:val="auto"/>
        </w:rPr>
        <w:t>57</w:t>
      </w:r>
      <w:r>
        <w:rPr>
          <w:color w:val="auto"/>
        </w:rPr>
        <w:fldChar w:fldCharType="end"/>
      </w:r>
      <w:r>
        <w:rPr>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"_Toc165386222" </w:instrText>
      </w:r>
      <w:r>
        <w:fldChar w:fldCharType="separate"/>
      </w:r>
      <w:r>
        <w:rPr>
          <w:rStyle w:val="69"/>
          <w:rFonts w:ascii="Times New Roman" w:hAnsi="Times New Roman"/>
          <w:color w:val="auto"/>
        </w:rPr>
        <w:t>4.1 项目概况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_Toc165386222 \h </w:instrText>
      </w:r>
      <w:r>
        <w:rPr>
          <w:rStyle w:val="69"/>
          <w:rFonts w:ascii="Times New Roman" w:hAnsi="Times New Roman"/>
          <w:color w:val="auto"/>
        </w:rPr>
        <w:fldChar w:fldCharType="separate"/>
      </w:r>
      <w:r>
        <w:rPr>
          <w:rStyle w:val="69"/>
          <w:rFonts w:ascii="Times New Roman" w:hAnsi="Times New Roman"/>
          <w:color w:val="auto"/>
        </w:rPr>
        <w:t>57</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"_Toc165386223" </w:instrText>
      </w:r>
      <w:r>
        <w:fldChar w:fldCharType="separate"/>
      </w:r>
      <w:r>
        <w:rPr>
          <w:rStyle w:val="69"/>
          <w:rFonts w:ascii="Times New Roman" w:hAnsi="Times New Roman"/>
          <w:color w:val="auto"/>
        </w:rPr>
        <w:t>4.2 工程分析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_Toc165386223 \h </w:instrText>
      </w:r>
      <w:r>
        <w:rPr>
          <w:rStyle w:val="69"/>
          <w:rFonts w:ascii="Times New Roman" w:hAnsi="Times New Roman"/>
          <w:color w:val="auto"/>
        </w:rPr>
        <w:fldChar w:fldCharType="separate"/>
      </w:r>
      <w:r>
        <w:rPr>
          <w:rStyle w:val="69"/>
          <w:rFonts w:ascii="Times New Roman" w:hAnsi="Times New Roman"/>
          <w:color w:val="auto"/>
        </w:rPr>
        <w:t>65</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"_Toc165386224" </w:instrText>
      </w:r>
      <w:r>
        <w:fldChar w:fldCharType="separate"/>
      </w:r>
      <w:r>
        <w:rPr>
          <w:rStyle w:val="69"/>
          <w:rFonts w:ascii="Times New Roman" w:hAnsi="Times New Roman"/>
          <w:color w:val="auto"/>
        </w:rPr>
        <w:t>4.3 平衡分析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_Toc165386224 \h </w:instrText>
      </w:r>
      <w:r>
        <w:rPr>
          <w:rStyle w:val="69"/>
          <w:rFonts w:ascii="Times New Roman" w:hAnsi="Times New Roman"/>
          <w:color w:val="auto"/>
        </w:rPr>
        <w:fldChar w:fldCharType="separate"/>
      </w:r>
      <w:r>
        <w:rPr>
          <w:rStyle w:val="69"/>
          <w:rFonts w:ascii="Times New Roman" w:hAnsi="Times New Roman"/>
          <w:color w:val="auto"/>
        </w:rPr>
        <w:t>71</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"_Toc165386225" </w:instrText>
      </w:r>
      <w:r>
        <w:fldChar w:fldCharType="separate"/>
      </w:r>
      <w:r>
        <w:rPr>
          <w:rStyle w:val="69"/>
          <w:rFonts w:ascii="Times New Roman" w:hAnsi="Times New Roman"/>
          <w:color w:val="auto"/>
        </w:rPr>
        <w:t>4.4 主要污染源及污染物分析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_Toc165386225 \h </w:instrText>
      </w:r>
      <w:r>
        <w:rPr>
          <w:rStyle w:val="69"/>
          <w:rFonts w:ascii="Times New Roman" w:hAnsi="Times New Roman"/>
          <w:color w:val="auto"/>
        </w:rPr>
        <w:fldChar w:fldCharType="separate"/>
      </w:r>
      <w:r>
        <w:rPr>
          <w:rStyle w:val="69"/>
          <w:rFonts w:ascii="Times New Roman" w:hAnsi="Times New Roman"/>
          <w:color w:val="auto"/>
        </w:rPr>
        <w:t>75</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"_Toc165386226" </w:instrText>
      </w:r>
      <w:r>
        <w:fldChar w:fldCharType="separate"/>
      </w:r>
      <w:r>
        <w:rPr>
          <w:rStyle w:val="69"/>
          <w:rFonts w:ascii="Times New Roman" w:hAnsi="Times New Roman"/>
          <w:color w:val="auto"/>
        </w:rPr>
        <w:t>4.5 改扩建项目“三本账”分析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_Toc165386226 \h </w:instrText>
      </w:r>
      <w:r>
        <w:rPr>
          <w:rStyle w:val="69"/>
          <w:rFonts w:ascii="Times New Roman" w:hAnsi="Times New Roman"/>
          <w:color w:val="auto"/>
        </w:rPr>
        <w:fldChar w:fldCharType="separate"/>
      </w:r>
      <w:r>
        <w:rPr>
          <w:rStyle w:val="69"/>
          <w:rFonts w:ascii="Times New Roman" w:hAnsi="Times New Roman"/>
          <w:color w:val="auto"/>
        </w:rPr>
        <w:t>93</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"_Toc165386227" </w:instrText>
      </w:r>
      <w:r>
        <w:fldChar w:fldCharType="separate"/>
      </w:r>
      <w:r>
        <w:rPr>
          <w:rStyle w:val="69"/>
          <w:rFonts w:ascii="Times New Roman" w:hAnsi="Times New Roman"/>
          <w:color w:val="auto"/>
        </w:rPr>
        <w:t>4.6 清洁生产</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_Toc165386227 \h </w:instrText>
      </w:r>
      <w:r>
        <w:rPr>
          <w:rStyle w:val="69"/>
          <w:rFonts w:ascii="Times New Roman" w:hAnsi="Times New Roman"/>
          <w:color w:val="auto"/>
        </w:rPr>
        <w:fldChar w:fldCharType="separate"/>
      </w:r>
      <w:r>
        <w:rPr>
          <w:rStyle w:val="69"/>
          <w:rFonts w:ascii="Times New Roman" w:hAnsi="Times New Roman"/>
          <w:color w:val="auto"/>
        </w:rPr>
        <w:t>93</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"_Toc165386228" </w:instrText>
      </w:r>
      <w:r>
        <w:fldChar w:fldCharType="separate"/>
      </w:r>
      <w:r>
        <w:rPr>
          <w:rStyle w:val="69"/>
          <w:rFonts w:ascii="Times New Roman" w:hAnsi="Times New Roman"/>
          <w:color w:val="auto"/>
        </w:rPr>
        <w:t>4.7 总量控制</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_Toc165386228 \h </w:instrText>
      </w:r>
      <w:r>
        <w:rPr>
          <w:rStyle w:val="69"/>
          <w:rFonts w:ascii="Times New Roman" w:hAnsi="Times New Roman"/>
          <w:color w:val="auto"/>
        </w:rPr>
        <w:fldChar w:fldCharType="separate"/>
      </w:r>
      <w:r>
        <w:rPr>
          <w:rStyle w:val="69"/>
          <w:rFonts w:ascii="Times New Roman" w:hAnsi="Times New Roman"/>
          <w:color w:val="auto"/>
        </w:rPr>
        <w:t>98</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"_Toc165386229" </w:instrText>
      </w:r>
      <w:r>
        <w:fldChar w:fldCharType="separate"/>
      </w:r>
      <w:r>
        <w:rPr>
          <w:rStyle w:val="69"/>
          <w:rFonts w:ascii="Times New Roman" w:hAnsi="Times New Roman"/>
          <w:color w:val="auto"/>
        </w:rPr>
        <w:t>5  环境现状</w:t>
      </w:r>
      <w:r>
        <w:rPr>
          <w:rStyle w:val="69"/>
          <w:color w:val="auto"/>
        </w:rPr>
        <w:t>调查</w:t>
      </w:r>
      <w:r>
        <w:rPr>
          <w:rStyle w:val="69"/>
          <w:rFonts w:ascii="Times New Roman" w:hAnsi="Times New Roman"/>
          <w:color w:val="auto"/>
        </w:rPr>
        <w:t>与评价</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_Toc165386229 \h </w:instrText>
      </w:r>
      <w:r>
        <w:rPr>
          <w:rStyle w:val="69"/>
          <w:rFonts w:ascii="Times New Roman" w:hAnsi="Times New Roman"/>
          <w:color w:val="auto"/>
        </w:rPr>
        <w:fldChar w:fldCharType="separate"/>
      </w:r>
      <w:r>
        <w:rPr>
          <w:rStyle w:val="69"/>
          <w:rFonts w:ascii="Times New Roman" w:hAnsi="Times New Roman"/>
          <w:color w:val="auto"/>
        </w:rPr>
        <w:t>100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"_Toc165386230" </w:instrText>
      </w:r>
      <w:r>
        <w:fldChar w:fldCharType="separate"/>
      </w:r>
      <w:r>
        <w:rPr>
          <w:rStyle w:val="69"/>
          <w:rFonts w:ascii="Times New Roman" w:hAnsi="Times New Roman"/>
          <w:color w:val="auto"/>
        </w:rPr>
        <w:t>5.1 自然环境概况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_Toc165386230 \h </w:instrText>
      </w:r>
      <w:r>
        <w:rPr>
          <w:rStyle w:val="69"/>
          <w:rFonts w:ascii="Times New Roman" w:hAnsi="Times New Roman"/>
          <w:color w:val="auto"/>
        </w:rPr>
        <w:fldChar w:fldCharType="separate"/>
      </w:r>
      <w:r>
        <w:rPr>
          <w:rStyle w:val="69"/>
          <w:rFonts w:ascii="Times New Roman" w:hAnsi="Times New Roman"/>
          <w:color w:val="auto"/>
        </w:rPr>
        <w:t>100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"_Toc165386231" </w:instrText>
      </w:r>
      <w:r>
        <w:fldChar w:fldCharType="separate"/>
      </w:r>
      <w:r>
        <w:rPr>
          <w:rStyle w:val="69"/>
          <w:rFonts w:ascii="Times New Roman" w:hAnsi="Times New Roman"/>
          <w:color w:val="auto"/>
        </w:rPr>
        <w:t>5.2 昌吉国家农业科技园区概况</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_Toc165386231 \h </w:instrText>
      </w:r>
      <w:r>
        <w:rPr>
          <w:rStyle w:val="69"/>
          <w:rFonts w:ascii="Times New Roman" w:hAnsi="Times New Roman"/>
          <w:color w:val="auto"/>
        </w:rPr>
        <w:fldChar w:fldCharType="separate"/>
      </w:r>
      <w:r>
        <w:rPr>
          <w:rStyle w:val="69"/>
          <w:rFonts w:ascii="Times New Roman" w:hAnsi="Times New Roman"/>
          <w:color w:val="auto"/>
        </w:rPr>
        <w:t>108</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"_Toc165386232" </w:instrText>
      </w:r>
      <w:r>
        <w:fldChar w:fldCharType="separate"/>
      </w:r>
      <w:r>
        <w:rPr>
          <w:rStyle w:val="69"/>
          <w:rFonts w:ascii="Times New Roman" w:hAnsi="Times New Roman"/>
          <w:color w:val="auto"/>
        </w:rPr>
        <w:t>5.3 环境质量现状评价</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_Toc165386232 \h </w:instrText>
      </w:r>
      <w:r>
        <w:rPr>
          <w:rStyle w:val="69"/>
          <w:rFonts w:ascii="Times New Roman" w:hAnsi="Times New Roman"/>
          <w:color w:val="auto"/>
        </w:rPr>
        <w:fldChar w:fldCharType="separate"/>
      </w:r>
      <w:r>
        <w:rPr>
          <w:rStyle w:val="69"/>
          <w:rFonts w:ascii="Times New Roman" w:hAnsi="Times New Roman"/>
          <w:color w:val="auto"/>
        </w:rPr>
        <w:t>110</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"_Toc165386233" </w:instrText>
      </w:r>
      <w:r>
        <w:fldChar w:fldCharType="separate"/>
      </w:r>
      <w:r>
        <w:rPr>
          <w:rStyle w:val="69"/>
          <w:rFonts w:ascii="Times New Roman" w:hAnsi="Times New Roman"/>
          <w:color w:val="auto"/>
        </w:rPr>
        <w:t>6  环境影响预测与评价</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_Toc165386233 \h </w:instrText>
      </w:r>
      <w:r>
        <w:rPr>
          <w:rStyle w:val="69"/>
          <w:rFonts w:ascii="Times New Roman" w:hAnsi="Times New Roman"/>
          <w:color w:val="auto"/>
        </w:rPr>
        <w:fldChar w:fldCharType="separate"/>
      </w:r>
      <w:r>
        <w:rPr>
          <w:rStyle w:val="69"/>
          <w:rFonts w:ascii="Times New Roman" w:hAnsi="Times New Roman"/>
          <w:color w:val="auto"/>
        </w:rPr>
        <w:t>127</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"_Toc165386234" </w:instrText>
      </w:r>
      <w:r>
        <w:fldChar w:fldCharType="separate"/>
      </w:r>
      <w:r>
        <w:rPr>
          <w:rStyle w:val="69"/>
          <w:rFonts w:ascii="Times New Roman" w:hAnsi="Times New Roman"/>
          <w:color w:val="auto"/>
        </w:rPr>
        <w:t>6.1 施工期环境影响预测与评价</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_Toc165386234 \h </w:instrText>
      </w:r>
      <w:r>
        <w:rPr>
          <w:rStyle w:val="69"/>
          <w:rFonts w:ascii="Times New Roman" w:hAnsi="Times New Roman"/>
          <w:color w:val="auto"/>
        </w:rPr>
        <w:fldChar w:fldCharType="separate"/>
      </w:r>
      <w:r>
        <w:rPr>
          <w:rStyle w:val="69"/>
          <w:rFonts w:ascii="Times New Roman" w:hAnsi="Times New Roman"/>
          <w:color w:val="auto"/>
        </w:rPr>
        <w:t>127</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"_Toc165386235" </w:instrText>
      </w:r>
      <w:r>
        <w:fldChar w:fldCharType="separate"/>
      </w:r>
      <w:r>
        <w:rPr>
          <w:rStyle w:val="69"/>
          <w:rFonts w:ascii="Times New Roman" w:hAnsi="Times New Roman"/>
          <w:color w:val="auto"/>
        </w:rPr>
        <w:t>6.2 运营期环境影响预测与评价</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_Toc165386235 \h </w:instrText>
      </w:r>
      <w:r>
        <w:rPr>
          <w:rStyle w:val="69"/>
          <w:rFonts w:ascii="Times New Roman" w:hAnsi="Times New Roman"/>
          <w:color w:val="auto"/>
        </w:rPr>
        <w:fldChar w:fldCharType="separate"/>
      </w:r>
      <w:r>
        <w:rPr>
          <w:rStyle w:val="69"/>
          <w:rFonts w:ascii="Times New Roman" w:hAnsi="Times New Roman"/>
          <w:color w:val="auto"/>
        </w:rPr>
        <w:t>128</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"_Toc165386236" </w:instrText>
      </w:r>
      <w:r>
        <w:fldChar w:fldCharType="separate"/>
      </w:r>
      <w:r>
        <w:rPr>
          <w:rStyle w:val="69"/>
          <w:rFonts w:ascii="Times New Roman" w:hAnsi="Times New Roman"/>
          <w:color w:val="auto"/>
        </w:rPr>
        <w:t>6.3 环境风险分析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_Toc165386236 \h </w:instrText>
      </w:r>
      <w:r>
        <w:rPr>
          <w:rStyle w:val="69"/>
          <w:rFonts w:ascii="Times New Roman" w:hAnsi="Times New Roman"/>
          <w:color w:val="auto"/>
        </w:rPr>
        <w:fldChar w:fldCharType="separate"/>
      </w:r>
      <w:r>
        <w:rPr>
          <w:rStyle w:val="69"/>
          <w:rFonts w:ascii="Times New Roman" w:hAnsi="Times New Roman"/>
          <w:color w:val="auto"/>
        </w:rPr>
        <w:t>158</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"_Toc165386237" </w:instrText>
      </w:r>
      <w:r>
        <w:fldChar w:fldCharType="separate"/>
      </w:r>
      <w:r>
        <w:rPr>
          <w:rStyle w:val="69"/>
          <w:rFonts w:ascii="Times New Roman" w:hAnsi="Times New Roman"/>
          <w:color w:val="auto"/>
        </w:rPr>
        <w:t>7 环境保护措施及其可行性论证</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_Toc165386237 \h </w:instrText>
      </w:r>
      <w:r>
        <w:rPr>
          <w:rStyle w:val="69"/>
          <w:rFonts w:ascii="Times New Roman" w:hAnsi="Times New Roman"/>
          <w:color w:val="auto"/>
        </w:rPr>
        <w:fldChar w:fldCharType="separate"/>
      </w:r>
      <w:r>
        <w:rPr>
          <w:rStyle w:val="69"/>
          <w:rFonts w:ascii="Times New Roman" w:hAnsi="Times New Roman"/>
          <w:color w:val="auto"/>
        </w:rPr>
        <w:t>170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"_Toc165386238" </w:instrText>
      </w:r>
      <w:r>
        <w:fldChar w:fldCharType="separate"/>
      </w:r>
      <w:r>
        <w:rPr>
          <w:rStyle w:val="69"/>
          <w:rFonts w:ascii="Times New Roman" w:hAnsi="Times New Roman"/>
          <w:color w:val="auto"/>
        </w:rPr>
        <w:t>7.1 施工期环境保护措施</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_Toc165386238 \h </w:instrText>
      </w:r>
      <w:r>
        <w:rPr>
          <w:rStyle w:val="69"/>
          <w:rFonts w:ascii="Times New Roman" w:hAnsi="Times New Roman"/>
          <w:color w:val="auto"/>
        </w:rPr>
        <w:fldChar w:fldCharType="separate"/>
      </w:r>
      <w:r>
        <w:rPr>
          <w:rStyle w:val="69"/>
          <w:rFonts w:ascii="Times New Roman" w:hAnsi="Times New Roman"/>
          <w:color w:val="auto"/>
        </w:rPr>
        <w:t>170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"_Toc165386239" </w:instrText>
      </w:r>
      <w:r>
        <w:fldChar w:fldCharType="separate"/>
      </w:r>
      <w:r>
        <w:rPr>
          <w:rStyle w:val="69"/>
          <w:rFonts w:ascii="Times New Roman" w:hAnsi="Times New Roman"/>
          <w:color w:val="auto"/>
        </w:rPr>
        <w:t>7.2 运营期环境保护措施及可行性分析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_Toc165386239 \h </w:instrText>
      </w:r>
      <w:r>
        <w:rPr>
          <w:rStyle w:val="69"/>
          <w:rFonts w:ascii="Times New Roman" w:hAnsi="Times New Roman"/>
          <w:color w:val="auto"/>
        </w:rPr>
        <w:fldChar w:fldCharType="separate"/>
      </w:r>
      <w:r>
        <w:rPr>
          <w:rStyle w:val="69"/>
          <w:rFonts w:ascii="Times New Roman" w:hAnsi="Times New Roman"/>
          <w:color w:val="auto"/>
        </w:rPr>
        <w:t>172</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"_Toc165386240" </w:instrText>
      </w:r>
      <w:r>
        <w:fldChar w:fldCharType="separate"/>
      </w:r>
      <w:r>
        <w:rPr>
          <w:rStyle w:val="69"/>
          <w:rFonts w:ascii="Times New Roman" w:hAnsi="Times New Roman"/>
          <w:color w:val="auto"/>
        </w:rPr>
        <w:t>8 环境经济损益分析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_Toc165386240 \h </w:instrText>
      </w:r>
      <w:r>
        <w:rPr>
          <w:rStyle w:val="69"/>
          <w:rFonts w:ascii="Times New Roman" w:hAnsi="Times New Roman"/>
          <w:color w:val="auto"/>
        </w:rPr>
        <w:fldChar w:fldCharType="separate"/>
      </w:r>
      <w:r>
        <w:rPr>
          <w:rStyle w:val="69"/>
          <w:rFonts w:ascii="Times New Roman" w:hAnsi="Times New Roman"/>
          <w:color w:val="auto"/>
        </w:rPr>
        <w:t>190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"_Toc165386241" </w:instrText>
      </w:r>
      <w:r>
        <w:fldChar w:fldCharType="separate"/>
      </w:r>
      <w:r>
        <w:rPr>
          <w:rStyle w:val="69"/>
          <w:rFonts w:ascii="Times New Roman" w:hAnsi="Times New Roman"/>
          <w:color w:val="auto"/>
        </w:rPr>
        <w:t>8.1 环保设施内容及投资估算</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_Toc165386241 \h </w:instrText>
      </w:r>
      <w:r>
        <w:rPr>
          <w:rStyle w:val="69"/>
          <w:rFonts w:ascii="Times New Roman" w:hAnsi="Times New Roman"/>
          <w:color w:val="auto"/>
        </w:rPr>
        <w:fldChar w:fldCharType="separate"/>
      </w:r>
      <w:r>
        <w:rPr>
          <w:rStyle w:val="69"/>
          <w:rFonts w:ascii="Times New Roman" w:hAnsi="Times New Roman"/>
          <w:color w:val="auto"/>
        </w:rPr>
        <w:t>190</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"_Toc165386242" </w:instrText>
      </w:r>
      <w:r>
        <w:fldChar w:fldCharType="separate"/>
      </w:r>
      <w:r>
        <w:rPr>
          <w:rStyle w:val="69"/>
          <w:rFonts w:ascii="Times New Roman" w:hAnsi="Times New Roman"/>
          <w:color w:val="auto"/>
        </w:rPr>
        <w:t>8.2 环境效益分析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_Toc165386242 \h </w:instrText>
      </w:r>
      <w:r>
        <w:rPr>
          <w:rStyle w:val="69"/>
          <w:rFonts w:ascii="Times New Roman" w:hAnsi="Times New Roman"/>
          <w:color w:val="auto"/>
        </w:rPr>
        <w:fldChar w:fldCharType="separate"/>
      </w:r>
      <w:r>
        <w:rPr>
          <w:rStyle w:val="69"/>
          <w:rFonts w:ascii="Times New Roman" w:hAnsi="Times New Roman"/>
          <w:color w:val="auto"/>
        </w:rPr>
        <w:t>191</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"_Toc165386243" </w:instrText>
      </w:r>
      <w:r>
        <w:fldChar w:fldCharType="separate"/>
      </w:r>
      <w:r>
        <w:rPr>
          <w:rStyle w:val="69"/>
          <w:rFonts w:ascii="Times New Roman" w:hAnsi="Times New Roman"/>
          <w:color w:val="auto"/>
        </w:rPr>
        <w:t>8.3 环境经济损益分析结论</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_Toc165386243 \h </w:instrText>
      </w:r>
      <w:r>
        <w:rPr>
          <w:rStyle w:val="69"/>
          <w:rFonts w:ascii="Times New Roman" w:hAnsi="Times New Roman"/>
          <w:color w:val="auto"/>
        </w:rPr>
        <w:fldChar w:fldCharType="separate"/>
      </w:r>
      <w:r>
        <w:rPr>
          <w:rStyle w:val="69"/>
          <w:rFonts w:ascii="Times New Roman" w:hAnsi="Times New Roman"/>
          <w:color w:val="auto"/>
        </w:rPr>
        <w:t>192</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"_Toc165386244" </w:instrText>
      </w:r>
      <w:r>
        <w:fldChar w:fldCharType="separate"/>
      </w:r>
      <w:r>
        <w:rPr>
          <w:rStyle w:val="69"/>
          <w:rFonts w:ascii="Times New Roman" w:hAnsi="Times New Roman"/>
          <w:color w:val="auto"/>
        </w:rPr>
        <w:t>9 环境管理与监测计划</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_Toc165386244 \h </w:instrText>
      </w:r>
      <w:r>
        <w:rPr>
          <w:rStyle w:val="69"/>
          <w:rFonts w:ascii="Times New Roman" w:hAnsi="Times New Roman"/>
          <w:color w:val="auto"/>
        </w:rPr>
        <w:fldChar w:fldCharType="separate"/>
      </w:r>
      <w:r>
        <w:rPr>
          <w:rStyle w:val="69"/>
          <w:rFonts w:ascii="Times New Roman" w:hAnsi="Times New Roman"/>
          <w:color w:val="auto"/>
        </w:rPr>
        <w:t>193</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"_Toc165386245" </w:instrText>
      </w:r>
      <w:r>
        <w:fldChar w:fldCharType="separate"/>
      </w:r>
      <w:r>
        <w:rPr>
          <w:rStyle w:val="69"/>
          <w:rFonts w:ascii="Times New Roman" w:hAnsi="Times New Roman"/>
          <w:color w:val="auto"/>
        </w:rPr>
        <w:t>9.1 环境管理</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_Toc165386245 \h </w:instrText>
      </w:r>
      <w:r>
        <w:rPr>
          <w:rStyle w:val="69"/>
          <w:rFonts w:ascii="Times New Roman" w:hAnsi="Times New Roman"/>
          <w:color w:val="auto"/>
        </w:rPr>
        <w:fldChar w:fldCharType="separate"/>
      </w:r>
      <w:r>
        <w:rPr>
          <w:rStyle w:val="69"/>
          <w:rFonts w:ascii="Times New Roman" w:hAnsi="Times New Roman"/>
          <w:color w:val="auto"/>
        </w:rPr>
        <w:t>193</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"_Toc165386246" </w:instrText>
      </w:r>
      <w:r>
        <w:fldChar w:fldCharType="separate"/>
      </w:r>
      <w:r>
        <w:rPr>
          <w:rStyle w:val="69"/>
          <w:rFonts w:ascii="Times New Roman" w:hAnsi="Times New Roman"/>
          <w:color w:val="auto"/>
        </w:rPr>
        <w:t>9.2 环境监测</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_Toc165386246 \h </w:instrText>
      </w:r>
      <w:r>
        <w:rPr>
          <w:rStyle w:val="69"/>
          <w:rFonts w:ascii="Times New Roman" w:hAnsi="Times New Roman"/>
          <w:color w:val="auto"/>
        </w:rPr>
        <w:fldChar w:fldCharType="separate"/>
      </w:r>
      <w:r>
        <w:rPr>
          <w:rStyle w:val="69"/>
          <w:rFonts w:ascii="Times New Roman" w:hAnsi="Times New Roman"/>
          <w:color w:val="auto"/>
        </w:rPr>
        <w:t>202</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"_Toc165386247" </w:instrText>
      </w:r>
      <w:r>
        <w:fldChar w:fldCharType="separate"/>
      </w:r>
      <w:r>
        <w:rPr>
          <w:rStyle w:val="69"/>
          <w:rFonts w:ascii="Times New Roman" w:hAnsi="Times New Roman"/>
          <w:color w:val="auto"/>
        </w:rPr>
        <w:t>9.3 污染物排放清单</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_Toc165386247 \h </w:instrText>
      </w:r>
      <w:r>
        <w:rPr>
          <w:rStyle w:val="69"/>
          <w:rFonts w:ascii="Times New Roman" w:hAnsi="Times New Roman"/>
          <w:color w:val="auto"/>
        </w:rPr>
        <w:fldChar w:fldCharType="separate"/>
      </w:r>
      <w:r>
        <w:rPr>
          <w:rStyle w:val="69"/>
          <w:rFonts w:ascii="Times New Roman" w:hAnsi="Times New Roman"/>
          <w:color w:val="auto"/>
        </w:rPr>
        <w:t>204</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"_Toc165386248" </w:instrText>
      </w:r>
      <w:r>
        <w:fldChar w:fldCharType="separate"/>
      </w:r>
      <w:r>
        <w:rPr>
          <w:rStyle w:val="69"/>
          <w:rFonts w:ascii="Times New Roman" w:hAnsi="Times New Roman"/>
          <w:color w:val="auto"/>
        </w:rPr>
        <w:t>9.4 排污口规范化管理</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_Toc165386248 \h </w:instrText>
      </w:r>
      <w:r>
        <w:rPr>
          <w:rStyle w:val="69"/>
          <w:rFonts w:ascii="Times New Roman" w:hAnsi="Times New Roman"/>
          <w:color w:val="auto"/>
        </w:rPr>
        <w:fldChar w:fldCharType="separate"/>
      </w:r>
      <w:r>
        <w:rPr>
          <w:rStyle w:val="69"/>
          <w:rFonts w:ascii="Times New Roman" w:hAnsi="Times New Roman"/>
          <w:color w:val="auto"/>
        </w:rPr>
        <w:t>208</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"_Toc165386249" </w:instrText>
      </w:r>
      <w:r>
        <w:fldChar w:fldCharType="separate"/>
      </w:r>
      <w:r>
        <w:rPr>
          <w:rStyle w:val="69"/>
          <w:rFonts w:ascii="Times New Roman" w:hAnsi="Times New Roman"/>
          <w:color w:val="auto"/>
        </w:rPr>
        <w:t>9.5 环境影响评价制度与排污许可制衔接分析</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_Toc165386249 \h </w:instrText>
      </w:r>
      <w:r>
        <w:rPr>
          <w:rStyle w:val="69"/>
          <w:rFonts w:ascii="Times New Roman" w:hAnsi="Times New Roman"/>
          <w:color w:val="auto"/>
        </w:rPr>
        <w:fldChar w:fldCharType="separate"/>
      </w:r>
      <w:r>
        <w:rPr>
          <w:rStyle w:val="69"/>
          <w:rFonts w:ascii="Times New Roman" w:hAnsi="Times New Roman"/>
          <w:color w:val="auto"/>
        </w:rPr>
        <w:t>213</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"_Toc165386250" </w:instrText>
      </w:r>
      <w:r>
        <w:fldChar w:fldCharType="separate"/>
      </w:r>
      <w:r>
        <w:rPr>
          <w:rStyle w:val="69"/>
          <w:rFonts w:ascii="Times New Roman" w:hAnsi="Times New Roman"/>
          <w:color w:val="auto"/>
        </w:rPr>
        <w:t>9.6 企业环境信息公开</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_Toc165386250 \h </w:instrText>
      </w:r>
      <w:r>
        <w:rPr>
          <w:rStyle w:val="69"/>
          <w:rFonts w:ascii="Times New Roman" w:hAnsi="Times New Roman"/>
          <w:color w:val="auto"/>
        </w:rPr>
        <w:fldChar w:fldCharType="separate"/>
      </w:r>
      <w:r>
        <w:rPr>
          <w:rStyle w:val="69"/>
          <w:rFonts w:ascii="Times New Roman" w:hAnsi="Times New Roman"/>
          <w:color w:val="auto"/>
        </w:rPr>
        <w:t>214</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"_Toc165386251" </w:instrText>
      </w:r>
      <w:r>
        <w:fldChar w:fldCharType="separate"/>
      </w:r>
      <w:r>
        <w:rPr>
          <w:rStyle w:val="69"/>
          <w:rFonts w:ascii="Times New Roman" w:hAnsi="Times New Roman"/>
          <w:color w:val="auto"/>
        </w:rPr>
        <w:t>9.7 竣工验收管理</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_Toc165386251 \h </w:instrText>
      </w:r>
      <w:r>
        <w:rPr>
          <w:rStyle w:val="69"/>
          <w:rFonts w:ascii="Times New Roman" w:hAnsi="Times New Roman"/>
          <w:color w:val="auto"/>
        </w:rPr>
        <w:fldChar w:fldCharType="separate"/>
      </w:r>
      <w:r>
        <w:rPr>
          <w:rStyle w:val="69"/>
          <w:rFonts w:ascii="Times New Roman" w:hAnsi="Times New Roman"/>
          <w:color w:val="auto"/>
        </w:rPr>
        <w:t>215</w:t>
      </w:r>
      <w:r>
        <w:rPr>
          <w:rStyle w:val="69"/>
          <w:rFonts w:ascii="Times New Roman" w:hAnsi="Times New Roman"/>
          <w:color w:val="auto"/>
        </w:rPr>
        <w:fldChar w:fldCharType="end"/>
      </w:r>
      <w:r>
        <w:rPr>
          <w:rStyle w:val="69"/>
          <w:rFonts w:ascii="Times New Roman" w:hAnsi="Times New Roman"/>
          <w:color w:val="auto"/>
        </w:rPr>
        <w:fldChar w:fldCharType="end"/>
      </w:r>
    </w:p>
    <w:p>
      <w:pPr>
        <w:pStyle w:val="39"/>
        <w:tabs>
          <w:tab w:val="right" w:leader="dot" w:pos="8211"/>
        </w:tabs>
        <w:spacing w:line="360" w:lineRule="auto"/>
        <w:rPr>
          <w:rStyle w:val="69"/>
          <w:rFonts w:ascii="Times New Roman" w:hAnsi="Times New Roman" w:eastAsia="宋体"/>
          <w:color w:val="auto"/>
        </w:rPr>
      </w:pPr>
      <w:r>
        <w:fldChar w:fldCharType="begin"/>
      </w:r>
      <w:r>
        <w:instrText xml:space="preserve"> HYPERLINK \l "_Toc165386252" </w:instrText>
      </w:r>
      <w:r>
        <w:fldChar w:fldCharType="separate"/>
      </w:r>
      <w:r>
        <w:rPr>
          <w:rStyle w:val="69"/>
          <w:rFonts w:ascii="Times New Roman" w:hAnsi="Times New Roman"/>
          <w:color w:val="auto"/>
        </w:rPr>
        <w:t>10  环境影响评价结论</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_Toc165386252 \h </w:instrText>
      </w:r>
      <w:r>
        <w:rPr>
          <w:rStyle w:val="69"/>
          <w:rFonts w:ascii="Times New Roman" w:hAnsi="Times New Roman"/>
          <w:color w:val="auto"/>
        </w:rPr>
        <w:fldChar w:fldCharType="separate"/>
      </w:r>
      <w:r>
        <w:rPr>
          <w:rStyle w:val="69"/>
          <w:rFonts w:ascii="Times New Roman" w:hAnsi="Times New Roman"/>
          <w:color w:val="auto"/>
        </w:rPr>
        <w:t>218</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"_Toc165386253" </w:instrText>
      </w:r>
      <w:r>
        <w:fldChar w:fldCharType="separate"/>
      </w:r>
      <w:r>
        <w:rPr>
          <w:rStyle w:val="69"/>
          <w:rFonts w:ascii="Times New Roman" w:hAnsi="Times New Roman"/>
          <w:color w:val="auto"/>
        </w:rPr>
        <w:t>10.1 结论</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_Toc165386253 \h </w:instrText>
      </w:r>
      <w:r>
        <w:rPr>
          <w:rStyle w:val="69"/>
          <w:rFonts w:ascii="Times New Roman" w:hAnsi="Times New Roman"/>
          <w:color w:val="auto"/>
        </w:rPr>
        <w:fldChar w:fldCharType="separate"/>
      </w:r>
      <w:r>
        <w:rPr>
          <w:rStyle w:val="69"/>
          <w:rFonts w:ascii="Times New Roman" w:hAnsi="Times New Roman"/>
          <w:color w:val="auto"/>
        </w:rPr>
        <w:t>218</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"_Toc165386254" </w:instrText>
      </w:r>
      <w:r>
        <w:fldChar w:fldCharType="separate"/>
      </w:r>
      <w:r>
        <w:rPr>
          <w:rStyle w:val="69"/>
          <w:rFonts w:ascii="Times New Roman" w:hAnsi="Times New Roman"/>
          <w:color w:val="auto"/>
        </w:rPr>
        <w:t>10.2 综合评价结论</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_Toc165386254 \h </w:instrText>
      </w:r>
      <w:r>
        <w:rPr>
          <w:rStyle w:val="69"/>
          <w:rFonts w:ascii="Times New Roman" w:hAnsi="Times New Roman"/>
          <w:color w:val="auto"/>
        </w:rPr>
        <w:fldChar w:fldCharType="separate"/>
      </w:r>
      <w:r>
        <w:rPr>
          <w:rStyle w:val="69"/>
          <w:rFonts w:ascii="Times New Roman" w:hAnsi="Times New Roman"/>
          <w:color w:val="auto"/>
        </w:rPr>
        <w:t>224</w:t>
      </w:r>
      <w:r>
        <w:rPr>
          <w:rStyle w:val="69"/>
          <w:rFonts w:ascii="Times New Roman" w:hAnsi="Times New Roman"/>
          <w:color w:val="auto"/>
        </w:rPr>
        <w:fldChar w:fldCharType="end"/>
      </w:r>
      <w:r>
        <w:rPr>
          <w:rStyle w:val="69"/>
          <w:rFonts w:ascii="Times New Roman" w:hAnsi="Times New Roman"/>
          <w:color w:val="auto"/>
        </w:rPr>
        <w:fldChar w:fldCharType="end"/>
      </w:r>
    </w:p>
    <w:p>
      <w:pPr>
        <w:pStyle w:val="48"/>
        <w:tabs>
          <w:tab w:val="right" w:leader="dot" w:pos="8211"/>
        </w:tabs>
        <w:spacing w:line="360" w:lineRule="auto"/>
        <w:ind w:firstLine="420" w:firstLineChars="200"/>
        <w:rPr>
          <w:rStyle w:val="69"/>
          <w:rFonts w:ascii="Times New Roman" w:hAnsi="Times New Roman"/>
          <w:color w:val="auto"/>
        </w:rPr>
      </w:pPr>
      <w:r>
        <w:fldChar w:fldCharType="begin"/>
      </w:r>
      <w:r>
        <w:instrText xml:space="preserve"> HYPERLINK \l "_Toc165386255" </w:instrText>
      </w:r>
      <w:r>
        <w:fldChar w:fldCharType="separate"/>
      </w:r>
      <w:r>
        <w:rPr>
          <w:rStyle w:val="69"/>
          <w:rFonts w:ascii="Times New Roman" w:hAnsi="Times New Roman"/>
          <w:color w:val="auto"/>
        </w:rPr>
        <w:t>10.3 建议</w:t>
      </w:r>
      <w:r>
        <w:rPr>
          <w:rStyle w:val="69"/>
          <w:rFonts w:ascii="Times New Roman" w:hAnsi="Times New Roman"/>
          <w:color w:val="auto"/>
        </w:rPr>
        <w:tab/>
      </w:r>
      <w:r>
        <w:rPr>
          <w:rStyle w:val="69"/>
          <w:rFonts w:ascii="Times New Roman" w:hAnsi="Times New Roman"/>
          <w:color w:val="auto"/>
        </w:rPr>
        <w:fldChar w:fldCharType="begin"/>
      </w:r>
      <w:r>
        <w:rPr>
          <w:rStyle w:val="69"/>
          <w:rFonts w:ascii="Times New Roman" w:hAnsi="Times New Roman"/>
          <w:color w:val="auto"/>
        </w:rPr>
        <w:instrText xml:space="preserve"> PAGEREF _Toc165386255 \h </w:instrText>
      </w:r>
      <w:r>
        <w:rPr>
          <w:rStyle w:val="69"/>
          <w:rFonts w:ascii="Times New Roman" w:hAnsi="Times New Roman"/>
          <w:color w:val="auto"/>
        </w:rPr>
        <w:fldChar w:fldCharType="separate"/>
      </w:r>
      <w:r>
        <w:rPr>
          <w:rStyle w:val="69"/>
          <w:rFonts w:ascii="Times New Roman" w:hAnsi="Times New Roman"/>
          <w:color w:val="auto"/>
        </w:rPr>
        <w:t>225</w:t>
      </w:r>
      <w:r>
        <w:rPr>
          <w:rStyle w:val="69"/>
          <w:rFonts w:ascii="Times New Roman" w:hAnsi="Times New Roman"/>
          <w:color w:val="auto"/>
        </w:rPr>
        <w:fldChar w:fldCharType="end"/>
      </w:r>
      <w:r>
        <w:rPr>
          <w:rStyle w:val="69"/>
          <w:rFonts w:ascii="Times New Roman" w:hAnsi="Times New Roman"/>
          <w:color w:val="auto"/>
        </w:rPr>
        <w:fldChar w:fldCharType="end"/>
      </w:r>
    </w:p>
    <w:p>
      <w:pPr>
        <w:spacing w:line="460" w:lineRule="exact"/>
        <w:ind w:firstLine="480" w:firstLineChars="200"/>
        <w:rPr>
          <w:rFonts w:eastAsia="楷体_GB2312"/>
          <w:sz w:val="24"/>
        </w:rPr>
      </w:pPr>
      <w:r>
        <w:rPr>
          <w:rFonts w:eastAsia="楷体_GB2312"/>
          <w:sz w:val="24"/>
        </w:rPr>
        <w:fldChar w:fldCharType="end"/>
      </w:r>
    </w:p>
    <w:p>
      <w:pPr>
        <w:rPr>
          <w:sz w:val="24"/>
        </w:rPr>
        <w:sectPr>
          <w:headerReference r:id="rId3" w:type="default"/>
          <w:footerReference r:id="rId4" w:type="default"/>
          <w:pgSz w:w="11906" w:h="16838"/>
          <w:pgMar w:top="1440" w:right="1700" w:bottom="1440" w:left="1985" w:header="851" w:footer="992" w:gutter="0"/>
          <w:pgNumType w:fmt="upperRoman" w:start="1"/>
          <w:cols w:space="720" w:num="1"/>
          <w:docGrid w:type="lines" w:linePitch="312" w:charSpace="0"/>
        </w:sectPr>
      </w:pPr>
    </w:p>
    <w:bookmarkEnd w:id="0"/>
    <w:bookmarkEnd w:id="1"/>
    <w:bookmarkEnd w:id="2"/>
    <w:bookmarkEnd w:id="3"/>
    <w:bookmarkEnd w:id="4"/>
    <w:bookmarkEnd w:id="5"/>
    <w:bookmarkEnd w:id="6"/>
    <w:p>
      <w:pPr>
        <w:pStyle w:val="3"/>
        <w:spacing w:before="120" w:beforeLines="50" w:after="120" w:afterLines="50" w:line="360" w:lineRule="auto"/>
        <w:jc w:val="center"/>
      </w:pPr>
      <w:bookmarkStart w:id="10" w:name="_Toc165386202"/>
      <w:r>
        <w:rPr>
          <w:rFonts w:hint="eastAsia"/>
        </w:rPr>
        <w:t>1 概述</w:t>
      </w:r>
      <w:bookmarkEnd w:id="10"/>
    </w:p>
    <w:p>
      <w:pPr>
        <w:pStyle w:val="4"/>
        <w:adjustRightInd w:val="0"/>
        <w:spacing w:before="120" w:after="120" w:line="460" w:lineRule="exact"/>
        <w:textAlignment w:val="baseline"/>
        <w:rPr>
          <w:rFonts w:ascii="Times New Roman" w:hAnsi="Times New Roman"/>
          <w:b w:val="0"/>
          <w:szCs w:val="28"/>
        </w:rPr>
      </w:pPr>
      <w:bookmarkStart w:id="11" w:name="_Toc165386203"/>
      <w:r>
        <w:rPr>
          <w:rFonts w:hint="eastAsia" w:ascii="Times New Roman" w:hAnsi="Times New Roman"/>
          <w:b w:val="0"/>
          <w:szCs w:val="28"/>
        </w:rPr>
        <w:t>1.1 建设项目背景及其特点</w:t>
      </w:r>
      <w:bookmarkEnd w:id="11"/>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2" w:name="_Toc370992971"/>
      <w:bookmarkStart w:id="13" w:name="_Toc317685751"/>
      <w:bookmarkStart w:id="14" w:name="_Toc324671606"/>
      <w:bookmarkStart w:id="15" w:name="_Toc14578"/>
      <w:r>
        <w:rPr>
          <w:rFonts w:hint="eastAsia" w:ascii="Times New Roman"/>
          <w:spacing w:val="12"/>
          <w:w w:val="95"/>
          <w:kern w:val="0"/>
          <w:szCs w:val="26"/>
        </w:rPr>
        <w:t>1.1.1建设项目背景</w:t>
      </w:r>
    </w:p>
    <w:p>
      <w:pPr>
        <w:widowControl/>
        <w:spacing w:line="460" w:lineRule="exact"/>
        <w:ind w:firstLine="480" w:firstLineChars="200"/>
        <w:rPr>
          <w:sz w:val="24"/>
        </w:rPr>
      </w:pPr>
      <w:r>
        <w:rPr>
          <w:rFonts w:hint="eastAsia"/>
          <w:sz w:val="24"/>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pPr>
        <w:widowControl/>
        <w:spacing w:line="460" w:lineRule="exact"/>
        <w:ind w:firstLine="480" w:firstLineChars="200"/>
        <w:rPr>
          <w:sz w:val="24"/>
        </w:rPr>
      </w:pPr>
      <w:r>
        <w:rPr>
          <w:rFonts w:hint="eastAsia"/>
          <w:sz w:val="24"/>
        </w:rPr>
        <w:t>废旧塑料的回收利用作为一项节约资源、保护环境的措施，正日益受到重视，尤其是发达国家工作起步早，已经收到明显效益。废旧塑料加工成颗粒后，依然具有良好的综合材料性能，可满足吹膜、拉丝、拉管、注塑、挤出型材等技术要求，大量应用于塑料制品的生产。由于再生塑料价格优势突出，效益明显，国内废旧塑料回收市场已渐成气候。</w:t>
      </w:r>
    </w:p>
    <w:p>
      <w:pPr>
        <w:widowControl/>
        <w:spacing w:line="460" w:lineRule="exact"/>
        <w:ind w:firstLine="480" w:firstLineChars="200"/>
        <w:rPr>
          <w:sz w:val="24"/>
        </w:rPr>
      </w:pPr>
      <w:r>
        <w:rPr>
          <w:rFonts w:hint="eastAsia"/>
          <w:sz w:val="24"/>
        </w:rPr>
        <w:t>新疆地域辽阔，南北之间、高山与盆地之间，土壤温度不仅水平差异悬殊，垂直变化也很明显。在绿洲内，作物布局、品种类型、栽培技术和种植制度等都与土壤的热量平衡关系密切。由于地处内陆干旱荒漠气候带，蒸发量大于降水量的数十倍，甚至上百倍，因此土壤水分，特别是有效水分，对农业生产发展至关重要。新疆是一个水资源贫乏的地区，</w:t>
      </w:r>
      <w:r>
        <w:rPr>
          <w:rFonts w:hint="eastAsia"/>
          <w:bCs/>
          <w:sz w:val="24"/>
        </w:rPr>
        <w:t>传统的农业灌溉习惯不仅造成水资源和生产成本的巨大浪费，也不符合传统农业耕作向精细农业耕作转化的客观发展趋势。采用滴灌技术后，在同样种植面积下，可以节省用水量近</w:t>
      </w:r>
      <w:r>
        <w:rPr>
          <w:bCs/>
          <w:sz w:val="24"/>
        </w:rPr>
        <w:t>50%</w:t>
      </w:r>
      <w:r>
        <w:rPr>
          <w:rFonts w:hint="eastAsia"/>
          <w:bCs/>
          <w:sz w:val="24"/>
        </w:rPr>
        <w:t>，大幅降低用水成本，是极具有利于推动和促进农业生产可持续发展的重要举措。</w:t>
      </w:r>
    </w:p>
    <w:p>
      <w:pPr>
        <w:widowControl/>
        <w:spacing w:line="460" w:lineRule="exact"/>
        <w:ind w:firstLine="480" w:firstLineChars="200"/>
        <w:rPr>
          <w:sz w:val="24"/>
        </w:rPr>
      </w:pPr>
      <w:r>
        <w:rPr>
          <w:rFonts w:hint="eastAsia"/>
          <w:sz w:val="24"/>
        </w:rPr>
        <w:t>滴灌灌溉系统是按照作物需水要求，通过低压管道系统与安装在毛管上的灌水器，将水和作物需要的养分一滴一滴、均匀而又缓慢地滴入作物根区土壤中的灌溉技术，滴灌带是滴灌灌溉系统中的重要灌溉器，近年来随着滴灌灌溉系统的发展，市场对滴灌带的需求越来越大。</w:t>
      </w:r>
    </w:p>
    <w:p>
      <w:pPr>
        <w:widowControl/>
        <w:spacing w:line="460" w:lineRule="exact"/>
        <w:ind w:firstLine="480" w:firstLineChars="200"/>
        <w:rPr>
          <w:sz w:val="24"/>
        </w:rPr>
      </w:pPr>
      <w:r>
        <w:rPr>
          <w:rFonts w:hint="eastAsia"/>
          <w:bCs/>
          <w:sz w:val="24"/>
        </w:rPr>
        <w:t>昌吉市昊慧盛塑料制品厂</w:t>
      </w:r>
      <w:r>
        <w:rPr>
          <w:rFonts w:hint="eastAsia"/>
          <w:sz w:val="24"/>
        </w:rPr>
        <w:t>成立于2018年，企业紧抓国家大力发展循环经济、落实科学发展观，贯彻国家再生资源综合利用等一系列方针政策，委托新疆绿佳源环保科技有限公司于2019年6月编制完成了《昌吉市昊慧盛塑料制品厂地膜滴灌带及PE管材生产加工项目环境影响报告表》，项目于2019年8月1日取得昌吉国家农业科技园区规划建设环保局《关于《</w:t>
      </w:r>
      <w:bookmarkStart w:id="16" w:name="_Hlk164160517"/>
      <w:r>
        <w:rPr>
          <w:rFonts w:hint="eastAsia"/>
          <w:sz w:val="24"/>
        </w:rPr>
        <w:t>昌吉市昊慧盛塑料制品厂地膜滴灌带及PE管材生产加工项目</w:t>
      </w:r>
      <w:bookmarkEnd w:id="16"/>
      <w:r>
        <w:rPr>
          <w:rFonts w:hint="eastAsia"/>
          <w:sz w:val="24"/>
        </w:rPr>
        <w:t>环境影响报告表》的审批意见》（</w:t>
      </w:r>
      <w:bookmarkStart w:id="17" w:name="_Hlk164160657"/>
      <w:r>
        <w:rPr>
          <w:rFonts w:hint="eastAsia"/>
          <w:sz w:val="24"/>
        </w:rPr>
        <w:t>昌农科环函﹝2019﹞12号</w:t>
      </w:r>
      <w:bookmarkEnd w:id="17"/>
      <w:r>
        <w:rPr>
          <w:rFonts w:hint="eastAsia"/>
          <w:sz w:val="24"/>
        </w:rPr>
        <w:t>），根据环评及批复文件，项目建设内容为4条滴灌带生产线、年产滴灌带1000t，3条PE管生产线、年产PE管800t及配套辅助设施。项目取得环评批复后于2019年10月开工建设，2020年6月建设完成了2条废旧塑料造粒生产线，企业发现建设内容与环评及批复内容不一致，因此对造粒生产线进行了停建，并对设备进行了封存，至今一直未运行，2020年6月对造粒生产线封存之后按照原环评批复进行了建设，项目建成了4条滴灌带生产线、年产滴灌带1000t，3条PE管生产线、年产PE管800t，2022年10月建设完成，项目投入运营后于2023年5月组织了项目竣工环境保护验收工作，建设单位委托昌吉回族自治州新蓝天生态环境科学研究所编制了《昌吉市昊慧盛塑料制品厂地膜滴灌带及PE管材生产加工项目竣工环境保护验收监测报告表》，项目滴灌带及PE管投入生产后根据近一年生产运行情况，采用聚乙烯颗粒新料生产成本较高，现场勘查期间由于生产季已结束，目前全厂均处于停产状态。</w:t>
      </w:r>
    </w:p>
    <w:p>
      <w:pPr>
        <w:widowControl/>
        <w:spacing w:line="460" w:lineRule="exact"/>
        <w:ind w:firstLine="480" w:firstLineChars="200"/>
        <w:rPr>
          <w:sz w:val="24"/>
        </w:rPr>
      </w:pPr>
      <w:r>
        <w:rPr>
          <w:rFonts w:hint="eastAsia"/>
          <w:sz w:val="24"/>
        </w:rPr>
        <w:t>随着区域节水灌溉发展，大力推广滴管技术后，区域滴灌带需求量增加，并且每年会产生大量废旧滴灌带，因此企业决定在项目厂区进行扩建，扩建2条废旧塑料造粒生产线，年处理废旧塑料5500t（其中废旧塑料膜2000t、废旧滴灌带3500t），扩建10条滴灌带生产线，年产滴灌带3000t，扩建5条PE管材生产线，年产PE管材1700t。项目扩建完成后，已建滴灌带生产线及PE管生产线以及本次拟扩建滴灌带生产线PE管生产线原料均使用扩建项目废旧塑料造粒生产线生产再生聚乙烯颗粒料及部分新料。</w:t>
      </w:r>
    </w:p>
    <w:p>
      <w:pPr>
        <w:widowControl/>
        <w:spacing w:line="460" w:lineRule="exact"/>
        <w:ind w:firstLine="480" w:firstLineChars="200"/>
        <w:rPr>
          <w:sz w:val="24"/>
        </w:rPr>
      </w:pPr>
      <w:r>
        <w:rPr>
          <w:rFonts w:hint="eastAsia"/>
          <w:sz w:val="24"/>
        </w:rPr>
        <w:t>根据《中华人民共和国环境保护法》、《建设项目环境保护管理条例》（国务院令</w:t>
      </w:r>
      <w:r>
        <w:rPr>
          <w:sz w:val="24"/>
        </w:rPr>
        <w:t>682</w:t>
      </w:r>
      <w:r>
        <w:rPr>
          <w:rFonts w:hint="eastAsia"/>
          <w:sz w:val="24"/>
        </w:rPr>
        <w:t>号令）以及《建设项目环境影响评价分类管理名录》（2021年版）的有关规定，本项目属于“二十六、橡胶和塑料制品业</w:t>
      </w:r>
      <w:r>
        <w:rPr>
          <w:sz w:val="24"/>
        </w:rPr>
        <w:t>29-53</w:t>
      </w:r>
      <w:r>
        <w:rPr>
          <w:rFonts w:hint="eastAsia"/>
          <w:sz w:val="24"/>
        </w:rPr>
        <w:t>塑料制品业</w:t>
      </w:r>
      <w:r>
        <w:rPr>
          <w:sz w:val="24"/>
        </w:rPr>
        <w:t>292-</w:t>
      </w:r>
      <w:r>
        <w:rPr>
          <w:rFonts w:hint="eastAsia"/>
          <w:sz w:val="24"/>
        </w:rPr>
        <w:t>以再生塑料为原料生产的；有电镀工艺的；年用溶剂型胶粘剂</w:t>
      </w:r>
      <w:r>
        <w:rPr>
          <w:sz w:val="24"/>
        </w:rPr>
        <w:t>10</w:t>
      </w:r>
      <w:r>
        <w:rPr>
          <w:rFonts w:hint="eastAsia"/>
          <w:sz w:val="24"/>
        </w:rPr>
        <w:t>吨及以上的；年用溶剂型涂料（含稀释剂）</w:t>
      </w:r>
      <w:r>
        <w:rPr>
          <w:sz w:val="24"/>
        </w:rPr>
        <w:t>10</w:t>
      </w:r>
      <w:r>
        <w:rPr>
          <w:rFonts w:hint="eastAsia"/>
          <w:sz w:val="24"/>
        </w:rPr>
        <w:t>吨及以上的”类别，该项目需编制环境影响报告书。为此，</w:t>
      </w:r>
      <w:r>
        <w:rPr>
          <w:rFonts w:hint="eastAsia"/>
          <w:bCs/>
          <w:sz w:val="24"/>
        </w:rPr>
        <w:t>昌吉市昊慧盛塑料制品厂</w:t>
      </w:r>
      <w:r>
        <w:rPr>
          <w:rFonts w:hint="eastAsia"/>
          <w:sz w:val="24"/>
        </w:rPr>
        <w:t>委托新疆智联博宏环保工程有限公司承担该项目的环境影响评价工作。接受委托后，我单位组织技术人员对项目开展了现场环境调查工作，收集和研究了工程技术资料，按照环境保护等相关法律法规、技术导则要求，编制完成了该项目环境影响报告书，由建设单位报请生态环境管理部门审批后，将作为建设单位在项目建设和运行过程中各项环保工作及主管部门环境管理的技术依据。</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1.1.2建设项目特点</w:t>
      </w:r>
    </w:p>
    <w:p>
      <w:pPr>
        <w:widowControl/>
        <w:spacing w:line="460" w:lineRule="exact"/>
        <w:ind w:firstLine="480" w:firstLineChars="200"/>
        <w:rPr>
          <w:sz w:val="24"/>
        </w:rPr>
      </w:pPr>
      <w:r>
        <w:rPr>
          <w:rFonts w:hint="eastAsia"/>
          <w:sz w:val="24"/>
        </w:rPr>
        <w:t>1、根据《国民经济行业分类》（GB/T 4754-2017）本项目行业分类属于塑料板、管、型材制造（C2922）。</w:t>
      </w:r>
    </w:p>
    <w:p>
      <w:pPr>
        <w:widowControl/>
        <w:spacing w:line="460" w:lineRule="exact"/>
        <w:ind w:firstLine="480" w:firstLineChars="200"/>
        <w:rPr>
          <w:sz w:val="24"/>
        </w:rPr>
      </w:pPr>
      <w:r>
        <w:rPr>
          <w:rFonts w:hint="eastAsia"/>
          <w:sz w:val="24"/>
        </w:rPr>
        <w:t>2、本项目为废旧塑料再生利用项目，项目建设性质为改扩建，项目回收当地农业生产产生的废旧滴灌带、废旧塑料膜再生造粒后生产为滴灌带及PE管外售区域农业生产使用。</w:t>
      </w:r>
    </w:p>
    <w:p>
      <w:pPr>
        <w:widowControl/>
        <w:spacing w:line="460" w:lineRule="exact"/>
        <w:ind w:firstLine="480" w:firstLineChars="200"/>
        <w:rPr>
          <w:sz w:val="24"/>
        </w:rPr>
      </w:pPr>
      <w:r>
        <w:rPr>
          <w:rFonts w:hint="eastAsia"/>
          <w:sz w:val="24"/>
        </w:rPr>
        <w:t>3、</w:t>
      </w:r>
      <w:bookmarkStart w:id="18" w:name="_Hlk168302178"/>
      <w:r>
        <w:rPr>
          <w:rFonts w:hint="eastAsia"/>
          <w:sz w:val="24"/>
        </w:rPr>
        <w:t>本次扩建项目完成后对现有工程有机废气治理设施进行“以新带老”改造，将现有有机废气治理设施活性炭吸附+UV光氧催化氧化改为与本次扩建项目共用活性炭吸附+催化燃烧（CO）处置措施，有效控制有机废气排放。</w:t>
      </w:r>
      <w:bookmarkEnd w:id="18"/>
    </w:p>
    <w:p>
      <w:pPr>
        <w:widowControl/>
        <w:spacing w:line="460" w:lineRule="exact"/>
        <w:ind w:firstLine="480" w:firstLineChars="200"/>
        <w:rPr>
          <w:sz w:val="24"/>
        </w:rPr>
      </w:pPr>
      <w:r>
        <w:rPr>
          <w:rFonts w:hint="eastAsia"/>
          <w:sz w:val="24"/>
        </w:rPr>
        <w:t>4、本项目生产废水分别设置三级沉淀池及循环水池循环使用不外排。</w:t>
      </w:r>
    </w:p>
    <w:p>
      <w:pPr>
        <w:pStyle w:val="4"/>
        <w:adjustRightInd w:val="0"/>
        <w:spacing w:before="120" w:after="120" w:line="460" w:lineRule="exact"/>
        <w:textAlignment w:val="baseline"/>
        <w:rPr>
          <w:rFonts w:ascii="Times New Roman" w:hAnsi="Times New Roman"/>
          <w:b w:val="0"/>
          <w:szCs w:val="28"/>
        </w:rPr>
      </w:pPr>
      <w:bookmarkStart w:id="19" w:name="_Toc165386204"/>
      <w:r>
        <w:rPr>
          <w:rFonts w:hint="eastAsia" w:ascii="Times New Roman" w:hAnsi="Times New Roman"/>
          <w:b w:val="0"/>
          <w:szCs w:val="28"/>
        </w:rPr>
        <w:t xml:space="preserve">1.2 </w:t>
      </w:r>
      <w:r>
        <w:rPr>
          <w:rFonts w:ascii="Times New Roman" w:hAnsi="Times New Roman"/>
          <w:b w:val="0"/>
          <w:szCs w:val="28"/>
        </w:rPr>
        <w:t>环境影响评价的工作过程</w:t>
      </w:r>
      <w:bookmarkEnd w:id="19"/>
    </w:p>
    <w:p>
      <w:pPr>
        <w:spacing w:line="460" w:lineRule="exact"/>
        <w:ind w:firstLine="480" w:firstLineChars="200"/>
        <w:rPr>
          <w:sz w:val="24"/>
        </w:rPr>
      </w:pPr>
      <w:r>
        <w:rPr>
          <w:sz w:val="24"/>
        </w:rPr>
        <w:t>环境影响评价一般分为三个阶段，即调查分析和工作方案制定阶段，分析论证和预测评价阶段，环境影响报告书编制阶段。</w:t>
      </w:r>
    </w:p>
    <w:p>
      <w:pPr>
        <w:spacing w:line="460" w:lineRule="exact"/>
        <w:ind w:firstLine="480" w:firstLineChars="200"/>
        <w:rPr>
          <w:sz w:val="24"/>
        </w:rPr>
      </w:pPr>
      <w:r>
        <w:rPr>
          <w:sz w:val="24"/>
        </w:rPr>
        <w:t>1、前期准备、调研和工作方案阶段</w:t>
      </w:r>
    </w:p>
    <w:p>
      <w:pPr>
        <w:spacing w:line="460" w:lineRule="exact"/>
        <w:ind w:firstLine="480" w:firstLineChars="200"/>
        <w:rPr>
          <w:sz w:val="24"/>
        </w:rPr>
      </w:pPr>
      <w:r>
        <w:rPr>
          <w:sz w:val="24"/>
        </w:rPr>
        <w:t>评价公司接受环评委托后，进行了现场踏勘和资料收集，根据新疆维吾尔自治区</w:t>
      </w:r>
      <w:r>
        <w:rPr>
          <w:rFonts w:hint="eastAsia"/>
          <w:sz w:val="24"/>
        </w:rPr>
        <w:t>生态环境厅</w:t>
      </w:r>
      <w:r>
        <w:rPr>
          <w:sz w:val="24"/>
        </w:rPr>
        <w:t>、</w:t>
      </w:r>
      <w:r>
        <w:rPr>
          <w:rFonts w:hint="eastAsia"/>
          <w:sz w:val="24"/>
        </w:rPr>
        <w:t>昌吉州生态</w:t>
      </w:r>
      <w:r>
        <w:rPr>
          <w:sz w:val="24"/>
        </w:rPr>
        <w:t>环境局对该项目环境影响评价的要求，结合项目的实际情况，按国家、新疆、</w:t>
      </w:r>
      <w:r>
        <w:rPr>
          <w:rFonts w:hint="eastAsia"/>
          <w:sz w:val="24"/>
        </w:rPr>
        <w:t>昌吉州</w:t>
      </w:r>
      <w:r>
        <w:rPr>
          <w:sz w:val="24"/>
        </w:rPr>
        <w:t>环境保护政策以及环评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pPr>
        <w:spacing w:line="460" w:lineRule="exact"/>
        <w:ind w:firstLine="480" w:firstLineChars="200"/>
        <w:rPr>
          <w:sz w:val="24"/>
        </w:rPr>
      </w:pPr>
      <w:r>
        <w:rPr>
          <w:sz w:val="24"/>
        </w:rPr>
        <w:t>2、分析论证和预测评价阶段</w:t>
      </w:r>
    </w:p>
    <w:p>
      <w:pPr>
        <w:spacing w:line="460" w:lineRule="exact"/>
        <w:ind w:firstLine="480" w:firstLineChars="200"/>
        <w:rPr>
          <w:sz w:val="24"/>
        </w:rPr>
      </w:pPr>
      <w:r>
        <w:rPr>
          <w:sz w:val="24"/>
        </w:rPr>
        <w:t>在准备阶段的基础上，做进一步的工程分析，进行充分的环境现状调查、监测并开展环境质量现状评价，之后根据污染源强和环境现状资料进行环境影响预测及评价。</w:t>
      </w:r>
    </w:p>
    <w:p>
      <w:pPr>
        <w:spacing w:line="460" w:lineRule="exact"/>
        <w:ind w:firstLine="480" w:firstLineChars="200"/>
        <w:rPr>
          <w:sz w:val="24"/>
        </w:rPr>
      </w:pPr>
      <w:r>
        <w:rPr>
          <w:sz w:val="24"/>
        </w:rPr>
        <w:t>3、环境影响评价文件编制阶段</w:t>
      </w:r>
    </w:p>
    <w:p>
      <w:pPr>
        <w:spacing w:line="460" w:lineRule="exact"/>
        <w:ind w:firstLine="480" w:firstLineChars="200"/>
        <w:rPr>
          <w:sz w:val="24"/>
        </w:rPr>
      </w:pPr>
      <w:r>
        <w:rPr>
          <w:sz w:val="24"/>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1。</w:t>
      </w:r>
    </w:p>
    <w:p>
      <w:pPr>
        <w:widowControl/>
        <w:jc w:val="left"/>
        <w:rPr>
          <w:sz w:val="24"/>
        </w:rPr>
      </w:pPr>
    </w:p>
    <w:p>
      <w:pPr>
        <w:spacing w:line="360" w:lineRule="auto"/>
        <w:ind w:firstLine="480" w:firstLineChars="200"/>
        <w:rPr>
          <w:sz w:val="24"/>
        </w:rPr>
      </w:pPr>
    </w:p>
    <w:p>
      <w:pPr>
        <w:spacing w:line="360" w:lineRule="auto"/>
        <w:ind w:firstLine="480" w:firstLineChars="200"/>
        <w:jc w:val="center"/>
        <w:rPr>
          <w:sz w:val="24"/>
        </w:rPr>
      </w:pPr>
      <w:r>
        <w:rPr>
          <w:sz w:val="24"/>
        </w:rPr>
        <w:drawing>
          <wp:anchor distT="0" distB="0" distL="114300" distR="114300" simplePos="0" relativeHeight="251659264" behindDoc="0" locked="0" layoutInCell="1" allowOverlap="1">
            <wp:simplePos x="0" y="0"/>
            <wp:positionH relativeFrom="column">
              <wp:posOffset>16510</wp:posOffset>
            </wp:positionH>
            <wp:positionV relativeFrom="paragraph">
              <wp:posOffset>99060</wp:posOffset>
            </wp:positionV>
            <wp:extent cx="5050790" cy="5956935"/>
            <wp:effectExtent l="19050" t="0" r="0" b="0"/>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9" descr="IMG_256"/>
                    <pic:cNvPicPr>
                      <a:picLocks noChangeAspect="1" noChangeArrowheads="1"/>
                    </pic:cNvPicPr>
                  </pic:nvPicPr>
                  <pic:blipFill>
                    <a:blip r:embed="rId7" cstate="print"/>
                    <a:srcRect/>
                    <a:stretch>
                      <a:fillRect/>
                    </a:stretch>
                  </pic:blipFill>
                  <pic:spPr>
                    <a:xfrm>
                      <a:off x="0" y="0"/>
                      <a:ext cx="5050790" cy="5956935"/>
                    </a:xfrm>
                    <a:prstGeom prst="rect">
                      <a:avLst/>
                    </a:prstGeom>
                    <a:noFill/>
                    <a:ln w="9525" cmpd="sng">
                      <a:noFill/>
                      <a:miter lim="800000"/>
                      <a:headEnd/>
                      <a:tailEnd/>
                    </a:ln>
                  </pic:spPr>
                </pic:pic>
              </a:graphicData>
            </a:graphic>
          </wp:anchor>
        </w:drawing>
      </w:r>
      <w:r>
        <w:rPr>
          <w:rFonts w:eastAsia="黑体"/>
          <w:bCs/>
        </w:rPr>
        <w:t>图1  环境影响评价工作程序图</w:t>
      </w:r>
    </w:p>
    <w:p>
      <w:pPr>
        <w:pStyle w:val="4"/>
        <w:adjustRightInd w:val="0"/>
        <w:spacing w:before="120" w:after="120" w:line="460" w:lineRule="exact"/>
        <w:textAlignment w:val="baseline"/>
        <w:rPr>
          <w:rFonts w:ascii="Times New Roman" w:hAnsi="Times New Roman"/>
          <w:b w:val="0"/>
          <w:szCs w:val="28"/>
        </w:rPr>
      </w:pPr>
      <w:bookmarkStart w:id="20" w:name="_Toc165386205"/>
      <w:r>
        <w:rPr>
          <w:rFonts w:hint="eastAsia" w:ascii="Times New Roman" w:hAnsi="Times New Roman"/>
          <w:b w:val="0"/>
          <w:szCs w:val="28"/>
        </w:rPr>
        <w:t xml:space="preserve">1.3 </w:t>
      </w:r>
      <w:r>
        <w:rPr>
          <w:rFonts w:ascii="Times New Roman" w:hAnsi="Times New Roman"/>
          <w:b w:val="0"/>
          <w:szCs w:val="28"/>
        </w:rPr>
        <w:t>分析判定相关情况</w:t>
      </w:r>
      <w:bookmarkEnd w:id="20"/>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1.3.1产业政策符合性分析</w:t>
      </w:r>
    </w:p>
    <w:p>
      <w:pPr>
        <w:spacing w:line="460" w:lineRule="exact"/>
        <w:ind w:firstLine="480" w:firstLineChars="200"/>
        <w:rPr>
          <w:sz w:val="24"/>
          <w:lang w:bidi="en-US"/>
        </w:rPr>
      </w:pPr>
      <w:r>
        <w:rPr>
          <w:rFonts w:hint="eastAsia"/>
          <w:sz w:val="24"/>
          <w:lang w:bidi="en-US"/>
        </w:rPr>
        <w:t>1、产业政策条件</w:t>
      </w:r>
    </w:p>
    <w:p>
      <w:pPr>
        <w:spacing w:line="460" w:lineRule="exact"/>
        <w:ind w:firstLine="480" w:firstLineChars="200"/>
        <w:rPr>
          <w:sz w:val="24"/>
          <w:lang w:bidi="en-US"/>
        </w:rPr>
      </w:pPr>
      <w:r>
        <w:rPr>
          <w:rFonts w:hint="eastAsia"/>
          <w:sz w:val="24"/>
          <w:lang w:bidi="en-US"/>
        </w:rPr>
        <w:t>本项目属于废旧塑料资源回收利用及节水器材制品生产项目，属于中华人民共和国国家发展和改革委员会令第7 号《产业结构调整指导目录（2024年本）》中“第一类鼓励类 十九、轻工 2．生物降解塑料及其系列产品开发、生产与应用，农用塑料节水器材，长寿命（三年及以上）功能性农用薄膜的开发、生产，全生物降解育苗钵、盘及相关农资包装材料；四十二、环境保护与资源节约综合利用 8．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尾矿（共伴生矿）、冶炼渣、工业副产石膏、赤泥、建筑垃圾等工业废弃物循环利用，农作物秸秆、畜禽粪污、农药包装等农林废弃物循环利用，生物质能技术装备（发电、供热、制油、沼气）”，符合国家产业政策。</w:t>
      </w:r>
    </w:p>
    <w:p>
      <w:pPr>
        <w:spacing w:line="460" w:lineRule="exact"/>
        <w:ind w:firstLine="480" w:firstLineChars="200"/>
        <w:rPr>
          <w:sz w:val="24"/>
          <w:lang w:bidi="en-US"/>
        </w:rPr>
      </w:pPr>
      <w:r>
        <w:rPr>
          <w:rFonts w:hint="eastAsia"/>
          <w:sz w:val="24"/>
          <w:lang w:bidi="en-US"/>
        </w:rPr>
        <w:t>2、《废塑料综合利用行业规范条件》相符性分析</w:t>
      </w:r>
    </w:p>
    <w:p>
      <w:pPr>
        <w:spacing w:line="460" w:lineRule="exact"/>
        <w:ind w:firstLine="480" w:firstLineChars="200"/>
        <w:rPr>
          <w:bCs/>
          <w:sz w:val="24"/>
          <w:lang w:bidi="en-US"/>
        </w:rPr>
      </w:pPr>
      <w:r>
        <w:rPr>
          <w:rFonts w:hint="eastAsia"/>
          <w:sz w:val="24"/>
          <w:lang w:bidi="en-US"/>
        </w:rPr>
        <w:t>《废塑料综合利用行业规范条件》（</w:t>
      </w:r>
      <w:r>
        <w:rPr>
          <w:rFonts w:hint="eastAsia"/>
          <w:bCs/>
          <w:sz w:val="24"/>
          <w:lang w:bidi="en-US"/>
        </w:rPr>
        <w:t>中华人民共和国工业和信息化部公告</w:t>
      </w:r>
      <w:r>
        <w:rPr>
          <w:bCs/>
          <w:sz w:val="24"/>
          <w:lang w:bidi="en-US"/>
        </w:rPr>
        <w:t>2015</w:t>
      </w:r>
      <w:r>
        <w:rPr>
          <w:rFonts w:hint="eastAsia"/>
          <w:bCs/>
          <w:sz w:val="24"/>
          <w:lang w:bidi="en-US"/>
        </w:rPr>
        <w:t>年第</w:t>
      </w:r>
      <w:r>
        <w:rPr>
          <w:bCs/>
          <w:sz w:val="24"/>
          <w:lang w:bidi="en-US"/>
        </w:rPr>
        <w:t>81</w:t>
      </w:r>
      <w:r>
        <w:rPr>
          <w:rFonts w:hint="eastAsia"/>
          <w:bCs/>
          <w:sz w:val="24"/>
          <w:lang w:bidi="en-US"/>
        </w:rPr>
        <w:t>号）的项目符合性分析，见表1.3</w:t>
      </w:r>
      <w:r>
        <w:rPr>
          <w:bCs/>
          <w:sz w:val="24"/>
          <w:lang w:bidi="en-US"/>
        </w:rPr>
        <w:t>-1</w:t>
      </w:r>
      <w:r>
        <w:rPr>
          <w:rFonts w:hint="eastAsia"/>
          <w:bCs/>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 xml:space="preserve">表1.3-1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与《废塑料综合利用行业规范条件》符合性分析</w:t>
      </w:r>
    </w:p>
    <w:tbl>
      <w:tblPr>
        <w:tblStyle w:val="59"/>
        <w:tblW w:w="82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53"/>
        <w:gridCol w:w="2723"/>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bCs/>
                <w:kern w:val="0"/>
                <w:szCs w:val="21"/>
              </w:rPr>
            </w:pPr>
            <w:r>
              <w:rPr>
                <w:rFonts w:hint="eastAsia"/>
                <w:bCs/>
                <w:szCs w:val="21"/>
              </w:rPr>
              <w:t>项目</w:t>
            </w:r>
          </w:p>
        </w:tc>
        <w:tc>
          <w:tcPr>
            <w:tcW w:w="3853" w:type="dxa"/>
            <w:vAlign w:val="center"/>
          </w:tcPr>
          <w:p>
            <w:pPr>
              <w:adjustRightInd w:val="0"/>
              <w:snapToGrid w:val="0"/>
              <w:jc w:val="center"/>
              <w:rPr>
                <w:bCs/>
                <w:kern w:val="0"/>
                <w:szCs w:val="21"/>
              </w:rPr>
            </w:pPr>
            <w:r>
              <w:rPr>
                <w:rFonts w:hint="eastAsia"/>
                <w:bCs/>
                <w:szCs w:val="21"/>
              </w:rPr>
              <w:t>具体要求</w:t>
            </w:r>
          </w:p>
        </w:tc>
        <w:tc>
          <w:tcPr>
            <w:tcW w:w="2723" w:type="dxa"/>
            <w:vAlign w:val="center"/>
          </w:tcPr>
          <w:p>
            <w:pPr>
              <w:adjustRightInd w:val="0"/>
              <w:snapToGrid w:val="0"/>
              <w:jc w:val="center"/>
              <w:rPr>
                <w:bCs/>
                <w:kern w:val="0"/>
                <w:szCs w:val="21"/>
              </w:rPr>
            </w:pPr>
            <w:r>
              <w:rPr>
                <w:rFonts w:hint="eastAsia"/>
                <w:bCs/>
                <w:szCs w:val="21"/>
              </w:rPr>
              <w:t>本项目情况</w:t>
            </w:r>
          </w:p>
        </w:tc>
        <w:tc>
          <w:tcPr>
            <w:tcW w:w="903" w:type="dxa"/>
            <w:vAlign w:val="center"/>
          </w:tcPr>
          <w:p>
            <w:pPr>
              <w:adjustRightInd w:val="0"/>
              <w:snapToGrid w:val="0"/>
              <w:jc w:val="center"/>
              <w:rPr>
                <w:bCs/>
                <w:kern w:val="0"/>
                <w:szCs w:val="21"/>
              </w:rPr>
            </w:pPr>
            <w:r>
              <w:rPr>
                <w:rFonts w:hint="eastAsia"/>
                <w:bCs/>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restart"/>
            <w:vAlign w:val="center"/>
          </w:tcPr>
          <w:p>
            <w:pPr>
              <w:adjustRightInd w:val="0"/>
              <w:snapToGrid w:val="0"/>
              <w:jc w:val="center"/>
              <w:rPr>
                <w:bCs/>
                <w:kern w:val="0"/>
                <w:szCs w:val="21"/>
              </w:rPr>
            </w:pPr>
            <w:r>
              <w:rPr>
                <w:rFonts w:hint="eastAsia"/>
                <w:bCs/>
                <w:szCs w:val="21"/>
              </w:rPr>
              <w:t>企业的设立和布局</w:t>
            </w:r>
          </w:p>
        </w:tc>
        <w:tc>
          <w:tcPr>
            <w:tcW w:w="3853" w:type="dxa"/>
            <w:vAlign w:val="center"/>
          </w:tcPr>
          <w:p>
            <w:pPr>
              <w:adjustRightInd w:val="0"/>
              <w:snapToGrid w:val="0"/>
              <w:jc w:val="center"/>
              <w:rPr>
                <w:bCs/>
                <w:kern w:val="0"/>
                <w:szCs w:val="21"/>
              </w:rPr>
            </w:pPr>
            <w:r>
              <w:rPr>
                <w:rFonts w:hint="eastAsia"/>
                <w:bCs/>
                <w:szCs w:val="21"/>
              </w:rPr>
              <w:t>废塑料综合利用企业是指采用物理机械法对热塑性废塑料进行再生加工的企业，企业类型主要包括</w:t>
            </w:r>
            <w:r>
              <w:rPr>
                <w:bCs/>
                <w:szCs w:val="21"/>
              </w:rPr>
              <w:t>PET</w:t>
            </w:r>
            <w:r>
              <w:rPr>
                <w:rFonts w:hint="eastAsia"/>
                <w:bCs/>
                <w:szCs w:val="21"/>
              </w:rPr>
              <w:t>再生瓶片类企业、废塑料破碎清洗分选类企业以及塑料再生造粒类企业。</w:t>
            </w:r>
          </w:p>
        </w:tc>
        <w:tc>
          <w:tcPr>
            <w:tcW w:w="2723" w:type="dxa"/>
            <w:vAlign w:val="center"/>
          </w:tcPr>
          <w:p>
            <w:pPr>
              <w:adjustRightInd w:val="0"/>
              <w:snapToGrid w:val="0"/>
              <w:jc w:val="center"/>
              <w:rPr>
                <w:bCs/>
                <w:kern w:val="0"/>
                <w:szCs w:val="21"/>
              </w:rPr>
            </w:pPr>
            <w:r>
              <w:rPr>
                <w:rFonts w:hint="eastAsia"/>
                <w:bCs/>
                <w:szCs w:val="21"/>
              </w:rPr>
              <w:t>本项目属于塑料再生造粒企业。</w:t>
            </w:r>
          </w:p>
        </w:tc>
        <w:tc>
          <w:tcPr>
            <w:tcW w:w="903" w:type="dxa"/>
            <w:vAlign w:val="center"/>
          </w:tcPr>
          <w:p>
            <w:pPr>
              <w:adjustRightInd w:val="0"/>
              <w:snapToGrid w:val="0"/>
              <w:jc w:val="center"/>
              <w:rPr>
                <w:bCs/>
                <w:kern w:val="0"/>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adjustRightInd w:val="0"/>
              <w:snapToGrid w:val="0"/>
              <w:jc w:val="center"/>
              <w:rPr>
                <w:bCs/>
                <w:kern w:val="0"/>
                <w:szCs w:val="21"/>
              </w:rPr>
            </w:pP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废塑料综合利用企业所涉及的热塑性废塑料原料，不包括受到危险化学品、农药等污染的废弃塑料包装物、废弃一次性医疗用塑料制品等塑料类危险废物，以及氟塑料等特种工程塑料。</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本项目原料为回收的废旧滴灌带、废旧塑料膜，均为农业生产产生废塑料，不包括受到危险化学品、农药等污染的废弃塑料包装物、废弃一次性医疗用品等塑料类危险废物。</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adjustRightInd w:val="0"/>
              <w:snapToGrid w:val="0"/>
              <w:jc w:val="center"/>
              <w:rPr>
                <w:bCs/>
                <w:kern w:val="0"/>
                <w:szCs w:val="21"/>
              </w:rPr>
            </w:pP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本项目不在上述规定的自然保护区、风景名胜区、饮用水源保护区和其他需要特别保护的区域内</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bCs/>
                <w:kern w:val="0"/>
                <w:szCs w:val="21"/>
              </w:rPr>
            </w:pPr>
            <w:r>
              <w:rPr>
                <w:rFonts w:hint="eastAsia"/>
                <w:bCs/>
                <w:szCs w:val="21"/>
              </w:rPr>
              <w:t>生产经营规模</w:t>
            </w: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塑料再生造粒企业：新建企业年废旧塑料处理能力不低于</w:t>
            </w:r>
            <w:r>
              <w:rPr>
                <w:rFonts w:ascii="Times New Roman" w:hAnsi="Times New Roman" w:eastAsia="宋体" w:cs="Times New Roman"/>
              </w:rPr>
              <w:t>5000</w:t>
            </w:r>
            <w:r>
              <w:rPr>
                <w:rFonts w:hint="eastAsia" w:ascii="Times New Roman" w:hAnsi="Times New Roman" w:eastAsia="宋体" w:cs="Times New Roman"/>
              </w:rPr>
              <w:t>吨；已建企业年废塑料处理能力不低于</w:t>
            </w:r>
            <w:r>
              <w:rPr>
                <w:rFonts w:ascii="Times New Roman" w:hAnsi="Times New Roman" w:eastAsia="宋体" w:cs="Times New Roman"/>
              </w:rPr>
              <w:t>3000</w:t>
            </w:r>
            <w:r>
              <w:rPr>
                <w:rFonts w:hint="eastAsia" w:ascii="Times New Roman" w:hAnsi="Times New Roman" w:eastAsia="宋体" w:cs="Times New Roman"/>
              </w:rPr>
              <w:t>吨。</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本项目为塑料再生造粒企业，本次扩建后年处理废旧塑料5500吨</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bCs/>
                <w:kern w:val="0"/>
                <w:szCs w:val="21"/>
              </w:rPr>
            </w:pPr>
            <w:r>
              <w:rPr>
                <w:rFonts w:hint="eastAsia"/>
                <w:bCs/>
                <w:szCs w:val="21"/>
              </w:rPr>
              <w:t>工艺与装备</w:t>
            </w:r>
          </w:p>
        </w:tc>
        <w:tc>
          <w:tcPr>
            <w:tcW w:w="3853" w:type="dxa"/>
            <w:vAlign w:val="center"/>
          </w:tcPr>
          <w:p>
            <w:pPr>
              <w:adjustRightInd w:val="0"/>
              <w:snapToGrid w:val="0"/>
              <w:jc w:val="center"/>
              <w:rPr>
                <w:bCs/>
                <w:kern w:val="0"/>
                <w:szCs w:val="21"/>
              </w:rPr>
            </w:pPr>
            <w:r>
              <w:rPr>
                <w:rFonts w:hint="eastAsia"/>
                <w:bCs/>
                <w:szCs w:val="21"/>
              </w:rPr>
              <w:t>新建及改造、扩建废塑料综合利用企业应采用先进技术、工艺和装备，提高废塑料再生加工过程的自动化水平。塑料再生造粒类企业：应具有与加工利用能力相适应的预处理设备和造粒设备。其中，造粒设备应具有强制排气系统，通过集气罩实现废气的集中处理；过滤装置的废弃过滤网应按照环境保护有关规定处理，禁止露天焚烧。</w:t>
            </w:r>
          </w:p>
        </w:tc>
        <w:tc>
          <w:tcPr>
            <w:tcW w:w="2723" w:type="dxa"/>
            <w:vAlign w:val="center"/>
          </w:tcPr>
          <w:p>
            <w:pPr>
              <w:adjustRightInd w:val="0"/>
              <w:snapToGrid w:val="0"/>
              <w:jc w:val="center"/>
              <w:rPr>
                <w:bCs/>
                <w:kern w:val="0"/>
                <w:szCs w:val="21"/>
              </w:rPr>
            </w:pPr>
            <w:r>
              <w:rPr>
                <w:rFonts w:hint="eastAsia"/>
                <w:bCs/>
                <w:szCs w:val="21"/>
              </w:rPr>
              <w:t>本项目造粒设备具有强制排气系统，产生的有机废气经</w:t>
            </w:r>
            <w:r>
              <w:rPr>
                <w:bCs/>
                <w:szCs w:val="21"/>
              </w:rPr>
              <w:t xml:space="preserve"> </w:t>
            </w:r>
            <w:r>
              <w:rPr>
                <w:rFonts w:hint="eastAsia"/>
                <w:bCs/>
                <w:szCs w:val="21"/>
              </w:rPr>
              <w:t>“活性炭吸附+催化燃烧（CO）”处理后，经由</w:t>
            </w:r>
            <w:r>
              <w:rPr>
                <w:bCs/>
                <w:szCs w:val="21"/>
              </w:rPr>
              <w:t>15m</w:t>
            </w:r>
            <w:r>
              <w:rPr>
                <w:rFonts w:hint="eastAsia"/>
                <w:bCs/>
                <w:szCs w:val="21"/>
              </w:rPr>
              <w:t>排气筒排放。废弃过滤网送固废填埋场处置。</w:t>
            </w:r>
          </w:p>
        </w:tc>
        <w:tc>
          <w:tcPr>
            <w:tcW w:w="903" w:type="dxa"/>
            <w:vAlign w:val="center"/>
          </w:tcPr>
          <w:p>
            <w:pPr>
              <w:adjustRightInd w:val="0"/>
              <w:snapToGrid w:val="0"/>
              <w:jc w:val="center"/>
              <w:rPr>
                <w:bCs/>
                <w:kern w:val="0"/>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restart"/>
            <w:vAlign w:val="center"/>
          </w:tcPr>
          <w:p>
            <w:pPr>
              <w:adjustRightInd w:val="0"/>
              <w:snapToGrid w:val="0"/>
              <w:jc w:val="center"/>
              <w:rPr>
                <w:bCs/>
                <w:kern w:val="0"/>
                <w:szCs w:val="21"/>
              </w:rPr>
            </w:pPr>
            <w:r>
              <w:rPr>
                <w:rFonts w:hint="eastAsia"/>
                <w:bCs/>
                <w:kern w:val="0"/>
                <w:szCs w:val="21"/>
              </w:rPr>
              <w:t>环境保护</w:t>
            </w: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企业加工存储场地应建有围墙，在园区内的企业可为单独厂房，地面全部硬化且无明显破损现象</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企业加工场地全部为厂房，项目厂区建有围墙，地面全部硬化</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adjustRightInd w:val="0"/>
              <w:snapToGrid w:val="0"/>
              <w:jc w:val="center"/>
              <w:rPr>
                <w:bCs/>
                <w:kern w:val="0"/>
                <w:szCs w:val="21"/>
              </w:rPr>
            </w:pP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再生加工过程中产生废气、粉尘的加工车间应设置废气、粉尘收集处理设施，通过净化处理，达标后排放</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废旧塑料再生</w:t>
            </w:r>
            <w:r>
              <w:rPr>
                <w:rFonts w:ascii="Times New Roman" w:hAnsi="Times New Roman" w:eastAsia="宋体" w:cs="Times New Roman"/>
              </w:rPr>
              <w:t>有机废气设置有</w:t>
            </w:r>
            <w:r>
              <w:rPr>
                <w:rFonts w:hint="eastAsia" w:ascii="Times New Roman" w:hAnsi="Times New Roman" w:eastAsia="宋体" w:cs="Times New Roman"/>
              </w:rPr>
              <w:t>活性炭吸附+催化燃烧</w:t>
            </w:r>
            <w:r>
              <w:rPr>
                <w:rFonts w:ascii="Times New Roman" w:hAnsi="Times New Roman" w:eastAsia="宋体" w:cs="Times New Roman"/>
              </w:rPr>
              <w:t>装置</w:t>
            </w:r>
            <w:r>
              <w:rPr>
                <w:rFonts w:hint="eastAsia" w:ascii="Times New Roman" w:hAnsi="Times New Roman" w:eastAsia="宋体" w:cs="Times New Roman"/>
              </w:rPr>
              <w:t>（CO）</w:t>
            </w:r>
            <w:r>
              <w:rPr>
                <w:rFonts w:ascii="Times New Roman" w:hAnsi="Times New Roman" w:eastAsia="宋体" w:cs="Times New Roman"/>
              </w:rPr>
              <w:t>处置，处置后非甲烷总烃可满足</w:t>
            </w:r>
            <w:r>
              <w:rPr>
                <w:rFonts w:hint="eastAsia" w:ascii="Times New Roman" w:hAnsi="Times New Roman" w:eastAsia="宋体" w:cs="Times New Roman"/>
              </w:rPr>
              <w:t>《合成树脂工业污染物排放标准》（GB31572-2015）表5特别排放限值</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adjustRightInd w:val="0"/>
              <w:snapToGrid w:val="0"/>
              <w:jc w:val="center"/>
              <w:rPr>
                <w:bCs/>
                <w:kern w:val="0"/>
                <w:szCs w:val="21"/>
              </w:rPr>
            </w:pPr>
          </w:p>
        </w:tc>
        <w:tc>
          <w:tcPr>
            <w:tcW w:w="385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对于加工过程中噪音污染大的设备，必须采取降噪和隔音措施，企业噪声应达到《工业企业厂界环境噪声排放标准》。</w:t>
            </w:r>
          </w:p>
        </w:tc>
        <w:tc>
          <w:tcPr>
            <w:tcW w:w="272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本项目噪声污染大的设备采取选用低噪声设备，基础减振、采取厂房隔音等措施，四周厂界噪声满足《工业企业厂界环境噪声排放标准》（</w:t>
            </w:r>
            <w:r>
              <w:rPr>
                <w:rFonts w:ascii="Times New Roman" w:hAnsi="Times New Roman" w:eastAsia="宋体" w:cs="Times New Roman"/>
              </w:rPr>
              <w:t>GB12348-2008</w:t>
            </w:r>
            <w:r>
              <w:rPr>
                <w:rFonts w:hint="eastAsia" w:ascii="Times New Roman" w:hAnsi="Times New Roman" w:eastAsia="宋体" w:cs="Times New Roman"/>
              </w:rPr>
              <w:t>）3类标准要求</w:t>
            </w:r>
          </w:p>
        </w:tc>
        <w:tc>
          <w:tcPr>
            <w:tcW w:w="903" w:type="dxa"/>
            <w:vAlign w:val="center"/>
          </w:tcPr>
          <w:p>
            <w:pPr>
              <w:pStyle w:val="673"/>
              <w:adjustRightInd w:val="0"/>
              <w:snapToGrid w:val="0"/>
              <w:rPr>
                <w:rFonts w:ascii="Times New Roman" w:hAnsi="Times New Roman" w:eastAsia="宋体" w:cs="Times New Roman"/>
                <w:kern w:val="0"/>
              </w:rPr>
            </w:pPr>
            <w:r>
              <w:rPr>
                <w:rFonts w:hint="eastAsia" w:ascii="Times New Roman" w:hAnsi="Times New Roman" w:eastAsia="宋体" w:cs="Times New Roman"/>
              </w:rPr>
              <w:t>符合</w:t>
            </w:r>
          </w:p>
        </w:tc>
      </w:tr>
    </w:tbl>
    <w:p>
      <w:pPr>
        <w:spacing w:line="460" w:lineRule="exact"/>
        <w:ind w:firstLine="480" w:firstLineChars="200"/>
        <w:rPr>
          <w:sz w:val="24"/>
          <w:lang w:bidi="en-US"/>
        </w:rPr>
      </w:pPr>
      <w:r>
        <w:rPr>
          <w:rFonts w:hint="eastAsia"/>
          <w:sz w:val="24"/>
          <w:lang w:bidi="en-US"/>
        </w:rPr>
        <w:t>根据上表分析，本项目符合《废塑料综合利用行业规范条件》（</w:t>
      </w:r>
      <w:r>
        <w:rPr>
          <w:rFonts w:hint="eastAsia"/>
          <w:bCs/>
          <w:sz w:val="24"/>
          <w:lang w:bidi="en-US"/>
        </w:rPr>
        <w:t>中华人民共和国工业和信息化部公告</w:t>
      </w:r>
      <w:r>
        <w:rPr>
          <w:bCs/>
          <w:sz w:val="24"/>
          <w:lang w:bidi="en-US"/>
        </w:rPr>
        <w:t>2015</w:t>
      </w:r>
      <w:r>
        <w:rPr>
          <w:rFonts w:hint="eastAsia"/>
          <w:bCs/>
          <w:sz w:val="24"/>
          <w:lang w:bidi="en-US"/>
        </w:rPr>
        <w:t>年第</w:t>
      </w:r>
      <w:r>
        <w:rPr>
          <w:bCs/>
          <w:sz w:val="24"/>
          <w:lang w:bidi="en-US"/>
        </w:rPr>
        <w:t>81</w:t>
      </w:r>
      <w:r>
        <w:rPr>
          <w:rFonts w:hint="eastAsia"/>
          <w:bCs/>
          <w:sz w:val="24"/>
          <w:lang w:bidi="en-US"/>
        </w:rPr>
        <w:t>号）相关要求。</w:t>
      </w:r>
    </w:p>
    <w:p>
      <w:pPr>
        <w:spacing w:line="460" w:lineRule="exact"/>
        <w:ind w:firstLine="480" w:firstLineChars="200"/>
        <w:rPr>
          <w:sz w:val="24"/>
          <w:lang w:bidi="en-US"/>
        </w:rPr>
      </w:pPr>
      <w:r>
        <w:rPr>
          <w:sz w:val="24"/>
          <w:lang w:bidi="en-US"/>
        </w:rPr>
        <w:t>3</w:t>
      </w:r>
      <w:r>
        <w:rPr>
          <w:rFonts w:hint="eastAsia"/>
          <w:sz w:val="24"/>
          <w:lang w:bidi="en-US"/>
        </w:rPr>
        <w:t>、与《废塑料污染</w:t>
      </w:r>
      <w:r>
        <w:rPr>
          <w:sz w:val="24"/>
          <w:lang w:bidi="en-US"/>
        </w:rPr>
        <w:t>控制技术规范</w:t>
      </w:r>
      <w:r>
        <w:rPr>
          <w:rFonts w:hint="eastAsia"/>
          <w:sz w:val="24"/>
          <w:lang w:bidi="en-US"/>
        </w:rPr>
        <w:t>》（HJ</w:t>
      </w:r>
      <w:r>
        <w:rPr>
          <w:sz w:val="24"/>
          <w:lang w:bidi="en-US"/>
        </w:rPr>
        <w:t xml:space="preserve"> </w:t>
      </w:r>
      <w:r>
        <w:rPr>
          <w:rFonts w:hint="eastAsia"/>
          <w:sz w:val="24"/>
          <w:lang w:bidi="en-US"/>
        </w:rPr>
        <w:t>364-</w:t>
      </w:r>
      <w:r>
        <w:rPr>
          <w:sz w:val="24"/>
          <w:lang w:bidi="en-US"/>
        </w:rPr>
        <w:t>2022</w:t>
      </w:r>
      <w:r>
        <w:rPr>
          <w:rFonts w:hint="eastAsia"/>
          <w:sz w:val="24"/>
          <w:lang w:bidi="en-US"/>
        </w:rPr>
        <w:t>）符合性分析</w:t>
      </w:r>
    </w:p>
    <w:p>
      <w:pPr>
        <w:spacing w:line="460" w:lineRule="exact"/>
        <w:ind w:firstLine="480" w:firstLineChars="200"/>
        <w:rPr>
          <w:sz w:val="24"/>
          <w:lang w:bidi="en-US"/>
        </w:rPr>
      </w:pPr>
      <w:r>
        <w:rPr>
          <w:rFonts w:hint="eastAsia"/>
          <w:sz w:val="24"/>
          <w:lang w:bidi="en-US"/>
        </w:rPr>
        <w:t>本项目建设与《废塑料污染控制技术规范》（HJ 364-2022）符合性分析详见表1.3</w:t>
      </w:r>
      <w:r>
        <w:rPr>
          <w:sz w:val="24"/>
          <w:lang w:bidi="en-US"/>
        </w:rPr>
        <w:t>-2</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w:t>
      </w:r>
      <w:r>
        <w:rPr>
          <w:rFonts w:ascii="Times New Roman" w:hAnsi="Times New Roman" w:eastAsia="黑体" w:cs="Times New Roman"/>
          <w:sz w:val="21"/>
          <w:lang w:bidi="en-US"/>
        </w:rPr>
        <w:t xml:space="preserve">-2    </w:t>
      </w:r>
      <w:r>
        <w:rPr>
          <w:rFonts w:hint="eastAsia" w:ascii="Times New Roman" w:hAnsi="Times New Roman" w:eastAsia="黑体" w:cs="Times New Roman"/>
          <w:sz w:val="21"/>
          <w:lang w:bidi="en-US"/>
        </w:rPr>
        <w:t>与《废塑料污染控制技术规范》（HJ 364-2022）符合性分析</w:t>
      </w:r>
    </w:p>
    <w:tbl>
      <w:tblPr>
        <w:tblStyle w:val="59"/>
        <w:tblW w:w="5104"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083"/>
        <w:gridCol w:w="3401"/>
        <w:gridCol w:w="2551"/>
        <w:gridCol w:w="903"/>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序号</w:t>
            </w:r>
          </w:p>
        </w:tc>
        <w:tc>
          <w:tcPr>
            <w:tcW w:w="629"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内容</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本项目概况</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符合性</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ascii="Times New Roman" w:hAnsi="Times New Roman" w:eastAsia="宋体" w:cs="Times New Roman"/>
              </w:rPr>
              <w:t>1</w:t>
            </w:r>
          </w:p>
        </w:tc>
        <w:tc>
          <w:tcPr>
            <w:tcW w:w="629"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产生</w:t>
            </w:r>
            <w:r>
              <w:rPr>
                <w:rFonts w:ascii="Times New Roman" w:hAnsi="Times New Roman" w:eastAsia="宋体" w:cs="Times New Roman"/>
              </w:rPr>
              <w:t>环境污染控制要求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废弃的非全生物降解塑料农膜，应进行回收，不得丢弃、掩埋或者露天焚烧</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将</w:t>
            </w:r>
            <w:r>
              <w:rPr>
                <w:rFonts w:hint="eastAsia" w:ascii="Times New Roman" w:hAnsi="Times New Roman" w:eastAsia="宋体" w:cs="Times New Roman"/>
              </w:rPr>
              <w:t>农业</w:t>
            </w:r>
            <w:r>
              <w:rPr>
                <w:rFonts w:ascii="Times New Roman" w:hAnsi="Times New Roman" w:eastAsia="宋体" w:cs="Times New Roman"/>
              </w:rPr>
              <w:t>生产产生的废弃</w:t>
            </w:r>
            <w:r>
              <w:rPr>
                <w:rFonts w:hint="eastAsia" w:ascii="Times New Roman" w:hAnsi="Times New Roman" w:eastAsia="宋体" w:cs="Times New Roman"/>
              </w:rPr>
              <w:t>塑料膜</w:t>
            </w:r>
            <w:r>
              <w:rPr>
                <w:rFonts w:ascii="Times New Roman" w:hAnsi="Times New Roman" w:eastAsia="宋体" w:cs="Times New Roman"/>
              </w:rPr>
              <w:t>、废弃滴灌带等全部回收后再生利用</w:t>
            </w:r>
            <w:r>
              <w:rPr>
                <w:rFonts w:hint="eastAsia" w:ascii="Times New Roman" w:hAnsi="Times New Roman" w:eastAsia="宋体" w:cs="Times New Roman"/>
              </w:rPr>
              <w:t>，</w:t>
            </w:r>
            <w:r>
              <w:rPr>
                <w:rFonts w:ascii="Times New Roman" w:hAnsi="Times New Roman" w:eastAsia="宋体" w:cs="Times New Roman"/>
              </w:rPr>
              <w:t>不采取焚烧、</w:t>
            </w:r>
            <w:r>
              <w:rPr>
                <w:rFonts w:hint="eastAsia" w:ascii="Times New Roman" w:hAnsi="Times New Roman" w:eastAsia="宋体" w:cs="Times New Roman"/>
              </w:rPr>
              <w:t>掩埋</w:t>
            </w:r>
            <w:r>
              <w:rPr>
                <w:rFonts w:ascii="Times New Roman" w:hAnsi="Times New Roman" w:eastAsia="宋体" w:cs="Times New Roman"/>
              </w:rPr>
              <w:t>的处置措施</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2</w:t>
            </w:r>
          </w:p>
        </w:tc>
        <w:tc>
          <w:tcPr>
            <w:tcW w:w="629" w:type="pct"/>
            <w:vMerge w:val="restar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收集</w:t>
            </w:r>
            <w:r>
              <w:rPr>
                <w:rFonts w:ascii="Times New Roman" w:hAnsi="Times New Roman" w:eastAsia="宋体" w:cs="Times New Roman"/>
              </w:rPr>
              <w:t>和运输污染控制要求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废塑料收集企业应参照 GB/T 37547，根据废塑料来源、特性及使用过程对废塑料进行分类收集；废塑料</w:t>
            </w:r>
            <w:r>
              <w:rPr>
                <w:rFonts w:ascii="Times New Roman" w:hAnsi="Times New Roman" w:eastAsia="宋体" w:cs="Times New Roman"/>
              </w:rPr>
              <w:t>收集过程应避免扬散，不得随意倾倒残液及清洗</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主要</w:t>
            </w:r>
            <w:r>
              <w:rPr>
                <w:rFonts w:hint="eastAsia" w:ascii="Times New Roman" w:hAnsi="Times New Roman" w:eastAsia="宋体" w:cs="Times New Roman"/>
              </w:rPr>
              <w:t>收集</w:t>
            </w:r>
            <w:r>
              <w:rPr>
                <w:rFonts w:ascii="Times New Roman" w:hAnsi="Times New Roman" w:eastAsia="宋体" w:cs="Times New Roman"/>
              </w:rPr>
              <w:t>农田产生的废旧塑料膜、废旧滴灌带，并且项目分类收集、运输过程采取苫盖等措施，防治了扬散</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3</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废塑料及其预处理产物的装卸及运输过程中，应采取必要的防扬散、防渗漏措施，应保持运输车辆的洁净，避免二次污染</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项目</w:t>
            </w:r>
            <w:r>
              <w:rPr>
                <w:rFonts w:ascii="Times New Roman" w:hAnsi="Times New Roman" w:eastAsia="宋体" w:cs="Times New Roman"/>
              </w:rPr>
              <w:t>收集的废旧塑料运输过程均采取了苫盖等防治扬散措施，并且运输</w:t>
            </w:r>
            <w:r>
              <w:rPr>
                <w:rFonts w:hint="eastAsia" w:ascii="Times New Roman" w:hAnsi="Times New Roman" w:eastAsia="宋体" w:cs="Times New Roman"/>
              </w:rPr>
              <w:t>车辆</w:t>
            </w:r>
            <w:r>
              <w:rPr>
                <w:rFonts w:ascii="Times New Roman" w:hAnsi="Times New Roman" w:eastAsia="宋体" w:cs="Times New Roman"/>
              </w:rPr>
              <w:t>均要求保持清洁</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4</w:t>
            </w:r>
          </w:p>
        </w:tc>
        <w:tc>
          <w:tcPr>
            <w:tcW w:w="629" w:type="pct"/>
            <w:vMerge w:val="restar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预处理</w:t>
            </w:r>
            <w:r>
              <w:rPr>
                <w:rFonts w:ascii="Times New Roman" w:hAnsi="Times New Roman" w:eastAsia="宋体" w:cs="Times New Roman"/>
              </w:rPr>
              <w:t>污染控制要求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应采用预分选工艺，将废塑料与其他废物分开，提高下游自动化分选的效率。</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项目从田间回收点收取，回收点在回收过程已进行预分选</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5</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废塑料的破碎方法可分为干法破碎和湿法破碎。使用干法破碎时，应配备相应的防尘、防噪声设备。使用湿法破碎时，应有配套的污水收集和处理设施。</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破碎采用湿法破碎工艺，</w:t>
            </w:r>
            <w:r>
              <w:rPr>
                <w:rFonts w:hint="eastAsia" w:ascii="Times New Roman" w:hAnsi="Times New Roman" w:eastAsia="宋体" w:cs="Times New Roman"/>
              </w:rPr>
              <w:t>设置</w:t>
            </w:r>
            <w:r>
              <w:rPr>
                <w:rFonts w:ascii="Times New Roman" w:hAnsi="Times New Roman" w:eastAsia="宋体" w:cs="Times New Roman"/>
              </w:rPr>
              <w:t>有</w:t>
            </w:r>
            <w:r>
              <w:rPr>
                <w:rFonts w:hint="eastAsia" w:ascii="Times New Roman" w:hAnsi="Times New Roman" w:eastAsia="宋体" w:cs="Times New Roman"/>
              </w:rPr>
              <w:t>2</w:t>
            </w:r>
            <w:r>
              <w:rPr>
                <w:rFonts w:ascii="Times New Roman" w:hAnsi="Times New Roman" w:eastAsia="宋体" w:cs="Times New Roman"/>
              </w:rPr>
              <w:t>座</w:t>
            </w:r>
            <w:r>
              <w:rPr>
                <w:rFonts w:hint="eastAsia" w:ascii="Times New Roman" w:hAnsi="Times New Roman" w:eastAsia="宋体" w:cs="Times New Roman"/>
              </w:rPr>
              <w:t>300</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三级</w:t>
            </w:r>
            <w:r>
              <w:rPr>
                <w:rFonts w:hint="eastAsia" w:ascii="Times New Roman" w:hAnsi="Times New Roman" w:eastAsia="宋体" w:cs="Times New Roman"/>
              </w:rPr>
              <w:t>沉淀池</w:t>
            </w:r>
            <w:r>
              <w:rPr>
                <w:rFonts w:ascii="Times New Roman" w:hAnsi="Times New Roman" w:eastAsia="宋体" w:cs="Times New Roman"/>
              </w:rPr>
              <w:t>收集废水</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6</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宜采用节水的自动化清洗技术，宜采用无磷清洗剂或其他绿色清洗剂，不得使用有毒有害的清洗剂。</w:t>
            </w:r>
          </w:p>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应根据清洗废水中污染物的种类和浓度，配备相应的废水收集和处理设施，清洗废水处理后宜循环使用。</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本项目清洗</w:t>
            </w:r>
            <w:r>
              <w:rPr>
                <w:rFonts w:ascii="Times New Roman" w:hAnsi="Times New Roman" w:eastAsia="宋体" w:cs="Times New Roman"/>
              </w:rPr>
              <w:t>采用清水清洗，不添加任何添加剂等，清洗废水经三级沉淀池沉淀后循环使用</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7</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宜选择闭路循环式干燥设备。干燥环节应配备废气收集和处理设施，防止二次污染。</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清洗后设置有挤干机进行脱水，减少物料含水率</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8</w:t>
            </w:r>
          </w:p>
        </w:tc>
        <w:tc>
          <w:tcPr>
            <w:tcW w:w="629" w:type="pct"/>
            <w:vMerge w:val="restar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再生利用</w:t>
            </w:r>
            <w:r>
              <w:rPr>
                <w:rFonts w:ascii="Times New Roman" w:hAnsi="Times New Roman" w:eastAsia="宋体" w:cs="Times New Roman"/>
              </w:rPr>
              <w:t>和处置污染控制要求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应</w:t>
            </w:r>
            <w:r>
              <w:rPr>
                <w:rFonts w:ascii="Times New Roman" w:hAnsi="Times New Roman" w:eastAsia="宋体" w:cs="Times New Roman"/>
              </w:rPr>
              <w:t>收集并处理废塑料再生利用过程中产生的废气、大气污染物排放应符合GB31572</w:t>
            </w:r>
            <w:r>
              <w:rPr>
                <w:rFonts w:hint="eastAsia" w:ascii="Times New Roman" w:hAnsi="Times New Roman" w:eastAsia="宋体" w:cs="Times New Roman"/>
              </w:rPr>
              <w:t>或</w:t>
            </w:r>
            <w:r>
              <w:rPr>
                <w:rFonts w:ascii="Times New Roman" w:hAnsi="Times New Roman" w:eastAsia="宋体" w:cs="Times New Roman"/>
              </w:rPr>
              <w:t>GB16297</w:t>
            </w:r>
            <w:r>
              <w:rPr>
                <w:rFonts w:hint="eastAsia" w:ascii="Times New Roman" w:hAnsi="Times New Roman" w:eastAsia="宋体" w:cs="Times New Roman"/>
              </w:rPr>
              <w:t>、</w:t>
            </w:r>
            <w:r>
              <w:rPr>
                <w:rFonts w:ascii="Times New Roman" w:hAnsi="Times New Roman" w:eastAsia="宋体" w:cs="Times New Roman"/>
              </w:rPr>
              <w:t>GB37822</w:t>
            </w:r>
            <w:r>
              <w:rPr>
                <w:rFonts w:hint="eastAsia" w:ascii="Times New Roman" w:hAnsi="Times New Roman" w:eastAsia="宋体" w:cs="Times New Roman"/>
              </w:rPr>
              <w:t>等</w:t>
            </w:r>
            <w:r>
              <w:rPr>
                <w:rFonts w:ascii="Times New Roman" w:hAnsi="Times New Roman" w:eastAsia="宋体" w:cs="Times New Roman"/>
              </w:rPr>
              <w:t>标准的规定，恶臭污染物排放应符合GB14554</w:t>
            </w:r>
            <w:r>
              <w:rPr>
                <w:rFonts w:hint="eastAsia" w:ascii="Times New Roman" w:hAnsi="Times New Roman" w:eastAsia="宋体" w:cs="Times New Roman"/>
              </w:rPr>
              <w:t>规定</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本项目废旧塑料颗粒加工生产过程造粒工序和滴灌带及</w:t>
            </w:r>
            <w:r>
              <w:rPr>
                <w:rFonts w:ascii="Times New Roman" w:hAnsi="Times New Roman" w:eastAsia="宋体" w:cs="Times New Roman"/>
              </w:rPr>
              <w:t>PE管</w:t>
            </w:r>
            <w:r>
              <w:rPr>
                <w:rFonts w:hint="eastAsia" w:ascii="Times New Roman" w:hAnsi="Times New Roman" w:eastAsia="宋体" w:cs="Times New Roman"/>
              </w:rPr>
              <w:t>生产过程挤出成型中产生的非甲烷总烃经配套设置的集气罩收集后，由配套的</w:t>
            </w:r>
            <w:r>
              <w:rPr>
                <w:rFonts w:ascii="Times New Roman" w:hAnsi="Times New Roman" w:eastAsia="宋体" w:cs="Times New Roman"/>
              </w:rPr>
              <w:t>“</w:t>
            </w:r>
            <w:r>
              <w:rPr>
                <w:rFonts w:hint="eastAsia" w:ascii="Times New Roman" w:hAnsi="Times New Roman" w:eastAsia="宋体" w:cs="Times New Roman"/>
              </w:rPr>
              <w:t>活性炭吸附+催化燃烧（CO）</w:t>
            </w:r>
            <w:r>
              <w:rPr>
                <w:rFonts w:ascii="Times New Roman" w:hAnsi="Times New Roman" w:eastAsia="宋体" w:cs="Times New Roman"/>
              </w:rPr>
              <w:t>”</w:t>
            </w:r>
            <w:r>
              <w:rPr>
                <w:rFonts w:hint="eastAsia" w:ascii="Times New Roman" w:hAnsi="Times New Roman" w:eastAsia="宋体" w:cs="Times New Roman"/>
              </w:rPr>
              <w:t>处理后，经由</w:t>
            </w:r>
            <w:r>
              <w:rPr>
                <w:rFonts w:ascii="Times New Roman" w:hAnsi="Times New Roman" w:eastAsia="宋体" w:cs="Times New Roman"/>
              </w:rPr>
              <w:t>15 m</w:t>
            </w:r>
            <w:r>
              <w:rPr>
                <w:rFonts w:hint="eastAsia" w:ascii="Times New Roman" w:hAnsi="Times New Roman" w:eastAsia="宋体" w:cs="Times New Roman"/>
              </w:rPr>
              <w:t>高的排气筒排放。有组织非甲烷总烃的排放满足《合成树脂工业污染物排放标准》（GB 31572-2015）中表5大气污染物特别排放限值。</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9</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w:t>
            </w:r>
            <w:r>
              <w:rPr>
                <w:rFonts w:ascii="Times New Roman" w:hAnsi="Times New Roman" w:eastAsia="宋体" w:cs="Times New Roman"/>
              </w:rPr>
              <w:t>再生利用过程中应控制噪声污染，噪声排放应符合GB12348</w:t>
            </w:r>
            <w:r>
              <w:rPr>
                <w:rFonts w:hint="eastAsia" w:ascii="Times New Roman" w:hAnsi="Times New Roman" w:eastAsia="宋体" w:cs="Times New Roman"/>
              </w:rPr>
              <w:t>的</w:t>
            </w:r>
            <w:r>
              <w:rPr>
                <w:rFonts w:ascii="Times New Roman" w:hAnsi="Times New Roman" w:eastAsia="宋体" w:cs="Times New Roman"/>
              </w:rPr>
              <w:t>规定</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通过选用低噪声、低振动设备，合理布局，采取减振、消声等降噪处理，厂界噪声满足《工业企业厂界环境噪声排放标准》（GB12348-2008）3类标准要求。</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10</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废塑料的物理再生工艺中，熔融造粒车间应安装废气收集及处理装置，挤出工艺的冷却废水宜循环使用。</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项目熔融</w:t>
            </w:r>
            <w:r>
              <w:rPr>
                <w:rFonts w:ascii="Times New Roman" w:hAnsi="Times New Roman" w:eastAsia="宋体" w:cs="Times New Roman"/>
              </w:rPr>
              <w:t>造粒</w:t>
            </w:r>
            <w:r>
              <w:rPr>
                <w:rFonts w:hint="eastAsia" w:ascii="Times New Roman" w:hAnsi="Times New Roman" w:eastAsia="宋体" w:cs="Times New Roman"/>
              </w:rPr>
              <w:t>过程</w:t>
            </w:r>
            <w:r>
              <w:rPr>
                <w:rFonts w:ascii="Times New Roman" w:hAnsi="Times New Roman" w:eastAsia="宋体" w:cs="Times New Roman"/>
              </w:rPr>
              <w:t>产生的废气设置有集气设施，收集后配套</w:t>
            </w:r>
            <w:r>
              <w:rPr>
                <w:rFonts w:hint="eastAsia" w:ascii="Times New Roman" w:hAnsi="Times New Roman" w:eastAsia="宋体" w:cs="Times New Roman"/>
              </w:rPr>
              <w:t>设置</w:t>
            </w:r>
            <w:r>
              <w:rPr>
                <w:rFonts w:ascii="Times New Roman" w:hAnsi="Times New Roman" w:eastAsia="宋体" w:cs="Times New Roman"/>
              </w:rPr>
              <w:t>活性炭吸附</w:t>
            </w:r>
            <w:r>
              <w:rPr>
                <w:rFonts w:hint="eastAsia" w:ascii="Times New Roman" w:hAnsi="Times New Roman" w:eastAsia="宋体" w:cs="Times New Roman"/>
              </w:rPr>
              <w:t>+催化燃烧（CO）</w:t>
            </w:r>
            <w:r>
              <w:rPr>
                <w:rFonts w:ascii="Times New Roman" w:hAnsi="Times New Roman" w:eastAsia="宋体" w:cs="Times New Roman"/>
              </w:rPr>
              <w:t>处置措施，项目冷却水循环使用</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11</w:t>
            </w:r>
          </w:p>
        </w:tc>
        <w:tc>
          <w:tcPr>
            <w:tcW w:w="629" w:type="pct"/>
            <w:vMerge w:val="restar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运行</w:t>
            </w:r>
            <w:r>
              <w:rPr>
                <w:rFonts w:ascii="Times New Roman" w:hAnsi="Times New Roman" w:eastAsia="宋体" w:cs="Times New Roman"/>
              </w:rPr>
              <w:t>环境管理要求</w:t>
            </w: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w:t>
            </w:r>
            <w:r>
              <w:rPr>
                <w:rFonts w:ascii="Times New Roman" w:hAnsi="Times New Roman" w:eastAsia="宋体" w:cs="Times New Roman"/>
              </w:rPr>
              <w:t>再生利用项目应严格执行环境影响评价和“</w:t>
            </w:r>
            <w:r>
              <w:rPr>
                <w:rFonts w:hint="eastAsia" w:ascii="Times New Roman" w:hAnsi="Times New Roman" w:eastAsia="宋体" w:cs="Times New Roman"/>
              </w:rPr>
              <w:t>三同时</w:t>
            </w:r>
            <w:r>
              <w:rPr>
                <w:rFonts w:ascii="Times New Roman" w:hAnsi="Times New Roman" w:eastAsia="宋体" w:cs="Times New Roman"/>
              </w:rPr>
              <w:t>”</w:t>
            </w:r>
            <w:r>
              <w:rPr>
                <w:rFonts w:hint="eastAsia" w:ascii="Times New Roman" w:hAnsi="Times New Roman" w:eastAsia="宋体" w:cs="Times New Roman"/>
              </w:rPr>
              <w:t>制度</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项目</w:t>
            </w:r>
            <w:r>
              <w:rPr>
                <w:rFonts w:ascii="Times New Roman" w:hAnsi="Times New Roman" w:eastAsia="宋体" w:cs="Times New Roman"/>
              </w:rPr>
              <w:t>建设前委托我单位开展</w:t>
            </w:r>
            <w:r>
              <w:rPr>
                <w:rFonts w:hint="eastAsia" w:ascii="Times New Roman" w:hAnsi="Times New Roman" w:eastAsia="宋体" w:cs="Times New Roman"/>
              </w:rPr>
              <w:t>环境</w:t>
            </w:r>
            <w:r>
              <w:rPr>
                <w:rFonts w:ascii="Times New Roman" w:hAnsi="Times New Roman" w:eastAsia="宋体" w:cs="Times New Roman"/>
              </w:rPr>
              <w:t>影响评价工作</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12</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新建</w:t>
            </w:r>
            <w:r>
              <w:rPr>
                <w:rFonts w:ascii="Times New Roman" w:hAnsi="Times New Roman" w:eastAsia="宋体" w:cs="Times New Roman"/>
              </w:rPr>
              <w:t>和改扩建废塑料再生利用项目的选址应符合当地城市总体发展规划、用地规划、生态环境分区</w:t>
            </w:r>
            <w:r>
              <w:rPr>
                <w:rFonts w:hint="eastAsia" w:ascii="Times New Roman" w:hAnsi="Times New Roman" w:eastAsia="宋体" w:cs="Times New Roman"/>
              </w:rPr>
              <w:t>管控</w:t>
            </w:r>
            <w:r>
              <w:rPr>
                <w:rFonts w:ascii="Times New Roman" w:hAnsi="Times New Roman" w:eastAsia="宋体" w:cs="Times New Roman"/>
              </w:rPr>
              <w:t>方案、规划环评及其他环境保护要求</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项目</w:t>
            </w:r>
            <w:r>
              <w:rPr>
                <w:rFonts w:ascii="Times New Roman" w:hAnsi="Times New Roman" w:eastAsia="宋体" w:cs="Times New Roman"/>
              </w:rPr>
              <w:t>的建设符合</w:t>
            </w:r>
            <w:r>
              <w:rPr>
                <w:rFonts w:hint="eastAsia" w:ascii="Times New Roman" w:hAnsi="Times New Roman" w:eastAsia="宋体" w:cs="Times New Roman"/>
              </w:rPr>
              <w:t>昌州政办发〔2021〕41号管控</w:t>
            </w:r>
            <w:r>
              <w:rPr>
                <w:rFonts w:ascii="Times New Roman" w:hAnsi="Times New Roman" w:eastAsia="宋体" w:cs="Times New Roman"/>
              </w:rPr>
              <w:t>要求，用地为工业用地，符合用地要求</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13</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w:t>
            </w:r>
            <w:r>
              <w:rPr>
                <w:rFonts w:ascii="Times New Roman" w:hAnsi="Times New Roman" w:eastAsia="宋体" w:cs="Times New Roman"/>
              </w:rPr>
              <w:t>再生利用项目应按</w:t>
            </w:r>
            <w:r>
              <w:rPr>
                <w:rFonts w:hint="eastAsia" w:ascii="Times New Roman" w:hAnsi="Times New Roman" w:eastAsia="宋体" w:cs="Times New Roman"/>
              </w:rPr>
              <w:t>功能</w:t>
            </w:r>
            <w:r>
              <w:rPr>
                <w:rFonts w:ascii="Times New Roman" w:hAnsi="Times New Roman" w:eastAsia="宋体" w:cs="Times New Roman"/>
              </w:rPr>
              <w:t>划分厂区</w:t>
            </w:r>
            <w:r>
              <w:rPr>
                <w:rFonts w:hint="eastAsia" w:ascii="Times New Roman" w:hAnsi="Times New Roman" w:eastAsia="宋体" w:cs="Times New Roman"/>
              </w:rPr>
              <w:t>，</w:t>
            </w:r>
            <w:r>
              <w:rPr>
                <w:rFonts w:ascii="Times New Roman" w:hAnsi="Times New Roman" w:eastAsia="宋体" w:cs="Times New Roman"/>
              </w:rPr>
              <w:t>包括管理区、原料贮存区、生产区、产品贮存区、不可</w:t>
            </w:r>
            <w:r>
              <w:rPr>
                <w:rFonts w:hint="eastAsia" w:ascii="Times New Roman" w:hAnsi="Times New Roman" w:eastAsia="宋体" w:cs="Times New Roman"/>
              </w:rPr>
              <w:t>利用</w:t>
            </w:r>
            <w:r>
              <w:rPr>
                <w:rFonts w:ascii="Times New Roman" w:hAnsi="Times New Roman" w:eastAsia="宋体" w:cs="Times New Roman"/>
              </w:rPr>
              <w:t>废物</w:t>
            </w:r>
            <w:r>
              <w:rPr>
                <w:rFonts w:hint="eastAsia" w:ascii="Times New Roman" w:hAnsi="Times New Roman" w:eastAsia="宋体" w:cs="Times New Roman"/>
              </w:rPr>
              <w:t>的</w:t>
            </w:r>
            <w:r>
              <w:rPr>
                <w:rFonts w:ascii="Times New Roman" w:hAnsi="Times New Roman" w:eastAsia="宋体" w:cs="Times New Roman"/>
              </w:rPr>
              <w:t>贮存和处理区等，各功能区有明显的界线或标识</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本项目设置有围墙，且按照功能划分为、原料区、生产区、产品贮存区、办公生活区，各功能区有较明显的界线。</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14</w:t>
            </w:r>
          </w:p>
        </w:tc>
        <w:tc>
          <w:tcPr>
            <w:tcW w:w="629" w:type="pct"/>
            <w:vMerge w:val="continue"/>
            <w:vAlign w:val="center"/>
          </w:tcPr>
          <w:p>
            <w:pPr>
              <w:pStyle w:val="673"/>
              <w:adjustRightInd w:val="0"/>
              <w:snapToGrid w:val="0"/>
              <w:rPr>
                <w:rFonts w:ascii="Times New Roman" w:hAnsi="Times New Roman" w:eastAsia="宋体" w:cs="Times New Roman"/>
              </w:rPr>
            </w:pPr>
          </w:p>
        </w:tc>
        <w:tc>
          <w:tcPr>
            <w:tcW w:w="1975"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废塑料的再生利用和处置企业，应按照排污许可证、HJ 819 以及本标准的要求，制定自行监测方案，对废塑料的利用处置过程污染物排放状况及周边环境质量的影响开展自行监测，保存原始监测记录，并依规进行信息公开。</w:t>
            </w:r>
          </w:p>
        </w:tc>
        <w:tc>
          <w:tcPr>
            <w:tcW w:w="1481"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本次</w:t>
            </w:r>
            <w:r>
              <w:rPr>
                <w:rFonts w:ascii="Times New Roman" w:hAnsi="Times New Roman" w:eastAsia="宋体" w:cs="Times New Roman"/>
              </w:rPr>
              <w:t>环评提出项目建成运营期采取相应环境监测工作，对污染物进行定期监测</w:t>
            </w:r>
          </w:p>
        </w:tc>
        <w:tc>
          <w:tcPr>
            <w:tcW w:w="524" w:type="pct"/>
            <w:vAlign w:val="center"/>
          </w:tcPr>
          <w:p>
            <w:pPr>
              <w:pStyle w:val="673"/>
              <w:adjustRightInd w:val="0"/>
              <w:snapToGrid w:val="0"/>
              <w:rPr>
                <w:rFonts w:ascii="Times New Roman" w:hAnsi="Times New Roman" w:eastAsia="宋体" w:cs="Times New Roman"/>
              </w:rPr>
            </w:pPr>
            <w:r>
              <w:rPr>
                <w:rFonts w:hint="eastAsia" w:ascii="Times New Roman" w:hAnsi="Times New Roman" w:eastAsia="宋体" w:cs="Times New Roman"/>
              </w:rPr>
              <w:t>符合</w:t>
            </w:r>
          </w:p>
        </w:tc>
      </w:tr>
    </w:tbl>
    <w:p>
      <w:pPr>
        <w:spacing w:line="460" w:lineRule="exact"/>
        <w:ind w:firstLine="480" w:firstLineChars="200"/>
        <w:rPr>
          <w:sz w:val="24"/>
          <w:lang w:bidi="en-US"/>
        </w:rPr>
      </w:pPr>
      <w:r>
        <w:rPr>
          <w:rFonts w:hint="eastAsia"/>
          <w:sz w:val="24"/>
          <w:lang w:bidi="en-US"/>
        </w:rPr>
        <w:t>根据上表分析，本项目符合《废塑料污染控制技术规范》（HJ 364-2022）相关要求。</w:t>
      </w:r>
    </w:p>
    <w:p>
      <w:pPr>
        <w:spacing w:line="460" w:lineRule="exact"/>
        <w:ind w:firstLine="480" w:firstLineChars="200"/>
        <w:rPr>
          <w:sz w:val="24"/>
          <w:lang w:bidi="en-US"/>
        </w:rPr>
      </w:pPr>
      <w:r>
        <w:rPr>
          <w:sz w:val="24"/>
          <w:lang w:bidi="en-US"/>
        </w:rPr>
        <w:t>4</w:t>
      </w:r>
      <w:r>
        <w:rPr>
          <w:rFonts w:hint="eastAsia"/>
          <w:sz w:val="24"/>
          <w:lang w:bidi="en-US"/>
        </w:rPr>
        <w:t>、与《废塑料加工利用污染防治管理规定》的相符性分析</w:t>
      </w:r>
    </w:p>
    <w:p>
      <w:pPr>
        <w:spacing w:line="460" w:lineRule="exact"/>
        <w:ind w:firstLine="480" w:firstLineChars="200"/>
        <w:rPr>
          <w:sz w:val="24"/>
          <w:lang w:bidi="en-US"/>
        </w:rPr>
      </w:pPr>
      <w:r>
        <w:rPr>
          <w:rFonts w:hint="eastAsia"/>
          <w:sz w:val="24"/>
          <w:lang w:bidi="en-US"/>
        </w:rPr>
        <w:t>本项目与《废塑料加工利用污染防治管理规定》相符性分析详见表1.3-3。</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表1.3-3         与《废塑料加工利用污染防治管理规定》符合性分析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820"/>
        <w:gridCol w:w="2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4820" w:type="dxa"/>
            <w:vAlign w:val="center"/>
          </w:tcPr>
          <w:p>
            <w:pPr>
              <w:adjustRightInd w:val="0"/>
              <w:snapToGrid w:val="0"/>
              <w:jc w:val="center"/>
              <w:rPr>
                <w:bCs/>
                <w:kern w:val="0"/>
                <w:sz w:val="21"/>
                <w:szCs w:val="21"/>
              </w:rPr>
            </w:pPr>
            <w:r>
              <w:rPr>
                <w:rFonts w:hint="eastAsia"/>
                <w:bCs/>
                <w:kern w:val="0"/>
                <w:sz w:val="21"/>
                <w:szCs w:val="21"/>
              </w:rPr>
              <w:t>规范要求</w:t>
            </w:r>
          </w:p>
        </w:tc>
        <w:tc>
          <w:tcPr>
            <w:tcW w:w="2941" w:type="dxa"/>
            <w:vAlign w:val="center"/>
          </w:tcPr>
          <w:p>
            <w:pPr>
              <w:adjustRightInd w:val="0"/>
              <w:snapToGrid w:val="0"/>
              <w:jc w:val="center"/>
              <w:rPr>
                <w:bCs/>
                <w:kern w:val="0"/>
                <w:sz w:val="21"/>
                <w:szCs w:val="21"/>
              </w:rPr>
            </w:pPr>
            <w:r>
              <w:rPr>
                <w:rFonts w:hint="eastAsia"/>
                <w:bCs/>
                <w:kern w:val="0"/>
                <w:sz w:val="21"/>
                <w:szCs w:val="21"/>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4820" w:type="dxa"/>
            <w:vAlign w:val="center"/>
          </w:tcPr>
          <w:p>
            <w:pPr>
              <w:adjustRightInd w:val="0"/>
              <w:snapToGrid w:val="0"/>
              <w:jc w:val="center"/>
              <w:rPr>
                <w:bCs/>
                <w:kern w:val="0"/>
                <w:sz w:val="21"/>
                <w:szCs w:val="21"/>
              </w:rPr>
            </w:pPr>
            <w:r>
              <w:rPr>
                <w:rFonts w:hint="eastAsia"/>
                <w:bCs/>
                <w:kern w:val="0"/>
                <w:sz w:val="21"/>
                <w:szCs w:val="21"/>
              </w:rPr>
              <w:t>废塑料加工利用必须符合国家相关产业政策规定及《废塑料污染控制技术规范》，防止二次污染。禁止在居民区加工利用废塑料。禁止利用废塑料生产厚度小于</w:t>
            </w:r>
            <w:r>
              <w:rPr>
                <w:bCs/>
                <w:kern w:val="0"/>
                <w:sz w:val="21"/>
                <w:szCs w:val="21"/>
              </w:rPr>
              <w:t>0.025mm</w:t>
            </w:r>
            <w:r>
              <w:rPr>
                <w:rFonts w:hint="eastAsia"/>
                <w:bCs/>
                <w:kern w:val="0"/>
                <w:sz w:val="21"/>
                <w:szCs w:val="21"/>
              </w:rPr>
              <w:t>的超薄塑料购物袋和厚度小于</w:t>
            </w:r>
            <w:r>
              <w:rPr>
                <w:bCs/>
                <w:kern w:val="0"/>
                <w:sz w:val="21"/>
                <w:szCs w:val="21"/>
              </w:rPr>
              <w:t>0.015mm</w:t>
            </w:r>
            <w:r>
              <w:rPr>
                <w:rFonts w:hint="eastAsia"/>
                <w:bCs/>
                <w:kern w:val="0"/>
                <w:sz w:val="2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2941" w:type="dxa"/>
            <w:vAlign w:val="center"/>
          </w:tcPr>
          <w:p>
            <w:pPr>
              <w:adjustRightInd w:val="0"/>
              <w:snapToGrid w:val="0"/>
              <w:jc w:val="center"/>
              <w:rPr>
                <w:bCs/>
                <w:kern w:val="0"/>
                <w:sz w:val="21"/>
                <w:szCs w:val="21"/>
              </w:rPr>
            </w:pPr>
            <w:r>
              <w:rPr>
                <w:rFonts w:hint="eastAsia"/>
                <w:bCs/>
                <w:kern w:val="0"/>
                <w:sz w:val="21"/>
                <w:szCs w:val="21"/>
              </w:rPr>
              <w:t>根据分析，本项目符合国家相关产业政策，符合《废塑料污染控制技术规范》，项目回收的废塑料主要为废旧滴灌带、废旧塑料膜，再生造粒后用于生产滴灌带、</w:t>
            </w:r>
            <w:r>
              <w:rPr>
                <w:bCs/>
                <w:kern w:val="0"/>
                <w:sz w:val="21"/>
                <w:szCs w:val="21"/>
              </w:rPr>
              <w:t>PE</w:t>
            </w:r>
            <w:r>
              <w:rPr>
                <w:rFonts w:hint="eastAsia"/>
                <w:bCs/>
                <w:kern w:val="0"/>
                <w:sz w:val="21"/>
                <w:szCs w:val="21"/>
              </w:rPr>
              <w:t>管，不回收超薄塑料以及超薄塑料袋、以及被危险化学品等污染的塑料包装、一次性医疗废弃物。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4820" w:type="dxa"/>
            <w:vAlign w:val="center"/>
          </w:tcPr>
          <w:p>
            <w:pPr>
              <w:adjustRightInd w:val="0"/>
              <w:snapToGrid w:val="0"/>
              <w:jc w:val="center"/>
              <w:rPr>
                <w:bCs/>
                <w:kern w:val="0"/>
                <w:sz w:val="21"/>
                <w:szCs w:val="21"/>
              </w:rPr>
            </w:pPr>
            <w:r>
              <w:rPr>
                <w:rFonts w:hint="eastAsia"/>
                <w:bCs/>
                <w:kern w:val="0"/>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2941" w:type="dxa"/>
            <w:vAlign w:val="center"/>
          </w:tcPr>
          <w:p>
            <w:pPr>
              <w:adjustRightInd w:val="0"/>
              <w:snapToGrid w:val="0"/>
              <w:jc w:val="center"/>
              <w:rPr>
                <w:bCs/>
                <w:kern w:val="0"/>
                <w:sz w:val="21"/>
                <w:szCs w:val="21"/>
              </w:rPr>
            </w:pPr>
            <w:r>
              <w:rPr>
                <w:rFonts w:hint="eastAsia"/>
                <w:bCs/>
                <w:kern w:val="0"/>
                <w:sz w:val="21"/>
                <w:szCs w:val="21"/>
              </w:rPr>
              <w:t>本项目产生的残次品、边角料、不合格品等经再次破碎造粒重复利用，产生的滤网收集后交由环卫部门处置</w:t>
            </w:r>
          </w:p>
        </w:tc>
      </w:tr>
    </w:tbl>
    <w:p>
      <w:pPr>
        <w:spacing w:line="460" w:lineRule="exact"/>
        <w:ind w:firstLine="480" w:firstLineChars="200"/>
        <w:rPr>
          <w:sz w:val="24"/>
          <w:lang w:bidi="en-US"/>
        </w:rPr>
      </w:pPr>
      <w:r>
        <w:rPr>
          <w:rFonts w:hint="eastAsia"/>
          <w:sz w:val="24"/>
          <w:lang w:bidi="en-US"/>
        </w:rPr>
        <w:t>根据上表分析，本项目符合《废塑料加工利用污染防治管理规定》相关要求。</w:t>
      </w:r>
    </w:p>
    <w:p>
      <w:pPr>
        <w:spacing w:line="460" w:lineRule="exact"/>
        <w:ind w:firstLine="480" w:firstLineChars="200"/>
        <w:rPr>
          <w:sz w:val="24"/>
          <w:lang w:bidi="en-US"/>
        </w:rPr>
      </w:pPr>
      <w:r>
        <w:rPr>
          <w:sz w:val="24"/>
          <w:lang w:bidi="en-US"/>
        </w:rPr>
        <w:t>5</w:t>
      </w:r>
      <w:r>
        <w:rPr>
          <w:rFonts w:hint="eastAsia"/>
          <w:sz w:val="24"/>
          <w:lang w:bidi="en-US"/>
        </w:rPr>
        <w:t>、与《挥发</w:t>
      </w:r>
      <w:r>
        <w:rPr>
          <w:sz w:val="24"/>
          <w:lang w:bidi="en-US"/>
        </w:rPr>
        <w:t>性有机物</w:t>
      </w:r>
      <w:r>
        <w:rPr>
          <w:rFonts w:hint="eastAsia"/>
          <w:sz w:val="24"/>
          <w:lang w:bidi="en-US"/>
        </w:rPr>
        <w:t>无组织</w:t>
      </w:r>
      <w:r>
        <w:rPr>
          <w:sz w:val="24"/>
          <w:lang w:bidi="en-US"/>
        </w:rPr>
        <w:t>排放控制标准</w:t>
      </w:r>
      <w:r>
        <w:rPr>
          <w:rFonts w:hint="eastAsia"/>
          <w:sz w:val="24"/>
          <w:lang w:bidi="en-US"/>
        </w:rPr>
        <w:t>》（GB37822-2019）符合</w:t>
      </w:r>
      <w:r>
        <w:rPr>
          <w:sz w:val="24"/>
          <w:lang w:bidi="en-US"/>
        </w:rPr>
        <w:t>性</w:t>
      </w:r>
      <w:r>
        <w:rPr>
          <w:rFonts w:hint="eastAsia"/>
          <w:sz w:val="24"/>
          <w:lang w:bidi="en-US"/>
        </w:rPr>
        <w:t>分析</w:t>
      </w:r>
    </w:p>
    <w:p>
      <w:pPr>
        <w:spacing w:line="460" w:lineRule="exact"/>
        <w:ind w:firstLine="480" w:firstLineChars="200"/>
        <w:rPr>
          <w:sz w:val="24"/>
          <w:lang w:bidi="en-US"/>
        </w:rPr>
      </w:pPr>
      <w:r>
        <w:rPr>
          <w:rFonts w:hint="eastAsia"/>
          <w:sz w:val="24"/>
          <w:lang w:bidi="en-US"/>
        </w:rPr>
        <w:t>本项目建设与《挥发性有机物无组织排放控制标准》符合性分析详见表1.3-</w:t>
      </w:r>
      <w:r>
        <w:rPr>
          <w:sz w:val="24"/>
          <w:lang w:bidi="en-US"/>
        </w:rPr>
        <w:t>4</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w:t>
      </w:r>
      <w:r>
        <w:rPr>
          <w:rFonts w:ascii="Times New Roman" w:hAnsi="Times New Roman" w:eastAsia="黑体" w:cs="Times New Roman"/>
          <w:sz w:val="21"/>
          <w:lang w:bidi="en-US"/>
        </w:rPr>
        <w:t xml:space="preserve">4            </w:t>
      </w:r>
      <w:r>
        <w:rPr>
          <w:rFonts w:hint="eastAsia" w:ascii="Times New Roman" w:hAnsi="Times New Roman" w:eastAsia="黑体" w:cs="Times New Roman"/>
          <w:sz w:val="21"/>
          <w:lang w:bidi="en-US"/>
        </w:rPr>
        <w:t>与《挥发性有机物无组织排放控制标准》符合性分析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796"/>
        <w:gridCol w:w="3808"/>
        <w:gridCol w:w="8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50" w:type="pct"/>
            <w:vAlign w:val="center"/>
          </w:tcPr>
          <w:p>
            <w:pPr>
              <w:adjustRightInd w:val="0"/>
              <w:snapToGrid w:val="0"/>
              <w:jc w:val="center"/>
              <w:rPr>
                <w:bCs/>
                <w:szCs w:val="21"/>
              </w:rPr>
            </w:pPr>
            <w:r>
              <w:rPr>
                <w:rFonts w:hint="eastAsia"/>
                <w:bCs/>
                <w:szCs w:val="21"/>
              </w:rPr>
              <w:t>要求</w:t>
            </w:r>
          </w:p>
        </w:tc>
        <w:tc>
          <w:tcPr>
            <w:tcW w:w="2257" w:type="pct"/>
            <w:vAlign w:val="center"/>
          </w:tcPr>
          <w:p>
            <w:pPr>
              <w:adjustRightInd w:val="0"/>
              <w:snapToGrid w:val="0"/>
              <w:jc w:val="center"/>
              <w:rPr>
                <w:bCs/>
                <w:szCs w:val="21"/>
              </w:rPr>
            </w:pPr>
            <w:r>
              <w:rPr>
                <w:bCs/>
                <w:szCs w:val="21"/>
              </w:rPr>
              <w:t>本项目情况</w:t>
            </w:r>
          </w:p>
        </w:tc>
        <w:tc>
          <w:tcPr>
            <w:tcW w:w="493" w:type="pct"/>
            <w:vAlign w:val="center"/>
          </w:tcPr>
          <w:p>
            <w:pPr>
              <w:adjustRightInd w:val="0"/>
              <w:snapToGrid w:val="0"/>
              <w:jc w:val="center"/>
              <w:rPr>
                <w:bCs/>
                <w:szCs w:val="21"/>
              </w:rPr>
            </w:pPr>
            <w:r>
              <w:rPr>
                <w:bCs/>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50" w:type="pct"/>
            <w:vAlign w:val="center"/>
          </w:tcPr>
          <w:p>
            <w:pPr>
              <w:adjustRightInd w:val="0"/>
              <w:snapToGrid w:val="0"/>
              <w:jc w:val="center"/>
              <w:rPr>
                <w:bCs/>
                <w:szCs w:val="21"/>
              </w:rPr>
            </w:pPr>
            <w:r>
              <w:rPr>
                <w:bCs/>
                <w:szCs w:val="21"/>
              </w:rPr>
              <w:t>VOCs 废气收集处理系统应与生产工艺设备同步运行。VOCs 废气收集处理系统发生故障或检</w:t>
            </w:r>
            <w:r>
              <w:rPr>
                <w:rFonts w:hint="eastAsia"/>
                <w:bCs/>
                <w:szCs w:val="21"/>
              </w:rPr>
              <w:t>修时，对应的生产工艺设备应停止运行，待检修完毕后同步投入使用；生产工艺设备不能停止运行或不能及时停止运行的，应设置废气应急处理设施或采取其他替代措施。</w:t>
            </w:r>
          </w:p>
        </w:tc>
        <w:tc>
          <w:tcPr>
            <w:tcW w:w="2257" w:type="pct"/>
            <w:vAlign w:val="center"/>
          </w:tcPr>
          <w:p>
            <w:pPr>
              <w:adjustRightInd w:val="0"/>
              <w:snapToGrid w:val="0"/>
              <w:jc w:val="center"/>
              <w:rPr>
                <w:bCs/>
                <w:szCs w:val="21"/>
              </w:rPr>
            </w:pPr>
            <w:r>
              <w:rPr>
                <w:rFonts w:hint="eastAsia"/>
                <w:bCs/>
                <w:szCs w:val="21"/>
              </w:rPr>
              <w:t>本项目有机废气</w:t>
            </w:r>
            <w:r>
              <w:rPr>
                <w:bCs/>
                <w:szCs w:val="21"/>
              </w:rPr>
              <w:t>设置“活性炭吸附+催化燃烧装置</w:t>
            </w:r>
            <w:r>
              <w:rPr>
                <w:rFonts w:hint="eastAsia"/>
                <w:bCs/>
                <w:szCs w:val="21"/>
              </w:rPr>
              <w:t>（CO）</w:t>
            </w:r>
            <w:r>
              <w:rPr>
                <w:bCs/>
                <w:szCs w:val="21"/>
              </w:rPr>
              <w:t>”处理</w:t>
            </w:r>
            <w:r>
              <w:rPr>
                <w:rFonts w:hint="eastAsia"/>
                <w:bCs/>
                <w:szCs w:val="21"/>
              </w:rPr>
              <w:t>，与</w:t>
            </w:r>
            <w:r>
              <w:rPr>
                <w:bCs/>
                <w:szCs w:val="21"/>
              </w:rPr>
              <w:t>生产工艺设备同步进行；当废气处理系统发生故障或检修时，对应的生产工艺设备停止运行</w:t>
            </w:r>
          </w:p>
        </w:tc>
        <w:tc>
          <w:tcPr>
            <w:tcW w:w="493" w:type="pct"/>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50" w:type="pct"/>
            <w:vAlign w:val="center"/>
          </w:tcPr>
          <w:p>
            <w:pPr>
              <w:adjustRightInd w:val="0"/>
              <w:snapToGrid w:val="0"/>
              <w:jc w:val="center"/>
              <w:rPr>
                <w:bCs/>
                <w:szCs w:val="21"/>
              </w:rPr>
            </w:pPr>
            <w:r>
              <w:rPr>
                <w:rFonts w:hint="eastAsia"/>
                <w:bCs/>
                <w:szCs w:val="21"/>
              </w:rPr>
              <w:t>排气筒高度不低于</w:t>
            </w:r>
            <w:r>
              <w:rPr>
                <w:bCs/>
                <w:szCs w:val="21"/>
              </w:rPr>
              <w:t xml:space="preserve"> 15 m</w:t>
            </w:r>
          </w:p>
        </w:tc>
        <w:tc>
          <w:tcPr>
            <w:tcW w:w="2257" w:type="pct"/>
            <w:vAlign w:val="center"/>
          </w:tcPr>
          <w:p>
            <w:pPr>
              <w:adjustRightInd w:val="0"/>
              <w:snapToGrid w:val="0"/>
              <w:jc w:val="center"/>
              <w:rPr>
                <w:bCs/>
                <w:szCs w:val="21"/>
              </w:rPr>
            </w:pPr>
            <w:r>
              <w:rPr>
                <w:rFonts w:hint="eastAsia"/>
                <w:bCs/>
                <w:szCs w:val="21"/>
              </w:rPr>
              <w:t>本项目有机废气设置“</w:t>
            </w:r>
            <w:r>
              <w:rPr>
                <w:bCs/>
                <w:szCs w:val="21"/>
              </w:rPr>
              <w:t>活性炭吸附+催化燃烧装置</w:t>
            </w:r>
            <w:r>
              <w:rPr>
                <w:rFonts w:hint="eastAsia"/>
                <w:bCs/>
                <w:szCs w:val="21"/>
              </w:rPr>
              <w:t>（CO）</w:t>
            </w:r>
            <w:r>
              <w:rPr>
                <w:bCs/>
                <w:szCs w:val="21"/>
              </w:rPr>
              <w:t>”处理</w:t>
            </w:r>
            <w:r>
              <w:rPr>
                <w:rFonts w:hint="eastAsia"/>
                <w:bCs/>
                <w:szCs w:val="21"/>
              </w:rPr>
              <w:t>后</w:t>
            </w:r>
            <w:r>
              <w:rPr>
                <w:bCs/>
                <w:szCs w:val="21"/>
              </w:rPr>
              <w:t>，经由</w:t>
            </w:r>
            <w:r>
              <w:rPr>
                <w:rFonts w:hint="eastAsia"/>
                <w:bCs/>
                <w:szCs w:val="21"/>
              </w:rPr>
              <w:t>15</w:t>
            </w:r>
            <w:r>
              <w:rPr>
                <w:bCs/>
                <w:szCs w:val="21"/>
              </w:rPr>
              <w:t>m排气筒排放。</w:t>
            </w:r>
          </w:p>
        </w:tc>
        <w:tc>
          <w:tcPr>
            <w:tcW w:w="493" w:type="pct"/>
            <w:vAlign w:val="center"/>
          </w:tcPr>
          <w:p>
            <w:pPr>
              <w:adjustRightInd w:val="0"/>
              <w:snapToGrid w:val="0"/>
              <w:jc w:val="center"/>
              <w:rPr>
                <w:bCs/>
                <w:szCs w:val="21"/>
              </w:rPr>
            </w:pPr>
            <w:r>
              <w:rPr>
                <w:bCs/>
                <w:szCs w:val="21"/>
              </w:rPr>
              <w:t>符合</w:t>
            </w:r>
          </w:p>
        </w:tc>
      </w:tr>
    </w:tbl>
    <w:p>
      <w:pPr>
        <w:spacing w:line="460" w:lineRule="exact"/>
        <w:ind w:firstLine="480" w:firstLineChars="200"/>
        <w:rPr>
          <w:sz w:val="24"/>
          <w:lang w:bidi="en-US"/>
        </w:rPr>
      </w:pPr>
      <w:r>
        <w:rPr>
          <w:rFonts w:hint="eastAsia"/>
          <w:sz w:val="24"/>
          <w:lang w:bidi="en-US"/>
        </w:rPr>
        <w:t>根据</w:t>
      </w:r>
      <w:r>
        <w:rPr>
          <w:sz w:val="24"/>
          <w:lang w:bidi="en-US"/>
        </w:rPr>
        <w:t>分析，本项目符合</w:t>
      </w:r>
      <w:r>
        <w:rPr>
          <w:rFonts w:hint="eastAsia"/>
          <w:sz w:val="24"/>
          <w:lang w:bidi="en-US"/>
        </w:rPr>
        <w:t>《挥发性有机物无组织排放控制标准》（GB37822-2019）相关</w:t>
      </w:r>
      <w:r>
        <w:rPr>
          <w:sz w:val="24"/>
          <w:lang w:bidi="en-US"/>
        </w:rPr>
        <w:t>要求。</w:t>
      </w:r>
    </w:p>
    <w:p>
      <w:pPr>
        <w:spacing w:line="460" w:lineRule="exact"/>
        <w:ind w:firstLine="480" w:firstLineChars="200"/>
        <w:rPr>
          <w:sz w:val="24"/>
          <w:lang w:bidi="en-US"/>
        </w:rPr>
      </w:pPr>
      <w:r>
        <w:rPr>
          <w:rFonts w:hint="eastAsia"/>
          <w:sz w:val="24"/>
          <w:lang w:bidi="en-US"/>
        </w:rPr>
        <w:t>6、与《</w:t>
      </w:r>
      <w:r>
        <w:rPr>
          <w:sz w:val="24"/>
          <w:lang w:bidi="en-US"/>
        </w:rPr>
        <w:t>2020年挥发性有机物治理攻坚方案</w:t>
      </w:r>
      <w:r>
        <w:rPr>
          <w:rFonts w:hint="eastAsia"/>
          <w:sz w:val="24"/>
          <w:lang w:bidi="en-US"/>
        </w:rPr>
        <w:t>》符合</w:t>
      </w:r>
      <w:r>
        <w:rPr>
          <w:sz w:val="24"/>
          <w:lang w:bidi="en-US"/>
        </w:rPr>
        <w:t>性</w:t>
      </w:r>
      <w:r>
        <w:rPr>
          <w:rFonts w:hint="eastAsia"/>
          <w:sz w:val="24"/>
          <w:lang w:bidi="en-US"/>
        </w:rPr>
        <w:t>分析</w:t>
      </w:r>
    </w:p>
    <w:p>
      <w:pPr>
        <w:spacing w:line="460" w:lineRule="exact"/>
        <w:ind w:firstLine="480" w:firstLineChars="200"/>
        <w:rPr>
          <w:sz w:val="24"/>
          <w:lang w:bidi="en-US"/>
        </w:rPr>
      </w:pPr>
      <w:r>
        <w:rPr>
          <w:rFonts w:hint="eastAsia"/>
          <w:sz w:val="24"/>
          <w:lang w:bidi="en-US"/>
        </w:rPr>
        <w:t>本项目建设与《</w:t>
      </w:r>
      <w:r>
        <w:rPr>
          <w:sz w:val="24"/>
          <w:lang w:bidi="en-US"/>
        </w:rPr>
        <w:t>2020年挥发性有机物治理攻坚方案</w:t>
      </w:r>
      <w:r>
        <w:rPr>
          <w:rFonts w:hint="eastAsia"/>
          <w:sz w:val="24"/>
          <w:lang w:bidi="en-US"/>
        </w:rPr>
        <w:t>》符合性分析详见表1.3</w:t>
      </w:r>
      <w:r>
        <w:rPr>
          <w:sz w:val="24"/>
          <w:lang w:bidi="en-US"/>
        </w:rPr>
        <w:t>-5</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w:t>
      </w:r>
      <w:r>
        <w:rPr>
          <w:rFonts w:ascii="Times New Roman" w:hAnsi="Times New Roman" w:eastAsia="黑体" w:cs="Times New Roman"/>
          <w:sz w:val="21"/>
          <w:lang w:bidi="en-US"/>
        </w:rPr>
        <w:t xml:space="preserve">-5         </w:t>
      </w:r>
      <w:r>
        <w:rPr>
          <w:rFonts w:hint="eastAsia" w:ascii="Times New Roman" w:hAnsi="Times New Roman" w:eastAsia="黑体" w:cs="Times New Roman"/>
          <w:sz w:val="21"/>
          <w:lang w:bidi="en-US"/>
        </w:rPr>
        <w:t>与《</w:t>
      </w:r>
      <w:r>
        <w:rPr>
          <w:rFonts w:ascii="Times New Roman" w:hAnsi="Times New Roman" w:eastAsia="黑体" w:cs="Times New Roman"/>
          <w:sz w:val="21"/>
          <w:lang w:bidi="en-US"/>
        </w:rPr>
        <w:t>2020年挥发性有机物治理攻坚方案</w:t>
      </w:r>
      <w:r>
        <w:rPr>
          <w:rFonts w:hint="eastAsia" w:ascii="Times New Roman" w:hAnsi="Times New Roman" w:eastAsia="黑体" w:cs="Times New Roman"/>
          <w:sz w:val="21"/>
          <w:lang w:bidi="en-US"/>
        </w:rPr>
        <w:t>》符合性分析</w:t>
      </w:r>
    </w:p>
    <w:tbl>
      <w:tblPr>
        <w:tblStyle w:val="59"/>
        <w:tblW w:w="510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61"/>
        <w:gridCol w:w="5008"/>
        <w:gridCol w:w="1752"/>
        <w:gridCol w:w="9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7" w:type="pct"/>
            <w:gridSpan w:val="2"/>
            <w:vAlign w:val="center"/>
          </w:tcPr>
          <w:p>
            <w:pPr>
              <w:adjustRightInd w:val="0"/>
              <w:snapToGrid w:val="0"/>
              <w:jc w:val="center"/>
              <w:rPr>
                <w:bCs/>
                <w:szCs w:val="21"/>
              </w:rPr>
            </w:pPr>
            <w:r>
              <w:rPr>
                <w:rFonts w:hint="eastAsia"/>
                <w:bCs/>
                <w:szCs w:val="21"/>
              </w:rPr>
              <w:t>要求</w:t>
            </w:r>
          </w:p>
        </w:tc>
        <w:tc>
          <w:tcPr>
            <w:tcW w:w="1017" w:type="pct"/>
            <w:vAlign w:val="center"/>
          </w:tcPr>
          <w:p>
            <w:pPr>
              <w:adjustRightInd w:val="0"/>
              <w:snapToGrid w:val="0"/>
              <w:jc w:val="center"/>
              <w:rPr>
                <w:bCs/>
                <w:szCs w:val="21"/>
              </w:rPr>
            </w:pPr>
            <w:r>
              <w:rPr>
                <w:bCs/>
                <w:szCs w:val="21"/>
              </w:rPr>
              <w:t>本项目情况</w:t>
            </w:r>
          </w:p>
        </w:tc>
        <w:tc>
          <w:tcPr>
            <w:tcW w:w="576" w:type="pct"/>
            <w:vAlign w:val="center"/>
          </w:tcPr>
          <w:p>
            <w:pPr>
              <w:adjustRightInd w:val="0"/>
              <w:snapToGrid w:val="0"/>
              <w:jc w:val="center"/>
              <w:rPr>
                <w:bCs/>
                <w:szCs w:val="21"/>
              </w:rPr>
            </w:pPr>
            <w:r>
              <w:rPr>
                <w:bCs/>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 w:type="pct"/>
            <w:vMerge w:val="restart"/>
            <w:vAlign w:val="center"/>
          </w:tcPr>
          <w:p>
            <w:pPr>
              <w:adjustRightInd w:val="0"/>
              <w:snapToGrid w:val="0"/>
              <w:jc w:val="center"/>
              <w:rPr>
                <w:bCs/>
                <w:szCs w:val="21"/>
              </w:rPr>
            </w:pPr>
            <w:r>
              <w:rPr>
                <w:rFonts w:hint="eastAsia"/>
                <w:bCs/>
                <w:szCs w:val="21"/>
              </w:rPr>
              <w:t>三、聚焦治污设施“三率”，提升综合治理效率</w:t>
            </w:r>
          </w:p>
        </w:tc>
        <w:tc>
          <w:tcPr>
            <w:tcW w:w="2907" w:type="pct"/>
            <w:vAlign w:val="center"/>
          </w:tcPr>
          <w:p>
            <w:pPr>
              <w:adjustRightInd w:val="0"/>
              <w:snapToGrid w:val="0"/>
              <w:jc w:val="center"/>
              <w:rPr>
                <w:bCs/>
                <w:szCs w:val="21"/>
              </w:rPr>
            </w:pPr>
            <w:r>
              <w:rPr>
                <w:rFonts w:hint="eastAsia"/>
                <w:bCs/>
                <w:szCs w:val="21"/>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017" w:type="pct"/>
            <w:vAlign w:val="center"/>
          </w:tcPr>
          <w:p>
            <w:pPr>
              <w:adjustRightInd w:val="0"/>
              <w:snapToGrid w:val="0"/>
              <w:jc w:val="center"/>
              <w:rPr>
                <w:bCs/>
                <w:szCs w:val="21"/>
              </w:rPr>
            </w:pPr>
            <w:r>
              <w:rPr>
                <w:rFonts w:hint="eastAsia"/>
                <w:bCs/>
                <w:szCs w:val="21"/>
              </w:rPr>
              <w:t>本次</w:t>
            </w:r>
            <w:r>
              <w:rPr>
                <w:bCs/>
                <w:szCs w:val="21"/>
              </w:rPr>
              <w:t>环评提出</w:t>
            </w:r>
            <w:r>
              <w:rPr>
                <w:rFonts w:hint="eastAsia"/>
                <w:bCs/>
                <w:szCs w:val="21"/>
              </w:rPr>
              <w:t>有机废气</w:t>
            </w:r>
            <w:r>
              <w:rPr>
                <w:bCs/>
                <w:szCs w:val="21"/>
              </w:rPr>
              <w:t>设置“活性炭吸附+催化燃烧装置</w:t>
            </w:r>
            <w:r>
              <w:rPr>
                <w:rFonts w:hint="eastAsia"/>
                <w:bCs/>
                <w:szCs w:val="21"/>
              </w:rPr>
              <w:t>（CO）</w:t>
            </w:r>
            <w:r>
              <w:rPr>
                <w:bCs/>
                <w:szCs w:val="21"/>
              </w:rPr>
              <w:t>”处理</w:t>
            </w:r>
            <w:r>
              <w:rPr>
                <w:rFonts w:hint="eastAsia"/>
                <w:bCs/>
                <w:szCs w:val="21"/>
              </w:rPr>
              <w:t>，与</w:t>
            </w:r>
            <w:r>
              <w:rPr>
                <w:bCs/>
                <w:szCs w:val="21"/>
              </w:rPr>
              <w:t>生产工艺设备同步进行</w:t>
            </w:r>
          </w:p>
        </w:tc>
        <w:tc>
          <w:tcPr>
            <w:tcW w:w="576" w:type="pct"/>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 w:type="pct"/>
            <w:vMerge w:val="continue"/>
            <w:vAlign w:val="center"/>
          </w:tcPr>
          <w:p>
            <w:pPr>
              <w:adjustRightInd w:val="0"/>
              <w:snapToGrid w:val="0"/>
              <w:jc w:val="center"/>
              <w:rPr>
                <w:bCs/>
                <w:szCs w:val="21"/>
              </w:rPr>
            </w:pPr>
          </w:p>
        </w:tc>
        <w:tc>
          <w:tcPr>
            <w:tcW w:w="2907" w:type="pct"/>
            <w:vAlign w:val="center"/>
          </w:tcPr>
          <w:p>
            <w:pPr>
              <w:adjustRightInd w:val="0"/>
              <w:snapToGrid w:val="0"/>
              <w:jc w:val="center"/>
              <w:rPr>
                <w:bCs/>
                <w:szCs w:val="21"/>
              </w:rPr>
            </w:pPr>
            <w:r>
              <w:rPr>
                <w:rFonts w:hint="eastAsia"/>
                <w:bCs/>
                <w:szCs w:val="21"/>
              </w:rPr>
              <w:t>按照“应收尽收”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各地要督促行政区域内采用一次性活性炭吸附技术的企业按期更换活性炭，对于长期未进行更换的，于7月底前全部更换一次，并将废旧活性炭交有资质的单位处理处置，记录更换时间和使用量。</w:t>
            </w:r>
          </w:p>
        </w:tc>
        <w:tc>
          <w:tcPr>
            <w:tcW w:w="1017" w:type="pct"/>
            <w:vAlign w:val="center"/>
          </w:tcPr>
          <w:p>
            <w:pPr>
              <w:adjustRightInd w:val="0"/>
              <w:snapToGrid w:val="0"/>
              <w:jc w:val="center"/>
              <w:rPr>
                <w:bCs/>
                <w:szCs w:val="21"/>
              </w:rPr>
            </w:pPr>
            <w:r>
              <w:rPr>
                <w:rFonts w:hint="eastAsia"/>
                <w:bCs/>
                <w:szCs w:val="21"/>
              </w:rPr>
              <w:t>项目</w:t>
            </w:r>
            <w:r>
              <w:rPr>
                <w:bCs/>
                <w:szCs w:val="21"/>
              </w:rPr>
              <w:t>产生的有机废气经集气罩收集</w:t>
            </w:r>
            <w:r>
              <w:rPr>
                <w:rFonts w:hint="eastAsia"/>
                <w:bCs/>
                <w:szCs w:val="21"/>
              </w:rPr>
              <w:t>，</w:t>
            </w:r>
            <w:r>
              <w:rPr>
                <w:bCs/>
                <w:szCs w:val="21"/>
              </w:rPr>
              <w:t>通过“活性炭吸附+催化燃烧装置</w:t>
            </w:r>
            <w:r>
              <w:rPr>
                <w:rFonts w:hint="eastAsia"/>
                <w:bCs/>
                <w:szCs w:val="21"/>
              </w:rPr>
              <w:t>（CO）</w:t>
            </w:r>
            <w:r>
              <w:rPr>
                <w:bCs/>
                <w:szCs w:val="21"/>
              </w:rPr>
              <w:t>”处理</w:t>
            </w:r>
            <w:r>
              <w:rPr>
                <w:rFonts w:hint="eastAsia"/>
                <w:bCs/>
                <w:szCs w:val="21"/>
              </w:rPr>
              <w:t>后</w:t>
            </w:r>
            <w:r>
              <w:rPr>
                <w:bCs/>
                <w:szCs w:val="21"/>
              </w:rPr>
              <w:t>通过</w:t>
            </w:r>
            <w:r>
              <w:rPr>
                <w:rFonts w:hint="eastAsia"/>
                <w:bCs/>
                <w:szCs w:val="21"/>
              </w:rPr>
              <w:t>15</w:t>
            </w:r>
            <w:r>
              <w:rPr>
                <w:bCs/>
                <w:szCs w:val="21"/>
              </w:rPr>
              <w:t>m</w:t>
            </w:r>
            <w:r>
              <w:rPr>
                <w:rFonts w:hint="eastAsia"/>
                <w:bCs/>
                <w:szCs w:val="21"/>
              </w:rPr>
              <w:t>高</w:t>
            </w:r>
            <w:r>
              <w:rPr>
                <w:bCs/>
                <w:szCs w:val="21"/>
              </w:rPr>
              <w:t>排气筒排放</w:t>
            </w:r>
            <w:r>
              <w:rPr>
                <w:rFonts w:hint="eastAsia"/>
                <w:bCs/>
                <w:szCs w:val="21"/>
              </w:rPr>
              <w:t>；距集气罩开口面最远处的VOCs无组织排放位置，控制风速不低于0.3m/s；项目生产</w:t>
            </w:r>
            <w:r>
              <w:rPr>
                <w:bCs/>
                <w:szCs w:val="21"/>
              </w:rPr>
              <w:t>线</w:t>
            </w:r>
            <w:r>
              <w:rPr>
                <w:rFonts w:hint="eastAsia"/>
                <w:bCs/>
                <w:szCs w:val="21"/>
              </w:rPr>
              <w:t>均设置于</w:t>
            </w:r>
            <w:r>
              <w:rPr>
                <w:bCs/>
                <w:szCs w:val="21"/>
              </w:rPr>
              <w:t>车间</w:t>
            </w:r>
            <w:r>
              <w:rPr>
                <w:rFonts w:hint="eastAsia"/>
                <w:bCs/>
                <w:szCs w:val="21"/>
              </w:rPr>
              <w:t>内部。废气治理设备与生产设备采用“同启同停”的原则。项目</w:t>
            </w:r>
            <w:r>
              <w:rPr>
                <w:bCs/>
                <w:szCs w:val="21"/>
              </w:rPr>
              <w:t>根据废气排放特征、</w:t>
            </w:r>
            <w:r>
              <w:rPr>
                <w:rFonts w:hint="eastAsia"/>
                <w:bCs/>
                <w:szCs w:val="21"/>
              </w:rPr>
              <w:t>VOCs组分及浓度、生产工况等，</w:t>
            </w:r>
            <w:r>
              <w:rPr>
                <w:bCs/>
                <w:szCs w:val="21"/>
              </w:rPr>
              <w:t>选取了组合技术（活性炭吸附+催化燃烧装置</w:t>
            </w:r>
            <w:r>
              <w:rPr>
                <w:rFonts w:hint="eastAsia"/>
                <w:bCs/>
                <w:szCs w:val="21"/>
              </w:rPr>
              <w:t>（CO）</w:t>
            </w:r>
            <w:r>
              <w:rPr>
                <w:bCs/>
                <w:szCs w:val="21"/>
              </w:rPr>
              <w:t>）</w:t>
            </w:r>
            <w:r>
              <w:rPr>
                <w:rFonts w:hint="eastAsia"/>
                <w:bCs/>
                <w:szCs w:val="21"/>
              </w:rPr>
              <w:t>；</w:t>
            </w:r>
            <w:r>
              <w:rPr>
                <w:bCs/>
                <w:szCs w:val="21"/>
              </w:rPr>
              <w:t>选用活性炭</w:t>
            </w:r>
            <w:r>
              <w:rPr>
                <w:rFonts w:hint="eastAsia"/>
                <w:bCs/>
                <w:szCs w:val="21"/>
              </w:rPr>
              <w:t>不低于800毫克/克，</w:t>
            </w:r>
            <w:r>
              <w:rPr>
                <w:bCs/>
                <w:szCs w:val="21"/>
              </w:rPr>
              <w:t>并按照要</w:t>
            </w:r>
            <w:r>
              <w:rPr>
                <w:rFonts w:hint="eastAsia"/>
                <w:bCs/>
                <w:szCs w:val="21"/>
              </w:rPr>
              <w:t>求</w:t>
            </w:r>
            <w:r>
              <w:rPr>
                <w:bCs/>
                <w:szCs w:val="21"/>
              </w:rPr>
              <w:t>足量添加</w:t>
            </w:r>
            <w:r>
              <w:rPr>
                <w:rFonts w:hint="eastAsia"/>
                <w:bCs/>
                <w:szCs w:val="21"/>
              </w:rPr>
              <w:t>，</w:t>
            </w:r>
            <w:r>
              <w:rPr>
                <w:bCs/>
                <w:szCs w:val="21"/>
              </w:rPr>
              <w:t>及时更换。对于</w:t>
            </w:r>
            <w:r>
              <w:rPr>
                <w:rFonts w:hint="eastAsia"/>
                <w:bCs/>
                <w:szCs w:val="21"/>
              </w:rPr>
              <w:t>更换</w:t>
            </w:r>
            <w:r>
              <w:rPr>
                <w:bCs/>
                <w:szCs w:val="21"/>
              </w:rPr>
              <w:t>的活性炭记录</w:t>
            </w:r>
            <w:r>
              <w:rPr>
                <w:rFonts w:hint="eastAsia"/>
                <w:bCs/>
                <w:szCs w:val="21"/>
              </w:rPr>
              <w:t>更换</w:t>
            </w:r>
            <w:r>
              <w:rPr>
                <w:bCs/>
                <w:szCs w:val="21"/>
              </w:rPr>
              <w:t>时间和使用量。</w:t>
            </w:r>
          </w:p>
        </w:tc>
        <w:tc>
          <w:tcPr>
            <w:tcW w:w="576" w:type="pct"/>
            <w:vAlign w:val="center"/>
          </w:tcPr>
          <w:p>
            <w:pPr>
              <w:adjustRightInd w:val="0"/>
              <w:snapToGrid w:val="0"/>
              <w:jc w:val="center"/>
              <w:rPr>
                <w:bCs/>
                <w:szCs w:val="21"/>
              </w:rPr>
            </w:pPr>
            <w:r>
              <w:rPr>
                <w:bCs/>
                <w:szCs w:val="21"/>
              </w:rPr>
              <w:t>符合</w:t>
            </w:r>
          </w:p>
        </w:tc>
      </w:tr>
    </w:tbl>
    <w:p>
      <w:pPr>
        <w:spacing w:line="460" w:lineRule="exact"/>
        <w:ind w:firstLine="480" w:firstLineChars="200"/>
        <w:rPr>
          <w:sz w:val="24"/>
          <w:lang w:bidi="en-US"/>
        </w:rPr>
      </w:pPr>
      <w:r>
        <w:rPr>
          <w:rFonts w:hint="eastAsia"/>
          <w:sz w:val="24"/>
          <w:lang w:bidi="en-US"/>
        </w:rPr>
        <w:t>根据分析</w:t>
      </w:r>
      <w:r>
        <w:rPr>
          <w:sz w:val="24"/>
          <w:lang w:bidi="en-US"/>
        </w:rPr>
        <w:t>，本项目符合</w:t>
      </w:r>
      <w:r>
        <w:rPr>
          <w:rFonts w:hint="eastAsia"/>
          <w:sz w:val="24"/>
          <w:lang w:bidi="en-US"/>
        </w:rPr>
        <w:t>《2020年挥发性有机物治理攻坚方案》相关</w:t>
      </w:r>
      <w:r>
        <w:rPr>
          <w:sz w:val="24"/>
          <w:lang w:bidi="en-US"/>
        </w:rPr>
        <w:t>要求。</w:t>
      </w:r>
    </w:p>
    <w:p>
      <w:pPr>
        <w:spacing w:line="460" w:lineRule="exact"/>
        <w:ind w:firstLine="480" w:firstLineChars="200"/>
        <w:rPr>
          <w:sz w:val="24"/>
          <w:lang w:bidi="en-US"/>
        </w:rPr>
      </w:pPr>
      <w:r>
        <w:rPr>
          <w:rFonts w:hint="eastAsia"/>
          <w:sz w:val="24"/>
          <w:lang w:bidi="en-US"/>
        </w:rPr>
        <w:t>7、与《关于进一步加强塑料污染治理的意见》（发改环资</w:t>
      </w:r>
      <w:r>
        <w:rPr>
          <w:sz w:val="24"/>
          <w:lang w:bidi="en-US"/>
        </w:rPr>
        <w:t>[2020]80</w:t>
      </w:r>
      <w:r>
        <w:rPr>
          <w:rFonts w:hint="eastAsia"/>
          <w:sz w:val="24"/>
          <w:lang w:bidi="en-US"/>
        </w:rPr>
        <w:t>号）符合性分析</w:t>
      </w:r>
    </w:p>
    <w:p>
      <w:pPr>
        <w:spacing w:line="460" w:lineRule="exact"/>
        <w:ind w:firstLine="480" w:firstLineChars="200"/>
        <w:rPr>
          <w:sz w:val="24"/>
          <w:lang w:bidi="en-US"/>
        </w:rPr>
      </w:pPr>
      <w:r>
        <w:rPr>
          <w:rFonts w:hint="eastAsia"/>
          <w:sz w:val="24"/>
          <w:lang w:bidi="en-US"/>
        </w:rPr>
        <w:t>根据《关于进一步加强塑料污染治理的意见》要求：二、禁止、限制部分塑料制品的生产、销售和使用：（四）禁止生产、销售的塑料制品。禁止以医疗废物为原料制造塑料制品。全面禁止废塑料进口。三、推广应用替代产品和模式：（八）增加绿色产品供给。塑料制品生产企业要严格执行有关法律法规，生产符合相关标准的塑料制品，不得违规添加对人体、环境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四、规范塑料废弃物回收利用和处置：（九）</w:t>
      </w:r>
      <w:r>
        <w:rPr>
          <w:rFonts w:hint="eastAsia"/>
          <w:bCs/>
          <w:sz w:val="24"/>
          <w:lang w:bidi="en-US"/>
        </w:rPr>
        <w:t>加强塑料废弃物回收和清运。</w:t>
      </w:r>
      <w:r>
        <w:rPr>
          <w:rFonts w:hint="eastAsia"/>
          <w:sz w:val="24"/>
          <w:lang w:bidi="en-US"/>
        </w:rPr>
        <w:t>结合实施垃圾分类，加大塑料废弃物等可回收物分类收集和处理力度，禁止随意堆放、倾倒造成塑料垃圾污染。（十）</w:t>
      </w:r>
      <w:r>
        <w:rPr>
          <w:rFonts w:hint="eastAsia"/>
          <w:bCs/>
          <w:sz w:val="24"/>
          <w:lang w:bidi="en-US"/>
        </w:rPr>
        <w:t>推进资源化能源化利用。</w:t>
      </w:r>
      <w:r>
        <w:rPr>
          <w:rFonts w:hint="eastAsia"/>
          <w:sz w:val="24"/>
          <w:lang w:bidi="en-US"/>
        </w:rPr>
        <w:t>推动塑料废弃物资源化利用的规范化、集中化和产业化，相关项目要向资源循环利用基地等园区集聚，提高塑料废弃物资源化利用水平。</w:t>
      </w:r>
    </w:p>
    <w:p>
      <w:pPr>
        <w:spacing w:line="460" w:lineRule="exact"/>
        <w:ind w:firstLine="480" w:firstLineChars="200"/>
        <w:rPr>
          <w:sz w:val="24"/>
          <w:lang w:bidi="en-US"/>
        </w:rPr>
      </w:pPr>
      <w:r>
        <w:rPr>
          <w:rFonts w:hint="eastAsia"/>
          <w:sz w:val="24"/>
          <w:lang w:bidi="en-US"/>
        </w:rPr>
        <w:t>本项目利用当地农户生产产生的废旧滴灌带、废旧塑料膜经造粒后生产滴灌带、</w:t>
      </w:r>
      <w:r>
        <w:rPr>
          <w:sz w:val="24"/>
          <w:lang w:bidi="en-US"/>
        </w:rPr>
        <w:t>PE管</w:t>
      </w:r>
      <w:r>
        <w:rPr>
          <w:rFonts w:hint="eastAsia"/>
          <w:sz w:val="24"/>
          <w:lang w:bidi="en-US"/>
        </w:rPr>
        <w:t>产品，产品属于聚已烯。项目所用废塑料仅为废旧滴灌带、废旧塑料膜，不含医疗废物及进口废塑料。本项目生产的产品均符合相关产品质量标准要求，生产过程中不添加对人体、环境有害的添加剂。项目的建设可有效减少区域农业生产过程中产生的废旧塑料堆放对环境造成的污染，提高塑料废弃物资源化利用水平。因此本项目的建设符合《关于进一步加强塑料污染治理的意见》（发改环资</w:t>
      </w:r>
      <w:r>
        <w:rPr>
          <w:sz w:val="24"/>
          <w:lang w:bidi="en-US"/>
        </w:rPr>
        <w:t>[2020]80</w:t>
      </w:r>
      <w:r>
        <w:rPr>
          <w:rFonts w:hint="eastAsia"/>
          <w:sz w:val="24"/>
          <w:lang w:bidi="en-US"/>
        </w:rPr>
        <w:t>号）</w:t>
      </w:r>
      <w:r>
        <w:rPr>
          <w:rFonts w:hint="eastAsia"/>
          <w:bCs/>
          <w:sz w:val="24"/>
          <w:lang w:bidi="en-US"/>
        </w:rPr>
        <w:t>要求。</w:t>
      </w:r>
    </w:p>
    <w:p>
      <w:pPr>
        <w:spacing w:line="460" w:lineRule="exact"/>
        <w:ind w:firstLine="480" w:firstLineChars="200"/>
        <w:rPr>
          <w:sz w:val="24"/>
          <w:lang w:bidi="en-US"/>
        </w:rPr>
      </w:pPr>
      <w:r>
        <w:rPr>
          <w:sz w:val="24"/>
          <w:lang w:bidi="en-US"/>
        </w:rPr>
        <w:t>8</w:t>
      </w:r>
      <w:r>
        <w:rPr>
          <w:rFonts w:hint="eastAsia"/>
          <w:sz w:val="24"/>
          <w:lang w:bidi="en-US"/>
        </w:rPr>
        <w:t>、与</w:t>
      </w:r>
      <w:r>
        <w:rPr>
          <w:sz w:val="24"/>
          <w:lang w:bidi="en-US"/>
        </w:rPr>
        <w:t>《</w:t>
      </w:r>
      <w:r>
        <w:rPr>
          <w:rFonts w:hint="eastAsia"/>
          <w:sz w:val="24"/>
          <w:lang w:bidi="en-US"/>
        </w:rPr>
        <w:t>再生资源</w:t>
      </w:r>
      <w:r>
        <w:rPr>
          <w:sz w:val="24"/>
          <w:lang w:bidi="en-US"/>
        </w:rPr>
        <w:t>回收管理办法》</w:t>
      </w:r>
      <w:r>
        <w:rPr>
          <w:rFonts w:hint="eastAsia"/>
          <w:sz w:val="24"/>
          <w:lang w:bidi="en-US"/>
        </w:rPr>
        <w:t>相符性</w:t>
      </w:r>
      <w:r>
        <w:rPr>
          <w:sz w:val="24"/>
          <w:lang w:bidi="en-US"/>
        </w:rPr>
        <w:t>分析</w:t>
      </w:r>
    </w:p>
    <w:p>
      <w:pPr>
        <w:spacing w:line="460" w:lineRule="exact"/>
        <w:ind w:firstLine="480" w:firstLineChars="200"/>
        <w:rPr>
          <w:sz w:val="24"/>
          <w:lang w:bidi="en-US"/>
        </w:rPr>
      </w:pPr>
      <w:r>
        <w:rPr>
          <w:rFonts w:hint="eastAsia"/>
          <w:sz w:val="24"/>
          <w:lang w:bidi="en-US"/>
        </w:rPr>
        <w:t>本项目与《再生资源</w:t>
      </w:r>
      <w:r>
        <w:rPr>
          <w:sz w:val="24"/>
          <w:lang w:bidi="en-US"/>
        </w:rPr>
        <w:t>回收管理办法</w:t>
      </w:r>
      <w:r>
        <w:rPr>
          <w:rFonts w:hint="eastAsia"/>
          <w:sz w:val="24"/>
          <w:lang w:bidi="en-US"/>
        </w:rPr>
        <w:t>》相符性分析详见表1.3-</w:t>
      </w:r>
      <w:r>
        <w:rPr>
          <w:sz w:val="24"/>
          <w:lang w:bidi="en-US"/>
        </w:rPr>
        <w:t>6</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表1.3-6        与《再生资源回收管理办法》符合性分析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119"/>
        <w:gridCol w:w="3685"/>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3119" w:type="dxa"/>
            <w:vAlign w:val="center"/>
          </w:tcPr>
          <w:p>
            <w:pPr>
              <w:adjustRightInd w:val="0"/>
              <w:snapToGrid w:val="0"/>
              <w:jc w:val="center"/>
              <w:rPr>
                <w:bCs/>
                <w:kern w:val="0"/>
                <w:sz w:val="21"/>
                <w:szCs w:val="21"/>
              </w:rPr>
            </w:pPr>
            <w:r>
              <w:rPr>
                <w:rFonts w:hint="eastAsia"/>
                <w:bCs/>
                <w:kern w:val="0"/>
                <w:sz w:val="21"/>
                <w:szCs w:val="21"/>
              </w:rPr>
              <w:t>办法要求</w:t>
            </w:r>
          </w:p>
        </w:tc>
        <w:tc>
          <w:tcPr>
            <w:tcW w:w="3685" w:type="dxa"/>
            <w:vAlign w:val="center"/>
          </w:tcPr>
          <w:p>
            <w:pPr>
              <w:adjustRightInd w:val="0"/>
              <w:snapToGrid w:val="0"/>
              <w:jc w:val="center"/>
              <w:rPr>
                <w:bCs/>
                <w:kern w:val="0"/>
                <w:sz w:val="21"/>
                <w:szCs w:val="21"/>
              </w:rPr>
            </w:pPr>
            <w:r>
              <w:rPr>
                <w:rFonts w:hint="eastAsia"/>
                <w:bCs/>
                <w:kern w:val="0"/>
                <w:sz w:val="21"/>
                <w:szCs w:val="21"/>
              </w:rPr>
              <w:t>本项目</w:t>
            </w:r>
          </w:p>
        </w:tc>
        <w:tc>
          <w:tcPr>
            <w:tcW w:w="957" w:type="dxa"/>
            <w:vAlign w:val="center"/>
          </w:tcPr>
          <w:p>
            <w:pPr>
              <w:adjustRightInd w:val="0"/>
              <w:snapToGrid w:val="0"/>
              <w:jc w:val="center"/>
              <w:rPr>
                <w:bCs/>
                <w:kern w:val="0"/>
                <w:sz w:val="20"/>
                <w:szCs w:val="21"/>
              </w:rPr>
            </w:pPr>
            <w:r>
              <w:rPr>
                <w:rFonts w:hint="eastAsia"/>
                <w:bCs/>
                <w:kern w:val="0"/>
                <w:sz w:val="20"/>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3119" w:type="dxa"/>
            <w:vAlign w:val="center"/>
          </w:tcPr>
          <w:p>
            <w:pPr>
              <w:adjustRightInd w:val="0"/>
              <w:snapToGrid w:val="0"/>
              <w:jc w:val="center"/>
              <w:rPr>
                <w:bCs/>
                <w:kern w:val="0"/>
                <w:sz w:val="21"/>
                <w:szCs w:val="21"/>
              </w:rPr>
            </w:pPr>
            <w:r>
              <w:rPr>
                <w:rFonts w:hint="eastAsia"/>
                <w:bCs/>
                <w:kern w:val="0"/>
                <w:sz w:val="21"/>
                <w:szCs w:val="21"/>
              </w:rPr>
              <w:t>从事再生资源回收经营活动，必须符合工商行政管理登记条件，领取营业执照后，方可从事经营活动。</w:t>
            </w:r>
          </w:p>
        </w:tc>
        <w:tc>
          <w:tcPr>
            <w:tcW w:w="3685" w:type="dxa"/>
            <w:vAlign w:val="center"/>
          </w:tcPr>
          <w:p>
            <w:pPr>
              <w:adjustRightInd w:val="0"/>
              <w:snapToGrid w:val="0"/>
              <w:jc w:val="center"/>
              <w:rPr>
                <w:bCs/>
                <w:kern w:val="0"/>
                <w:sz w:val="21"/>
                <w:szCs w:val="21"/>
              </w:rPr>
            </w:pPr>
            <w:r>
              <w:rPr>
                <w:rFonts w:hint="eastAsia"/>
                <w:bCs/>
                <w:kern w:val="0"/>
                <w:sz w:val="21"/>
                <w:szCs w:val="21"/>
              </w:rPr>
              <w:t>昌吉市昊慧盛塑料制品厂已</w:t>
            </w:r>
            <w:r>
              <w:rPr>
                <w:bCs/>
                <w:kern w:val="0"/>
                <w:sz w:val="21"/>
                <w:szCs w:val="21"/>
              </w:rPr>
              <w:t>取得营业执照，统一社会</w:t>
            </w:r>
            <w:r>
              <w:rPr>
                <w:rFonts w:hint="eastAsia"/>
                <w:bCs/>
                <w:kern w:val="0"/>
                <w:sz w:val="21"/>
                <w:szCs w:val="21"/>
              </w:rPr>
              <w:t>信用</w:t>
            </w:r>
            <w:r>
              <w:rPr>
                <w:bCs/>
                <w:kern w:val="0"/>
                <w:sz w:val="21"/>
                <w:szCs w:val="21"/>
              </w:rPr>
              <w:t>代码为92652300MA795HWK9B</w:t>
            </w:r>
          </w:p>
        </w:tc>
        <w:tc>
          <w:tcPr>
            <w:tcW w:w="957" w:type="dxa"/>
            <w:vAlign w:val="center"/>
          </w:tcPr>
          <w:p>
            <w:pPr>
              <w:adjustRightInd w:val="0"/>
              <w:snapToGrid w:val="0"/>
              <w:jc w:val="center"/>
              <w:rPr>
                <w:bCs/>
                <w:kern w:val="0"/>
                <w:sz w:val="20"/>
                <w:szCs w:val="21"/>
              </w:rPr>
            </w:pPr>
            <w:r>
              <w:rPr>
                <w:rFonts w:hint="eastAsia"/>
                <w:bCs/>
                <w:kern w:val="0"/>
                <w:sz w:val="2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3119" w:type="dxa"/>
            <w:vAlign w:val="center"/>
          </w:tcPr>
          <w:p>
            <w:pPr>
              <w:adjustRightInd w:val="0"/>
              <w:snapToGrid w:val="0"/>
              <w:jc w:val="center"/>
              <w:rPr>
                <w:bCs/>
                <w:kern w:val="0"/>
                <w:sz w:val="21"/>
                <w:szCs w:val="21"/>
              </w:rPr>
            </w:pPr>
            <w:r>
              <w:rPr>
                <w:rFonts w:hint="eastAsia"/>
                <w:bCs/>
                <w:kern w:val="0"/>
                <w:sz w:val="21"/>
                <w:szCs w:val="21"/>
              </w:rPr>
              <w:t>再生资源的收集、储存、运输、处理等全过程应当遵守相关国家污染防治标准、技术政策和技术规范。</w:t>
            </w:r>
          </w:p>
        </w:tc>
        <w:tc>
          <w:tcPr>
            <w:tcW w:w="3685" w:type="dxa"/>
            <w:vAlign w:val="center"/>
          </w:tcPr>
          <w:p>
            <w:pPr>
              <w:adjustRightInd w:val="0"/>
              <w:snapToGrid w:val="0"/>
              <w:jc w:val="center"/>
              <w:rPr>
                <w:bCs/>
                <w:kern w:val="0"/>
                <w:sz w:val="21"/>
                <w:szCs w:val="21"/>
              </w:rPr>
            </w:pPr>
            <w:r>
              <w:rPr>
                <w:rFonts w:hint="eastAsia"/>
                <w:bCs/>
                <w:kern w:val="0"/>
                <w:sz w:val="21"/>
                <w:szCs w:val="21"/>
              </w:rPr>
              <w:t>本项目</w:t>
            </w:r>
            <w:r>
              <w:rPr>
                <w:bCs/>
                <w:kern w:val="0"/>
                <w:sz w:val="21"/>
                <w:szCs w:val="21"/>
              </w:rPr>
              <w:t>废旧塑料收集</w:t>
            </w:r>
            <w:r>
              <w:rPr>
                <w:rFonts w:hint="eastAsia"/>
                <w:bCs/>
                <w:kern w:val="0"/>
                <w:sz w:val="21"/>
                <w:szCs w:val="21"/>
              </w:rPr>
              <w:t>运输</w:t>
            </w:r>
            <w:r>
              <w:rPr>
                <w:bCs/>
                <w:kern w:val="0"/>
                <w:sz w:val="21"/>
                <w:szCs w:val="21"/>
              </w:rPr>
              <w:t>过程采取苫盖措施、厂区</w:t>
            </w:r>
            <w:r>
              <w:rPr>
                <w:rFonts w:hint="eastAsia"/>
                <w:bCs/>
                <w:kern w:val="0"/>
                <w:sz w:val="21"/>
                <w:szCs w:val="21"/>
              </w:rPr>
              <w:t>采用封闭式库房储存</w:t>
            </w:r>
            <w:r>
              <w:rPr>
                <w:bCs/>
                <w:kern w:val="0"/>
                <w:sz w:val="21"/>
                <w:szCs w:val="21"/>
              </w:rPr>
              <w:t>、处置过程针对各污染环节均采取相应治理措施，回收及处置再生过程各项污染物排放满足国家</w:t>
            </w:r>
            <w:r>
              <w:rPr>
                <w:rFonts w:hint="eastAsia"/>
                <w:bCs/>
                <w:kern w:val="0"/>
                <w:sz w:val="21"/>
                <w:szCs w:val="21"/>
              </w:rPr>
              <w:t>项管</w:t>
            </w:r>
            <w:r>
              <w:rPr>
                <w:bCs/>
                <w:kern w:val="0"/>
                <w:sz w:val="21"/>
                <w:szCs w:val="21"/>
              </w:rPr>
              <w:t>标准要求。</w:t>
            </w:r>
          </w:p>
        </w:tc>
        <w:tc>
          <w:tcPr>
            <w:tcW w:w="957" w:type="dxa"/>
            <w:vAlign w:val="center"/>
          </w:tcPr>
          <w:p>
            <w:pPr>
              <w:adjustRightInd w:val="0"/>
              <w:snapToGrid w:val="0"/>
              <w:jc w:val="center"/>
              <w:rPr>
                <w:bCs/>
                <w:kern w:val="0"/>
                <w:sz w:val="20"/>
                <w:szCs w:val="21"/>
              </w:rPr>
            </w:pPr>
            <w:r>
              <w:rPr>
                <w:rFonts w:hint="eastAsia"/>
                <w:bCs/>
                <w:kern w:val="0"/>
                <w:sz w:val="20"/>
                <w:szCs w:val="21"/>
              </w:rPr>
              <w:t>符合</w:t>
            </w:r>
          </w:p>
        </w:tc>
      </w:tr>
    </w:tbl>
    <w:p>
      <w:pPr>
        <w:spacing w:line="460" w:lineRule="exact"/>
        <w:ind w:firstLine="480" w:firstLineChars="200"/>
        <w:rPr>
          <w:sz w:val="24"/>
          <w:lang w:bidi="en-US"/>
        </w:rPr>
      </w:pPr>
      <w:r>
        <w:rPr>
          <w:rFonts w:hint="eastAsia"/>
          <w:sz w:val="24"/>
          <w:lang w:bidi="en-US"/>
        </w:rPr>
        <w:t>根据上表分析，本项目符合《再生资源回收管理办法》相关要求。</w:t>
      </w:r>
    </w:p>
    <w:p>
      <w:pPr>
        <w:spacing w:line="460" w:lineRule="exact"/>
        <w:ind w:firstLine="480" w:firstLineChars="200"/>
        <w:rPr>
          <w:sz w:val="24"/>
          <w:lang w:bidi="en-US"/>
        </w:rPr>
      </w:pPr>
      <w:r>
        <w:rPr>
          <w:rFonts w:hint="eastAsia"/>
          <w:sz w:val="24"/>
          <w:lang w:bidi="en-US"/>
        </w:rPr>
        <w:t>9、</w:t>
      </w:r>
      <w:r>
        <w:rPr>
          <w:sz w:val="24"/>
          <w:lang w:bidi="en-US"/>
        </w:rPr>
        <w:t>与《</w:t>
      </w:r>
      <w:r>
        <w:rPr>
          <w:rFonts w:hint="eastAsia"/>
          <w:sz w:val="24"/>
          <w:lang w:bidi="en-US"/>
        </w:rPr>
        <w:t>重点行业</w:t>
      </w:r>
      <w:r>
        <w:rPr>
          <w:sz w:val="24"/>
          <w:lang w:bidi="en-US"/>
        </w:rPr>
        <w:t>挥发性有机物综合治理方案》</w:t>
      </w:r>
      <w:r>
        <w:rPr>
          <w:rFonts w:hint="eastAsia"/>
          <w:sz w:val="24"/>
          <w:lang w:bidi="en-US"/>
        </w:rPr>
        <w:t>符合性</w:t>
      </w:r>
      <w:r>
        <w:rPr>
          <w:sz w:val="24"/>
          <w:lang w:bidi="en-US"/>
        </w:rPr>
        <w:t>分析</w:t>
      </w:r>
    </w:p>
    <w:p>
      <w:pPr>
        <w:spacing w:line="460" w:lineRule="exact"/>
        <w:ind w:firstLine="480" w:firstLineChars="200"/>
        <w:rPr>
          <w:sz w:val="24"/>
          <w:lang w:bidi="en-US"/>
        </w:rPr>
      </w:pPr>
      <w:r>
        <w:rPr>
          <w:rFonts w:hint="eastAsia"/>
          <w:sz w:val="24"/>
          <w:lang w:bidi="en-US"/>
        </w:rPr>
        <w:t>本项目与《重点行业挥发性有机物综合治理方案》相符性分析详见表1.3-7。</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表1.3-7         与《重点行业挥发性有机物综合治理方案》符合性分析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536"/>
        <w:gridCol w:w="2268"/>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4536" w:type="dxa"/>
            <w:vAlign w:val="center"/>
          </w:tcPr>
          <w:p>
            <w:pPr>
              <w:adjustRightInd w:val="0"/>
              <w:snapToGrid w:val="0"/>
              <w:jc w:val="center"/>
              <w:rPr>
                <w:bCs/>
                <w:kern w:val="0"/>
                <w:sz w:val="21"/>
                <w:szCs w:val="21"/>
              </w:rPr>
            </w:pPr>
            <w:r>
              <w:rPr>
                <w:rFonts w:hint="eastAsia"/>
                <w:bCs/>
                <w:kern w:val="0"/>
                <w:sz w:val="21"/>
                <w:szCs w:val="21"/>
              </w:rPr>
              <w:t>方案要求</w:t>
            </w:r>
          </w:p>
        </w:tc>
        <w:tc>
          <w:tcPr>
            <w:tcW w:w="2268" w:type="dxa"/>
            <w:vAlign w:val="center"/>
          </w:tcPr>
          <w:p>
            <w:pPr>
              <w:adjustRightInd w:val="0"/>
              <w:snapToGrid w:val="0"/>
              <w:jc w:val="center"/>
              <w:rPr>
                <w:bCs/>
                <w:kern w:val="0"/>
                <w:sz w:val="21"/>
                <w:szCs w:val="21"/>
              </w:rPr>
            </w:pPr>
            <w:r>
              <w:rPr>
                <w:rFonts w:hint="eastAsia"/>
                <w:bCs/>
                <w:kern w:val="0"/>
                <w:sz w:val="21"/>
                <w:szCs w:val="21"/>
              </w:rPr>
              <w:t>本项目</w:t>
            </w:r>
          </w:p>
        </w:tc>
        <w:tc>
          <w:tcPr>
            <w:tcW w:w="957" w:type="dxa"/>
            <w:vAlign w:val="center"/>
          </w:tcPr>
          <w:p>
            <w:pPr>
              <w:adjustRightInd w:val="0"/>
              <w:snapToGrid w:val="0"/>
              <w:jc w:val="center"/>
              <w:rPr>
                <w:bCs/>
                <w:kern w:val="0"/>
                <w:sz w:val="21"/>
                <w:szCs w:val="21"/>
              </w:rPr>
            </w:pPr>
            <w:r>
              <w:rPr>
                <w:rFonts w:hint="eastAsia"/>
                <w:bCs/>
                <w:ker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4536" w:type="dxa"/>
            <w:vAlign w:val="center"/>
          </w:tcPr>
          <w:p>
            <w:pPr>
              <w:adjustRightInd w:val="0"/>
              <w:snapToGrid w:val="0"/>
              <w:jc w:val="center"/>
              <w:rPr>
                <w:bCs/>
                <w:kern w:val="0"/>
                <w:sz w:val="21"/>
                <w:szCs w:val="21"/>
              </w:rPr>
            </w:pPr>
            <w:r>
              <w:rPr>
                <w:rFonts w:hint="eastAsia"/>
                <w:bCs/>
                <w:kern w:val="0"/>
                <w:sz w:val="21"/>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68" w:type="dxa"/>
            <w:vAlign w:val="center"/>
          </w:tcPr>
          <w:p>
            <w:pPr>
              <w:adjustRightInd w:val="0"/>
              <w:snapToGrid w:val="0"/>
              <w:jc w:val="center"/>
              <w:rPr>
                <w:bCs/>
                <w:kern w:val="0"/>
                <w:sz w:val="21"/>
                <w:szCs w:val="21"/>
              </w:rPr>
            </w:pPr>
            <w:r>
              <w:rPr>
                <w:rFonts w:hint="eastAsia"/>
                <w:bCs/>
                <w:kern w:val="0"/>
                <w:sz w:val="21"/>
                <w:szCs w:val="21"/>
              </w:rPr>
              <w:t>项目</w:t>
            </w:r>
            <w:r>
              <w:rPr>
                <w:bCs/>
                <w:kern w:val="0"/>
                <w:sz w:val="21"/>
                <w:szCs w:val="21"/>
              </w:rPr>
              <w:t>针对有机废气产生点均要求设置集气设置，要求集气效率</w:t>
            </w:r>
            <w:r>
              <w:rPr>
                <w:rFonts w:hint="eastAsia"/>
                <w:bCs/>
                <w:kern w:val="0"/>
                <w:sz w:val="21"/>
                <w:szCs w:val="21"/>
              </w:rPr>
              <w:t>不低于90</w:t>
            </w:r>
            <w:r>
              <w:rPr>
                <w:bCs/>
                <w:kern w:val="0"/>
                <w:sz w:val="21"/>
                <w:szCs w:val="21"/>
              </w:rPr>
              <w:t>%</w:t>
            </w:r>
          </w:p>
        </w:tc>
        <w:tc>
          <w:tcPr>
            <w:tcW w:w="957" w:type="dxa"/>
            <w:vAlign w:val="center"/>
          </w:tcPr>
          <w:p>
            <w:pPr>
              <w:adjustRightInd w:val="0"/>
              <w:snapToGrid w:val="0"/>
              <w:jc w:val="center"/>
              <w:rPr>
                <w:bCs/>
                <w:kern w:val="0"/>
                <w:sz w:val="21"/>
                <w:szCs w:val="21"/>
              </w:rPr>
            </w:pPr>
            <w:r>
              <w:rPr>
                <w:rFonts w:hint="eastAsia"/>
                <w:bCs/>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4536" w:type="dxa"/>
            <w:vAlign w:val="center"/>
          </w:tcPr>
          <w:p>
            <w:pPr>
              <w:adjustRightInd w:val="0"/>
              <w:snapToGrid w:val="0"/>
              <w:jc w:val="center"/>
              <w:rPr>
                <w:bCs/>
                <w:kern w:val="0"/>
                <w:sz w:val="21"/>
                <w:szCs w:val="21"/>
              </w:rPr>
            </w:pPr>
            <w:r>
              <w:rPr>
                <w:rFonts w:hint="eastAsia"/>
                <w:bCs/>
                <w:kern w:val="0"/>
                <w:sz w:val="21"/>
                <w:szCs w:val="21"/>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268" w:type="dxa"/>
            <w:vAlign w:val="center"/>
          </w:tcPr>
          <w:p>
            <w:pPr>
              <w:adjustRightInd w:val="0"/>
              <w:snapToGrid w:val="0"/>
              <w:jc w:val="center"/>
              <w:rPr>
                <w:bCs/>
                <w:kern w:val="0"/>
                <w:sz w:val="21"/>
                <w:szCs w:val="21"/>
              </w:rPr>
            </w:pPr>
            <w:r>
              <w:rPr>
                <w:rFonts w:hint="eastAsia"/>
                <w:bCs/>
                <w:kern w:val="0"/>
                <w:sz w:val="21"/>
                <w:szCs w:val="21"/>
              </w:rPr>
              <w:t>项目</w:t>
            </w:r>
            <w:r>
              <w:rPr>
                <w:bCs/>
                <w:kern w:val="0"/>
                <w:sz w:val="21"/>
                <w:szCs w:val="21"/>
              </w:rPr>
              <w:t>产生有机废气采取活性炭吸附</w:t>
            </w:r>
            <w:r>
              <w:rPr>
                <w:rFonts w:hint="eastAsia"/>
                <w:bCs/>
                <w:kern w:val="0"/>
                <w:sz w:val="21"/>
                <w:szCs w:val="21"/>
              </w:rPr>
              <w:t>+催化燃烧</w:t>
            </w:r>
            <w:r>
              <w:rPr>
                <w:bCs/>
                <w:kern w:val="0"/>
                <w:sz w:val="21"/>
                <w:szCs w:val="21"/>
              </w:rPr>
              <w:t>（</w:t>
            </w:r>
            <w:r>
              <w:rPr>
                <w:rFonts w:hint="eastAsia"/>
                <w:bCs/>
                <w:kern w:val="0"/>
                <w:sz w:val="21"/>
                <w:szCs w:val="21"/>
              </w:rPr>
              <w:t>CO</w:t>
            </w:r>
            <w:r>
              <w:rPr>
                <w:bCs/>
                <w:kern w:val="0"/>
                <w:sz w:val="21"/>
                <w:szCs w:val="21"/>
              </w:rPr>
              <w:t>）</w:t>
            </w:r>
            <w:r>
              <w:rPr>
                <w:rFonts w:hint="eastAsia"/>
                <w:bCs/>
                <w:kern w:val="0"/>
                <w:sz w:val="21"/>
                <w:szCs w:val="21"/>
              </w:rPr>
              <w:t>处置</w:t>
            </w:r>
            <w:r>
              <w:rPr>
                <w:bCs/>
                <w:kern w:val="0"/>
                <w:sz w:val="21"/>
                <w:szCs w:val="21"/>
              </w:rPr>
              <w:t>技术</w:t>
            </w:r>
          </w:p>
        </w:tc>
        <w:tc>
          <w:tcPr>
            <w:tcW w:w="957" w:type="dxa"/>
            <w:vAlign w:val="center"/>
          </w:tcPr>
          <w:p>
            <w:pPr>
              <w:adjustRightInd w:val="0"/>
              <w:snapToGrid w:val="0"/>
              <w:jc w:val="center"/>
              <w:rPr>
                <w:bCs/>
                <w:kern w:val="0"/>
                <w:sz w:val="21"/>
                <w:szCs w:val="21"/>
              </w:rPr>
            </w:pPr>
            <w:r>
              <w:rPr>
                <w:rFonts w:hint="eastAsia"/>
                <w:bCs/>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3</w:t>
            </w:r>
          </w:p>
        </w:tc>
        <w:tc>
          <w:tcPr>
            <w:tcW w:w="4536" w:type="dxa"/>
            <w:vAlign w:val="center"/>
          </w:tcPr>
          <w:p>
            <w:pPr>
              <w:adjustRightInd w:val="0"/>
              <w:snapToGrid w:val="0"/>
              <w:jc w:val="center"/>
              <w:rPr>
                <w:bCs/>
                <w:kern w:val="0"/>
                <w:sz w:val="21"/>
                <w:szCs w:val="21"/>
              </w:rPr>
            </w:pPr>
            <w:r>
              <w:rPr>
                <w:rFonts w:hint="eastAsia"/>
                <w:bCs/>
                <w:kern w:val="0"/>
                <w:sz w:val="21"/>
                <w:szCs w:val="21"/>
              </w:rPr>
              <w:t>深化工艺废气VOCs治理。有效实施催化剂再生废气、氧化尾气VOCs治理，加强酸性水罐、延迟焦化、合成橡胶、合成树脂、合成纤维等工艺过程尾气VOCs治理。推行全密闭生产工艺，加大无组织排放收集。</w:t>
            </w:r>
          </w:p>
        </w:tc>
        <w:tc>
          <w:tcPr>
            <w:tcW w:w="2268" w:type="dxa"/>
            <w:vAlign w:val="center"/>
          </w:tcPr>
          <w:p>
            <w:pPr>
              <w:adjustRightInd w:val="0"/>
              <w:snapToGrid w:val="0"/>
              <w:jc w:val="center"/>
              <w:rPr>
                <w:bCs/>
                <w:kern w:val="0"/>
                <w:sz w:val="21"/>
                <w:szCs w:val="21"/>
              </w:rPr>
            </w:pPr>
            <w:r>
              <w:rPr>
                <w:rFonts w:hint="eastAsia"/>
                <w:bCs/>
                <w:kern w:val="0"/>
                <w:sz w:val="21"/>
                <w:szCs w:val="21"/>
              </w:rPr>
              <w:t>要求</w:t>
            </w:r>
            <w:r>
              <w:rPr>
                <w:bCs/>
                <w:kern w:val="0"/>
                <w:sz w:val="21"/>
                <w:szCs w:val="21"/>
              </w:rPr>
              <w:t>对项目生产过程产生无组织废气集中收集，减少无组织排放量</w:t>
            </w:r>
          </w:p>
        </w:tc>
        <w:tc>
          <w:tcPr>
            <w:tcW w:w="957" w:type="dxa"/>
            <w:vAlign w:val="center"/>
          </w:tcPr>
          <w:p>
            <w:pPr>
              <w:adjustRightInd w:val="0"/>
              <w:snapToGrid w:val="0"/>
              <w:jc w:val="center"/>
              <w:rPr>
                <w:bCs/>
                <w:kern w:val="0"/>
                <w:sz w:val="21"/>
                <w:szCs w:val="21"/>
              </w:rPr>
            </w:pPr>
            <w:r>
              <w:rPr>
                <w:rFonts w:hint="eastAsia"/>
                <w:bCs/>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4</w:t>
            </w:r>
          </w:p>
        </w:tc>
        <w:tc>
          <w:tcPr>
            <w:tcW w:w="4536" w:type="dxa"/>
            <w:vAlign w:val="center"/>
          </w:tcPr>
          <w:p>
            <w:pPr>
              <w:adjustRightInd w:val="0"/>
              <w:snapToGrid w:val="0"/>
              <w:jc w:val="center"/>
              <w:rPr>
                <w:bCs/>
                <w:kern w:val="0"/>
                <w:sz w:val="21"/>
                <w:szCs w:val="21"/>
              </w:rPr>
            </w:pPr>
            <w:r>
              <w:rPr>
                <w:rFonts w:hint="eastAsia"/>
                <w:bCs/>
                <w:kern w:val="0"/>
                <w:sz w:val="21"/>
                <w:szCs w:val="21"/>
              </w:rPr>
              <w:t>加强制药、农药、涂料、油墨、胶粘剂、橡胶和塑料制品等行业VOCs治理力度。重点提高涉VOCs排放主要工序密闭化水平，加强无组织排放收集，加大含VOCs物料储存和装卸治理力度。</w:t>
            </w:r>
          </w:p>
        </w:tc>
        <w:tc>
          <w:tcPr>
            <w:tcW w:w="2268" w:type="dxa"/>
            <w:vAlign w:val="center"/>
          </w:tcPr>
          <w:p>
            <w:pPr>
              <w:adjustRightInd w:val="0"/>
              <w:snapToGrid w:val="0"/>
              <w:jc w:val="center"/>
              <w:rPr>
                <w:bCs/>
                <w:kern w:val="0"/>
                <w:sz w:val="21"/>
                <w:szCs w:val="21"/>
              </w:rPr>
            </w:pPr>
            <w:r>
              <w:rPr>
                <w:rFonts w:hint="eastAsia"/>
                <w:bCs/>
                <w:kern w:val="0"/>
                <w:sz w:val="21"/>
                <w:szCs w:val="21"/>
              </w:rPr>
              <w:t>对</w:t>
            </w:r>
            <w:r>
              <w:rPr>
                <w:bCs/>
                <w:kern w:val="0"/>
                <w:sz w:val="21"/>
                <w:szCs w:val="21"/>
              </w:rPr>
              <w:t>挤出工序产生有机废气</w:t>
            </w:r>
            <w:r>
              <w:rPr>
                <w:rFonts w:hint="eastAsia"/>
                <w:bCs/>
                <w:kern w:val="0"/>
                <w:sz w:val="21"/>
                <w:szCs w:val="21"/>
              </w:rPr>
              <w:t>要求</w:t>
            </w:r>
            <w:r>
              <w:rPr>
                <w:bCs/>
                <w:kern w:val="0"/>
                <w:sz w:val="21"/>
                <w:szCs w:val="21"/>
              </w:rPr>
              <w:t>设置集气设施，收集后设置活性炭吸附</w:t>
            </w:r>
            <w:r>
              <w:rPr>
                <w:rFonts w:hint="eastAsia"/>
                <w:bCs/>
                <w:kern w:val="0"/>
                <w:sz w:val="21"/>
                <w:szCs w:val="21"/>
              </w:rPr>
              <w:t>+催化燃烧</w:t>
            </w:r>
            <w:r>
              <w:rPr>
                <w:bCs/>
                <w:kern w:val="0"/>
                <w:sz w:val="21"/>
                <w:szCs w:val="21"/>
              </w:rPr>
              <w:t>（</w:t>
            </w:r>
            <w:r>
              <w:rPr>
                <w:rFonts w:hint="eastAsia"/>
                <w:bCs/>
                <w:kern w:val="0"/>
                <w:sz w:val="21"/>
                <w:szCs w:val="21"/>
              </w:rPr>
              <w:t>CO</w:t>
            </w:r>
            <w:r>
              <w:rPr>
                <w:bCs/>
                <w:kern w:val="0"/>
                <w:sz w:val="21"/>
                <w:szCs w:val="21"/>
              </w:rPr>
              <w:t>）</w:t>
            </w:r>
            <w:r>
              <w:rPr>
                <w:rFonts w:hint="eastAsia"/>
                <w:bCs/>
                <w:kern w:val="0"/>
                <w:sz w:val="21"/>
                <w:szCs w:val="21"/>
              </w:rPr>
              <w:t>处置</w:t>
            </w:r>
          </w:p>
        </w:tc>
        <w:tc>
          <w:tcPr>
            <w:tcW w:w="957" w:type="dxa"/>
            <w:vAlign w:val="center"/>
          </w:tcPr>
          <w:p>
            <w:pPr>
              <w:adjustRightInd w:val="0"/>
              <w:snapToGrid w:val="0"/>
              <w:jc w:val="center"/>
              <w:rPr>
                <w:bCs/>
                <w:kern w:val="0"/>
                <w:sz w:val="21"/>
                <w:szCs w:val="21"/>
              </w:rPr>
            </w:pPr>
            <w:r>
              <w:rPr>
                <w:rFonts w:hint="eastAsia"/>
                <w:bCs/>
                <w:kern w:val="0"/>
                <w:sz w:val="21"/>
                <w:szCs w:val="21"/>
              </w:rPr>
              <w:t>符合</w:t>
            </w:r>
          </w:p>
        </w:tc>
      </w:tr>
    </w:tbl>
    <w:p>
      <w:pPr>
        <w:spacing w:line="460" w:lineRule="exact"/>
        <w:ind w:firstLine="480" w:firstLineChars="200"/>
        <w:rPr>
          <w:sz w:val="24"/>
          <w:lang w:bidi="en-US"/>
        </w:rPr>
      </w:pPr>
      <w:r>
        <w:rPr>
          <w:rFonts w:hint="eastAsia"/>
          <w:sz w:val="24"/>
          <w:lang w:bidi="en-US"/>
        </w:rPr>
        <w:t>根据上表分析，本项目符合《重点行业挥发性有机物综合治理方案》相关要求。</w:t>
      </w:r>
    </w:p>
    <w:p>
      <w:pPr>
        <w:spacing w:line="460" w:lineRule="exact"/>
        <w:ind w:firstLine="480" w:firstLineChars="200"/>
        <w:rPr>
          <w:sz w:val="24"/>
          <w:lang w:bidi="en-US"/>
        </w:rPr>
      </w:pPr>
      <w:r>
        <w:rPr>
          <w:sz w:val="24"/>
          <w:lang w:bidi="en-US"/>
        </w:rPr>
        <w:t>10</w:t>
      </w:r>
      <w:r>
        <w:rPr>
          <w:rFonts w:hint="eastAsia"/>
          <w:sz w:val="24"/>
          <w:lang w:bidi="en-US"/>
        </w:rPr>
        <w:t>、与《关于促进全区废旧塑料再生利用行业有序发展的指导意见》符合性分析</w:t>
      </w:r>
    </w:p>
    <w:p>
      <w:pPr>
        <w:spacing w:line="460" w:lineRule="exact"/>
        <w:ind w:firstLine="480" w:firstLineChars="200"/>
        <w:rPr>
          <w:sz w:val="24"/>
          <w:lang w:bidi="en-US"/>
        </w:rPr>
      </w:pPr>
      <w:r>
        <w:rPr>
          <w:sz w:val="24"/>
          <w:lang w:bidi="en-US"/>
        </w:rPr>
        <w:t>根据自治区生态环境厅《关于促进全区废旧塑料再生利用行业有序发展的指导意见》（新环环评发〔2020〕5号）要求，本项目建设与其符合性分析见表</w:t>
      </w:r>
      <w:r>
        <w:rPr>
          <w:rFonts w:hint="eastAsia"/>
          <w:sz w:val="24"/>
          <w:lang w:bidi="en-US"/>
        </w:rPr>
        <w:t>1.3</w:t>
      </w:r>
      <w:r>
        <w:rPr>
          <w:sz w:val="24"/>
          <w:lang w:bidi="en-US"/>
        </w:rPr>
        <w:t>-8。</w:t>
      </w:r>
    </w:p>
    <w:p>
      <w:pPr>
        <w:pStyle w:val="499"/>
        <w:spacing w:line="240" w:lineRule="auto"/>
        <w:ind w:firstLine="420"/>
        <w:rPr>
          <w:rFonts w:ascii="Times New Roman" w:hAnsi="Times New Roman" w:eastAsia="黑体" w:cs="Times New Roman"/>
          <w:sz w:val="21"/>
          <w:lang w:bidi="en-US"/>
        </w:rPr>
      </w:pPr>
      <w:r>
        <w:rPr>
          <w:rFonts w:ascii="Times New Roman" w:hAnsi="Times New Roman" w:eastAsia="黑体" w:cs="Times New Roman"/>
          <w:sz w:val="21"/>
          <w:lang w:bidi="en-US"/>
        </w:rPr>
        <w:t>表</w:t>
      </w:r>
      <w:r>
        <w:rPr>
          <w:rFonts w:hint="eastAsia" w:ascii="Times New Roman" w:hAnsi="Times New Roman" w:eastAsia="黑体" w:cs="Times New Roman"/>
          <w:sz w:val="21"/>
          <w:lang w:bidi="en-US"/>
        </w:rPr>
        <w:t>1.3</w:t>
      </w:r>
      <w:r>
        <w:rPr>
          <w:rFonts w:ascii="Times New Roman" w:hAnsi="Times New Roman" w:eastAsia="黑体" w:cs="Times New Roman"/>
          <w:sz w:val="21"/>
          <w:lang w:bidi="en-US"/>
        </w:rPr>
        <w:t>-8  与《关于促进全区废旧塑料再生利用行业有序发展的指导意见》符合性分析</w:t>
      </w:r>
    </w:p>
    <w:tbl>
      <w:tblPr>
        <w:tblStyle w:val="59"/>
        <w:tblW w:w="83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114"/>
        <w:gridCol w:w="2625"/>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adjustRightInd w:val="0"/>
              <w:snapToGrid w:val="0"/>
              <w:jc w:val="center"/>
              <w:rPr>
                <w:bCs/>
                <w:szCs w:val="21"/>
              </w:rPr>
            </w:pPr>
            <w:r>
              <w:rPr>
                <w:bCs/>
                <w:szCs w:val="21"/>
              </w:rPr>
              <w:t>项目</w:t>
            </w:r>
          </w:p>
        </w:tc>
        <w:tc>
          <w:tcPr>
            <w:tcW w:w="4114" w:type="dxa"/>
            <w:vAlign w:val="center"/>
          </w:tcPr>
          <w:p>
            <w:pPr>
              <w:adjustRightInd w:val="0"/>
              <w:snapToGrid w:val="0"/>
              <w:jc w:val="center"/>
              <w:rPr>
                <w:bCs/>
                <w:szCs w:val="21"/>
              </w:rPr>
            </w:pPr>
            <w:r>
              <w:rPr>
                <w:bCs/>
                <w:szCs w:val="21"/>
              </w:rPr>
              <w:t>指导意见</w:t>
            </w:r>
          </w:p>
        </w:tc>
        <w:tc>
          <w:tcPr>
            <w:tcW w:w="2625" w:type="dxa"/>
            <w:vAlign w:val="center"/>
          </w:tcPr>
          <w:p>
            <w:pPr>
              <w:adjustRightInd w:val="0"/>
              <w:snapToGrid w:val="0"/>
              <w:jc w:val="center"/>
              <w:rPr>
                <w:bCs/>
                <w:szCs w:val="21"/>
              </w:rPr>
            </w:pPr>
            <w:r>
              <w:rPr>
                <w:bCs/>
                <w:szCs w:val="21"/>
              </w:rPr>
              <w:t>本项目情况</w:t>
            </w:r>
          </w:p>
        </w:tc>
        <w:tc>
          <w:tcPr>
            <w:tcW w:w="915" w:type="dxa"/>
            <w:vAlign w:val="center"/>
          </w:tcPr>
          <w:p>
            <w:pPr>
              <w:adjustRightInd w:val="0"/>
              <w:snapToGrid w:val="0"/>
              <w:jc w:val="center"/>
              <w:rPr>
                <w:bCs/>
                <w:szCs w:val="21"/>
              </w:rPr>
            </w:pPr>
            <w:r>
              <w:rPr>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adjustRightInd w:val="0"/>
              <w:snapToGrid w:val="0"/>
              <w:jc w:val="center"/>
              <w:rPr>
                <w:bCs/>
                <w:szCs w:val="21"/>
              </w:rPr>
            </w:pPr>
            <w:r>
              <w:rPr>
                <w:bCs/>
                <w:szCs w:val="21"/>
              </w:rPr>
              <w:t>产业政策</w:t>
            </w:r>
          </w:p>
        </w:tc>
        <w:tc>
          <w:tcPr>
            <w:tcW w:w="4114" w:type="dxa"/>
            <w:vAlign w:val="center"/>
          </w:tcPr>
          <w:p>
            <w:pPr>
              <w:adjustRightInd w:val="0"/>
              <w:snapToGrid w:val="0"/>
              <w:jc w:val="center"/>
              <w:rPr>
                <w:bCs/>
                <w:szCs w:val="21"/>
              </w:rPr>
            </w:pPr>
            <w:r>
              <w:rPr>
                <w:bCs/>
                <w:szCs w:val="21"/>
              </w:rPr>
              <w:t>必须符合《废塑料综合利用行业规范条件》</w:t>
            </w:r>
          </w:p>
        </w:tc>
        <w:tc>
          <w:tcPr>
            <w:tcW w:w="2625" w:type="dxa"/>
            <w:vAlign w:val="center"/>
          </w:tcPr>
          <w:p>
            <w:pPr>
              <w:adjustRightInd w:val="0"/>
              <w:snapToGrid w:val="0"/>
              <w:jc w:val="center"/>
              <w:rPr>
                <w:bCs/>
                <w:szCs w:val="21"/>
              </w:rPr>
            </w:pPr>
            <w:r>
              <w:rPr>
                <w:bCs/>
                <w:szCs w:val="21"/>
              </w:rPr>
              <w:t>详见表</w:t>
            </w:r>
            <w:r>
              <w:rPr>
                <w:rFonts w:hint="eastAsia"/>
                <w:bCs/>
                <w:szCs w:val="21"/>
              </w:rPr>
              <w:t>1.3</w:t>
            </w:r>
            <w:r>
              <w:rPr>
                <w:bCs/>
                <w:szCs w:val="21"/>
              </w:rPr>
              <w:t>-1分析</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adjustRightInd w:val="0"/>
              <w:snapToGrid w:val="0"/>
              <w:jc w:val="center"/>
              <w:rPr>
                <w:bCs/>
                <w:szCs w:val="21"/>
              </w:rPr>
            </w:pPr>
            <w:r>
              <w:rPr>
                <w:bCs/>
                <w:szCs w:val="21"/>
              </w:rPr>
              <w:t>选址要求</w:t>
            </w:r>
          </w:p>
        </w:tc>
        <w:tc>
          <w:tcPr>
            <w:tcW w:w="4114" w:type="dxa"/>
            <w:vAlign w:val="center"/>
          </w:tcPr>
          <w:p>
            <w:pPr>
              <w:adjustRightInd w:val="0"/>
              <w:snapToGrid w:val="0"/>
              <w:jc w:val="center"/>
              <w:rPr>
                <w:bCs/>
                <w:szCs w:val="21"/>
              </w:rPr>
            </w:pPr>
            <w:r>
              <w:rPr>
                <w:bCs/>
                <w:szCs w:val="21"/>
              </w:rPr>
              <w:t>新建和改扩建废塑料再生利用项目必须严格执行生态环境保护法律法规和环境影响评价制度，未经有审批权生态环境行政主管部门审批，不得建设和组织生产</w:t>
            </w:r>
          </w:p>
        </w:tc>
        <w:tc>
          <w:tcPr>
            <w:tcW w:w="2625" w:type="dxa"/>
            <w:vAlign w:val="center"/>
          </w:tcPr>
          <w:p>
            <w:pPr>
              <w:adjustRightInd w:val="0"/>
              <w:snapToGrid w:val="0"/>
              <w:jc w:val="center"/>
              <w:rPr>
                <w:bCs/>
                <w:szCs w:val="21"/>
              </w:rPr>
            </w:pPr>
            <w:r>
              <w:rPr>
                <w:rFonts w:hint="eastAsia"/>
                <w:bCs/>
                <w:szCs w:val="21"/>
              </w:rPr>
              <w:t>本项目按照</w:t>
            </w:r>
            <w:r>
              <w:rPr>
                <w:bCs/>
                <w:szCs w:val="21"/>
              </w:rPr>
              <w:t xml:space="preserve">相关要求编制环评 </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bCs/>
                <w:szCs w:val="21"/>
              </w:rPr>
              <w:t>在各级人民政府依法设立的工业区以外进行项目建设的，不得占用农用地，且不得在</w:t>
            </w:r>
            <w:r>
              <w:rPr>
                <w:rFonts w:hint="eastAsia"/>
                <w:bCs/>
                <w:szCs w:val="21"/>
              </w:rPr>
              <w:t>城乡</w:t>
            </w:r>
            <w:r>
              <w:rPr>
                <w:bCs/>
                <w:szCs w:val="21"/>
              </w:rPr>
              <w:t>规划区边界外</w:t>
            </w:r>
            <w:r>
              <w:rPr>
                <w:rFonts w:hint="eastAsia"/>
                <w:bCs/>
                <w:szCs w:val="21"/>
              </w:rPr>
              <w:t>5公里</w:t>
            </w:r>
            <w:r>
              <w:rPr>
                <w:bCs/>
                <w:szCs w:val="21"/>
              </w:rPr>
              <w:t>以内，区控重点河流两岸、高速公路、铁路干线及重要地下管网及其他需严防污染的食品、药品等企业周边1000米以内建设；禁止在生态保护红线内新建废塑料再生利用企业。已在上述区域内开工建设、投产运营的废塑料再生利用项目和企业，要通过搬迁、转产等方式逐步退出。</w:t>
            </w:r>
          </w:p>
        </w:tc>
        <w:tc>
          <w:tcPr>
            <w:tcW w:w="2625" w:type="dxa"/>
            <w:vAlign w:val="center"/>
          </w:tcPr>
          <w:p>
            <w:pPr>
              <w:adjustRightInd w:val="0"/>
              <w:snapToGrid w:val="0"/>
              <w:jc w:val="center"/>
              <w:rPr>
                <w:bCs/>
                <w:szCs w:val="21"/>
              </w:rPr>
            </w:pPr>
            <w:r>
              <w:rPr>
                <w:rFonts w:hint="eastAsia"/>
                <w:bCs/>
                <w:szCs w:val="21"/>
              </w:rPr>
              <w:t>本项目建设地点在昌吉国家农业科技园区示范区昌吉市昊慧盛塑料制品厂区内，属于工业区外，项目占地属于工业用地，不占用农用地，项目距离最近的乡镇佃坝镇10km，不在生态保护红线范围内，周边1000m范围内无区控重点河流、高速公路、铁路干线及重要地下管网以及其他需严防污染的食品、药品等企业</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adjustRightInd w:val="0"/>
              <w:snapToGrid w:val="0"/>
              <w:jc w:val="center"/>
              <w:rPr>
                <w:bCs/>
                <w:szCs w:val="21"/>
              </w:rPr>
            </w:pPr>
            <w:r>
              <w:rPr>
                <w:bCs/>
                <w:szCs w:val="21"/>
              </w:rPr>
              <w:t>污染防治要求</w:t>
            </w:r>
          </w:p>
        </w:tc>
        <w:tc>
          <w:tcPr>
            <w:tcW w:w="4114" w:type="dxa"/>
            <w:vAlign w:val="center"/>
          </w:tcPr>
          <w:p>
            <w:pPr>
              <w:adjustRightInd w:val="0"/>
              <w:snapToGrid w:val="0"/>
              <w:jc w:val="center"/>
              <w:rPr>
                <w:bCs/>
                <w:szCs w:val="21"/>
              </w:rPr>
            </w:pPr>
            <w:r>
              <w:rPr>
                <w:bCs/>
                <w:szCs w:val="21"/>
              </w:rPr>
              <w:t>废塑料再生利用项目和生产企业必须建有围墙并按功能划分厂区，包括管理区、原料贮存区、生产区、产品贮存区、污染控制区(包括不可利用的废物的贮存和处理区)。所有功能区必须有封闭或半封闭设施，必须设置防风、防雨、防渗、防火措施，并符合消防安全要求。</w:t>
            </w:r>
          </w:p>
        </w:tc>
        <w:tc>
          <w:tcPr>
            <w:tcW w:w="2625" w:type="dxa"/>
            <w:vAlign w:val="center"/>
          </w:tcPr>
          <w:p>
            <w:pPr>
              <w:adjustRightInd w:val="0"/>
              <w:snapToGrid w:val="0"/>
              <w:jc w:val="center"/>
              <w:rPr>
                <w:bCs/>
                <w:szCs w:val="21"/>
              </w:rPr>
            </w:pPr>
            <w:r>
              <w:rPr>
                <w:bCs/>
                <w:szCs w:val="21"/>
              </w:rPr>
              <w:t>项目设置</w:t>
            </w:r>
            <w:r>
              <w:rPr>
                <w:rFonts w:hint="eastAsia"/>
                <w:bCs/>
                <w:szCs w:val="21"/>
              </w:rPr>
              <w:t>有围墙</w:t>
            </w:r>
            <w:r>
              <w:rPr>
                <w:bCs/>
                <w:szCs w:val="21"/>
              </w:rPr>
              <w:t>，厂区按功能划分为生活区、生产区、产品贮存区，项目生产区均为全封闭的厂房，原料堆场地面硬化，原料采用篷布遮盖，设置有防风、防雨、防渗、防火措施，符合消防安全要求。</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bCs/>
                <w:szCs w:val="21"/>
              </w:rPr>
              <w:t>废塑料再生利用项目应按照《废塑料污染控制技术规范（试行）》进行污染控制，各污染物排放须达到《合成树脂工业污染物排放标准》（GB31572）。如国家或自治区出台新的废塑料回收与再生利用方面的相关标准，从其规定。</w:t>
            </w:r>
          </w:p>
        </w:tc>
        <w:tc>
          <w:tcPr>
            <w:tcW w:w="2625" w:type="dxa"/>
            <w:vAlign w:val="center"/>
          </w:tcPr>
          <w:p>
            <w:pPr>
              <w:adjustRightInd w:val="0"/>
              <w:snapToGrid w:val="0"/>
              <w:jc w:val="center"/>
              <w:rPr>
                <w:bCs/>
                <w:szCs w:val="21"/>
              </w:rPr>
            </w:pPr>
            <w:r>
              <w:rPr>
                <w:bCs/>
                <w:szCs w:val="21"/>
              </w:rPr>
              <w:t>详见表</w:t>
            </w:r>
            <w:r>
              <w:rPr>
                <w:rFonts w:hint="eastAsia"/>
                <w:bCs/>
                <w:szCs w:val="21"/>
              </w:rPr>
              <w:t>1.3-1</w:t>
            </w:r>
            <w:r>
              <w:rPr>
                <w:bCs/>
                <w:szCs w:val="21"/>
              </w:rPr>
              <w:t>分析</w:t>
            </w:r>
          </w:p>
        </w:tc>
        <w:tc>
          <w:tcPr>
            <w:tcW w:w="915" w:type="dxa"/>
            <w:vAlign w:val="center"/>
          </w:tcPr>
          <w:p>
            <w:pPr>
              <w:adjustRightInd w:val="0"/>
              <w:snapToGrid w:val="0"/>
              <w:jc w:val="center"/>
              <w:rPr>
                <w:bCs/>
                <w:szCs w:val="21"/>
              </w:rPr>
            </w:pPr>
            <w:r>
              <w:rPr>
                <w:bCs/>
                <w:szCs w:val="21"/>
              </w:rPr>
              <w:t>符合</w:t>
            </w:r>
          </w:p>
        </w:tc>
      </w:tr>
    </w:tbl>
    <w:p>
      <w:pPr>
        <w:spacing w:line="460" w:lineRule="exact"/>
        <w:ind w:firstLine="480" w:firstLineChars="200"/>
        <w:rPr>
          <w:sz w:val="24"/>
          <w:lang w:bidi="en-US"/>
        </w:rPr>
      </w:pPr>
      <w:r>
        <w:rPr>
          <w:sz w:val="24"/>
          <w:lang w:bidi="en-US"/>
        </w:rPr>
        <w:t>根据上表分析，本项目符合自治区生态环境厅《关于促进全区废旧塑料再生利用行业有序发展的指导意见》（新环环评发〔2020〕5号）要求。</w:t>
      </w:r>
    </w:p>
    <w:p>
      <w:pPr>
        <w:spacing w:line="460" w:lineRule="exact"/>
        <w:ind w:firstLine="480" w:firstLineChars="200"/>
        <w:rPr>
          <w:sz w:val="24"/>
          <w:lang w:bidi="en-US"/>
        </w:rPr>
      </w:pPr>
      <w:r>
        <w:rPr>
          <w:sz w:val="24"/>
          <w:lang w:bidi="en-US"/>
        </w:rPr>
        <w:t>11</w:t>
      </w:r>
      <w:r>
        <w:rPr>
          <w:rFonts w:hint="eastAsia"/>
          <w:sz w:val="24"/>
          <w:lang w:bidi="en-US"/>
        </w:rPr>
        <w:t>、与《国务院关于印发“十四五”节能减排综合工作方案的通知》（国发〔2021〕33号）符合性分析</w:t>
      </w:r>
    </w:p>
    <w:p>
      <w:pPr>
        <w:spacing w:line="460" w:lineRule="exact"/>
        <w:ind w:firstLine="480" w:firstLineChars="200"/>
        <w:rPr>
          <w:sz w:val="24"/>
          <w:lang w:bidi="en-US"/>
        </w:rPr>
      </w:pPr>
      <w:r>
        <w:rPr>
          <w:rFonts w:hint="eastAsia"/>
          <w:sz w:val="24"/>
          <w:lang w:bidi="en-US"/>
        </w:rPr>
        <w:t>根据</w:t>
      </w:r>
      <w:bookmarkStart w:id="21" w:name="_Hlk166149010"/>
      <w:r>
        <w:rPr>
          <w:rFonts w:hint="eastAsia"/>
          <w:sz w:val="24"/>
          <w:lang w:bidi="en-US"/>
        </w:rPr>
        <w:t>《国务院关于印发“十四五”节能减排综合工作方案的通知》（国发〔2021〕33号）</w:t>
      </w:r>
      <w:bookmarkEnd w:id="21"/>
      <w:r>
        <w:rPr>
          <w:rFonts w:hint="eastAsia"/>
          <w:sz w:val="24"/>
          <w:lang w:bidi="en-US"/>
        </w:rPr>
        <w:t>要求：（九）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本项目为废旧塑料再生利用项目，项目生产过程不涉及上述油墨、熔剂、涂料以及易挥发有机液体等物流，本项目生产过程挥发性有机物主要为废旧塑料再生造粒过程以及产品滴灌带、PE管熔融挤出过程产生，项目针对废气产生点设置有集气设施收集后设置活性炭吸附+催化燃烧（CO）处置措施净化后排放，可有效减少有机废气外排，综合分析，项目建设符合《国务院关于印发“十四五”节能减排综合工作方案的通知》（国发〔2021〕33号）相关要求。</w:t>
      </w:r>
    </w:p>
    <w:p>
      <w:pPr>
        <w:spacing w:line="480" w:lineRule="exact"/>
        <w:ind w:firstLine="480" w:firstLineChars="200"/>
        <w:rPr>
          <w:bCs/>
          <w:sz w:val="24"/>
          <w:lang w:bidi="en-US"/>
        </w:rPr>
      </w:pPr>
      <w:r>
        <w:rPr>
          <w:bCs/>
          <w:sz w:val="24"/>
          <w:lang w:bidi="en-US"/>
        </w:rPr>
        <w:t>12</w:t>
      </w:r>
      <w:r>
        <w:rPr>
          <w:rFonts w:hint="eastAsia"/>
          <w:bCs/>
          <w:sz w:val="24"/>
          <w:lang w:bidi="en-US"/>
        </w:rPr>
        <w:t>、与《关于扎实推进塑料污染治理工作的通知》（发改环资〔2</w:t>
      </w:r>
      <w:r>
        <w:rPr>
          <w:bCs/>
          <w:sz w:val="24"/>
          <w:lang w:bidi="en-US"/>
        </w:rPr>
        <w:t>020</w:t>
      </w:r>
      <w:r>
        <w:rPr>
          <w:rFonts w:hint="eastAsia"/>
          <w:bCs/>
          <w:sz w:val="24"/>
          <w:lang w:bidi="en-US"/>
        </w:rPr>
        <w:t>〕1</w:t>
      </w:r>
      <w:r>
        <w:rPr>
          <w:bCs/>
          <w:sz w:val="24"/>
          <w:lang w:bidi="en-US"/>
        </w:rPr>
        <w:t>146</w:t>
      </w:r>
      <w:r>
        <w:rPr>
          <w:rFonts w:hint="eastAsia"/>
          <w:bCs/>
          <w:sz w:val="24"/>
          <w:lang w:bidi="en-US"/>
        </w:rPr>
        <w:t>号）符合性分析</w:t>
      </w:r>
    </w:p>
    <w:p>
      <w:pPr>
        <w:adjustRightInd w:val="0"/>
        <w:snapToGrid w:val="0"/>
        <w:ind w:firstLine="420" w:firstLineChars="200"/>
        <w:rPr>
          <w:rFonts w:eastAsia="黑体"/>
        </w:rPr>
      </w:pPr>
      <w:r>
        <w:rPr>
          <w:rFonts w:hint="eastAsia" w:eastAsia="黑体"/>
        </w:rPr>
        <w:t>表</w:t>
      </w:r>
      <w:r>
        <w:rPr>
          <w:rFonts w:hint="eastAsia" w:eastAsia="黑体"/>
          <w:lang w:bidi="en-US"/>
        </w:rPr>
        <w:t>1.3</w:t>
      </w:r>
      <w:r>
        <w:rPr>
          <w:rFonts w:eastAsia="黑体"/>
        </w:rPr>
        <w:t>-</w:t>
      </w:r>
      <w:r>
        <w:rPr>
          <w:rFonts w:hint="eastAsia" w:eastAsia="黑体"/>
        </w:rPr>
        <w:t>9</w:t>
      </w:r>
      <w:r>
        <w:rPr>
          <w:rFonts w:eastAsia="黑体"/>
        </w:rPr>
        <w:t xml:space="preserve">       </w:t>
      </w:r>
      <w:r>
        <w:rPr>
          <w:rFonts w:hint="eastAsia" w:eastAsia="黑体"/>
          <w:bCs/>
          <w:lang w:bidi="en-US"/>
        </w:rPr>
        <w:t>与《关于扎实推进塑料污染治理工作的通知》符合性分析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3071"/>
        <w:gridCol w:w="1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pct"/>
            <w:vAlign w:val="center"/>
          </w:tcPr>
          <w:p>
            <w:pPr>
              <w:adjustRightInd w:val="0"/>
              <w:snapToGrid w:val="0"/>
              <w:jc w:val="center"/>
              <w:rPr>
                <w:bCs/>
                <w:kern w:val="0"/>
                <w:szCs w:val="21"/>
              </w:rPr>
            </w:pPr>
            <w:r>
              <w:rPr>
                <w:rFonts w:hint="eastAsia"/>
                <w:bCs/>
                <w:szCs w:val="21"/>
              </w:rPr>
              <w:t>具体要求</w:t>
            </w:r>
          </w:p>
        </w:tc>
        <w:tc>
          <w:tcPr>
            <w:tcW w:w="1820" w:type="pct"/>
            <w:vAlign w:val="center"/>
          </w:tcPr>
          <w:p>
            <w:pPr>
              <w:adjustRightInd w:val="0"/>
              <w:snapToGrid w:val="0"/>
              <w:jc w:val="center"/>
              <w:rPr>
                <w:bCs/>
                <w:kern w:val="0"/>
                <w:szCs w:val="21"/>
              </w:rPr>
            </w:pPr>
            <w:r>
              <w:rPr>
                <w:rFonts w:hint="eastAsia"/>
                <w:bCs/>
                <w:szCs w:val="21"/>
              </w:rPr>
              <w:t>本项目情况</w:t>
            </w:r>
          </w:p>
        </w:tc>
        <w:tc>
          <w:tcPr>
            <w:tcW w:w="604" w:type="pct"/>
            <w:vAlign w:val="center"/>
          </w:tcPr>
          <w:p>
            <w:pPr>
              <w:adjustRightInd w:val="0"/>
              <w:snapToGrid w:val="0"/>
              <w:jc w:val="center"/>
              <w:rPr>
                <w:bCs/>
                <w:kern w:val="0"/>
                <w:szCs w:val="21"/>
              </w:rPr>
            </w:pPr>
            <w:r>
              <w:rPr>
                <w:rFonts w:hint="eastAsia"/>
                <w:bCs/>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pct"/>
            <w:vAlign w:val="center"/>
          </w:tcPr>
          <w:p>
            <w:pPr>
              <w:snapToGrid w:val="0"/>
              <w:jc w:val="center"/>
              <w:rPr>
                <w:bCs/>
                <w:kern w:val="0"/>
                <w:szCs w:val="21"/>
              </w:rPr>
            </w:pPr>
            <w:r>
              <w:rPr>
                <w:rFonts w:hint="eastAsia"/>
                <w:bCs/>
                <w:kern w:val="0"/>
                <w:szCs w:val="21"/>
              </w:rPr>
              <w:t>推进农膜治理。各地农业农村部门要加强与供销合作社协作，组织开展以旧换新、经营主体上交、专业化组织回收等，推进农膜生产者责任延伸制度试点，推进农膜回收示范县建设，健全废旧农膜回收利用体系。各地农业农村部门要会同相关部门对市场销售的农膜加强抽检抽查，将厚度小于</w:t>
            </w:r>
            <w:r>
              <w:rPr>
                <w:bCs/>
                <w:kern w:val="0"/>
                <w:szCs w:val="21"/>
              </w:rPr>
              <w:t xml:space="preserve">0.01 </w:t>
            </w:r>
            <w:r>
              <w:rPr>
                <w:rFonts w:hint="eastAsia"/>
                <w:bCs/>
                <w:kern w:val="0"/>
                <w:szCs w:val="21"/>
              </w:rPr>
              <w:t>毫米的聚乙烯农用地膜、违规用于农田覆盖的包装类塑料薄膜等纳入农资打假行动。</w:t>
            </w:r>
          </w:p>
        </w:tc>
        <w:tc>
          <w:tcPr>
            <w:tcW w:w="1820" w:type="pct"/>
            <w:vAlign w:val="center"/>
          </w:tcPr>
          <w:p>
            <w:pPr>
              <w:adjustRightInd w:val="0"/>
              <w:snapToGrid w:val="0"/>
              <w:jc w:val="center"/>
              <w:rPr>
                <w:bCs/>
                <w:kern w:val="0"/>
                <w:szCs w:val="21"/>
              </w:rPr>
            </w:pPr>
            <w:r>
              <w:rPr>
                <w:rFonts w:hint="eastAsia"/>
                <w:bCs/>
                <w:kern w:val="0"/>
                <w:szCs w:val="21"/>
                <w:lang w:bidi="en-US"/>
              </w:rPr>
              <w:t>本项目回收废旧滴灌带、废旧塑料膜进行造粒，生产滴灌带及PE管</w:t>
            </w:r>
          </w:p>
        </w:tc>
        <w:tc>
          <w:tcPr>
            <w:tcW w:w="604" w:type="pct"/>
            <w:vAlign w:val="center"/>
          </w:tcPr>
          <w:p>
            <w:pPr>
              <w:adjustRightInd w:val="0"/>
              <w:snapToGrid w:val="0"/>
              <w:jc w:val="center"/>
              <w:rPr>
                <w:bCs/>
                <w:kern w:val="0"/>
                <w:szCs w:val="21"/>
              </w:rPr>
            </w:pPr>
            <w:r>
              <w:rPr>
                <w:rFonts w:hint="eastAsia"/>
                <w:bCs/>
                <w:szCs w:val="21"/>
              </w:rPr>
              <w:t>符合</w:t>
            </w:r>
          </w:p>
        </w:tc>
      </w:tr>
    </w:tbl>
    <w:p>
      <w:pPr>
        <w:spacing w:line="460" w:lineRule="exact"/>
        <w:ind w:firstLine="480" w:firstLineChars="200"/>
        <w:rPr>
          <w:sz w:val="24"/>
          <w:lang w:bidi="en-US"/>
        </w:rPr>
      </w:pPr>
      <w:r>
        <w:rPr>
          <w:rFonts w:hint="eastAsia"/>
          <w:sz w:val="24"/>
          <w:lang w:bidi="en-US"/>
        </w:rPr>
        <w:t>根据分析，本项目符合《关于扎实推进塑料污染治理工作的通知》（发改环资〔2020〕1146号）。</w:t>
      </w:r>
    </w:p>
    <w:p>
      <w:pPr>
        <w:spacing w:line="460" w:lineRule="exact"/>
        <w:ind w:firstLine="480" w:firstLineChars="200"/>
        <w:rPr>
          <w:sz w:val="24"/>
          <w:lang w:bidi="en-US"/>
        </w:rPr>
      </w:pPr>
      <w:r>
        <w:rPr>
          <w:rFonts w:hint="eastAsia"/>
          <w:sz w:val="24"/>
          <w:lang w:bidi="en-US"/>
        </w:rPr>
        <w:t>13、与</w:t>
      </w:r>
      <w:r>
        <w:rPr>
          <w:sz w:val="24"/>
          <w:lang w:bidi="en-US"/>
        </w:rPr>
        <w:t>《国家发展改革委生态环境部关于印发</w:t>
      </w:r>
      <w:r>
        <w:rPr>
          <w:rFonts w:hint="eastAsia"/>
          <w:sz w:val="24"/>
          <w:lang w:bidi="en-US"/>
        </w:rPr>
        <w:t>“</w:t>
      </w:r>
      <w:r>
        <w:rPr>
          <w:sz w:val="24"/>
          <w:lang w:bidi="en-US"/>
        </w:rPr>
        <w:t>十四五</w:t>
      </w:r>
      <w:r>
        <w:rPr>
          <w:rFonts w:hint="eastAsia"/>
          <w:sz w:val="24"/>
          <w:lang w:bidi="en-US"/>
        </w:rPr>
        <w:t>”</w:t>
      </w:r>
      <w:r>
        <w:rPr>
          <w:sz w:val="24"/>
          <w:lang w:bidi="en-US"/>
        </w:rPr>
        <w:t>塑料污染治理行动方案的通知》</w:t>
      </w:r>
      <w:r>
        <w:rPr>
          <w:rFonts w:hint="eastAsia"/>
          <w:sz w:val="24"/>
          <w:lang w:bidi="en-US"/>
        </w:rPr>
        <w:t>符合性分析</w:t>
      </w:r>
    </w:p>
    <w:p>
      <w:pPr>
        <w:spacing w:line="460" w:lineRule="exact"/>
        <w:ind w:firstLine="480" w:firstLineChars="200"/>
        <w:rPr>
          <w:sz w:val="24"/>
          <w:lang w:bidi="en-US"/>
        </w:rPr>
      </w:pPr>
      <w:r>
        <w:rPr>
          <w:sz w:val="24"/>
          <w:lang w:bidi="en-US"/>
        </w:rPr>
        <w:t>根据</w:t>
      </w:r>
      <w:r>
        <w:rPr>
          <w:rFonts w:hint="eastAsia"/>
          <w:sz w:val="24"/>
          <w:lang w:bidi="en-US"/>
        </w:rPr>
        <w:t>《</w:t>
      </w:r>
      <w:r>
        <w:rPr>
          <w:sz w:val="24"/>
          <w:lang w:bidi="en-US"/>
        </w:rPr>
        <w:t>国家发展改革委生态环境部关于印发</w:t>
      </w:r>
      <w:r>
        <w:rPr>
          <w:rFonts w:hint="eastAsia"/>
          <w:sz w:val="24"/>
          <w:lang w:bidi="en-US"/>
        </w:rPr>
        <w:t>“</w:t>
      </w:r>
      <w:r>
        <w:rPr>
          <w:sz w:val="24"/>
          <w:lang w:bidi="en-US"/>
        </w:rPr>
        <w:t>十四五</w:t>
      </w:r>
      <w:r>
        <w:rPr>
          <w:rFonts w:hint="eastAsia"/>
          <w:sz w:val="24"/>
          <w:lang w:bidi="en-US"/>
        </w:rPr>
        <w:t>”</w:t>
      </w:r>
      <w:r>
        <w:rPr>
          <w:sz w:val="24"/>
          <w:lang w:bidi="en-US"/>
        </w:rPr>
        <w:t>塑料污染治理行动方案的通知</w:t>
      </w:r>
      <w:r>
        <w:rPr>
          <w:rFonts w:hint="eastAsia"/>
          <w:sz w:val="24"/>
          <w:lang w:bidi="en-US"/>
        </w:rPr>
        <w:t>》</w:t>
      </w:r>
      <w:r>
        <w:rPr>
          <w:sz w:val="24"/>
          <w:lang w:bidi="en-US"/>
        </w:rPr>
        <w:t>（</w:t>
      </w:r>
      <w:r>
        <w:rPr>
          <w:rFonts w:hint="eastAsia"/>
          <w:sz w:val="24"/>
          <w:lang w:bidi="en-US"/>
        </w:rPr>
        <w:t>发改环资〔</w:t>
      </w:r>
      <w:r>
        <w:rPr>
          <w:sz w:val="24"/>
          <w:lang w:bidi="en-US"/>
        </w:rPr>
        <w:t>2021</w:t>
      </w:r>
      <w:r>
        <w:rPr>
          <w:rFonts w:hint="eastAsia"/>
          <w:sz w:val="24"/>
          <w:lang w:bidi="en-US"/>
        </w:rPr>
        <w:t>〕</w:t>
      </w:r>
      <w:r>
        <w:rPr>
          <w:sz w:val="24"/>
          <w:lang w:bidi="en-US"/>
        </w:rPr>
        <w:t xml:space="preserve">1298 </w:t>
      </w:r>
      <w:r>
        <w:rPr>
          <w:rFonts w:hint="eastAsia"/>
          <w:sz w:val="24"/>
          <w:lang w:bidi="en-US"/>
        </w:rPr>
        <w:t>号</w:t>
      </w:r>
      <w:r>
        <w:rPr>
          <w:sz w:val="24"/>
          <w:lang w:bidi="en-US"/>
        </w:rPr>
        <w:t>）要求，本项目建设与其符合性分析见表</w:t>
      </w:r>
      <w:r>
        <w:rPr>
          <w:rFonts w:hint="eastAsia"/>
          <w:sz w:val="24"/>
          <w:lang w:bidi="en-US"/>
        </w:rPr>
        <w:t>1.3-10</w:t>
      </w:r>
      <w:r>
        <w:rPr>
          <w:sz w:val="24"/>
          <w:lang w:bidi="en-US"/>
        </w:rPr>
        <w:t>。</w:t>
      </w:r>
    </w:p>
    <w:p>
      <w:pPr>
        <w:adjustRightInd w:val="0"/>
        <w:snapToGrid w:val="0"/>
        <w:ind w:firstLine="420" w:firstLineChars="200"/>
        <w:rPr>
          <w:rFonts w:eastAsia="黑体"/>
          <w:bCs/>
          <w:lang w:bidi="en-US"/>
        </w:rPr>
      </w:pPr>
      <w:r>
        <w:rPr>
          <w:rFonts w:eastAsia="黑体"/>
          <w:bCs/>
          <w:lang w:bidi="en-US"/>
        </w:rPr>
        <w:t>表</w:t>
      </w:r>
      <w:r>
        <w:rPr>
          <w:rFonts w:hint="eastAsia" w:eastAsia="黑体"/>
          <w:bCs/>
          <w:lang w:bidi="en-US"/>
        </w:rPr>
        <w:t>1.3-10</w:t>
      </w:r>
      <w:r>
        <w:rPr>
          <w:rFonts w:eastAsia="黑体"/>
          <w:bCs/>
          <w:lang w:bidi="en-US"/>
        </w:rPr>
        <w:t xml:space="preserve">  与《国家发展改革委生态环境部关于印发</w:t>
      </w:r>
      <w:r>
        <w:rPr>
          <w:rFonts w:hint="eastAsia" w:eastAsia="黑体"/>
          <w:bCs/>
          <w:lang w:bidi="en-US"/>
        </w:rPr>
        <w:t>“</w:t>
      </w:r>
      <w:r>
        <w:rPr>
          <w:rFonts w:eastAsia="黑体"/>
          <w:bCs/>
          <w:lang w:bidi="en-US"/>
        </w:rPr>
        <w:t>十四五</w:t>
      </w:r>
      <w:r>
        <w:rPr>
          <w:rFonts w:hint="eastAsia" w:eastAsia="黑体"/>
          <w:bCs/>
          <w:lang w:bidi="en-US"/>
        </w:rPr>
        <w:t>”</w:t>
      </w:r>
      <w:r>
        <w:rPr>
          <w:rFonts w:eastAsia="黑体"/>
          <w:bCs/>
          <w:lang w:bidi="en-US"/>
        </w:rPr>
        <w:t>塑料污染治理行动方案的通知》符合性分析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58"/>
        <w:gridCol w:w="1669"/>
        <w:gridCol w:w="10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3" w:type="pct"/>
            <w:vAlign w:val="center"/>
          </w:tcPr>
          <w:p>
            <w:pPr>
              <w:snapToGrid w:val="0"/>
              <w:jc w:val="center"/>
              <w:rPr>
                <w:bCs/>
                <w:kern w:val="0"/>
                <w:szCs w:val="21"/>
              </w:rPr>
            </w:pPr>
            <w:r>
              <w:rPr>
                <w:rFonts w:hint="eastAsia"/>
                <w:bCs/>
                <w:kern w:val="0"/>
                <w:szCs w:val="21"/>
              </w:rPr>
              <w:t>文件要求</w:t>
            </w:r>
          </w:p>
        </w:tc>
        <w:tc>
          <w:tcPr>
            <w:tcW w:w="989" w:type="pct"/>
            <w:vAlign w:val="center"/>
          </w:tcPr>
          <w:p>
            <w:pPr>
              <w:snapToGrid w:val="0"/>
              <w:jc w:val="center"/>
              <w:rPr>
                <w:bCs/>
                <w:kern w:val="0"/>
                <w:szCs w:val="21"/>
              </w:rPr>
            </w:pPr>
            <w:r>
              <w:rPr>
                <w:bCs/>
                <w:kern w:val="0"/>
                <w:szCs w:val="21"/>
              </w:rPr>
              <w:t>本项目情况</w:t>
            </w:r>
          </w:p>
        </w:tc>
        <w:tc>
          <w:tcPr>
            <w:tcW w:w="598"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3" w:type="pct"/>
            <w:vAlign w:val="center"/>
          </w:tcPr>
          <w:p>
            <w:pPr>
              <w:snapToGrid w:val="0"/>
              <w:jc w:val="center"/>
              <w:rPr>
                <w:bCs/>
                <w:kern w:val="0"/>
                <w:szCs w:val="21"/>
              </w:rPr>
            </w:pPr>
            <w:r>
              <w:rPr>
                <w:rFonts w:hint="eastAsia"/>
                <w:bCs/>
                <w:kern w:val="0"/>
                <w:szCs w:val="21"/>
              </w:rPr>
              <w:t>坚持以习近平新时代中国特色社会主义思想为指导，全面贯彻党的十九大和十九届二中、三中、四中、五中全会精神，深入贯彻习近平生态文明思想，进一步完善塑料污染全链条治理体系，压实地方、部门和企业责任，聚焦重点环节、重点领域、重点区域，积极推动塑料生产和使用源头减量、科学稳妥推广塑料替代产品，加快推进塑料废弃物规范回收利用，着力提升塑料垃圾末端安全处置水平，大力开展塑料垃圾专项清理整治，大幅减少塑料垃圾填埋量和环境泄漏量，推动白色污染治理取得明显成效。</w:t>
            </w:r>
          </w:p>
        </w:tc>
        <w:tc>
          <w:tcPr>
            <w:tcW w:w="989" w:type="pct"/>
            <w:vAlign w:val="center"/>
          </w:tcPr>
          <w:p>
            <w:pPr>
              <w:snapToGrid w:val="0"/>
              <w:jc w:val="center"/>
              <w:rPr>
                <w:bCs/>
                <w:kern w:val="0"/>
                <w:szCs w:val="21"/>
              </w:rPr>
            </w:pPr>
            <w:r>
              <w:rPr>
                <w:rFonts w:hint="eastAsia"/>
                <w:bCs/>
                <w:kern w:val="0"/>
                <w:szCs w:val="21"/>
              </w:rPr>
              <w:t>本项目回收周边的废旧滴灌带及废旧塑料膜，可大幅减少塑料垃圾填埋量和环境泄漏量，推动白色污染治理</w:t>
            </w:r>
          </w:p>
        </w:tc>
        <w:tc>
          <w:tcPr>
            <w:tcW w:w="598" w:type="pct"/>
            <w:vAlign w:val="center"/>
          </w:tcPr>
          <w:p>
            <w:pPr>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3" w:type="pct"/>
            <w:vAlign w:val="center"/>
          </w:tcPr>
          <w:p>
            <w:pPr>
              <w:snapToGrid w:val="0"/>
              <w:jc w:val="center"/>
              <w:rPr>
                <w:bCs/>
                <w:kern w:val="0"/>
                <w:szCs w:val="21"/>
              </w:rPr>
            </w:pPr>
            <w:r>
              <w:rPr>
                <w:rFonts w:hint="eastAsia"/>
                <w:bCs/>
                <w:kern w:val="0"/>
                <w:szCs w:val="21"/>
              </w:rPr>
              <w:t>建立完善农村塑料废弃物收运处置体系。完善农村生活垃圾分类收集、转运和处置体系，构建稳定运行的长效机制，加强日常监督，不断提高运行管理水平。根据当地实际，统筹县、乡镇、村三级设施建设和服务，合理选择收集、转运和处置模式。深入实施农膜回收行动，继续开展农膜回收示范县建设，推广标准地膜应用，推动机械化捡拾、专业化回收和资源化利用。开展农药包装物回收行动。支持和指导种养殖大户、农业生产服务组织、再生资源回收企业等相关责任主体积极开展灌溉器具、渔网渔具、秧盘等废旧农渔物资回收利用。支持塑料废弃物再生利用项目建设，推动塑料废弃物再生利用产业规模化、规范化、清洁化发展。</w:t>
            </w:r>
          </w:p>
        </w:tc>
        <w:tc>
          <w:tcPr>
            <w:tcW w:w="989" w:type="pct"/>
            <w:vAlign w:val="center"/>
          </w:tcPr>
          <w:p>
            <w:pPr>
              <w:snapToGrid w:val="0"/>
              <w:jc w:val="center"/>
              <w:rPr>
                <w:bCs/>
                <w:kern w:val="0"/>
                <w:szCs w:val="21"/>
              </w:rPr>
            </w:pPr>
            <w:r>
              <w:rPr>
                <w:rFonts w:hint="eastAsia"/>
                <w:bCs/>
                <w:kern w:val="0"/>
                <w:szCs w:val="21"/>
              </w:rPr>
              <w:t>本项目回收周边的废旧滴灌带及废旧塑料膜，并进行破碎、造粒生产再生塑料颗粒，利用再生塑料颗粒生产滴灌带、PE管</w:t>
            </w:r>
          </w:p>
        </w:tc>
        <w:tc>
          <w:tcPr>
            <w:tcW w:w="598" w:type="pct"/>
            <w:vAlign w:val="center"/>
          </w:tcPr>
          <w:p>
            <w:pPr>
              <w:snapToGrid w:val="0"/>
              <w:jc w:val="center"/>
              <w:rPr>
                <w:bCs/>
                <w:kern w:val="0"/>
                <w:szCs w:val="21"/>
              </w:rPr>
            </w:pPr>
            <w:r>
              <w:rPr>
                <w:rFonts w:hint="eastAsia"/>
                <w:bCs/>
                <w:kern w:val="0"/>
                <w:szCs w:val="21"/>
              </w:rPr>
              <w:t>符合</w:t>
            </w:r>
          </w:p>
        </w:tc>
      </w:tr>
    </w:tbl>
    <w:p>
      <w:pPr>
        <w:spacing w:line="460" w:lineRule="exact"/>
        <w:ind w:firstLine="480" w:firstLineChars="200"/>
        <w:rPr>
          <w:sz w:val="24"/>
          <w:lang w:bidi="en-US"/>
        </w:rPr>
      </w:pPr>
      <w:r>
        <w:rPr>
          <w:rFonts w:hint="eastAsia"/>
          <w:sz w:val="24"/>
          <w:lang w:bidi="en-US"/>
        </w:rPr>
        <w:t>根据分析，本项目符合《国家发展改革委生态环境部关于印发“十四五”塑料污染治理行动方案的通知》（发改环资〔2021〕1298 号）。</w:t>
      </w:r>
    </w:p>
    <w:p>
      <w:pPr>
        <w:spacing w:line="460" w:lineRule="exact"/>
        <w:ind w:firstLine="480" w:firstLineChars="200"/>
        <w:rPr>
          <w:sz w:val="24"/>
          <w:lang w:bidi="en-US"/>
        </w:rPr>
      </w:pPr>
      <w:r>
        <w:rPr>
          <w:rFonts w:hint="eastAsia"/>
          <w:sz w:val="24"/>
          <w:lang w:bidi="en-US"/>
        </w:rPr>
        <w:t>1</w:t>
      </w:r>
      <w:r>
        <w:rPr>
          <w:sz w:val="24"/>
          <w:lang w:bidi="en-US"/>
        </w:rPr>
        <w:t>5</w:t>
      </w:r>
      <w:r>
        <w:rPr>
          <w:rFonts w:hint="eastAsia"/>
          <w:sz w:val="24"/>
          <w:lang w:bidi="en-US"/>
        </w:rPr>
        <w:t>、</w:t>
      </w:r>
      <w:bookmarkStart w:id="22" w:name="_Hlk155884602"/>
      <w:r>
        <w:rPr>
          <w:rFonts w:hint="eastAsia"/>
          <w:sz w:val="24"/>
          <w:lang w:bidi="en-US"/>
        </w:rPr>
        <w:t>与</w:t>
      </w:r>
      <w:r>
        <w:rPr>
          <w:sz w:val="24"/>
          <w:lang w:bidi="en-US"/>
        </w:rPr>
        <w:t>《</w:t>
      </w:r>
      <w:r>
        <w:rPr>
          <w:rFonts w:hint="eastAsia"/>
          <w:sz w:val="24"/>
          <w:lang w:bidi="en-US"/>
        </w:rPr>
        <w:t>挥发性有机物（</w:t>
      </w:r>
      <w:r>
        <w:rPr>
          <w:sz w:val="24"/>
          <w:lang w:bidi="en-US"/>
        </w:rPr>
        <w:t>VOCs）污染防治技术政策》</w:t>
      </w:r>
      <w:r>
        <w:rPr>
          <w:rFonts w:hint="eastAsia"/>
          <w:sz w:val="24"/>
          <w:lang w:bidi="en-US"/>
        </w:rPr>
        <w:t>符合性分析</w:t>
      </w:r>
    </w:p>
    <w:p>
      <w:pPr>
        <w:spacing w:line="460" w:lineRule="exact"/>
        <w:ind w:firstLine="480" w:firstLineChars="200"/>
        <w:rPr>
          <w:sz w:val="24"/>
          <w:lang w:bidi="en-US"/>
        </w:rPr>
      </w:pPr>
      <w:r>
        <w:rPr>
          <w:sz w:val="24"/>
          <w:lang w:bidi="en-US"/>
        </w:rPr>
        <w:t>根据</w:t>
      </w:r>
      <w:r>
        <w:rPr>
          <w:rFonts w:hint="eastAsia"/>
          <w:sz w:val="24"/>
          <w:lang w:bidi="en-US"/>
        </w:rPr>
        <w:t>《</w:t>
      </w:r>
      <w:bookmarkStart w:id="23" w:name="_Hlk152667459"/>
      <w:r>
        <w:rPr>
          <w:rFonts w:hint="eastAsia"/>
          <w:sz w:val="24"/>
          <w:lang w:bidi="en-US"/>
        </w:rPr>
        <w:t>挥发性有机物（</w:t>
      </w:r>
      <w:r>
        <w:rPr>
          <w:sz w:val="24"/>
          <w:lang w:bidi="en-US"/>
        </w:rPr>
        <w:t>VOCs）污染防治技术政策</w:t>
      </w:r>
      <w:bookmarkEnd w:id="23"/>
      <w:r>
        <w:rPr>
          <w:rFonts w:hint="eastAsia"/>
          <w:sz w:val="24"/>
          <w:lang w:bidi="en-US"/>
        </w:rPr>
        <w:t>》</w:t>
      </w:r>
      <w:r>
        <w:rPr>
          <w:sz w:val="24"/>
          <w:lang w:bidi="en-US"/>
        </w:rPr>
        <w:t>要求，本项目建设与其符合性分析见表</w:t>
      </w:r>
      <w:r>
        <w:rPr>
          <w:rFonts w:hint="eastAsia"/>
          <w:sz w:val="24"/>
          <w:lang w:bidi="en-US"/>
        </w:rPr>
        <w:t>1.3-11</w:t>
      </w:r>
      <w:r>
        <w:rPr>
          <w:sz w:val="24"/>
          <w:lang w:bidi="en-US"/>
        </w:rPr>
        <w:t>。</w:t>
      </w:r>
    </w:p>
    <w:p>
      <w:pPr>
        <w:adjustRightInd w:val="0"/>
        <w:snapToGrid w:val="0"/>
        <w:ind w:firstLine="420" w:firstLineChars="200"/>
        <w:rPr>
          <w:rFonts w:eastAsia="黑体"/>
          <w:bCs/>
          <w:lang w:bidi="en-US"/>
        </w:rPr>
      </w:pPr>
      <w:r>
        <w:rPr>
          <w:rFonts w:eastAsia="黑体"/>
          <w:bCs/>
          <w:lang w:bidi="en-US"/>
        </w:rPr>
        <w:t>表</w:t>
      </w:r>
      <w:r>
        <w:rPr>
          <w:rFonts w:hint="eastAsia" w:eastAsia="黑体"/>
          <w:bCs/>
          <w:lang w:bidi="en-US"/>
        </w:rPr>
        <w:t>1.3-11</w:t>
      </w:r>
      <w:r>
        <w:rPr>
          <w:rFonts w:eastAsia="黑体"/>
          <w:bCs/>
          <w:lang w:bidi="en-US"/>
        </w:rPr>
        <w:t xml:space="preserve">  与《</w:t>
      </w:r>
      <w:r>
        <w:rPr>
          <w:rFonts w:hint="eastAsia" w:eastAsia="黑体"/>
          <w:bCs/>
          <w:lang w:bidi="en-US"/>
        </w:rPr>
        <w:t>挥发性有机物（</w:t>
      </w:r>
      <w:r>
        <w:rPr>
          <w:rFonts w:eastAsia="黑体"/>
          <w:bCs/>
          <w:lang w:bidi="en-US"/>
        </w:rPr>
        <w:t>VOCs）污染防治技术政策》符合性分析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31"/>
        <w:gridCol w:w="3396"/>
        <w:gridCol w:w="10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9" w:type="pct"/>
            <w:vAlign w:val="center"/>
          </w:tcPr>
          <w:p>
            <w:pPr>
              <w:snapToGrid w:val="0"/>
              <w:jc w:val="center"/>
              <w:rPr>
                <w:bCs/>
                <w:kern w:val="0"/>
                <w:szCs w:val="21"/>
              </w:rPr>
            </w:pPr>
            <w:r>
              <w:rPr>
                <w:rFonts w:hint="eastAsia"/>
                <w:bCs/>
                <w:kern w:val="0"/>
                <w:szCs w:val="21"/>
              </w:rPr>
              <w:t>文件要求</w:t>
            </w:r>
          </w:p>
        </w:tc>
        <w:tc>
          <w:tcPr>
            <w:tcW w:w="2013" w:type="pct"/>
            <w:vAlign w:val="center"/>
          </w:tcPr>
          <w:p>
            <w:pPr>
              <w:snapToGrid w:val="0"/>
              <w:jc w:val="center"/>
              <w:rPr>
                <w:bCs/>
                <w:kern w:val="0"/>
                <w:szCs w:val="21"/>
              </w:rPr>
            </w:pPr>
            <w:r>
              <w:rPr>
                <w:bCs/>
                <w:kern w:val="0"/>
                <w:szCs w:val="21"/>
              </w:rPr>
              <w:t>本项目情况</w:t>
            </w:r>
          </w:p>
        </w:tc>
        <w:tc>
          <w:tcPr>
            <w:tcW w:w="598"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9" w:type="pct"/>
            <w:vAlign w:val="center"/>
          </w:tcPr>
          <w:p>
            <w:pPr>
              <w:snapToGrid w:val="0"/>
              <w:jc w:val="center"/>
              <w:rPr>
                <w:bCs/>
                <w:kern w:val="0"/>
                <w:szCs w:val="21"/>
              </w:rPr>
            </w:pPr>
            <w:r>
              <w:rPr>
                <w:rFonts w:hint="eastAsia"/>
                <w:bCs/>
                <w:kern w:val="0"/>
                <w:szCs w:val="21"/>
              </w:rPr>
              <w:t>对于含低浓度</w:t>
            </w:r>
            <w:r>
              <w:rPr>
                <w:bCs/>
                <w:kern w:val="0"/>
                <w:szCs w:val="21"/>
              </w:rPr>
              <w:t>VOCs的废气，有回收价值时可采用吸附技术、吸收技术对有机溶剂回收后达标排放；不宜回收时，可采用吸附浓缩燃烧技术、生物技术、吸收技术、等离子体技术或紫外光高级氧化技术等净化后达标排放。</w:t>
            </w:r>
          </w:p>
        </w:tc>
        <w:tc>
          <w:tcPr>
            <w:tcW w:w="2013" w:type="pct"/>
            <w:vAlign w:val="center"/>
          </w:tcPr>
          <w:p>
            <w:pPr>
              <w:snapToGrid w:val="0"/>
              <w:jc w:val="center"/>
              <w:rPr>
                <w:bCs/>
                <w:kern w:val="0"/>
                <w:szCs w:val="21"/>
              </w:rPr>
            </w:pPr>
            <w:r>
              <w:rPr>
                <w:rFonts w:hint="eastAsia"/>
                <w:bCs/>
                <w:kern w:val="0"/>
                <w:szCs w:val="21"/>
              </w:rPr>
              <w:t>本项目采取活性炭吸附脱附+催化燃烧装置，有机废气经处理后达标排放</w:t>
            </w:r>
          </w:p>
        </w:tc>
        <w:tc>
          <w:tcPr>
            <w:tcW w:w="598" w:type="pct"/>
            <w:vAlign w:val="center"/>
          </w:tcPr>
          <w:p>
            <w:pPr>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389" w:type="pct"/>
            <w:vAlign w:val="center"/>
          </w:tcPr>
          <w:p>
            <w:pPr>
              <w:snapToGrid w:val="0"/>
              <w:jc w:val="center"/>
              <w:rPr>
                <w:bCs/>
                <w:kern w:val="0"/>
                <w:szCs w:val="21"/>
              </w:rPr>
            </w:pPr>
            <w:r>
              <w:rPr>
                <w:rFonts w:hint="eastAsia"/>
                <w:bCs/>
                <w:kern w:val="0"/>
                <w:szCs w:val="21"/>
              </w:rPr>
              <w:t>对于不能再生的过滤材料、吸附剂及催化剂等净化材料，应按照国家固体废物管理的相关规定处理处置。</w:t>
            </w:r>
          </w:p>
        </w:tc>
        <w:tc>
          <w:tcPr>
            <w:tcW w:w="2013" w:type="pct"/>
            <w:vAlign w:val="center"/>
          </w:tcPr>
          <w:p>
            <w:pPr>
              <w:snapToGrid w:val="0"/>
              <w:jc w:val="center"/>
              <w:rPr>
                <w:bCs/>
                <w:kern w:val="0"/>
                <w:szCs w:val="21"/>
              </w:rPr>
            </w:pPr>
            <w:r>
              <w:rPr>
                <w:rFonts w:hint="eastAsia"/>
                <w:bCs/>
                <w:kern w:val="0"/>
                <w:szCs w:val="21"/>
              </w:rPr>
              <w:t>本项目废气处理设施产生的废活性炭、废催化剂暂存于危废暂存间，委托有资质的单位进行处置</w:t>
            </w:r>
          </w:p>
        </w:tc>
        <w:tc>
          <w:tcPr>
            <w:tcW w:w="598" w:type="pct"/>
            <w:vAlign w:val="center"/>
          </w:tcPr>
          <w:p>
            <w:pPr>
              <w:snapToGrid w:val="0"/>
              <w:jc w:val="center"/>
              <w:rPr>
                <w:bCs/>
                <w:kern w:val="0"/>
                <w:szCs w:val="21"/>
              </w:rPr>
            </w:pPr>
            <w:r>
              <w:rPr>
                <w:rFonts w:hint="eastAsia"/>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389" w:type="pct"/>
            <w:vAlign w:val="center"/>
          </w:tcPr>
          <w:p>
            <w:pPr>
              <w:snapToGrid w:val="0"/>
              <w:jc w:val="center"/>
              <w:rPr>
                <w:bCs/>
                <w:kern w:val="0"/>
                <w:szCs w:val="21"/>
              </w:rPr>
            </w:pPr>
            <w:r>
              <w:rPr>
                <w:rFonts w:hint="eastAsia"/>
                <w:bCs/>
                <w:kern w:val="0"/>
                <w:szCs w:val="21"/>
              </w:rPr>
              <w:t>当采用吸附回收（浓缩）、催化燃烧、热力焚烧、等离子体等方法进行末端治理时，应编制本单位事故火灾、爆炸等应急救援预案，配备应急救援人员和器材，并开展应急演练。</w:t>
            </w:r>
          </w:p>
        </w:tc>
        <w:tc>
          <w:tcPr>
            <w:tcW w:w="2013" w:type="pct"/>
            <w:vAlign w:val="center"/>
          </w:tcPr>
          <w:p>
            <w:pPr>
              <w:snapToGrid w:val="0"/>
              <w:jc w:val="center"/>
              <w:rPr>
                <w:bCs/>
                <w:kern w:val="0"/>
                <w:szCs w:val="21"/>
              </w:rPr>
            </w:pPr>
            <w:r>
              <w:rPr>
                <w:rFonts w:hint="eastAsia"/>
                <w:bCs/>
                <w:kern w:val="0"/>
                <w:szCs w:val="21"/>
              </w:rPr>
              <w:t>本次评价要求修编突发环境事件应急预案，将事故火灾、爆炸等纳入应急预案中，并配备应急救援人员和器材，开展应急演练</w:t>
            </w:r>
          </w:p>
        </w:tc>
        <w:tc>
          <w:tcPr>
            <w:tcW w:w="598" w:type="pct"/>
            <w:vAlign w:val="center"/>
          </w:tcPr>
          <w:p>
            <w:pPr>
              <w:snapToGrid w:val="0"/>
              <w:jc w:val="center"/>
              <w:rPr>
                <w:bCs/>
                <w:kern w:val="0"/>
                <w:szCs w:val="21"/>
              </w:rPr>
            </w:pPr>
            <w:r>
              <w:rPr>
                <w:rFonts w:hint="eastAsia"/>
                <w:bCs/>
                <w:kern w:val="0"/>
                <w:szCs w:val="21"/>
              </w:rPr>
              <w:t>符合</w:t>
            </w:r>
          </w:p>
        </w:tc>
      </w:tr>
    </w:tbl>
    <w:p>
      <w:pPr>
        <w:spacing w:line="460" w:lineRule="exact"/>
        <w:ind w:firstLine="480" w:firstLineChars="200"/>
        <w:rPr>
          <w:sz w:val="24"/>
          <w:lang w:bidi="en-US"/>
        </w:rPr>
      </w:pPr>
      <w:bookmarkStart w:id="24" w:name="_Hlk156413669"/>
      <w:r>
        <w:rPr>
          <w:rFonts w:hint="eastAsia"/>
          <w:sz w:val="24"/>
          <w:lang w:bidi="en-US"/>
        </w:rPr>
        <w:t>根据分析，本项目符合《挥发性有机物（</w:t>
      </w:r>
      <w:r>
        <w:rPr>
          <w:sz w:val="24"/>
          <w:lang w:bidi="en-US"/>
        </w:rPr>
        <w:t>VOCs）污染防治技术政策</w:t>
      </w:r>
      <w:r>
        <w:rPr>
          <w:rFonts w:hint="eastAsia"/>
          <w:sz w:val="24"/>
          <w:lang w:bidi="en-US"/>
        </w:rPr>
        <w:t>》。</w:t>
      </w:r>
    </w:p>
    <w:p>
      <w:pPr>
        <w:spacing w:line="460" w:lineRule="exact"/>
        <w:ind w:firstLine="480" w:firstLineChars="200"/>
        <w:rPr>
          <w:sz w:val="24"/>
          <w:lang w:bidi="en-US"/>
        </w:rPr>
      </w:pPr>
      <w:r>
        <w:rPr>
          <w:rFonts w:hint="eastAsia"/>
          <w:sz w:val="24"/>
          <w:lang w:bidi="en-US"/>
        </w:rPr>
        <w:t>1</w:t>
      </w:r>
      <w:r>
        <w:rPr>
          <w:sz w:val="24"/>
          <w:lang w:bidi="en-US"/>
        </w:rPr>
        <w:t>6</w:t>
      </w:r>
      <w:r>
        <w:rPr>
          <w:rFonts w:hint="eastAsia"/>
          <w:sz w:val="24"/>
          <w:lang w:bidi="en-US"/>
        </w:rPr>
        <w:t>、</w:t>
      </w:r>
      <w:bookmarkStart w:id="25" w:name="_Hlk154504267"/>
      <w:r>
        <w:rPr>
          <w:rFonts w:hint="eastAsia"/>
          <w:sz w:val="24"/>
          <w:lang w:bidi="en-US"/>
        </w:rPr>
        <w:t>与《环境空气细颗粒物污染综合防治技术政策》符合性分析</w:t>
      </w:r>
    </w:p>
    <w:p>
      <w:pPr>
        <w:spacing w:line="460" w:lineRule="exact"/>
        <w:ind w:firstLine="480" w:firstLineChars="200"/>
        <w:rPr>
          <w:sz w:val="24"/>
          <w:lang w:bidi="en-US"/>
        </w:rPr>
      </w:pPr>
      <w:r>
        <w:rPr>
          <w:rFonts w:hint="eastAsia"/>
          <w:sz w:val="24"/>
          <w:lang w:bidi="en-US"/>
        </w:rPr>
        <w:t>根据《</w:t>
      </w:r>
      <w:bookmarkStart w:id="26" w:name="_Hlk166149564"/>
      <w:r>
        <w:rPr>
          <w:rFonts w:hint="eastAsia"/>
          <w:sz w:val="24"/>
          <w:lang w:bidi="en-US"/>
        </w:rPr>
        <w:t>环境空气细颗粒物污染综合防治技术政策</w:t>
      </w:r>
      <w:bookmarkEnd w:id="26"/>
      <w:r>
        <w:rPr>
          <w:rFonts w:hint="eastAsia"/>
          <w:sz w:val="24"/>
          <w:lang w:bidi="en-US"/>
        </w:rPr>
        <w:t>》要求，本项目建设与其符合性分析见表1.3-12。</w:t>
      </w:r>
    </w:p>
    <w:p>
      <w:pPr>
        <w:pStyle w:val="499"/>
        <w:spacing w:line="240" w:lineRule="auto"/>
        <w:ind w:firstLine="420"/>
        <w:rPr>
          <w:rFonts w:ascii="Times New Roman" w:hAnsi="Times New Roman" w:eastAsia="黑体" w:cs="Times New Roman"/>
          <w:sz w:val="21"/>
          <w:lang w:bidi="en-US"/>
        </w:rPr>
      </w:pPr>
      <w:r>
        <w:rPr>
          <w:rFonts w:ascii="Times New Roman" w:hAnsi="Times New Roman" w:eastAsia="黑体" w:cs="Times New Roman"/>
          <w:sz w:val="21"/>
          <w:lang w:bidi="en-US"/>
        </w:rPr>
        <w:t>表</w:t>
      </w:r>
      <w:r>
        <w:rPr>
          <w:rFonts w:hint="eastAsia" w:ascii="Times New Roman" w:hAnsi="Times New Roman" w:eastAsia="黑体" w:cs="Times New Roman"/>
          <w:sz w:val="21"/>
          <w:lang w:bidi="en-US"/>
        </w:rPr>
        <w:t>1.3</w:t>
      </w:r>
      <w:r>
        <w:rPr>
          <w:rFonts w:ascii="Times New Roman" w:hAnsi="Times New Roman" w:eastAsia="黑体" w:cs="Times New Roman"/>
          <w:sz w:val="21"/>
          <w:lang w:bidi="en-US"/>
        </w:rPr>
        <w:t>-</w:t>
      </w:r>
      <w:r>
        <w:rPr>
          <w:rFonts w:hint="eastAsia" w:ascii="Times New Roman" w:hAnsi="Times New Roman" w:eastAsia="黑体" w:cs="Times New Roman"/>
          <w:sz w:val="21"/>
          <w:lang w:bidi="en-US"/>
        </w:rPr>
        <w:t>12</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 xml:space="preserve">  </w:t>
      </w:r>
      <w:r>
        <w:rPr>
          <w:rFonts w:ascii="Times New Roman" w:hAnsi="Times New Roman" w:eastAsia="黑体" w:cs="Times New Roman"/>
          <w:sz w:val="21"/>
          <w:lang w:bidi="en-US"/>
        </w:rPr>
        <w:t>与《</w:t>
      </w:r>
      <w:r>
        <w:rPr>
          <w:rFonts w:hint="eastAsia" w:ascii="Times New Roman" w:hAnsi="Times New Roman" w:eastAsia="黑体" w:cs="Times New Roman"/>
          <w:sz w:val="21"/>
          <w:lang w:bidi="en-US"/>
        </w:rPr>
        <w:t>环境空气细颗粒物污染综合防治技术政策</w:t>
      </w:r>
      <w:r>
        <w:rPr>
          <w:rFonts w:ascii="Times New Roman" w:hAnsi="Times New Roman" w:eastAsia="黑体" w:cs="Times New Roman"/>
          <w:sz w:val="21"/>
          <w:lang w:bidi="en-US"/>
        </w:rPr>
        <w:t>》符合性分析</w:t>
      </w:r>
    </w:p>
    <w:tbl>
      <w:tblPr>
        <w:tblStyle w:val="59"/>
        <w:tblW w:w="83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114"/>
        <w:gridCol w:w="2625"/>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adjustRightInd w:val="0"/>
              <w:snapToGrid w:val="0"/>
              <w:jc w:val="center"/>
              <w:rPr>
                <w:bCs/>
                <w:szCs w:val="21"/>
              </w:rPr>
            </w:pPr>
            <w:r>
              <w:rPr>
                <w:bCs/>
                <w:szCs w:val="21"/>
              </w:rPr>
              <w:t>项目</w:t>
            </w:r>
          </w:p>
        </w:tc>
        <w:tc>
          <w:tcPr>
            <w:tcW w:w="4114" w:type="dxa"/>
            <w:vAlign w:val="center"/>
          </w:tcPr>
          <w:p>
            <w:pPr>
              <w:adjustRightInd w:val="0"/>
              <w:snapToGrid w:val="0"/>
              <w:jc w:val="center"/>
              <w:rPr>
                <w:bCs/>
                <w:szCs w:val="21"/>
              </w:rPr>
            </w:pPr>
            <w:r>
              <w:rPr>
                <w:bCs/>
                <w:szCs w:val="21"/>
              </w:rPr>
              <w:t>指导意见</w:t>
            </w:r>
          </w:p>
        </w:tc>
        <w:tc>
          <w:tcPr>
            <w:tcW w:w="2625" w:type="dxa"/>
            <w:vAlign w:val="center"/>
          </w:tcPr>
          <w:p>
            <w:pPr>
              <w:adjustRightInd w:val="0"/>
              <w:snapToGrid w:val="0"/>
              <w:jc w:val="center"/>
              <w:rPr>
                <w:bCs/>
                <w:szCs w:val="21"/>
              </w:rPr>
            </w:pPr>
            <w:r>
              <w:rPr>
                <w:bCs/>
                <w:szCs w:val="21"/>
              </w:rPr>
              <w:t>本项目情况</w:t>
            </w:r>
          </w:p>
        </w:tc>
        <w:tc>
          <w:tcPr>
            <w:tcW w:w="915" w:type="dxa"/>
            <w:vAlign w:val="center"/>
          </w:tcPr>
          <w:p>
            <w:pPr>
              <w:adjustRightInd w:val="0"/>
              <w:snapToGrid w:val="0"/>
              <w:jc w:val="center"/>
              <w:rPr>
                <w:bCs/>
                <w:szCs w:val="21"/>
              </w:rPr>
            </w:pPr>
            <w:r>
              <w:rPr>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adjustRightInd w:val="0"/>
              <w:snapToGrid w:val="0"/>
              <w:jc w:val="center"/>
              <w:rPr>
                <w:bCs/>
                <w:szCs w:val="21"/>
              </w:rPr>
            </w:pPr>
            <w:r>
              <w:rPr>
                <w:rFonts w:hint="eastAsia"/>
                <w:bCs/>
                <w:szCs w:val="21"/>
              </w:rPr>
              <w:t>综合防治</w:t>
            </w:r>
          </w:p>
        </w:tc>
        <w:tc>
          <w:tcPr>
            <w:tcW w:w="4114" w:type="dxa"/>
            <w:vAlign w:val="center"/>
          </w:tcPr>
          <w:p>
            <w:pPr>
              <w:adjustRightInd w:val="0"/>
              <w:snapToGrid w:val="0"/>
              <w:jc w:val="center"/>
              <w:rPr>
                <w:bCs/>
                <w:szCs w:val="21"/>
              </w:rPr>
            </w:pPr>
            <w:r>
              <w:rPr>
                <w:rFonts w:hint="eastAsia"/>
                <w:bCs/>
                <w:szCs w:val="21"/>
              </w:rPr>
              <w:t>（六）应将能源合理开发利用作为防治细颗粒物污染的优先领域，实行煤炭消费总量控制，大力发展清洁能源。天然气等清洁能源应优先供应居民日常生活使用。在大型城市应不断减少煤炭在能源供应中的比重。限制高硫份或高灰份煤炭的开采、使用和进口，提高煤炭洗选比例，研究推广煤炭清洁化利用技术，减少燃烧煤炭造成的污染物排放。</w:t>
            </w:r>
          </w:p>
        </w:tc>
        <w:tc>
          <w:tcPr>
            <w:tcW w:w="2625" w:type="dxa"/>
            <w:vAlign w:val="center"/>
          </w:tcPr>
          <w:p>
            <w:pPr>
              <w:adjustRightInd w:val="0"/>
              <w:snapToGrid w:val="0"/>
              <w:jc w:val="center"/>
              <w:rPr>
                <w:bCs/>
                <w:szCs w:val="21"/>
              </w:rPr>
            </w:pPr>
            <w:r>
              <w:rPr>
                <w:rFonts w:hint="eastAsia"/>
                <w:bCs/>
                <w:szCs w:val="21"/>
              </w:rPr>
              <w:t>本项目属于废旧塑料再生利用项目，不属于能源开发项目，项目能源使用电能</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rFonts w:hint="eastAsia"/>
                <w:bCs/>
                <w:szCs w:val="21"/>
              </w:rPr>
              <w:t>（八）应调整产业结构，强化规划环评和项目环评，严格实施准入制度，必要时对重点区域和重点行业采取限批措施；淘汰落后产能，形成合理的产业分布空间格局。</w:t>
            </w:r>
          </w:p>
        </w:tc>
        <w:tc>
          <w:tcPr>
            <w:tcW w:w="2625" w:type="dxa"/>
            <w:vAlign w:val="center"/>
          </w:tcPr>
          <w:p>
            <w:pPr>
              <w:adjustRightInd w:val="0"/>
              <w:snapToGrid w:val="0"/>
              <w:jc w:val="center"/>
              <w:rPr>
                <w:bCs/>
                <w:szCs w:val="21"/>
              </w:rPr>
            </w:pPr>
            <w:r>
              <w:rPr>
                <w:rFonts w:hint="eastAsia"/>
                <w:bCs/>
                <w:szCs w:val="21"/>
              </w:rPr>
              <w:t>本项目建设符合产业政策</w:t>
            </w:r>
          </w:p>
        </w:tc>
        <w:tc>
          <w:tcPr>
            <w:tcW w:w="915" w:type="dxa"/>
            <w:vAlign w:val="center"/>
          </w:tcPr>
          <w:p>
            <w:pPr>
              <w:adjustRightInd w:val="0"/>
              <w:snapToGrid w:val="0"/>
              <w:jc w:val="center"/>
              <w:rPr>
                <w:bCs/>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adjustRightInd w:val="0"/>
              <w:snapToGrid w:val="0"/>
              <w:jc w:val="center"/>
              <w:rPr>
                <w:bCs/>
                <w:szCs w:val="21"/>
              </w:rPr>
            </w:pPr>
            <w:r>
              <w:rPr>
                <w:rFonts w:hint="eastAsia"/>
                <w:bCs/>
                <w:szCs w:val="21"/>
              </w:rPr>
              <w:t>防治工业污染</w:t>
            </w:r>
          </w:p>
        </w:tc>
        <w:tc>
          <w:tcPr>
            <w:tcW w:w="4114" w:type="dxa"/>
            <w:vAlign w:val="center"/>
          </w:tcPr>
          <w:p>
            <w:pPr>
              <w:adjustRightInd w:val="0"/>
              <w:snapToGrid w:val="0"/>
              <w:jc w:val="center"/>
              <w:rPr>
                <w:bCs/>
                <w:szCs w:val="21"/>
              </w:rPr>
            </w:pPr>
            <w:r>
              <w:rPr>
                <w:rFonts w:hint="eastAsia"/>
                <w:bCs/>
                <w:szCs w:val="21"/>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tc>
        <w:tc>
          <w:tcPr>
            <w:tcW w:w="2625" w:type="dxa"/>
            <w:vAlign w:val="center"/>
          </w:tcPr>
          <w:p>
            <w:pPr>
              <w:adjustRightInd w:val="0"/>
              <w:snapToGrid w:val="0"/>
              <w:jc w:val="center"/>
              <w:rPr>
                <w:bCs/>
                <w:szCs w:val="21"/>
              </w:rPr>
            </w:pPr>
            <w:r>
              <w:rPr>
                <w:rFonts w:hint="eastAsia"/>
                <w:bCs/>
                <w:szCs w:val="21"/>
              </w:rPr>
              <w:t>本项目属于废旧塑料再生利用项目，不属于上述各行业，本项目产生挥发性有机物设置活性炭吸附+催化燃烧（CO）净化措施处置后排放</w:t>
            </w:r>
          </w:p>
        </w:tc>
        <w:tc>
          <w:tcPr>
            <w:tcW w:w="915" w:type="dxa"/>
            <w:vAlign w:val="center"/>
          </w:tcPr>
          <w:p>
            <w:pPr>
              <w:adjustRightInd w:val="0"/>
              <w:snapToGrid w:val="0"/>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rFonts w:hint="eastAsia"/>
                <w:bCs/>
                <w:szCs w:val="21"/>
              </w:rPr>
              <w:t>（十一）应加强对各类污染源的监管，确保污染治理设施稳定运行，切实落实企业环保责任。鼓励采用低能耗、低污染的生产工艺，提高各个行业的清洁生产水平，降低污染物产生量。</w:t>
            </w:r>
          </w:p>
        </w:tc>
        <w:tc>
          <w:tcPr>
            <w:tcW w:w="2625" w:type="dxa"/>
            <w:vAlign w:val="center"/>
          </w:tcPr>
          <w:p>
            <w:pPr>
              <w:adjustRightInd w:val="0"/>
              <w:snapToGrid w:val="0"/>
              <w:jc w:val="center"/>
              <w:rPr>
                <w:bCs/>
                <w:szCs w:val="21"/>
              </w:rPr>
            </w:pPr>
            <w:r>
              <w:rPr>
                <w:rFonts w:hint="eastAsia"/>
                <w:bCs/>
                <w:szCs w:val="21"/>
              </w:rPr>
              <w:t>本次环评要求企业对废气排放口定期监测，监理巡查机制，对废气净化设施按期巡检，保证正常运行</w:t>
            </w:r>
          </w:p>
        </w:tc>
        <w:tc>
          <w:tcPr>
            <w:tcW w:w="915" w:type="dxa"/>
            <w:vAlign w:val="center"/>
          </w:tcPr>
          <w:p>
            <w:pPr>
              <w:adjustRightInd w:val="0"/>
              <w:snapToGrid w:val="0"/>
              <w:jc w:val="center"/>
              <w:rPr>
                <w:bCs/>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rFonts w:hint="eastAsia"/>
                <w:bCs/>
                <w:szCs w:val="21"/>
              </w:rPr>
              <w:t>（十二）应制定严格、完善的国家和地方工业污染物排放标准，明确各行业排放控制要求。在环境污染严重、污染物排放量大的地区，应制定实施严格的地方排放标准或国家排放标准特别排放限值。</w:t>
            </w:r>
          </w:p>
        </w:tc>
        <w:tc>
          <w:tcPr>
            <w:tcW w:w="2625" w:type="dxa"/>
            <w:vAlign w:val="center"/>
          </w:tcPr>
          <w:p>
            <w:pPr>
              <w:adjustRightInd w:val="0"/>
              <w:snapToGrid w:val="0"/>
              <w:jc w:val="center"/>
              <w:rPr>
                <w:bCs/>
                <w:szCs w:val="21"/>
              </w:rPr>
            </w:pPr>
            <w:r>
              <w:rPr>
                <w:rFonts w:hint="eastAsia"/>
                <w:bCs/>
                <w:szCs w:val="21"/>
              </w:rPr>
              <w:t>本项目执行《合成树脂工业污染物排放标准》（GB 31572-2015）中特别排放限值要求</w:t>
            </w:r>
          </w:p>
        </w:tc>
        <w:tc>
          <w:tcPr>
            <w:tcW w:w="915" w:type="dxa"/>
            <w:vAlign w:val="center"/>
          </w:tcPr>
          <w:p>
            <w:pPr>
              <w:adjustRightInd w:val="0"/>
              <w:snapToGrid w:val="0"/>
              <w:jc w:val="center"/>
              <w:rPr>
                <w:bCs/>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rFonts w:hint="eastAsia"/>
                <w:bCs/>
                <w:szCs w:val="21"/>
              </w:rPr>
              <w:t>（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2625" w:type="dxa"/>
            <w:vAlign w:val="center"/>
          </w:tcPr>
          <w:p>
            <w:pPr>
              <w:adjustRightInd w:val="0"/>
              <w:snapToGrid w:val="0"/>
              <w:jc w:val="center"/>
              <w:rPr>
                <w:bCs/>
                <w:szCs w:val="21"/>
              </w:rPr>
            </w:pPr>
            <w:r>
              <w:rPr>
                <w:rFonts w:hint="eastAsia"/>
                <w:bCs/>
                <w:szCs w:val="21"/>
              </w:rPr>
              <w:t>本项目涉及颗粒物排放工序主要为废旧塑料破碎工序，本项目采用湿法破碎方式，可有效控制颗粒物产生及排放</w:t>
            </w:r>
          </w:p>
        </w:tc>
        <w:tc>
          <w:tcPr>
            <w:tcW w:w="915" w:type="dxa"/>
            <w:vAlign w:val="center"/>
          </w:tcPr>
          <w:p>
            <w:pPr>
              <w:adjustRightInd w:val="0"/>
              <w:snapToGrid w:val="0"/>
              <w:jc w:val="center"/>
              <w:rPr>
                <w:bCs/>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bCs/>
                <w:szCs w:val="21"/>
              </w:rPr>
              <w:t>（十四）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w:t>
            </w:r>
          </w:p>
        </w:tc>
        <w:tc>
          <w:tcPr>
            <w:tcW w:w="2625" w:type="dxa"/>
            <w:vAlign w:val="center"/>
          </w:tcPr>
          <w:p>
            <w:pPr>
              <w:adjustRightInd w:val="0"/>
              <w:snapToGrid w:val="0"/>
              <w:jc w:val="center"/>
              <w:rPr>
                <w:bCs/>
                <w:szCs w:val="21"/>
              </w:rPr>
            </w:pPr>
            <w:r>
              <w:rPr>
                <w:rFonts w:hint="eastAsia"/>
                <w:bCs/>
                <w:szCs w:val="21"/>
              </w:rPr>
              <w:t>本项目产生挥发性有机物设置活性炭吸附+催化燃烧（CO）净化措施处置后排放</w:t>
            </w:r>
          </w:p>
        </w:tc>
        <w:tc>
          <w:tcPr>
            <w:tcW w:w="915" w:type="dxa"/>
            <w:vAlign w:val="center"/>
          </w:tcPr>
          <w:p>
            <w:pPr>
              <w:adjustRightInd w:val="0"/>
              <w:snapToGrid w:val="0"/>
              <w:jc w:val="center"/>
              <w:rPr>
                <w:bCs/>
                <w:szCs w:val="21"/>
              </w:rPr>
            </w:pPr>
            <w:r>
              <w:rPr>
                <w:rFonts w:hint="eastAsia"/>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adjustRightInd w:val="0"/>
              <w:snapToGrid w:val="0"/>
              <w:jc w:val="center"/>
              <w:rPr>
                <w:bCs/>
                <w:szCs w:val="21"/>
              </w:rPr>
            </w:pPr>
          </w:p>
        </w:tc>
        <w:tc>
          <w:tcPr>
            <w:tcW w:w="4114" w:type="dxa"/>
            <w:vAlign w:val="center"/>
          </w:tcPr>
          <w:p>
            <w:pPr>
              <w:adjustRightInd w:val="0"/>
              <w:snapToGrid w:val="0"/>
              <w:jc w:val="center"/>
              <w:rPr>
                <w:bCs/>
                <w:szCs w:val="21"/>
              </w:rPr>
            </w:pPr>
            <w:r>
              <w:rPr>
                <w:bCs/>
                <w:szCs w:val="21"/>
              </w:rPr>
              <w:t>（十五）产生大气颗粒物及其前体物污染物的生产活动应尽量采用密闭装置，避免无组织排放；无法完全密闭的，应安装集气装置收集逸散的污染物，经净化后排放。</w:t>
            </w:r>
          </w:p>
        </w:tc>
        <w:tc>
          <w:tcPr>
            <w:tcW w:w="2625" w:type="dxa"/>
            <w:vAlign w:val="center"/>
          </w:tcPr>
          <w:p>
            <w:pPr>
              <w:adjustRightInd w:val="0"/>
              <w:snapToGrid w:val="0"/>
              <w:jc w:val="center"/>
              <w:rPr>
                <w:bCs/>
                <w:szCs w:val="21"/>
              </w:rPr>
            </w:pPr>
            <w:r>
              <w:rPr>
                <w:rFonts w:hint="eastAsia"/>
                <w:bCs/>
                <w:szCs w:val="21"/>
              </w:rPr>
              <w:t>本项目针对生产过程有机废气产生点设置集气设施，控制有机废气无组织逸散</w:t>
            </w:r>
          </w:p>
        </w:tc>
        <w:tc>
          <w:tcPr>
            <w:tcW w:w="915" w:type="dxa"/>
            <w:vAlign w:val="center"/>
          </w:tcPr>
          <w:p>
            <w:pPr>
              <w:adjustRightInd w:val="0"/>
              <w:snapToGrid w:val="0"/>
              <w:jc w:val="center"/>
              <w:rPr>
                <w:bCs/>
                <w:szCs w:val="21"/>
              </w:rPr>
            </w:pPr>
            <w:r>
              <w:rPr>
                <w:bCs/>
                <w:szCs w:val="21"/>
              </w:rPr>
              <w:t>符合</w:t>
            </w:r>
          </w:p>
        </w:tc>
      </w:tr>
    </w:tbl>
    <w:p>
      <w:pPr>
        <w:spacing w:line="460" w:lineRule="exact"/>
        <w:ind w:firstLine="480" w:firstLineChars="200"/>
        <w:rPr>
          <w:sz w:val="24"/>
          <w:lang w:bidi="en-US"/>
        </w:rPr>
      </w:pPr>
      <w:r>
        <w:rPr>
          <w:rFonts w:hint="eastAsia"/>
          <w:sz w:val="24"/>
          <w:lang w:bidi="en-US"/>
        </w:rPr>
        <w:t>根据分析，本项目符合《环境空气细颗粒物污染综合防治技术政策》。</w:t>
      </w:r>
    </w:p>
    <w:p>
      <w:pPr>
        <w:spacing w:line="460" w:lineRule="exact"/>
        <w:ind w:firstLine="480" w:firstLineChars="200"/>
        <w:rPr>
          <w:sz w:val="24"/>
          <w:lang w:bidi="en-US"/>
        </w:rPr>
      </w:pPr>
      <w:r>
        <w:rPr>
          <w:rFonts w:hint="eastAsia"/>
          <w:sz w:val="24"/>
          <w:lang w:bidi="en-US"/>
        </w:rPr>
        <w:t>17、与</w:t>
      </w:r>
      <w:bookmarkStart w:id="27" w:name="_Hlk167730064"/>
      <w:r>
        <w:rPr>
          <w:rFonts w:hint="eastAsia"/>
          <w:sz w:val="24"/>
          <w:lang w:bidi="en-US"/>
        </w:rPr>
        <w:t>《关于加快解决当前挥发性有机物治理突出问题的通知》（环大气〔2021〕65号）及《挥发性有机物治理突出问题排查整治工作要求》</w:t>
      </w:r>
      <w:bookmarkEnd w:id="27"/>
      <w:r>
        <w:rPr>
          <w:rFonts w:hint="eastAsia"/>
          <w:sz w:val="24"/>
          <w:lang w:bidi="en-US"/>
        </w:rPr>
        <w:t>符合性分析</w:t>
      </w:r>
    </w:p>
    <w:p>
      <w:pPr>
        <w:spacing w:line="460" w:lineRule="exact"/>
        <w:ind w:firstLine="480" w:firstLineChars="200"/>
        <w:rPr>
          <w:sz w:val="24"/>
          <w:lang w:bidi="en-US"/>
        </w:rPr>
      </w:pPr>
      <w:r>
        <w:rPr>
          <w:rFonts w:hint="eastAsia"/>
          <w:sz w:val="24"/>
          <w:lang w:bidi="en-US"/>
        </w:rPr>
        <w:t>根据《关于加快解决当前挥发性有机物治理突出问题的通知》（环大气〔2021〕65号）附件《挥发性有机物治理突出问题排查整治工作要求》“五、废气收集设施 治理要求。产生VOCs 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 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七、有机废气治理设施 治理要求。新建治理设施或对现有治理设施实施改造，应依据排放废气特征、VOCs 组分及浓度、生产工况等，合理选择治理技术；对治理难度大、单一治理工艺难以稳定达标的，宜采用多种技术的组合工艺；除恶臭异味治理外，一般不使用低温等离子、光催化、光氧化等技术。加强运行维护管理，做到治理设施较生产设备“先启后停”，在治理设施达到正常运行条件后方可启动生产设备，在生产设备停止、残留VOCs 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 治理设施产生的废过滤棉、废催化剂、废吸附剂、废吸收剂、废有机溶剂等，应及时清运，属于危险废物的应交有资质的单位处理处置。”</w:t>
      </w:r>
    </w:p>
    <w:p>
      <w:pPr>
        <w:spacing w:line="460" w:lineRule="exact"/>
        <w:ind w:firstLine="480" w:firstLineChars="200"/>
        <w:rPr>
          <w:sz w:val="24"/>
          <w:lang w:bidi="en-US"/>
        </w:rPr>
      </w:pPr>
      <w:r>
        <w:rPr>
          <w:rFonts w:hint="eastAsia"/>
          <w:sz w:val="24"/>
          <w:lang w:bidi="en-US"/>
        </w:rPr>
        <w:t>本项目有机废气收集设施主要设置集气罩，要求在每台熔融挤出机上方分别设置集气罩，集气罩设计要求满足收集效率控制要求，达到90%以上，合理设置风机，保证集气罩最远处风速不小于0.3m/s；本项目有机废气采用组合方式活性炭吸附+催化燃烧（CO），环评要求环保设施在生产设施开机投运前启动，停机时待生产设施完全停机后再停运，项目产生废活性炭、废催化剂全部暂存于危废暂存间，定期交由有资质单位处置，综合分析，项目建设符合《关于加快解决当前挥发性有机物治理突出问题的通知》（环大气〔2021〕65号）及《挥发性有机物治理突出问题排查整治工作要求》相关要求。</w:t>
      </w:r>
    </w:p>
    <w:p>
      <w:pPr>
        <w:spacing w:line="460" w:lineRule="exact"/>
        <w:ind w:firstLine="480" w:firstLineChars="200"/>
        <w:rPr>
          <w:sz w:val="24"/>
          <w:lang w:bidi="en-US"/>
        </w:rPr>
      </w:pPr>
      <w:r>
        <w:rPr>
          <w:rFonts w:hint="eastAsia"/>
          <w:sz w:val="24"/>
          <w:lang w:bidi="en-US"/>
        </w:rPr>
        <w:t>18、与《“乌-昌-石”区域大气环境整治 2023年行动方案》的相符性分析</w:t>
      </w:r>
    </w:p>
    <w:p>
      <w:pPr>
        <w:spacing w:line="460" w:lineRule="exact"/>
        <w:ind w:firstLine="480" w:firstLineChars="200"/>
        <w:rPr>
          <w:sz w:val="24"/>
          <w:lang w:bidi="en-US"/>
        </w:rPr>
      </w:pPr>
      <w:bookmarkStart w:id="28" w:name="_Hlk166149530"/>
      <w:r>
        <w:rPr>
          <w:sz w:val="24"/>
          <w:lang w:bidi="en-US"/>
        </w:rPr>
        <w:t>根据</w:t>
      </w:r>
      <w:r>
        <w:rPr>
          <w:rFonts w:hint="eastAsia"/>
          <w:sz w:val="24"/>
          <w:lang w:bidi="en-US"/>
        </w:rPr>
        <w:t>《“乌-昌-石”区域大气环境整治 2023年行动方案》</w:t>
      </w:r>
      <w:r>
        <w:rPr>
          <w:sz w:val="24"/>
          <w:lang w:bidi="en-US"/>
        </w:rPr>
        <w:t>要求，本项目建设与其符合性分析见表</w:t>
      </w:r>
      <w:r>
        <w:rPr>
          <w:rFonts w:hint="eastAsia"/>
          <w:sz w:val="24"/>
          <w:lang w:bidi="en-US"/>
        </w:rPr>
        <w:t>1.3-13</w:t>
      </w:r>
      <w:r>
        <w:rPr>
          <w:sz w:val="24"/>
          <w:lang w:bidi="en-US"/>
        </w:rPr>
        <w:t>。</w:t>
      </w:r>
    </w:p>
    <w:bookmarkEnd w:id="28"/>
    <w:p>
      <w:pPr>
        <w:adjustRightInd w:val="0"/>
        <w:snapToGrid w:val="0"/>
        <w:ind w:firstLine="420" w:firstLineChars="200"/>
        <w:rPr>
          <w:rFonts w:eastAsia="黑体"/>
          <w:bCs/>
          <w:lang w:bidi="en-US"/>
        </w:rPr>
      </w:pPr>
      <w:r>
        <w:rPr>
          <w:rFonts w:eastAsia="黑体"/>
          <w:bCs/>
          <w:lang w:bidi="en-US"/>
        </w:rPr>
        <w:t>表</w:t>
      </w:r>
      <w:r>
        <w:rPr>
          <w:rFonts w:hint="eastAsia" w:eastAsia="黑体"/>
          <w:bCs/>
          <w:lang w:bidi="en-US"/>
        </w:rPr>
        <w:t>1.3-</w:t>
      </w:r>
      <w:r>
        <w:rPr>
          <w:rFonts w:eastAsia="黑体"/>
          <w:bCs/>
          <w:lang w:bidi="en-US"/>
        </w:rPr>
        <w:t>1</w:t>
      </w:r>
      <w:r>
        <w:rPr>
          <w:rFonts w:hint="eastAsia" w:eastAsia="黑体"/>
          <w:bCs/>
          <w:lang w:bidi="en-US"/>
        </w:rPr>
        <w:t>3</w:t>
      </w:r>
      <w:r>
        <w:rPr>
          <w:rFonts w:eastAsia="黑体"/>
          <w:bCs/>
          <w:lang w:bidi="en-US"/>
        </w:rPr>
        <w:t xml:space="preserve">  与《</w:t>
      </w:r>
      <w:r>
        <w:rPr>
          <w:rFonts w:hint="eastAsia" w:eastAsia="黑体"/>
          <w:bCs/>
          <w:lang w:bidi="en-US"/>
        </w:rPr>
        <w:t>“乌-昌-石”区域大气环境整治 2023年行动方案</w:t>
      </w:r>
      <w:r>
        <w:rPr>
          <w:rFonts w:eastAsia="黑体"/>
          <w:bCs/>
          <w:lang w:bidi="en-US"/>
        </w:rPr>
        <w:t>》符合性分析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31"/>
        <w:gridCol w:w="3396"/>
        <w:gridCol w:w="10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9" w:type="pct"/>
            <w:vAlign w:val="center"/>
          </w:tcPr>
          <w:p>
            <w:pPr>
              <w:snapToGrid w:val="0"/>
              <w:jc w:val="center"/>
              <w:rPr>
                <w:bCs/>
                <w:kern w:val="0"/>
                <w:szCs w:val="21"/>
              </w:rPr>
            </w:pPr>
            <w:r>
              <w:rPr>
                <w:rFonts w:hint="eastAsia"/>
                <w:bCs/>
                <w:kern w:val="0"/>
                <w:szCs w:val="21"/>
              </w:rPr>
              <w:t>文件要求</w:t>
            </w:r>
          </w:p>
        </w:tc>
        <w:tc>
          <w:tcPr>
            <w:tcW w:w="2013" w:type="pct"/>
            <w:vAlign w:val="center"/>
          </w:tcPr>
          <w:p>
            <w:pPr>
              <w:snapToGrid w:val="0"/>
              <w:jc w:val="center"/>
              <w:rPr>
                <w:bCs/>
                <w:kern w:val="0"/>
                <w:szCs w:val="21"/>
              </w:rPr>
            </w:pPr>
            <w:r>
              <w:rPr>
                <w:bCs/>
                <w:kern w:val="0"/>
                <w:szCs w:val="21"/>
              </w:rPr>
              <w:t>本项目情况</w:t>
            </w:r>
          </w:p>
        </w:tc>
        <w:tc>
          <w:tcPr>
            <w:tcW w:w="598"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9" w:type="pct"/>
            <w:vAlign w:val="center"/>
          </w:tcPr>
          <w:p>
            <w:pPr>
              <w:snapToGrid w:val="0"/>
              <w:jc w:val="center"/>
              <w:rPr>
                <w:bCs/>
                <w:kern w:val="0"/>
                <w:szCs w:val="21"/>
              </w:rPr>
            </w:pPr>
            <w:r>
              <w:rPr>
                <w:rFonts w:hint="eastAsia"/>
                <w:bCs/>
                <w:kern w:val="0"/>
                <w:szCs w:val="21"/>
              </w:rPr>
              <w:t>执行区域：乌鲁木齐市、昌吉州昌吉市、阜康市、玛纳斯县、呼图壁县、塔城地区沙湾市，五家渠市、石河子市，兵团第十二师</w:t>
            </w:r>
          </w:p>
        </w:tc>
        <w:tc>
          <w:tcPr>
            <w:tcW w:w="2013" w:type="pct"/>
            <w:vAlign w:val="center"/>
          </w:tcPr>
          <w:p>
            <w:pPr>
              <w:snapToGrid w:val="0"/>
              <w:jc w:val="center"/>
              <w:rPr>
                <w:bCs/>
                <w:kern w:val="0"/>
                <w:szCs w:val="21"/>
              </w:rPr>
            </w:pPr>
            <w:r>
              <w:rPr>
                <w:rFonts w:hint="eastAsia"/>
                <w:bCs/>
                <w:kern w:val="0"/>
                <w:szCs w:val="21"/>
              </w:rPr>
              <w:t>本项目位于昌吉市区域内</w:t>
            </w:r>
          </w:p>
        </w:tc>
        <w:tc>
          <w:tcPr>
            <w:tcW w:w="598" w:type="pct"/>
            <w:vAlign w:val="center"/>
          </w:tcPr>
          <w:p>
            <w:pPr>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389" w:type="pct"/>
            <w:vAlign w:val="center"/>
          </w:tcPr>
          <w:p>
            <w:pPr>
              <w:snapToGrid w:val="0"/>
              <w:jc w:val="center"/>
              <w:rPr>
                <w:bCs/>
                <w:kern w:val="0"/>
                <w:szCs w:val="21"/>
              </w:rPr>
            </w:pPr>
            <w:r>
              <w:rPr>
                <w:rFonts w:hint="eastAsia"/>
                <w:bCs/>
                <w:kern w:val="0"/>
                <w:szCs w:val="21"/>
              </w:rPr>
              <w:t>新受理环评的建设项目执行国家排放标准及修改单重特别排放限值和特别控制要求</w:t>
            </w:r>
          </w:p>
        </w:tc>
        <w:tc>
          <w:tcPr>
            <w:tcW w:w="2013" w:type="pct"/>
            <w:vAlign w:val="center"/>
          </w:tcPr>
          <w:p>
            <w:pPr>
              <w:snapToGrid w:val="0"/>
              <w:jc w:val="center"/>
              <w:rPr>
                <w:bCs/>
                <w:kern w:val="0"/>
                <w:szCs w:val="21"/>
              </w:rPr>
            </w:pPr>
            <w:r>
              <w:rPr>
                <w:rFonts w:hint="eastAsia"/>
                <w:bCs/>
                <w:kern w:val="0"/>
                <w:szCs w:val="21"/>
              </w:rPr>
              <w:t>本项目有机废气排气筒排放执行《合成树脂工业污染物排放标准》（G</w:t>
            </w:r>
            <w:r>
              <w:rPr>
                <w:bCs/>
                <w:kern w:val="0"/>
                <w:szCs w:val="21"/>
              </w:rPr>
              <w:t>B 31572-2015</w:t>
            </w:r>
            <w:r>
              <w:rPr>
                <w:rFonts w:hint="eastAsia"/>
                <w:bCs/>
                <w:kern w:val="0"/>
                <w:szCs w:val="21"/>
              </w:rPr>
              <w:t>）中特别排放限值要求</w:t>
            </w:r>
          </w:p>
        </w:tc>
        <w:tc>
          <w:tcPr>
            <w:tcW w:w="598" w:type="pct"/>
            <w:vAlign w:val="center"/>
          </w:tcPr>
          <w:p>
            <w:pPr>
              <w:snapToGrid w:val="0"/>
              <w:jc w:val="center"/>
              <w:rPr>
                <w:bCs/>
                <w:kern w:val="0"/>
                <w:szCs w:val="21"/>
              </w:rPr>
            </w:pPr>
            <w:r>
              <w:rPr>
                <w:rFonts w:hint="eastAsia"/>
                <w:bCs/>
                <w:kern w:val="0"/>
                <w:szCs w:val="21"/>
              </w:rPr>
              <w:t>符合</w:t>
            </w:r>
          </w:p>
        </w:tc>
      </w:tr>
      <w:bookmarkEnd w:id="22"/>
      <w:bookmarkEnd w:id="24"/>
      <w:bookmarkEnd w:id="25"/>
    </w:tbl>
    <w:p>
      <w:pPr>
        <w:spacing w:line="460" w:lineRule="exact"/>
        <w:ind w:firstLine="480" w:firstLineChars="200"/>
        <w:rPr>
          <w:sz w:val="24"/>
          <w:lang w:bidi="en-US"/>
        </w:rPr>
      </w:pPr>
      <w:r>
        <w:rPr>
          <w:rFonts w:hint="eastAsia"/>
          <w:sz w:val="24"/>
          <w:lang w:bidi="en-US"/>
        </w:rPr>
        <w:t>根据分析，本项目符合《“乌-昌-石”区域大气环境整治 2023年行动方案》。</w:t>
      </w:r>
    </w:p>
    <w:p>
      <w:pPr>
        <w:spacing w:line="460" w:lineRule="exact"/>
        <w:ind w:firstLine="480" w:firstLineChars="200"/>
        <w:rPr>
          <w:sz w:val="24"/>
          <w:lang w:bidi="en-US"/>
        </w:rPr>
      </w:pPr>
      <w:r>
        <w:rPr>
          <w:rFonts w:hint="eastAsia"/>
          <w:sz w:val="24"/>
          <w:lang w:bidi="en-US"/>
        </w:rPr>
        <w:t>19、与《关于“乌-昌-石”区域执行大气污染物特别排放限值的公告》（公告﹝2023﹞20号）符合性分析</w:t>
      </w:r>
    </w:p>
    <w:p>
      <w:pPr>
        <w:spacing w:line="460" w:lineRule="exact"/>
        <w:ind w:firstLine="480" w:firstLineChars="200"/>
        <w:rPr>
          <w:sz w:val="24"/>
          <w:lang w:bidi="en-US"/>
        </w:rPr>
      </w:pPr>
      <w:r>
        <w:rPr>
          <w:rFonts w:hint="eastAsia"/>
          <w:sz w:val="24"/>
          <w:lang w:bidi="en-US"/>
        </w:rPr>
        <w:t>根据《关于“乌-昌-石”区域执行大气污染物特别排放限值的公告》（公告﹝2023﹞20号）新建项目对于国家排放标准及修改单中已规定大气污染物特别排放限值或特别控制要求的行业，自公告发布之日起，新受理环评的建设项目执行国家排放标准及修改单中特别排放限值和特别控制要求。本项目位于昌吉市，属于“乌-昌-石”区域，项目有组织废气排放执行《合成树脂工业污染物排放标准》（GB 31572-2015）中特别排放限值要求，因此分析，项目建设符合《关于“乌-昌-石”区域执行大气污染物特别排放限值的公告》（公告﹝2023﹞20号）。</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1.3.2与相关规划符合性分析</w:t>
      </w:r>
    </w:p>
    <w:p>
      <w:pPr>
        <w:spacing w:line="460" w:lineRule="exact"/>
        <w:ind w:firstLine="480" w:firstLineChars="200"/>
        <w:rPr>
          <w:sz w:val="24"/>
          <w:lang w:bidi="en-US"/>
        </w:rPr>
      </w:pPr>
      <w:r>
        <w:rPr>
          <w:rFonts w:hint="eastAsia"/>
          <w:sz w:val="24"/>
          <w:lang w:bidi="en-US"/>
        </w:rPr>
        <w:t>1、</w:t>
      </w:r>
      <w:r>
        <w:rPr>
          <w:sz w:val="24"/>
          <w:lang w:bidi="en-US"/>
        </w:rPr>
        <w:t>《</w:t>
      </w:r>
      <w:r>
        <w:rPr>
          <w:rFonts w:hint="eastAsia"/>
          <w:sz w:val="24"/>
          <w:lang w:bidi="en-US"/>
        </w:rPr>
        <w:t>新疆维吾尔自治区轻工业</w:t>
      </w:r>
      <w:r>
        <w:rPr>
          <w:sz w:val="24"/>
          <w:lang w:bidi="en-US"/>
        </w:rPr>
        <w:t>“</w:t>
      </w:r>
      <w:r>
        <w:rPr>
          <w:rFonts w:hint="eastAsia"/>
          <w:sz w:val="24"/>
          <w:lang w:bidi="en-US"/>
        </w:rPr>
        <w:t>十三五</w:t>
      </w:r>
      <w:r>
        <w:rPr>
          <w:sz w:val="24"/>
          <w:lang w:bidi="en-US"/>
        </w:rPr>
        <w:t>”</w:t>
      </w:r>
      <w:r>
        <w:rPr>
          <w:rFonts w:hint="eastAsia"/>
          <w:sz w:val="24"/>
          <w:lang w:bidi="en-US"/>
        </w:rPr>
        <w:t>发展规划</w:t>
      </w:r>
      <w:r>
        <w:rPr>
          <w:sz w:val="24"/>
          <w:lang w:bidi="en-US"/>
        </w:rPr>
        <w:t>》符合性分析</w:t>
      </w:r>
    </w:p>
    <w:p>
      <w:pPr>
        <w:spacing w:line="460" w:lineRule="exact"/>
        <w:ind w:firstLine="480" w:firstLineChars="200"/>
        <w:rPr>
          <w:sz w:val="24"/>
          <w:lang w:bidi="en-US"/>
        </w:rPr>
      </w:pPr>
      <w:r>
        <w:rPr>
          <w:rFonts w:hint="eastAsia"/>
          <w:sz w:val="24"/>
          <w:lang w:bidi="en-US"/>
        </w:rPr>
        <w:t>本项目产品为滴灌带和PE管，属于《新疆维吾尔自治区轻工业</w:t>
      </w:r>
      <w:r>
        <w:rPr>
          <w:sz w:val="24"/>
          <w:lang w:bidi="en-US"/>
        </w:rPr>
        <w:t>“</w:t>
      </w:r>
      <w:r>
        <w:rPr>
          <w:rFonts w:hint="eastAsia"/>
          <w:sz w:val="24"/>
          <w:lang w:bidi="en-US"/>
        </w:rPr>
        <w:t>十三五</w:t>
      </w:r>
      <w:r>
        <w:rPr>
          <w:sz w:val="24"/>
          <w:lang w:bidi="en-US"/>
        </w:rPr>
        <w:t>”</w:t>
      </w:r>
      <w:r>
        <w:rPr>
          <w:rFonts w:hint="eastAsia"/>
          <w:sz w:val="24"/>
          <w:lang w:bidi="en-US"/>
        </w:rPr>
        <w:t>发展规划》中“</w:t>
      </w:r>
      <w:r>
        <w:rPr>
          <w:sz w:val="24"/>
          <w:lang w:bidi="en-US"/>
        </w:rPr>
        <w:t xml:space="preserve">22 </w:t>
      </w:r>
      <w:r>
        <w:rPr>
          <w:rFonts w:hint="eastAsia"/>
          <w:sz w:val="24"/>
          <w:lang w:bidi="en-US"/>
        </w:rPr>
        <w:t>塑料制品加工业</w:t>
      </w:r>
      <w:r>
        <w:rPr>
          <w:sz w:val="24"/>
          <w:lang w:bidi="en-US"/>
        </w:rPr>
        <w:t xml:space="preserve">  </w:t>
      </w:r>
      <w:r>
        <w:rPr>
          <w:rFonts w:hint="eastAsia"/>
          <w:sz w:val="24"/>
          <w:lang w:bidi="en-US"/>
        </w:rPr>
        <w:t>农用薄膜、塑料节水型材和塑料再生技术”，相关规定如下：</w:t>
      </w:r>
      <w:r>
        <w:rPr>
          <w:sz w:val="24"/>
          <w:lang w:bidi="en-US"/>
        </w:rPr>
        <w:t xml:space="preserve"> </w:t>
      </w:r>
    </w:p>
    <w:p>
      <w:pPr>
        <w:spacing w:line="460" w:lineRule="exact"/>
        <w:ind w:firstLine="480" w:firstLineChars="200"/>
        <w:rPr>
          <w:sz w:val="24"/>
          <w:lang w:bidi="en-US"/>
        </w:rPr>
      </w:pPr>
      <w:r>
        <w:rPr>
          <w:rFonts w:hint="eastAsia"/>
          <w:sz w:val="24"/>
          <w:lang w:bidi="en-US"/>
        </w:rPr>
        <w:t>（</w:t>
      </w:r>
      <w:r>
        <w:rPr>
          <w:sz w:val="24"/>
          <w:lang w:bidi="en-US"/>
        </w:rPr>
        <w:t>1</w:t>
      </w:r>
      <w:r>
        <w:rPr>
          <w:rFonts w:hint="eastAsia"/>
          <w:sz w:val="24"/>
          <w:lang w:bidi="en-US"/>
        </w:rPr>
        <w:t>）塑料节水器材：规范发展投入低、节水效率好、具有良好推广基础的一次性滴灌带系统及产品，促进内镶式滴灌带（管）和压力补偿式滴灌管等高技术、高精度、高效能节水系统及产品的开发、推广。加大新工艺技术和新产品开发力度，加快节水器材向多品种、高技术含量、系列化、标准化方向发展的步伐，助推节水器材产业高地的形成。</w:t>
      </w:r>
    </w:p>
    <w:p>
      <w:pPr>
        <w:spacing w:line="460" w:lineRule="exact"/>
        <w:ind w:firstLine="480" w:firstLineChars="200"/>
        <w:rPr>
          <w:sz w:val="24"/>
          <w:lang w:bidi="en-US"/>
        </w:rPr>
      </w:pPr>
      <w:r>
        <w:rPr>
          <w:rFonts w:hint="eastAsia"/>
          <w:sz w:val="24"/>
          <w:lang w:bidi="en-US"/>
        </w:rPr>
        <w:t>（</w:t>
      </w:r>
      <w:r>
        <w:rPr>
          <w:sz w:val="24"/>
          <w:lang w:bidi="en-US"/>
        </w:rPr>
        <w:t>2</w:t>
      </w:r>
      <w:r>
        <w:rPr>
          <w:rFonts w:hint="eastAsia"/>
          <w:sz w:val="24"/>
          <w:lang w:bidi="en-US"/>
        </w:rPr>
        <w:t>）塑料再生技术：根据《自治区农田地膜管理条例》和农地膜强制性地方标准的要求，建立以废旧农地膜回收再生利用为核心的废旧塑料回收利用体系，制订标准，引进先进装备，开展技术研发，降低成本，提升质量。”</w:t>
      </w:r>
    </w:p>
    <w:p>
      <w:pPr>
        <w:spacing w:line="460" w:lineRule="exact"/>
        <w:ind w:firstLine="480" w:firstLineChars="200"/>
        <w:rPr>
          <w:sz w:val="24"/>
          <w:lang w:bidi="en-US"/>
        </w:rPr>
      </w:pPr>
      <w:r>
        <w:rPr>
          <w:rFonts w:hint="eastAsia"/>
          <w:sz w:val="24"/>
          <w:lang w:bidi="en-US"/>
        </w:rPr>
        <w:t>本项目利用废旧滴灌带、废旧塑料膜造粒后生产滴灌带、</w:t>
      </w:r>
      <w:r>
        <w:rPr>
          <w:sz w:val="24"/>
          <w:lang w:bidi="en-US"/>
        </w:rPr>
        <w:t>PE管</w:t>
      </w:r>
      <w:r>
        <w:rPr>
          <w:rFonts w:hint="eastAsia"/>
          <w:sz w:val="24"/>
          <w:lang w:bidi="en-US"/>
        </w:rPr>
        <w:t>产品，项目建设符合《新疆维吾尔自治区轻工业“十三五”发展规划》要求。</w:t>
      </w:r>
    </w:p>
    <w:p>
      <w:pPr>
        <w:spacing w:line="460" w:lineRule="exact"/>
        <w:ind w:firstLine="480" w:firstLineChars="200"/>
        <w:rPr>
          <w:sz w:val="24"/>
          <w:lang w:bidi="en-US"/>
        </w:rPr>
      </w:pPr>
      <w:r>
        <w:rPr>
          <w:rFonts w:hint="eastAsia"/>
          <w:sz w:val="24"/>
          <w:lang w:bidi="en-US"/>
        </w:rPr>
        <w:t>2、与《新疆生态环境保护“十四五”规划》符合性分析</w:t>
      </w:r>
    </w:p>
    <w:p>
      <w:pPr>
        <w:spacing w:line="460" w:lineRule="exact"/>
        <w:ind w:firstLine="480" w:firstLineChars="200"/>
        <w:rPr>
          <w:sz w:val="24"/>
          <w:lang w:bidi="en-US"/>
        </w:rPr>
      </w:pPr>
      <w:r>
        <w:rPr>
          <w:rFonts w:hint="eastAsia"/>
          <w:sz w:val="24"/>
          <w:lang w:bidi="en-US"/>
        </w:rPr>
        <w:t>根据《新疆生态环境保护“十四五”规划》中要求“第八章 推进农业绿色生产，改善农村生态环境。加强种植业污染防治。深入推进化肥农药减量增效，全面推广测土配方施肥，引导推动有机肥、绿肥替代化肥，集成推广化肥减量增效技术模式，到2025年，主要农作物化肥利用率达到40%以上。加强农药包装废弃物管理。实施农膜回收行动，健全农田废旧地膜回收利用体系，提高废旧地膜回收率，到2025年，废弃地膜回收率达到85%以上。推进农作物秸秆综合利用，不断完善秸秆收储运用体系，形成布局合理、多元利用的秸秆综合利用格局，到2025年，秸秆综合利用率达到90%以上。”</w:t>
      </w:r>
    </w:p>
    <w:p>
      <w:pPr>
        <w:spacing w:line="460" w:lineRule="exact"/>
        <w:ind w:firstLine="480" w:firstLineChars="200"/>
        <w:rPr>
          <w:sz w:val="24"/>
          <w:lang w:bidi="en-US"/>
        </w:rPr>
      </w:pPr>
      <w:r>
        <w:rPr>
          <w:rFonts w:hint="eastAsia"/>
          <w:sz w:val="24"/>
          <w:lang w:bidi="en-US"/>
        </w:rPr>
        <w:t>“第十章 强化风险防控，严守生态环境底线。第一节 加强危险废物医疗废物收集处理。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精准实施《国家危险废物名录》，加强危险废物经营许可、跨省转移以及危险废物鉴别等工作。加强全区危险废物环境监管机构和人才队伍建设，逐步建立健全自治区、地州市二级危险废物环境管理技术支撑体系，提升危险废物监管能力、鉴别能力与应急处置技术支持能力。推动工业固体废物依法纳入排污许可管理。升级完善自治区固体废物动态信息管理平台及视频监控系统，有序推进危险废物产生、收集、贮存、转移、利用和处置等全过程监控和信息化追溯。深入开展危险废物规范化环境管理评估考核与专项整治，严厉打击非法排放、倾倒、转移、利用、处置危险废物等环境违法犯罪行为。”</w:t>
      </w:r>
    </w:p>
    <w:p>
      <w:pPr>
        <w:spacing w:line="460" w:lineRule="exact"/>
        <w:ind w:firstLine="480" w:firstLineChars="200"/>
        <w:rPr>
          <w:sz w:val="24"/>
          <w:lang w:bidi="en-US"/>
        </w:rPr>
      </w:pPr>
      <w:r>
        <w:rPr>
          <w:rFonts w:hint="eastAsia"/>
          <w:sz w:val="24"/>
          <w:lang w:bidi="en-US"/>
        </w:rPr>
        <w:t>本项目回收当地农业生产过程中产生的废旧滴灌带、废旧塑料</w:t>
      </w:r>
      <w:r>
        <w:rPr>
          <w:sz w:val="24"/>
          <w:lang w:bidi="en-US"/>
        </w:rPr>
        <w:t>膜</w:t>
      </w:r>
      <w:r>
        <w:rPr>
          <w:rFonts w:hint="eastAsia"/>
          <w:sz w:val="24"/>
          <w:lang w:bidi="en-US"/>
        </w:rPr>
        <w:t>，加工生产再生聚乙烯颗粒料，最后进行滴灌带、</w:t>
      </w:r>
      <w:r>
        <w:rPr>
          <w:sz w:val="24"/>
          <w:lang w:bidi="en-US"/>
        </w:rPr>
        <w:t>PE管</w:t>
      </w:r>
      <w:r>
        <w:rPr>
          <w:rFonts w:hint="eastAsia"/>
          <w:sz w:val="24"/>
          <w:lang w:bidi="en-US"/>
        </w:rPr>
        <w:t>生产，减少了土壤污染。根据《国家危险废物名录》（2021版），项目产生的危险废物主要为废催化剂、废活性炭和废润滑油及桶，本次环评要求建设单位设置危废暂存间，用于暂存废润滑油及桶、废催化剂和废活性炭，定期交由有资质单位处置。设有专人管理危险废物，并在产生、贮存、利用、处置等环节建立危险废物管理管理台账。本项目依法申报危险废物产生处置情况，报备管理计划，做好信息公开工作，规范运行危险废物转移联单，本项目建成后完善自治区固体废物动态信息管理平台。</w:t>
      </w:r>
    </w:p>
    <w:p>
      <w:pPr>
        <w:spacing w:line="460" w:lineRule="exact"/>
        <w:ind w:firstLine="480" w:firstLineChars="200"/>
        <w:rPr>
          <w:sz w:val="24"/>
          <w:lang w:bidi="en-US"/>
        </w:rPr>
      </w:pPr>
      <w:r>
        <w:rPr>
          <w:rFonts w:hint="eastAsia"/>
          <w:sz w:val="24"/>
          <w:lang w:bidi="en-US"/>
        </w:rPr>
        <w:t>因此，本项目建设符合《新疆生态环境保护“十四五”规划》要求。</w:t>
      </w:r>
    </w:p>
    <w:p>
      <w:pPr>
        <w:spacing w:line="460" w:lineRule="exact"/>
        <w:ind w:firstLine="480" w:firstLineChars="200"/>
        <w:rPr>
          <w:sz w:val="24"/>
          <w:lang w:bidi="en-US"/>
        </w:rPr>
      </w:pPr>
      <w:r>
        <w:rPr>
          <w:rFonts w:hint="eastAsia"/>
          <w:sz w:val="24"/>
          <w:lang w:bidi="en-US"/>
        </w:rPr>
        <w:t>3、与《新疆维吾尔自治区国民经济和社会发展第十四个五年规划和2035年远景目标纲要》符合性分析</w:t>
      </w:r>
    </w:p>
    <w:p>
      <w:pPr>
        <w:spacing w:line="460" w:lineRule="exact"/>
        <w:ind w:firstLine="480" w:firstLineChars="200"/>
        <w:rPr>
          <w:sz w:val="24"/>
          <w:lang w:bidi="en-US"/>
        </w:rPr>
      </w:pPr>
      <w:r>
        <w:rPr>
          <w:rFonts w:hint="eastAsia"/>
          <w:sz w:val="24"/>
          <w:lang w:bidi="en-US"/>
        </w:rPr>
        <w:t>根据《新疆维吾尔自治区国民经济和社会发展第十四个五年规划和2035年远景目标纲要》中要求“第三章 持续加强生态环境保护。严格土壤污染风险管控。加强建设用地土壤环境风险管控和农用地安全利用。强化涉重金属行业监管，推动重金属污染减排和治理。深化工业固体废物综合利用和环境整治。加强化肥农药减量化和土壤污染治理，强化白色污染治理，推进农作物秸秆和畜禽养殖废弃物资源化利用。”</w:t>
      </w:r>
    </w:p>
    <w:p>
      <w:pPr>
        <w:spacing w:line="460" w:lineRule="exact"/>
        <w:ind w:firstLine="480" w:firstLineChars="200"/>
        <w:rPr>
          <w:sz w:val="24"/>
          <w:lang w:bidi="en-US"/>
        </w:rPr>
      </w:pPr>
      <w:r>
        <w:rPr>
          <w:rFonts w:hint="eastAsia"/>
          <w:sz w:val="24"/>
          <w:lang w:bidi="en-US"/>
        </w:rPr>
        <w:t>本项目回收当地农业生产过程中产生的废旧滴灌带、废旧塑料</w:t>
      </w:r>
      <w:r>
        <w:rPr>
          <w:sz w:val="24"/>
          <w:lang w:bidi="en-US"/>
        </w:rPr>
        <w:t>膜</w:t>
      </w:r>
      <w:r>
        <w:rPr>
          <w:rFonts w:hint="eastAsia"/>
          <w:sz w:val="24"/>
          <w:lang w:bidi="en-US"/>
        </w:rPr>
        <w:t>，加工生产再生聚乙烯颗粒料，最后进行滴灌带、</w:t>
      </w:r>
      <w:r>
        <w:rPr>
          <w:sz w:val="24"/>
          <w:lang w:bidi="en-US"/>
        </w:rPr>
        <w:t>PE管</w:t>
      </w:r>
      <w:r>
        <w:rPr>
          <w:rFonts w:hint="eastAsia"/>
          <w:sz w:val="24"/>
          <w:lang w:bidi="en-US"/>
        </w:rPr>
        <w:t>生产，减少了土壤污染。符合《新疆维吾尔自治区国民经济和社会发展第十四个五年规划和2035年远景目标纲要》要求。</w:t>
      </w:r>
    </w:p>
    <w:p>
      <w:pPr>
        <w:spacing w:line="460" w:lineRule="exact"/>
        <w:ind w:firstLine="480" w:firstLineChars="200"/>
        <w:rPr>
          <w:sz w:val="24"/>
          <w:lang w:bidi="en-US"/>
        </w:rPr>
      </w:pPr>
      <w:r>
        <w:rPr>
          <w:rFonts w:hint="eastAsia"/>
          <w:sz w:val="24"/>
          <w:lang w:bidi="en-US"/>
        </w:rPr>
        <w:t>4、与《新疆维吾尔自治区主体功能区规划》符合性分析</w:t>
      </w:r>
    </w:p>
    <w:p>
      <w:pPr>
        <w:spacing w:line="460" w:lineRule="exact"/>
        <w:ind w:firstLine="480" w:firstLineChars="200"/>
        <w:rPr>
          <w:sz w:val="24"/>
          <w:lang w:bidi="en-US"/>
        </w:rPr>
      </w:pPr>
      <w:r>
        <w:rPr>
          <w:rFonts w:hint="eastAsia"/>
          <w:sz w:val="24"/>
          <w:lang w:bidi="en-US"/>
        </w:rPr>
        <w:t>《新疆维吾尔自治区主体功能区规划》提出，新疆农产品主产区的功能定位是：保障农牧产品供给安全的重要区域，农牧民安居乐业的美好家园，社会主义新农村建设的示范区。</w:t>
      </w:r>
    </w:p>
    <w:p>
      <w:pPr>
        <w:spacing w:line="460" w:lineRule="exact"/>
        <w:ind w:firstLine="480" w:firstLineChars="200"/>
        <w:rPr>
          <w:sz w:val="24"/>
          <w:lang w:bidi="en-US"/>
        </w:rPr>
      </w:pPr>
      <w:r>
        <w:rPr>
          <w:rFonts w:hint="eastAsia"/>
          <w:sz w:val="24"/>
          <w:lang w:bidi="en-US"/>
        </w:rPr>
        <w:t>在“农产品主产区发展方向和开发原则”中提出：加强土地整治，搞好规划，统筹安排、连片推进，加快中低产田改造，鼓励农民开展土壤改良。……支持优势农产品主产区农产品加工、流通、储运设施的建设，引导农牧产品加工、流通、储运企业向优势产区聚集。……优化开发方式，发展循环农业，促进农业资源的永续利用，鼓励和支持农牧产品加工副产物的综合利用，加强农业面源污染防治。……积极推进农业的规模化、产业化经营，发展农产品深加工，拓展农村就业和增收领域。……重视农产品主产区土壤环境的保护，避免在农产品主产区内以及周边布局易造成农产品污染的产业。</w:t>
      </w:r>
    </w:p>
    <w:p>
      <w:pPr>
        <w:spacing w:line="460" w:lineRule="exact"/>
        <w:ind w:firstLine="480" w:firstLineChars="200"/>
        <w:rPr>
          <w:sz w:val="24"/>
          <w:lang w:bidi="en-US"/>
        </w:rPr>
      </w:pPr>
      <w:r>
        <w:rPr>
          <w:rFonts w:hint="eastAsia"/>
          <w:sz w:val="24"/>
          <w:lang w:bidi="en-US"/>
        </w:rPr>
        <w:t>本项目回收区域农业生产过程中产生的废旧滴灌带、废旧塑料膜造粒后再生产滴灌带、</w:t>
      </w:r>
      <w:r>
        <w:rPr>
          <w:sz w:val="24"/>
          <w:lang w:bidi="en-US"/>
        </w:rPr>
        <w:t>PE管</w:t>
      </w:r>
      <w:r>
        <w:rPr>
          <w:rFonts w:hint="eastAsia"/>
          <w:sz w:val="24"/>
          <w:lang w:bidi="en-US"/>
        </w:rPr>
        <w:t>，可减少区域农业面源污染。</w:t>
      </w:r>
    </w:p>
    <w:p>
      <w:pPr>
        <w:spacing w:line="460" w:lineRule="exact"/>
        <w:ind w:firstLine="480" w:firstLineChars="200"/>
        <w:rPr>
          <w:sz w:val="24"/>
          <w:lang w:bidi="en-US"/>
        </w:rPr>
      </w:pPr>
      <w:r>
        <w:rPr>
          <w:rFonts w:hint="eastAsia"/>
          <w:sz w:val="24"/>
          <w:lang w:bidi="en-US"/>
        </w:rPr>
        <w:t>5、</w:t>
      </w:r>
      <w:r>
        <w:rPr>
          <w:sz w:val="24"/>
          <w:lang w:bidi="en-US"/>
        </w:rPr>
        <w:t>与《新疆维吾尔自治区环境保护条例》符合性分析</w:t>
      </w:r>
    </w:p>
    <w:p>
      <w:pPr>
        <w:spacing w:line="460" w:lineRule="exact"/>
        <w:ind w:firstLine="480" w:firstLineChars="200"/>
        <w:rPr>
          <w:sz w:val="24"/>
          <w:lang w:bidi="en-US"/>
        </w:rPr>
      </w:pPr>
      <w:r>
        <w:rPr>
          <w:sz w:val="24"/>
          <w:lang w:bidi="en-US"/>
        </w:rPr>
        <w:t>根据《新疆维吾尔自治区环境保护条例》中相关内容提出：</w:t>
      </w:r>
    </w:p>
    <w:p>
      <w:pPr>
        <w:spacing w:line="460" w:lineRule="exact"/>
        <w:ind w:firstLine="480" w:firstLineChars="200"/>
        <w:rPr>
          <w:sz w:val="24"/>
          <w:lang w:bidi="en-US"/>
        </w:rPr>
      </w:pPr>
      <w:r>
        <w:rPr>
          <w:sz w:val="24"/>
          <w:lang w:bidi="en-US"/>
        </w:rPr>
        <w:t>第四条提出：“环境保护应当坚持保护优先、预防为主、综合治理、公众参与、损害担责的原则，推进绿色、循环、低碳发展，使经济社会发展与环境保护相协调”。</w:t>
      </w:r>
    </w:p>
    <w:p>
      <w:pPr>
        <w:spacing w:line="460" w:lineRule="exact"/>
        <w:ind w:firstLine="480" w:firstLineChars="200"/>
        <w:rPr>
          <w:sz w:val="24"/>
          <w:lang w:bidi="en-US"/>
        </w:rPr>
      </w:pPr>
      <w:r>
        <w:rPr>
          <w:sz w:val="24"/>
          <w:lang w:bidi="en-US"/>
        </w:rPr>
        <w:t xml:space="preserve">第三十三条提出：“各级人民政府应当加强农业污染源的监测预警，促进农业环境保护新技术的使用，推广沼气、秸秆固化等清洁能源，推行生物防治、无公害防治措施，合理使用化肥农药，发展生态农业，科学处置农业废弃物，及时回收利用废旧农田地膜，防止农业面源污染”。 </w:t>
      </w:r>
    </w:p>
    <w:p>
      <w:pPr>
        <w:spacing w:line="460" w:lineRule="exact"/>
        <w:ind w:firstLine="480" w:firstLineChars="200"/>
        <w:rPr>
          <w:sz w:val="24"/>
          <w:lang w:bidi="en-US"/>
        </w:rPr>
      </w:pPr>
      <w:r>
        <w:rPr>
          <w:sz w:val="24"/>
          <w:lang w:bidi="en-US"/>
        </w:rPr>
        <w:t>第三十四条提出：“县、乡级人民政府应当采取集中连片与分散治理相结合的方式，推进农村环境综合整治，加强农村生活污水处理、生活垃圾处置等基础设施建设，保护和改善农村生产生活环境”。</w:t>
      </w:r>
    </w:p>
    <w:p>
      <w:pPr>
        <w:spacing w:line="460" w:lineRule="exact"/>
        <w:ind w:firstLine="480" w:firstLineChars="200"/>
        <w:rPr>
          <w:sz w:val="24"/>
          <w:lang w:bidi="en-US"/>
        </w:rPr>
      </w:pPr>
      <w:r>
        <w:rPr>
          <w:sz w:val="24"/>
          <w:lang w:bidi="en-US"/>
        </w:rPr>
        <w:t>本项目利用废旧滴灌带</w:t>
      </w:r>
      <w:r>
        <w:rPr>
          <w:rFonts w:hint="eastAsia"/>
          <w:sz w:val="24"/>
          <w:lang w:bidi="en-US"/>
        </w:rPr>
        <w:t>及废旧塑料膜</w:t>
      </w:r>
      <w:r>
        <w:rPr>
          <w:sz w:val="24"/>
          <w:lang w:bidi="en-US"/>
        </w:rPr>
        <w:t>造粒后生产滴灌带</w:t>
      </w:r>
      <w:r>
        <w:rPr>
          <w:rFonts w:hint="eastAsia"/>
          <w:sz w:val="24"/>
          <w:lang w:bidi="en-US"/>
        </w:rPr>
        <w:t>及PE管</w:t>
      </w:r>
      <w:r>
        <w:rPr>
          <w:sz w:val="24"/>
          <w:lang w:bidi="en-US"/>
        </w:rPr>
        <w:t>产品，可减少区域农业面源污染；</w:t>
      </w:r>
      <w:r>
        <w:rPr>
          <w:rFonts w:hint="eastAsia"/>
          <w:sz w:val="24"/>
          <w:lang w:bidi="en-US"/>
        </w:rPr>
        <w:t>生活污水排入10</w:t>
      </w:r>
      <w:r>
        <w:rPr>
          <w:sz w:val="24"/>
          <w:lang w:bidi="en-US"/>
        </w:rPr>
        <w:t>0m</w:t>
      </w:r>
      <w:r>
        <w:rPr>
          <w:sz w:val="24"/>
          <w:vertAlign w:val="superscript"/>
          <w:lang w:bidi="en-US"/>
        </w:rPr>
        <w:t>3</w:t>
      </w:r>
      <w:r>
        <w:rPr>
          <w:sz w:val="24"/>
          <w:lang w:bidi="en-US"/>
        </w:rPr>
        <w:t>防渗化粪池暂存，定期由吸污车拉运至</w:t>
      </w:r>
      <w:r>
        <w:rPr>
          <w:rFonts w:hint="eastAsia"/>
          <w:sz w:val="24"/>
          <w:lang w:bidi="en-US"/>
        </w:rPr>
        <w:t>农业园区</w:t>
      </w:r>
      <w:r>
        <w:rPr>
          <w:sz w:val="24"/>
          <w:lang w:bidi="en-US"/>
        </w:rPr>
        <w:t>污水处理厂处置；生产废水循环利用不外排。本项目建设符合《新疆维吾尔自治区环境保护条例》的有关要求。</w:t>
      </w:r>
    </w:p>
    <w:p>
      <w:pPr>
        <w:spacing w:line="460" w:lineRule="exact"/>
        <w:ind w:firstLine="480" w:firstLineChars="200"/>
        <w:rPr>
          <w:sz w:val="24"/>
          <w:lang w:bidi="en-US"/>
        </w:rPr>
      </w:pPr>
      <w:r>
        <w:rPr>
          <w:rFonts w:hint="eastAsia"/>
          <w:sz w:val="24"/>
          <w:lang w:bidi="en-US"/>
        </w:rPr>
        <w:t>6、与</w:t>
      </w:r>
      <w:r>
        <w:rPr>
          <w:sz w:val="24"/>
          <w:lang w:bidi="en-US"/>
        </w:rPr>
        <w:t>《</w:t>
      </w:r>
      <w:r>
        <w:rPr>
          <w:rFonts w:hint="eastAsia"/>
          <w:sz w:val="24"/>
          <w:lang w:bidi="en-US"/>
        </w:rPr>
        <w:t>新疆维吾尔自治区大气污染防治条例</w:t>
      </w:r>
      <w:r>
        <w:rPr>
          <w:sz w:val="24"/>
          <w:lang w:bidi="en-US"/>
        </w:rPr>
        <w:t>》</w:t>
      </w:r>
      <w:r>
        <w:rPr>
          <w:rFonts w:hint="eastAsia"/>
          <w:sz w:val="24"/>
          <w:lang w:bidi="en-US"/>
        </w:rPr>
        <w:t>符合</w:t>
      </w:r>
      <w:r>
        <w:rPr>
          <w:sz w:val="24"/>
          <w:lang w:bidi="en-US"/>
        </w:rPr>
        <w:t>性</w:t>
      </w:r>
      <w:r>
        <w:rPr>
          <w:rFonts w:hint="eastAsia"/>
          <w:sz w:val="24"/>
          <w:lang w:bidi="en-US"/>
        </w:rPr>
        <w:t>分析</w:t>
      </w:r>
    </w:p>
    <w:p>
      <w:pPr>
        <w:spacing w:line="460" w:lineRule="exact"/>
        <w:ind w:firstLine="480" w:firstLineChars="200"/>
        <w:rPr>
          <w:sz w:val="24"/>
          <w:lang w:bidi="en-US"/>
        </w:rPr>
      </w:pPr>
      <w:r>
        <w:rPr>
          <w:rFonts w:hint="eastAsia"/>
          <w:sz w:val="24"/>
          <w:lang w:bidi="en-US"/>
        </w:rPr>
        <w:t>本项目建设与《新疆维吾尔自治区大气污染防治条例》符合性分析详见表1.3-14。</w:t>
      </w:r>
    </w:p>
    <w:p>
      <w:pPr>
        <w:adjustRightInd w:val="0"/>
        <w:snapToGrid w:val="0"/>
        <w:ind w:firstLine="420" w:firstLineChars="200"/>
        <w:rPr>
          <w:rFonts w:eastAsia="黑体"/>
          <w:bCs/>
          <w:lang w:bidi="en-US"/>
        </w:rPr>
      </w:pPr>
      <w:r>
        <w:rPr>
          <w:rFonts w:hint="eastAsia" w:eastAsia="黑体"/>
          <w:bCs/>
          <w:lang w:bidi="en-US"/>
        </w:rPr>
        <w:t>表1.3-14</w:t>
      </w:r>
      <w:r>
        <w:rPr>
          <w:rFonts w:eastAsia="黑体"/>
          <w:bCs/>
          <w:lang w:bidi="en-US"/>
        </w:rPr>
        <w:t xml:space="preserve">      </w:t>
      </w:r>
      <w:r>
        <w:rPr>
          <w:rFonts w:hint="eastAsia" w:eastAsia="黑体"/>
          <w:bCs/>
          <w:lang w:bidi="en-US"/>
        </w:rPr>
        <w:t>与《新疆维吾尔自治区大气污染防治条例》符合性分析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796"/>
        <w:gridCol w:w="3808"/>
        <w:gridCol w:w="8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50" w:type="pct"/>
            <w:vAlign w:val="center"/>
          </w:tcPr>
          <w:p>
            <w:pPr>
              <w:snapToGrid w:val="0"/>
              <w:jc w:val="center"/>
              <w:rPr>
                <w:bCs/>
                <w:kern w:val="0"/>
                <w:szCs w:val="21"/>
              </w:rPr>
            </w:pPr>
            <w:r>
              <w:rPr>
                <w:rFonts w:hint="eastAsia"/>
                <w:bCs/>
                <w:kern w:val="0"/>
                <w:szCs w:val="21"/>
              </w:rPr>
              <w:t>要求</w:t>
            </w:r>
          </w:p>
        </w:tc>
        <w:tc>
          <w:tcPr>
            <w:tcW w:w="2257" w:type="pct"/>
            <w:vAlign w:val="center"/>
          </w:tcPr>
          <w:p>
            <w:pPr>
              <w:snapToGrid w:val="0"/>
              <w:jc w:val="center"/>
              <w:rPr>
                <w:bCs/>
                <w:kern w:val="0"/>
                <w:szCs w:val="21"/>
              </w:rPr>
            </w:pPr>
            <w:r>
              <w:rPr>
                <w:bCs/>
                <w:kern w:val="0"/>
                <w:szCs w:val="21"/>
              </w:rPr>
              <w:t>本项目情况</w:t>
            </w:r>
          </w:p>
        </w:tc>
        <w:tc>
          <w:tcPr>
            <w:tcW w:w="493"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50" w:type="pct"/>
            <w:vAlign w:val="center"/>
          </w:tcPr>
          <w:p>
            <w:pPr>
              <w:snapToGrid w:val="0"/>
              <w:jc w:val="center"/>
              <w:rPr>
                <w:bCs/>
                <w:kern w:val="0"/>
                <w:szCs w:val="21"/>
              </w:rPr>
            </w:pPr>
            <w:r>
              <w:rPr>
                <w:rFonts w:hint="eastAsia"/>
                <w:bCs/>
                <w:kern w:val="0"/>
                <w:szCs w:val="21"/>
              </w:rPr>
              <w:t>在集中</w:t>
            </w:r>
            <w:r>
              <w:rPr>
                <w:bCs/>
                <w:kern w:val="0"/>
                <w:szCs w:val="21"/>
              </w:rPr>
              <w:t>供热</w:t>
            </w:r>
            <w:r>
              <w:rPr>
                <w:rFonts w:hint="eastAsia"/>
                <w:bCs/>
                <w:kern w:val="0"/>
                <w:szCs w:val="21"/>
              </w:rPr>
              <w:t>未</w:t>
            </w:r>
            <w:r>
              <w:rPr>
                <w:bCs/>
                <w:kern w:val="0"/>
                <w:szCs w:val="21"/>
              </w:rPr>
              <w:t>覆盖的区域，鼓励使用清洁能源替代，推广使用高效节能环保型锅炉</w:t>
            </w:r>
          </w:p>
        </w:tc>
        <w:tc>
          <w:tcPr>
            <w:tcW w:w="2257" w:type="pct"/>
            <w:vAlign w:val="center"/>
          </w:tcPr>
          <w:p>
            <w:pPr>
              <w:snapToGrid w:val="0"/>
              <w:jc w:val="center"/>
              <w:rPr>
                <w:bCs/>
                <w:kern w:val="0"/>
                <w:szCs w:val="21"/>
              </w:rPr>
            </w:pPr>
            <w:r>
              <w:rPr>
                <w:rFonts w:hint="eastAsia"/>
                <w:bCs/>
                <w:kern w:val="0"/>
                <w:szCs w:val="21"/>
              </w:rPr>
              <w:t>本项目采用电采暖</w:t>
            </w:r>
          </w:p>
        </w:tc>
        <w:tc>
          <w:tcPr>
            <w:tcW w:w="493" w:type="pct"/>
            <w:vAlign w:val="center"/>
          </w:tcPr>
          <w:p>
            <w:pPr>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50" w:type="pct"/>
            <w:vAlign w:val="center"/>
          </w:tcPr>
          <w:p>
            <w:pPr>
              <w:snapToGrid w:val="0"/>
              <w:jc w:val="center"/>
              <w:rPr>
                <w:bCs/>
                <w:kern w:val="0"/>
                <w:szCs w:val="21"/>
              </w:rPr>
            </w:pPr>
            <w:r>
              <w:rPr>
                <w:rFonts w:hint="eastAsia"/>
                <w:bCs/>
                <w:kern w:val="0"/>
                <w:szCs w:val="21"/>
              </w:rPr>
              <w:t>产生含</w:t>
            </w:r>
            <w:r>
              <w:rPr>
                <w:bCs/>
                <w:kern w:val="0"/>
                <w:szCs w:val="21"/>
              </w:rPr>
              <w:t>挥发性有机物废气的生产和服务活动，</w:t>
            </w:r>
            <w:r>
              <w:rPr>
                <w:rFonts w:hint="eastAsia"/>
                <w:bCs/>
                <w:kern w:val="0"/>
                <w:szCs w:val="21"/>
              </w:rPr>
              <w:t>应当</w:t>
            </w:r>
            <w:r>
              <w:rPr>
                <w:bCs/>
                <w:kern w:val="0"/>
                <w:szCs w:val="21"/>
              </w:rPr>
              <w:t>按照国家规定在密闭空间或者设备中进行，并安装、使用污染防治</w:t>
            </w:r>
            <w:r>
              <w:rPr>
                <w:rFonts w:hint="eastAsia"/>
                <w:bCs/>
                <w:kern w:val="0"/>
                <w:szCs w:val="21"/>
              </w:rPr>
              <w:t>设施</w:t>
            </w:r>
            <w:r>
              <w:rPr>
                <w:bCs/>
                <w:kern w:val="0"/>
                <w:szCs w:val="21"/>
              </w:rPr>
              <w:t>；无法进行密闭的，应当采取措施减少废</w:t>
            </w:r>
            <w:r>
              <w:rPr>
                <w:rFonts w:hint="eastAsia"/>
                <w:bCs/>
                <w:kern w:val="0"/>
                <w:szCs w:val="21"/>
              </w:rPr>
              <w:t>气</w:t>
            </w:r>
            <w:r>
              <w:rPr>
                <w:bCs/>
                <w:kern w:val="0"/>
                <w:szCs w:val="21"/>
              </w:rPr>
              <w:t>排放</w:t>
            </w:r>
          </w:p>
        </w:tc>
        <w:tc>
          <w:tcPr>
            <w:tcW w:w="2257" w:type="pct"/>
            <w:vAlign w:val="center"/>
          </w:tcPr>
          <w:p>
            <w:pPr>
              <w:snapToGrid w:val="0"/>
              <w:jc w:val="center"/>
              <w:rPr>
                <w:bCs/>
                <w:kern w:val="0"/>
                <w:szCs w:val="21"/>
              </w:rPr>
            </w:pPr>
            <w:r>
              <w:rPr>
                <w:rFonts w:hint="eastAsia"/>
                <w:bCs/>
                <w:kern w:val="0"/>
                <w:szCs w:val="21"/>
              </w:rPr>
              <w:t>本项目生产活动</w:t>
            </w:r>
            <w:r>
              <w:rPr>
                <w:bCs/>
                <w:kern w:val="0"/>
                <w:szCs w:val="21"/>
              </w:rPr>
              <w:t>均在车间</w:t>
            </w:r>
            <w:r>
              <w:rPr>
                <w:rFonts w:hint="eastAsia"/>
                <w:bCs/>
                <w:kern w:val="0"/>
                <w:szCs w:val="21"/>
              </w:rPr>
              <w:t>内</w:t>
            </w:r>
            <w:r>
              <w:rPr>
                <w:bCs/>
                <w:kern w:val="0"/>
                <w:szCs w:val="21"/>
              </w:rPr>
              <w:t>进行，</w:t>
            </w:r>
            <w:r>
              <w:rPr>
                <w:rFonts w:hint="eastAsia"/>
                <w:bCs/>
                <w:kern w:val="0"/>
                <w:szCs w:val="21"/>
              </w:rPr>
              <w:t>有机废气经</w:t>
            </w:r>
            <w:r>
              <w:rPr>
                <w:bCs/>
                <w:kern w:val="0"/>
                <w:szCs w:val="21"/>
              </w:rPr>
              <w:t>集气罩收集后，</w:t>
            </w:r>
            <w:r>
              <w:rPr>
                <w:rFonts w:hint="eastAsia"/>
                <w:bCs/>
                <w:kern w:val="0"/>
                <w:szCs w:val="21"/>
              </w:rPr>
              <w:t>通过“</w:t>
            </w:r>
            <w:r>
              <w:rPr>
                <w:bCs/>
                <w:kern w:val="0"/>
                <w:szCs w:val="21"/>
              </w:rPr>
              <w:t>活性炭吸附+催化燃烧装置（CO）”处理后，经由15m排气筒排放。</w:t>
            </w:r>
          </w:p>
        </w:tc>
        <w:tc>
          <w:tcPr>
            <w:tcW w:w="493" w:type="pct"/>
            <w:vAlign w:val="center"/>
          </w:tcPr>
          <w:p>
            <w:pPr>
              <w:snapToGrid w:val="0"/>
              <w:jc w:val="center"/>
              <w:rPr>
                <w:bCs/>
                <w:kern w:val="0"/>
                <w:szCs w:val="21"/>
              </w:rPr>
            </w:pPr>
            <w:r>
              <w:rPr>
                <w:bCs/>
                <w:kern w:val="0"/>
                <w:szCs w:val="21"/>
              </w:rPr>
              <w:t>符合</w:t>
            </w:r>
          </w:p>
        </w:tc>
      </w:tr>
    </w:tbl>
    <w:p>
      <w:pPr>
        <w:spacing w:line="460" w:lineRule="exact"/>
        <w:ind w:firstLine="480" w:firstLineChars="200"/>
        <w:rPr>
          <w:sz w:val="24"/>
          <w:lang w:bidi="en-US"/>
        </w:rPr>
      </w:pPr>
      <w:r>
        <w:rPr>
          <w:rFonts w:hint="eastAsia"/>
          <w:sz w:val="24"/>
          <w:lang w:bidi="en-US"/>
        </w:rPr>
        <w:t>根据分析，本项目符合《新疆维吾尔自治区大气污染防治条例》相关要求。</w:t>
      </w:r>
    </w:p>
    <w:p>
      <w:pPr>
        <w:spacing w:line="460" w:lineRule="exact"/>
        <w:ind w:firstLine="480" w:firstLineChars="200"/>
        <w:rPr>
          <w:sz w:val="24"/>
          <w:lang w:bidi="en-US"/>
        </w:rPr>
      </w:pPr>
      <w:r>
        <w:rPr>
          <w:rFonts w:hint="eastAsia"/>
          <w:sz w:val="24"/>
          <w:lang w:bidi="en-US"/>
        </w:rPr>
        <w:t>7、</w:t>
      </w:r>
      <w:bookmarkStart w:id="29" w:name="_Hlk156578467"/>
      <w:r>
        <w:rPr>
          <w:rFonts w:hint="eastAsia"/>
          <w:sz w:val="24"/>
          <w:lang w:bidi="en-US"/>
        </w:rPr>
        <w:t>与《关于</w:t>
      </w:r>
      <w:r>
        <w:rPr>
          <w:sz w:val="24"/>
          <w:lang w:bidi="en-US"/>
        </w:rPr>
        <w:t>开展</w:t>
      </w:r>
      <w:r>
        <w:rPr>
          <w:rFonts w:hint="eastAsia"/>
          <w:sz w:val="24"/>
          <w:lang w:bidi="en-US"/>
        </w:rPr>
        <w:t>自治区202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》符合</w:t>
      </w:r>
      <w:r>
        <w:rPr>
          <w:sz w:val="24"/>
          <w:lang w:bidi="en-US"/>
        </w:rPr>
        <w:t>性</w:t>
      </w:r>
    </w:p>
    <w:p>
      <w:pPr>
        <w:spacing w:line="460" w:lineRule="exact"/>
        <w:ind w:firstLine="480" w:firstLineChars="200"/>
        <w:rPr>
          <w:sz w:val="24"/>
          <w:lang w:bidi="en-US"/>
        </w:rPr>
      </w:pPr>
      <w:r>
        <w:rPr>
          <w:rFonts w:hint="eastAsia"/>
          <w:sz w:val="24"/>
          <w:lang w:bidi="en-US"/>
        </w:rPr>
        <w:t>本项目建设与《关于</w:t>
      </w:r>
      <w:r>
        <w:rPr>
          <w:sz w:val="24"/>
          <w:lang w:bidi="en-US"/>
        </w:rPr>
        <w:t>开展</w:t>
      </w:r>
      <w:r>
        <w:rPr>
          <w:rFonts w:hint="eastAsia"/>
          <w:sz w:val="24"/>
          <w:lang w:bidi="en-US"/>
        </w:rPr>
        <w:t>自治区202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》符合</w:t>
      </w:r>
      <w:r>
        <w:rPr>
          <w:sz w:val="24"/>
          <w:lang w:bidi="en-US"/>
        </w:rPr>
        <w:t>性</w:t>
      </w:r>
      <w:r>
        <w:rPr>
          <w:rFonts w:hint="eastAsia"/>
          <w:sz w:val="24"/>
          <w:lang w:bidi="en-US"/>
        </w:rPr>
        <w:t>分析详见表1.3-15。</w:t>
      </w:r>
    </w:p>
    <w:p>
      <w:pPr>
        <w:adjustRightInd w:val="0"/>
        <w:snapToGrid w:val="0"/>
        <w:ind w:firstLine="420" w:firstLineChars="200"/>
        <w:rPr>
          <w:rFonts w:eastAsia="黑体"/>
          <w:bCs/>
          <w:lang w:bidi="en-US"/>
        </w:rPr>
      </w:pPr>
      <w:r>
        <w:rPr>
          <w:rFonts w:hint="eastAsia" w:eastAsia="黑体"/>
          <w:bCs/>
          <w:lang w:bidi="en-US"/>
        </w:rPr>
        <w:t>表1.3-15</w:t>
      </w:r>
      <w:r>
        <w:rPr>
          <w:rFonts w:eastAsia="黑体"/>
          <w:bCs/>
          <w:lang w:bidi="en-US"/>
        </w:rPr>
        <w:t xml:space="preserve"> </w:t>
      </w:r>
      <w:r>
        <w:rPr>
          <w:rFonts w:hint="eastAsia" w:eastAsia="黑体"/>
          <w:bCs/>
          <w:lang w:bidi="en-US"/>
        </w:rPr>
        <w:t>与《</w:t>
      </w:r>
      <w:r>
        <w:rPr>
          <w:rFonts w:eastAsia="黑体"/>
          <w:bCs/>
          <w:lang w:bidi="en-US"/>
        </w:rPr>
        <w:t>关于开展自治区2022年度夏秋季大气污染防治“冬病夏治”工作的通知</w:t>
      </w:r>
      <w:r>
        <w:rPr>
          <w:rFonts w:hint="eastAsia" w:eastAsia="黑体"/>
          <w:bCs/>
          <w:lang w:bidi="en-US"/>
        </w:rPr>
        <w:t>》符合性分析</w:t>
      </w:r>
    </w:p>
    <w:tbl>
      <w:tblPr>
        <w:tblStyle w:val="59"/>
        <w:tblW w:w="52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2"/>
        <w:gridCol w:w="4465"/>
        <w:gridCol w:w="2105"/>
        <w:gridCol w:w="9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279" w:type="pct"/>
            <w:gridSpan w:val="2"/>
            <w:vAlign w:val="center"/>
          </w:tcPr>
          <w:p>
            <w:pPr>
              <w:snapToGrid w:val="0"/>
              <w:jc w:val="center"/>
              <w:rPr>
                <w:bCs/>
                <w:kern w:val="0"/>
                <w:szCs w:val="21"/>
              </w:rPr>
            </w:pPr>
            <w:r>
              <w:rPr>
                <w:rFonts w:hint="eastAsia"/>
                <w:bCs/>
                <w:kern w:val="0"/>
                <w:szCs w:val="21"/>
              </w:rPr>
              <w:t>要求</w:t>
            </w:r>
          </w:p>
        </w:tc>
        <w:tc>
          <w:tcPr>
            <w:tcW w:w="1199" w:type="pct"/>
            <w:vAlign w:val="center"/>
          </w:tcPr>
          <w:p>
            <w:pPr>
              <w:snapToGrid w:val="0"/>
              <w:jc w:val="center"/>
              <w:rPr>
                <w:bCs/>
                <w:kern w:val="0"/>
                <w:szCs w:val="21"/>
              </w:rPr>
            </w:pPr>
            <w:r>
              <w:rPr>
                <w:bCs/>
                <w:kern w:val="0"/>
                <w:szCs w:val="21"/>
              </w:rPr>
              <w:t>本项目情况</w:t>
            </w:r>
          </w:p>
        </w:tc>
        <w:tc>
          <w:tcPr>
            <w:tcW w:w="522"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pct"/>
            <w:vAlign w:val="center"/>
          </w:tcPr>
          <w:p>
            <w:pPr>
              <w:snapToGrid w:val="0"/>
              <w:jc w:val="center"/>
              <w:rPr>
                <w:bCs/>
                <w:kern w:val="0"/>
                <w:szCs w:val="21"/>
              </w:rPr>
            </w:pPr>
            <w:r>
              <w:rPr>
                <w:rFonts w:hint="eastAsia"/>
                <w:bCs/>
                <w:kern w:val="0"/>
                <w:szCs w:val="21"/>
              </w:rPr>
              <w:t>（三）全面</w:t>
            </w:r>
            <w:r>
              <w:rPr>
                <w:bCs/>
                <w:kern w:val="0"/>
                <w:szCs w:val="21"/>
              </w:rPr>
              <w:t>推进挥发性有机物</w:t>
            </w:r>
            <w:r>
              <w:rPr>
                <w:rFonts w:hint="eastAsia"/>
                <w:bCs/>
                <w:kern w:val="0"/>
                <w:szCs w:val="21"/>
              </w:rPr>
              <w:t>（VOCS）综合</w:t>
            </w:r>
            <w:r>
              <w:rPr>
                <w:bCs/>
                <w:kern w:val="0"/>
                <w:szCs w:val="21"/>
              </w:rPr>
              <w:t>治理</w:t>
            </w:r>
          </w:p>
        </w:tc>
        <w:tc>
          <w:tcPr>
            <w:tcW w:w="2543" w:type="pct"/>
            <w:vAlign w:val="center"/>
          </w:tcPr>
          <w:p>
            <w:pPr>
              <w:snapToGrid w:val="0"/>
              <w:jc w:val="center"/>
              <w:rPr>
                <w:bCs/>
                <w:kern w:val="0"/>
                <w:szCs w:val="21"/>
              </w:rPr>
            </w:pPr>
            <w:r>
              <w:rPr>
                <w:rFonts w:hint="eastAsia"/>
                <w:bCs/>
                <w:kern w:val="0"/>
                <w:szCs w:val="21"/>
              </w:rPr>
              <w:t>推进实施含</w:t>
            </w:r>
            <w:r>
              <w:rPr>
                <w:bCs/>
                <w:kern w:val="0"/>
                <w:szCs w:val="21"/>
              </w:rPr>
              <w:t>VOCs 产品源头替代工</w:t>
            </w:r>
            <w:r>
              <w:rPr>
                <w:rFonts w:hint="eastAsia"/>
                <w:bCs/>
                <w:kern w:val="0"/>
                <w:szCs w:val="21"/>
              </w:rPr>
              <w:t>程，加大低（无）</w:t>
            </w:r>
            <w:r>
              <w:rPr>
                <w:bCs/>
                <w:kern w:val="0"/>
                <w:szCs w:val="21"/>
              </w:rPr>
              <w:t>VOCs 含量涂料、油墨、胶粘剂等源头替代力度</w:t>
            </w:r>
            <w:r>
              <w:rPr>
                <w:rFonts w:hint="eastAsia"/>
                <w:bCs/>
                <w:kern w:val="0"/>
                <w:szCs w:val="21"/>
              </w:rPr>
              <w:t>，全面落实</w:t>
            </w:r>
            <w:r>
              <w:rPr>
                <w:bCs/>
                <w:kern w:val="0"/>
                <w:szCs w:val="21"/>
              </w:rPr>
              <w:t xml:space="preserve"> VOCs无组织排放等标准要求，开展储罐综合治理、污水</w:t>
            </w:r>
            <w:r>
              <w:rPr>
                <w:rFonts w:hint="eastAsia"/>
                <w:bCs/>
                <w:kern w:val="0"/>
                <w:szCs w:val="21"/>
              </w:rPr>
              <w:t>逸散有机废气专项治理，针对石化、化工、工业涂装、包装印刷等重点行业废气排放旁路开展摸排并建立清单，取消非必要旁路，因安全生产确需保留的，应通过铅封、安装自动监控设施等方式加强</w:t>
            </w:r>
            <w:r>
              <w:rPr>
                <w:bCs/>
                <w:kern w:val="0"/>
                <w:szCs w:val="21"/>
              </w:rPr>
              <w:t>监管。</w:t>
            </w:r>
            <w:r>
              <w:rPr>
                <w:rFonts w:hint="eastAsia"/>
                <w:bCs/>
                <w:kern w:val="0"/>
                <w:szCs w:val="21"/>
              </w:rPr>
              <w:t>继续实施泄漏检测与修复（</w:t>
            </w:r>
            <w:r>
              <w:rPr>
                <w:bCs/>
                <w:kern w:val="0"/>
                <w:szCs w:val="21"/>
              </w:rPr>
              <w:t>LDAR），化工园区完善 LDAR</w:t>
            </w:r>
            <w:r>
              <w:rPr>
                <w:rFonts w:hint="eastAsia"/>
                <w:bCs/>
                <w:kern w:val="0"/>
                <w:szCs w:val="21"/>
              </w:rPr>
              <w:t>管理平台。推动企业实施生产过程密闭化、连续化、自动化技术改造，强化生产工艺环节的有机废气收集。对采用单一光氧、低温等离子、活性炭吸收和不符合安全生产要求的处理设施进行升级改造。各地（州、市</w:t>
            </w:r>
            <w:r>
              <w:rPr>
                <w:bCs/>
                <w:kern w:val="0"/>
                <w:szCs w:val="21"/>
              </w:rPr>
              <w:t>)要建立本地区 VOCs 排放污染源清单，制</w:t>
            </w:r>
            <w:r>
              <w:rPr>
                <w:rFonts w:hint="eastAsia"/>
                <w:bCs/>
                <w:kern w:val="0"/>
                <w:szCs w:val="21"/>
              </w:rPr>
              <w:t>定实施</w:t>
            </w:r>
            <w:r>
              <w:rPr>
                <w:bCs/>
                <w:kern w:val="0"/>
                <w:szCs w:val="21"/>
              </w:rPr>
              <w:t>VOCs 排放重点企业综合整治计划，重点区域在10月底前</w:t>
            </w:r>
            <w:r>
              <w:rPr>
                <w:rFonts w:hint="eastAsia"/>
                <w:bCs/>
                <w:kern w:val="0"/>
                <w:szCs w:val="21"/>
              </w:rPr>
              <w:t>完成。对涉</w:t>
            </w:r>
            <w:r>
              <w:rPr>
                <w:bCs/>
                <w:kern w:val="0"/>
                <w:szCs w:val="21"/>
              </w:rPr>
              <w:t>VOCs排放的企业集群，推进同类企业污染物集中处理。</w:t>
            </w:r>
          </w:p>
        </w:tc>
        <w:tc>
          <w:tcPr>
            <w:tcW w:w="1199" w:type="pct"/>
            <w:vAlign w:val="center"/>
          </w:tcPr>
          <w:p>
            <w:pPr>
              <w:snapToGrid w:val="0"/>
              <w:jc w:val="center"/>
              <w:rPr>
                <w:bCs/>
                <w:kern w:val="0"/>
                <w:szCs w:val="21"/>
              </w:rPr>
            </w:pPr>
            <w:r>
              <w:rPr>
                <w:rFonts w:hint="eastAsia"/>
                <w:bCs/>
                <w:kern w:val="0"/>
                <w:szCs w:val="21"/>
              </w:rPr>
              <w:t>本项目生产活动</w:t>
            </w:r>
            <w:r>
              <w:rPr>
                <w:bCs/>
                <w:kern w:val="0"/>
                <w:szCs w:val="21"/>
              </w:rPr>
              <w:t>均在车间</w:t>
            </w:r>
            <w:r>
              <w:rPr>
                <w:rFonts w:hint="eastAsia"/>
                <w:bCs/>
                <w:kern w:val="0"/>
                <w:szCs w:val="21"/>
              </w:rPr>
              <w:t>内</w:t>
            </w:r>
            <w:r>
              <w:rPr>
                <w:bCs/>
                <w:kern w:val="0"/>
                <w:szCs w:val="21"/>
              </w:rPr>
              <w:t>进行，</w:t>
            </w:r>
            <w:r>
              <w:rPr>
                <w:rFonts w:hint="eastAsia"/>
                <w:bCs/>
                <w:kern w:val="0"/>
                <w:szCs w:val="21"/>
              </w:rPr>
              <w:t>本次</w:t>
            </w:r>
            <w:r>
              <w:rPr>
                <w:bCs/>
                <w:kern w:val="0"/>
                <w:szCs w:val="21"/>
              </w:rPr>
              <w:t>环评提出对废旧塑料颗粒加工生产过程造粒工序</w:t>
            </w:r>
            <w:r>
              <w:rPr>
                <w:rFonts w:hint="eastAsia"/>
                <w:bCs/>
                <w:kern w:val="0"/>
                <w:szCs w:val="21"/>
              </w:rPr>
              <w:t>、</w:t>
            </w:r>
            <w:r>
              <w:rPr>
                <w:bCs/>
                <w:kern w:val="0"/>
                <w:szCs w:val="21"/>
              </w:rPr>
              <w:t>滴灌带生产过程挤出成型工序中</w:t>
            </w:r>
            <w:r>
              <w:rPr>
                <w:rFonts w:hint="eastAsia"/>
                <w:bCs/>
                <w:kern w:val="0"/>
                <w:szCs w:val="21"/>
              </w:rPr>
              <w:t>以及PE管生产工序</w:t>
            </w:r>
            <w:r>
              <w:rPr>
                <w:bCs/>
                <w:kern w:val="0"/>
                <w:szCs w:val="21"/>
              </w:rPr>
              <w:t>产生的有机废气处理设施</w:t>
            </w:r>
            <w:r>
              <w:rPr>
                <w:rFonts w:hint="eastAsia"/>
                <w:bCs/>
                <w:kern w:val="0"/>
                <w:szCs w:val="21"/>
              </w:rPr>
              <w:t>设置</w:t>
            </w:r>
            <w:r>
              <w:rPr>
                <w:bCs/>
                <w:kern w:val="0"/>
                <w:szCs w:val="21"/>
              </w:rPr>
              <w:t>为</w:t>
            </w:r>
            <w:r>
              <w:rPr>
                <w:rFonts w:hint="eastAsia"/>
                <w:bCs/>
                <w:kern w:val="0"/>
                <w:szCs w:val="21"/>
              </w:rPr>
              <w:t>“活性炭吸附+催化燃烧装置（CO）</w:t>
            </w:r>
            <w:r>
              <w:rPr>
                <w:bCs/>
                <w:kern w:val="0"/>
                <w:szCs w:val="21"/>
              </w:rPr>
              <w:t>”处理后，经由15m排气筒排放。</w:t>
            </w:r>
          </w:p>
        </w:tc>
        <w:tc>
          <w:tcPr>
            <w:tcW w:w="522" w:type="pct"/>
            <w:vAlign w:val="center"/>
          </w:tcPr>
          <w:p>
            <w:pPr>
              <w:snapToGrid w:val="0"/>
              <w:jc w:val="center"/>
              <w:rPr>
                <w:bCs/>
                <w:kern w:val="0"/>
                <w:szCs w:val="21"/>
              </w:rPr>
            </w:pPr>
            <w:r>
              <w:rPr>
                <w:bCs/>
                <w:kern w:val="0"/>
                <w:szCs w:val="21"/>
              </w:rPr>
              <w:t>符合</w:t>
            </w:r>
          </w:p>
        </w:tc>
      </w:tr>
      <w:bookmarkEnd w:id="29"/>
    </w:tbl>
    <w:p>
      <w:pPr>
        <w:spacing w:line="460" w:lineRule="exact"/>
        <w:ind w:firstLine="480" w:firstLineChars="200"/>
        <w:rPr>
          <w:sz w:val="24"/>
          <w:lang w:bidi="en-US"/>
        </w:rPr>
      </w:pPr>
      <w:r>
        <w:rPr>
          <w:rFonts w:hint="eastAsia"/>
          <w:sz w:val="24"/>
          <w:lang w:bidi="en-US"/>
        </w:rPr>
        <w:t>根据分析，本项目符合《关于</w:t>
      </w:r>
      <w:r>
        <w:rPr>
          <w:sz w:val="24"/>
          <w:lang w:bidi="en-US"/>
        </w:rPr>
        <w:t>开展</w:t>
      </w:r>
      <w:r>
        <w:rPr>
          <w:rFonts w:hint="eastAsia"/>
          <w:sz w:val="24"/>
          <w:lang w:bidi="en-US"/>
        </w:rPr>
        <w:t>自治区202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》相关要求。</w:t>
      </w:r>
    </w:p>
    <w:p>
      <w:pPr>
        <w:spacing w:line="460" w:lineRule="exact"/>
        <w:ind w:firstLine="480" w:firstLineChars="200"/>
        <w:rPr>
          <w:sz w:val="24"/>
          <w:lang w:bidi="en-US"/>
        </w:rPr>
      </w:pPr>
      <w:r>
        <w:rPr>
          <w:rFonts w:hint="eastAsia"/>
          <w:sz w:val="24"/>
          <w:lang w:bidi="en-US"/>
        </w:rPr>
        <w:t>8、与《关于</w:t>
      </w:r>
      <w:r>
        <w:rPr>
          <w:sz w:val="24"/>
          <w:lang w:bidi="en-US"/>
        </w:rPr>
        <w:t>开展</w:t>
      </w:r>
      <w:r>
        <w:rPr>
          <w:rFonts w:hint="eastAsia"/>
          <w:sz w:val="24"/>
          <w:lang w:bidi="en-US"/>
        </w:rPr>
        <w:t>自治州202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》符合</w:t>
      </w:r>
      <w:r>
        <w:rPr>
          <w:sz w:val="24"/>
          <w:lang w:bidi="en-US"/>
        </w:rPr>
        <w:t>性</w:t>
      </w:r>
    </w:p>
    <w:p>
      <w:pPr>
        <w:spacing w:line="460" w:lineRule="exact"/>
        <w:ind w:firstLine="480" w:firstLineChars="200"/>
        <w:rPr>
          <w:sz w:val="24"/>
          <w:lang w:bidi="en-US"/>
        </w:rPr>
      </w:pPr>
      <w:r>
        <w:rPr>
          <w:rFonts w:hint="eastAsia"/>
          <w:sz w:val="24"/>
          <w:lang w:bidi="en-US"/>
        </w:rPr>
        <w:t>本项目建设与《关于</w:t>
      </w:r>
      <w:r>
        <w:rPr>
          <w:sz w:val="24"/>
          <w:lang w:bidi="en-US"/>
        </w:rPr>
        <w:t>开展</w:t>
      </w:r>
      <w:r>
        <w:rPr>
          <w:rFonts w:hint="eastAsia"/>
          <w:sz w:val="24"/>
          <w:lang w:bidi="en-US"/>
        </w:rPr>
        <w:t>自治州202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》符合性分析详见表1.3-16。</w:t>
      </w:r>
    </w:p>
    <w:p>
      <w:pPr>
        <w:adjustRightInd w:val="0"/>
        <w:snapToGrid w:val="0"/>
        <w:ind w:firstLine="420" w:firstLineChars="200"/>
        <w:rPr>
          <w:rFonts w:eastAsia="黑体"/>
          <w:bCs/>
          <w:lang w:bidi="en-US"/>
        </w:rPr>
      </w:pPr>
      <w:r>
        <w:rPr>
          <w:rFonts w:hint="eastAsia" w:eastAsia="黑体"/>
          <w:bCs/>
          <w:lang w:bidi="en-US"/>
        </w:rPr>
        <w:t>表1.3-16</w:t>
      </w:r>
      <w:r>
        <w:rPr>
          <w:rFonts w:eastAsia="黑体"/>
          <w:bCs/>
          <w:lang w:bidi="en-US"/>
        </w:rPr>
        <w:t xml:space="preserve">  </w:t>
      </w:r>
      <w:r>
        <w:rPr>
          <w:rFonts w:hint="eastAsia" w:eastAsia="黑体"/>
          <w:bCs/>
          <w:lang w:bidi="en-US"/>
        </w:rPr>
        <w:t>与《</w:t>
      </w:r>
      <w:r>
        <w:rPr>
          <w:rFonts w:eastAsia="黑体"/>
          <w:bCs/>
          <w:lang w:bidi="en-US"/>
        </w:rPr>
        <w:t>关于开展</w:t>
      </w:r>
      <w:r>
        <w:rPr>
          <w:rFonts w:hint="eastAsia" w:eastAsia="黑体"/>
          <w:bCs/>
          <w:lang w:bidi="en-US"/>
        </w:rPr>
        <w:t>自治州</w:t>
      </w:r>
      <w:r>
        <w:rPr>
          <w:rFonts w:eastAsia="黑体"/>
          <w:bCs/>
          <w:lang w:bidi="en-US"/>
        </w:rPr>
        <w:t>2021年度夏秋季大气污染防治“冬病夏治”工作的通知</w:t>
      </w:r>
      <w:r>
        <w:rPr>
          <w:rFonts w:hint="eastAsia" w:eastAsia="黑体"/>
          <w:bCs/>
          <w:lang w:bidi="en-US"/>
        </w:rPr>
        <w:t>》符合性分析</w:t>
      </w:r>
    </w:p>
    <w:tbl>
      <w:tblPr>
        <w:tblStyle w:val="59"/>
        <w:tblW w:w="52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2"/>
        <w:gridCol w:w="4465"/>
        <w:gridCol w:w="2105"/>
        <w:gridCol w:w="9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279" w:type="pct"/>
            <w:gridSpan w:val="2"/>
            <w:vAlign w:val="center"/>
          </w:tcPr>
          <w:p>
            <w:pPr>
              <w:snapToGrid w:val="0"/>
              <w:jc w:val="center"/>
              <w:rPr>
                <w:bCs/>
                <w:kern w:val="0"/>
                <w:szCs w:val="21"/>
              </w:rPr>
            </w:pPr>
            <w:r>
              <w:rPr>
                <w:rFonts w:hint="eastAsia"/>
                <w:bCs/>
                <w:kern w:val="0"/>
                <w:szCs w:val="21"/>
              </w:rPr>
              <w:t>要求</w:t>
            </w:r>
          </w:p>
        </w:tc>
        <w:tc>
          <w:tcPr>
            <w:tcW w:w="1199" w:type="pct"/>
            <w:vAlign w:val="center"/>
          </w:tcPr>
          <w:p>
            <w:pPr>
              <w:snapToGrid w:val="0"/>
              <w:jc w:val="center"/>
              <w:rPr>
                <w:bCs/>
                <w:kern w:val="0"/>
                <w:szCs w:val="21"/>
              </w:rPr>
            </w:pPr>
            <w:r>
              <w:rPr>
                <w:bCs/>
                <w:kern w:val="0"/>
                <w:szCs w:val="21"/>
              </w:rPr>
              <w:t>本项目情况</w:t>
            </w:r>
          </w:p>
        </w:tc>
        <w:tc>
          <w:tcPr>
            <w:tcW w:w="522" w:type="pct"/>
            <w:vAlign w:val="center"/>
          </w:tcPr>
          <w:p>
            <w:pPr>
              <w:snapToGrid w:val="0"/>
              <w:jc w:val="center"/>
              <w:rPr>
                <w:bCs/>
                <w:kern w:val="0"/>
                <w:szCs w:val="21"/>
              </w:rPr>
            </w:pPr>
            <w:r>
              <w:rPr>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pct"/>
            <w:vAlign w:val="center"/>
          </w:tcPr>
          <w:p>
            <w:pPr>
              <w:snapToGrid w:val="0"/>
              <w:jc w:val="center"/>
              <w:rPr>
                <w:bCs/>
                <w:kern w:val="0"/>
                <w:szCs w:val="21"/>
              </w:rPr>
            </w:pPr>
            <w:r>
              <w:rPr>
                <w:rFonts w:hint="eastAsia"/>
                <w:bCs/>
                <w:kern w:val="0"/>
                <w:szCs w:val="21"/>
              </w:rPr>
              <w:t>（三）全面</w:t>
            </w:r>
            <w:r>
              <w:rPr>
                <w:bCs/>
                <w:kern w:val="0"/>
                <w:szCs w:val="21"/>
              </w:rPr>
              <w:t>推进挥发性有机物</w:t>
            </w:r>
            <w:r>
              <w:rPr>
                <w:rFonts w:hint="eastAsia"/>
                <w:bCs/>
                <w:kern w:val="0"/>
                <w:szCs w:val="21"/>
              </w:rPr>
              <w:t>（VOCS）综合</w:t>
            </w:r>
            <w:r>
              <w:rPr>
                <w:bCs/>
                <w:kern w:val="0"/>
                <w:szCs w:val="21"/>
              </w:rPr>
              <w:t>治理</w:t>
            </w:r>
          </w:p>
        </w:tc>
        <w:tc>
          <w:tcPr>
            <w:tcW w:w="2543" w:type="pct"/>
            <w:vAlign w:val="center"/>
          </w:tcPr>
          <w:p>
            <w:pPr>
              <w:snapToGrid w:val="0"/>
              <w:jc w:val="center"/>
              <w:rPr>
                <w:bCs/>
                <w:kern w:val="0"/>
                <w:szCs w:val="21"/>
              </w:rPr>
            </w:pPr>
            <w:r>
              <w:rPr>
                <w:rFonts w:hint="eastAsia"/>
                <w:bCs/>
                <w:kern w:val="0"/>
                <w:szCs w:val="21"/>
              </w:rPr>
              <w:t>推进实施含</w:t>
            </w:r>
            <w:r>
              <w:rPr>
                <w:bCs/>
                <w:kern w:val="0"/>
                <w:szCs w:val="21"/>
              </w:rPr>
              <w:t>VOCs 产品源头替代工</w:t>
            </w:r>
            <w:r>
              <w:rPr>
                <w:rFonts w:hint="eastAsia"/>
                <w:bCs/>
                <w:kern w:val="0"/>
                <w:szCs w:val="21"/>
              </w:rPr>
              <w:t>程，加大低（无）</w:t>
            </w:r>
            <w:r>
              <w:rPr>
                <w:bCs/>
                <w:kern w:val="0"/>
                <w:szCs w:val="21"/>
              </w:rPr>
              <w:t>VOCs 含量涂料、油墨、胶粘剂等源头替代力度</w:t>
            </w:r>
            <w:r>
              <w:rPr>
                <w:rFonts w:hint="eastAsia"/>
                <w:bCs/>
                <w:kern w:val="0"/>
                <w:szCs w:val="21"/>
              </w:rPr>
              <w:t>，全面落实</w:t>
            </w:r>
            <w:r>
              <w:rPr>
                <w:bCs/>
                <w:kern w:val="0"/>
                <w:szCs w:val="21"/>
              </w:rPr>
              <w:t xml:space="preserve"> VOCs无组织排放等标准要求，开展储罐综合治理、污水</w:t>
            </w:r>
            <w:r>
              <w:rPr>
                <w:rFonts w:hint="eastAsia"/>
                <w:bCs/>
                <w:kern w:val="0"/>
                <w:szCs w:val="21"/>
              </w:rPr>
              <w:t>逸散有机废气专项治理，针对石化、化工、工业涂装、包装印刷等重点行业废气排放旁路开展摸排并建立清单，取消非必要旁路，因安全生产确需保留的，应通过铅封、安装自动监控设施等方式加强</w:t>
            </w:r>
            <w:r>
              <w:rPr>
                <w:bCs/>
                <w:kern w:val="0"/>
                <w:szCs w:val="21"/>
              </w:rPr>
              <w:t>监管。</w:t>
            </w:r>
            <w:r>
              <w:rPr>
                <w:rFonts w:hint="eastAsia"/>
                <w:bCs/>
                <w:kern w:val="0"/>
                <w:szCs w:val="21"/>
              </w:rPr>
              <w:t>继续实施泄漏检测与修复（</w:t>
            </w:r>
            <w:r>
              <w:rPr>
                <w:bCs/>
                <w:kern w:val="0"/>
                <w:szCs w:val="21"/>
              </w:rPr>
              <w:t>LDAR），化工园区完善 LDAR</w:t>
            </w:r>
            <w:r>
              <w:rPr>
                <w:rFonts w:hint="eastAsia"/>
                <w:bCs/>
                <w:kern w:val="0"/>
                <w:szCs w:val="21"/>
              </w:rPr>
              <w:t>管理平台。推动企业实施生产过程密闭化、连续化、自动化技术改造，强化生产工艺环节的有机废气收集。对采用单一光氧、低温等离子、活性炭</w:t>
            </w:r>
            <w:bookmarkStart w:id="335" w:name="_GoBack"/>
            <w:bookmarkEnd w:id="335"/>
            <w:r>
              <w:rPr>
                <w:rFonts w:hint="eastAsia"/>
                <w:bCs/>
                <w:kern w:val="0"/>
                <w:szCs w:val="21"/>
              </w:rPr>
              <w:t>吸收和不符合安全生产要求的处理设施进行升级改造。各县</w:t>
            </w:r>
            <w:r>
              <w:rPr>
                <w:bCs/>
                <w:kern w:val="0"/>
                <w:szCs w:val="21"/>
              </w:rPr>
              <w:t>市</w:t>
            </w:r>
            <w:r>
              <w:rPr>
                <w:rFonts w:hint="eastAsia"/>
                <w:bCs/>
                <w:kern w:val="0"/>
                <w:szCs w:val="21"/>
              </w:rPr>
              <w:t>、园区</w:t>
            </w:r>
            <w:r>
              <w:rPr>
                <w:bCs/>
                <w:kern w:val="0"/>
                <w:szCs w:val="21"/>
              </w:rPr>
              <w:t>要建立本地区 VOCs 排放污染源清单，制</w:t>
            </w:r>
            <w:r>
              <w:rPr>
                <w:rFonts w:hint="eastAsia"/>
                <w:bCs/>
                <w:kern w:val="0"/>
                <w:szCs w:val="21"/>
              </w:rPr>
              <w:t>定实施</w:t>
            </w:r>
            <w:r>
              <w:rPr>
                <w:bCs/>
                <w:kern w:val="0"/>
                <w:szCs w:val="21"/>
              </w:rPr>
              <w:t>VOCs 排放重点企业综合整治计划，重点</w:t>
            </w:r>
            <w:r>
              <w:rPr>
                <w:rFonts w:hint="eastAsia"/>
                <w:bCs/>
                <w:kern w:val="0"/>
                <w:szCs w:val="21"/>
              </w:rPr>
              <w:t>县</w:t>
            </w:r>
            <w:r>
              <w:rPr>
                <w:bCs/>
                <w:kern w:val="0"/>
                <w:szCs w:val="21"/>
              </w:rPr>
              <w:t>市</w:t>
            </w:r>
            <w:r>
              <w:rPr>
                <w:rFonts w:hint="eastAsia"/>
                <w:bCs/>
                <w:kern w:val="0"/>
                <w:szCs w:val="21"/>
              </w:rPr>
              <w:t>、园区</w:t>
            </w:r>
            <w:r>
              <w:rPr>
                <w:bCs/>
                <w:kern w:val="0"/>
                <w:szCs w:val="21"/>
              </w:rPr>
              <w:t>在10月底前</w:t>
            </w:r>
            <w:r>
              <w:rPr>
                <w:rFonts w:hint="eastAsia"/>
                <w:bCs/>
                <w:kern w:val="0"/>
                <w:szCs w:val="21"/>
              </w:rPr>
              <w:t>完成。对涉</w:t>
            </w:r>
            <w:r>
              <w:rPr>
                <w:bCs/>
                <w:kern w:val="0"/>
                <w:szCs w:val="21"/>
              </w:rPr>
              <w:t>VOCs排放的企业集群，推进同类企业污染物集中处理。</w:t>
            </w:r>
          </w:p>
        </w:tc>
        <w:tc>
          <w:tcPr>
            <w:tcW w:w="1199" w:type="pct"/>
            <w:vAlign w:val="center"/>
          </w:tcPr>
          <w:p>
            <w:pPr>
              <w:snapToGrid w:val="0"/>
              <w:jc w:val="center"/>
              <w:rPr>
                <w:bCs/>
                <w:kern w:val="0"/>
                <w:szCs w:val="21"/>
              </w:rPr>
            </w:pPr>
            <w:r>
              <w:rPr>
                <w:rFonts w:hint="eastAsia"/>
                <w:bCs/>
                <w:kern w:val="0"/>
                <w:szCs w:val="21"/>
              </w:rPr>
              <w:t>本项目生产活动</w:t>
            </w:r>
            <w:r>
              <w:rPr>
                <w:bCs/>
                <w:kern w:val="0"/>
                <w:szCs w:val="21"/>
              </w:rPr>
              <w:t>均在车间</w:t>
            </w:r>
            <w:r>
              <w:rPr>
                <w:rFonts w:hint="eastAsia"/>
                <w:bCs/>
                <w:kern w:val="0"/>
                <w:szCs w:val="21"/>
              </w:rPr>
              <w:t>内</w:t>
            </w:r>
            <w:r>
              <w:rPr>
                <w:bCs/>
                <w:kern w:val="0"/>
                <w:szCs w:val="21"/>
              </w:rPr>
              <w:t>进行，</w:t>
            </w:r>
            <w:r>
              <w:rPr>
                <w:rFonts w:hint="eastAsia"/>
                <w:bCs/>
                <w:kern w:val="0"/>
                <w:szCs w:val="21"/>
              </w:rPr>
              <w:t>本次</w:t>
            </w:r>
            <w:r>
              <w:rPr>
                <w:bCs/>
                <w:kern w:val="0"/>
                <w:szCs w:val="21"/>
              </w:rPr>
              <w:t>环评提出对废旧塑料颗粒加工生产过程造粒工序</w:t>
            </w:r>
            <w:r>
              <w:rPr>
                <w:rFonts w:hint="eastAsia"/>
                <w:bCs/>
                <w:kern w:val="0"/>
                <w:szCs w:val="21"/>
              </w:rPr>
              <w:t>、</w:t>
            </w:r>
            <w:r>
              <w:rPr>
                <w:bCs/>
                <w:kern w:val="0"/>
                <w:szCs w:val="21"/>
              </w:rPr>
              <w:t>滴灌带生产过程挤出成型工序中</w:t>
            </w:r>
            <w:r>
              <w:rPr>
                <w:rFonts w:hint="eastAsia"/>
                <w:bCs/>
                <w:kern w:val="0"/>
                <w:szCs w:val="21"/>
              </w:rPr>
              <w:t>以及PE管生产工序</w:t>
            </w:r>
            <w:r>
              <w:rPr>
                <w:bCs/>
                <w:kern w:val="0"/>
                <w:szCs w:val="21"/>
              </w:rPr>
              <w:t>产生的有机废气处理设施</w:t>
            </w:r>
            <w:r>
              <w:rPr>
                <w:rFonts w:hint="eastAsia"/>
                <w:bCs/>
                <w:kern w:val="0"/>
                <w:szCs w:val="21"/>
              </w:rPr>
              <w:t>设置</w:t>
            </w:r>
            <w:r>
              <w:rPr>
                <w:bCs/>
                <w:kern w:val="0"/>
                <w:szCs w:val="21"/>
              </w:rPr>
              <w:t>为</w:t>
            </w:r>
            <w:r>
              <w:rPr>
                <w:rFonts w:hint="eastAsia"/>
                <w:bCs/>
                <w:kern w:val="0"/>
                <w:szCs w:val="21"/>
              </w:rPr>
              <w:t>“活性炭吸附+催化燃烧装置（CO）</w:t>
            </w:r>
            <w:r>
              <w:rPr>
                <w:bCs/>
                <w:kern w:val="0"/>
                <w:szCs w:val="21"/>
              </w:rPr>
              <w:t>”处理后，经由15m排气筒排放。</w:t>
            </w:r>
          </w:p>
        </w:tc>
        <w:tc>
          <w:tcPr>
            <w:tcW w:w="522" w:type="pct"/>
            <w:vAlign w:val="center"/>
          </w:tcPr>
          <w:p>
            <w:pPr>
              <w:snapToGrid w:val="0"/>
              <w:jc w:val="center"/>
              <w:rPr>
                <w:bCs/>
                <w:kern w:val="0"/>
                <w:szCs w:val="21"/>
              </w:rPr>
            </w:pPr>
            <w:r>
              <w:rPr>
                <w:bCs/>
                <w:kern w:val="0"/>
                <w:szCs w:val="21"/>
              </w:rPr>
              <w:t>符合</w:t>
            </w:r>
          </w:p>
        </w:tc>
      </w:tr>
    </w:tbl>
    <w:p>
      <w:pPr>
        <w:spacing w:line="460" w:lineRule="exact"/>
        <w:ind w:firstLine="480" w:firstLineChars="200"/>
        <w:rPr>
          <w:sz w:val="24"/>
          <w:lang w:bidi="en-US"/>
        </w:rPr>
      </w:pPr>
      <w:r>
        <w:rPr>
          <w:rFonts w:hint="eastAsia"/>
          <w:sz w:val="24"/>
          <w:lang w:bidi="en-US"/>
        </w:rPr>
        <w:t>根据分析，本项目符合《关于</w:t>
      </w:r>
      <w:r>
        <w:rPr>
          <w:sz w:val="24"/>
          <w:lang w:bidi="en-US"/>
        </w:rPr>
        <w:t>开展</w:t>
      </w:r>
      <w:r>
        <w:rPr>
          <w:rFonts w:hint="eastAsia"/>
          <w:sz w:val="24"/>
          <w:lang w:bidi="en-US"/>
        </w:rPr>
        <w:t>自治州202</w:t>
      </w:r>
      <w:r>
        <w:rPr>
          <w:sz w:val="24"/>
          <w:lang w:bidi="en-US"/>
        </w:rPr>
        <w:t>2</w:t>
      </w:r>
      <w:r>
        <w:rPr>
          <w:rFonts w:hint="eastAsia"/>
          <w:sz w:val="24"/>
          <w:lang w:bidi="en-US"/>
        </w:rPr>
        <w:t>年</w:t>
      </w:r>
      <w:r>
        <w:rPr>
          <w:sz w:val="24"/>
          <w:lang w:bidi="en-US"/>
        </w:rPr>
        <w:t>度夏秋季大气污染防治“</w:t>
      </w:r>
      <w:r>
        <w:rPr>
          <w:rFonts w:hint="eastAsia"/>
          <w:sz w:val="24"/>
          <w:lang w:bidi="en-US"/>
        </w:rPr>
        <w:t>冬</w:t>
      </w:r>
      <w:r>
        <w:rPr>
          <w:sz w:val="24"/>
          <w:lang w:bidi="en-US"/>
        </w:rPr>
        <w:t>病夏</w:t>
      </w:r>
      <w:r>
        <w:rPr>
          <w:rFonts w:hint="eastAsia"/>
          <w:sz w:val="24"/>
          <w:lang w:bidi="en-US"/>
        </w:rPr>
        <w:t>治</w:t>
      </w:r>
      <w:r>
        <w:rPr>
          <w:sz w:val="24"/>
          <w:lang w:bidi="en-US"/>
        </w:rPr>
        <w:t>”</w:t>
      </w:r>
      <w:r>
        <w:rPr>
          <w:rFonts w:hint="eastAsia"/>
          <w:sz w:val="24"/>
          <w:lang w:bidi="en-US"/>
        </w:rPr>
        <w:t>有关</w:t>
      </w:r>
      <w:r>
        <w:rPr>
          <w:sz w:val="24"/>
          <w:lang w:bidi="en-US"/>
        </w:rPr>
        <w:t>工作的通知</w:t>
      </w:r>
      <w:r>
        <w:rPr>
          <w:rFonts w:hint="eastAsia"/>
          <w:sz w:val="24"/>
          <w:lang w:bidi="en-US"/>
        </w:rPr>
        <w:t>》相关要求。</w:t>
      </w:r>
    </w:p>
    <w:p>
      <w:pPr>
        <w:spacing w:line="460" w:lineRule="exact"/>
        <w:ind w:firstLine="480" w:firstLineChars="200"/>
        <w:rPr>
          <w:sz w:val="24"/>
          <w:lang w:bidi="en-US"/>
        </w:rPr>
      </w:pPr>
      <w:r>
        <w:rPr>
          <w:rFonts w:hint="eastAsia"/>
          <w:sz w:val="24"/>
          <w:lang w:bidi="en-US"/>
        </w:rPr>
        <w:t>9、与《昌吉回族自治州生态环境保护与建设</w:t>
      </w:r>
      <w:r>
        <w:rPr>
          <w:sz w:val="24"/>
          <w:lang w:bidi="en-US"/>
        </w:rPr>
        <w:t>“</w:t>
      </w:r>
      <w:r>
        <w:rPr>
          <w:rFonts w:hint="eastAsia"/>
          <w:sz w:val="24"/>
          <w:lang w:bidi="en-US"/>
        </w:rPr>
        <w:t>十四五</w:t>
      </w:r>
      <w:r>
        <w:rPr>
          <w:sz w:val="24"/>
          <w:lang w:bidi="en-US"/>
        </w:rPr>
        <w:t>”</w:t>
      </w:r>
      <w:r>
        <w:rPr>
          <w:rFonts w:hint="eastAsia"/>
          <w:sz w:val="24"/>
          <w:lang w:bidi="en-US"/>
        </w:rPr>
        <w:t>规划》符合</w:t>
      </w:r>
      <w:r>
        <w:rPr>
          <w:sz w:val="24"/>
          <w:lang w:bidi="en-US"/>
        </w:rPr>
        <w:t>性</w:t>
      </w:r>
    </w:p>
    <w:p>
      <w:pPr>
        <w:spacing w:line="460" w:lineRule="exact"/>
        <w:ind w:firstLine="480" w:firstLineChars="200"/>
        <w:rPr>
          <w:sz w:val="24"/>
          <w:lang w:bidi="en-US"/>
        </w:rPr>
      </w:pPr>
      <w:r>
        <w:rPr>
          <w:rFonts w:hint="eastAsia"/>
          <w:sz w:val="24"/>
          <w:lang w:bidi="en-US"/>
        </w:rPr>
        <w:t>根据《昌吉回族自治州生态环境保护与建设</w:t>
      </w:r>
      <w:r>
        <w:rPr>
          <w:sz w:val="24"/>
          <w:lang w:bidi="en-US"/>
        </w:rPr>
        <w:t>“</w:t>
      </w:r>
      <w:r>
        <w:rPr>
          <w:rFonts w:hint="eastAsia"/>
          <w:sz w:val="24"/>
          <w:lang w:bidi="en-US"/>
        </w:rPr>
        <w:t>十四五</w:t>
      </w:r>
      <w:r>
        <w:rPr>
          <w:sz w:val="24"/>
          <w:lang w:bidi="en-US"/>
        </w:rPr>
        <w:t>”</w:t>
      </w:r>
      <w:r>
        <w:rPr>
          <w:rFonts w:hint="eastAsia"/>
          <w:sz w:val="24"/>
          <w:lang w:bidi="en-US"/>
        </w:rPr>
        <w:t>规划》中</w:t>
      </w:r>
      <w:r>
        <w:rPr>
          <w:sz w:val="24"/>
          <w:lang w:bidi="en-US"/>
        </w:rPr>
        <w:t>要求“</w:t>
      </w:r>
      <w:r>
        <w:rPr>
          <w:rFonts w:hint="eastAsia"/>
          <w:sz w:val="24"/>
          <w:lang w:bidi="en-US"/>
        </w:rPr>
        <w:t>（三）强化大气联防联治，着力实施空气质量提升行动</w:t>
      </w:r>
      <w:r>
        <w:rPr>
          <w:sz w:val="24"/>
          <w:lang w:bidi="en-US"/>
        </w:rPr>
        <w:t xml:space="preserve">。3. </w:t>
      </w:r>
      <w:r>
        <w:rPr>
          <w:rFonts w:hint="eastAsia"/>
          <w:sz w:val="24"/>
          <w:lang w:bidi="en-US"/>
        </w:rPr>
        <w:t>加大散煤替代力度。强化高污染燃料禁燃区监督管理，加强</w:t>
      </w:r>
      <w:r>
        <w:rPr>
          <w:sz w:val="24"/>
          <w:lang w:bidi="en-US"/>
        </w:rPr>
        <w:t>“</w:t>
      </w:r>
      <w:r>
        <w:rPr>
          <w:rFonts w:hint="eastAsia"/>
          <w:sz w:val="24"/>
          <w:lang w:bidi="en-US"/>
        </w:rPr>
        <w:t>乌</w:t>
      </w:r>
      <w:r>
        <w:rPr>
          <w:sz w:val="24"/>
          <w:lang w:bidi="en-US"/>
        </w:rPr>
        <w:t>-</w:t>
      </w:r>
      <w:r>
        <w:rPr>
          <w:rFonts w:hint="eastAsia"/>
          <w:sz w:val="24"/>
          <w:lang w:bidi="en-US"/>
        </w:rPr>
        <w:t>昌</w:t>
      </w:r>
      <w:r>
        <w:rPr>
          <w:sz w:val="24"/>
          <w:lang w:bidi="en-US"/>
        </w:rPr>
        <w:t>-</w:t>
      </w:r>
      <w:r>
        <w:rPr>
          <w:rFonts w:hint="eastAsia"/>
          <w:sz w:val="24"/>
          <w:lang w:bidi="en-US"/>
        </w:rPr>
        <w:t>石</w:t>
      </w:r>
      <w:r>
        <w:rPr>
          <w:sz w:val="24"/>
          <w:lang w:bidi="en-US"/>
        </w:rPr>
        <w:t>”</w:t>
      </w:r>
      <w:r>
        <w:rPr>
          <w:rFonts w:hint="eastAsia"/>
          <w:sz w:val="24"/>
          <w:lang w:bidi="en-US"/>
        </w:rPr>
        <w:t>区域</w:t>
      </w:r>
      <w:r>
        <w:rPr>
          <w:sz w:val="24"/>
          <w:lang w:bidi="en-US"/>
        </w:rPr>
        <w:t>4</w:t>
      </w:r>
      <w:r>
        <w:rPr>
          <w:rFonts w:hint="eastAsia"/>
          <w:sz w:val="24"/>
          <w:lang w:bidi="en-US"/>
        </w:rPr>
        <w:t>县市禁燃区监督管理工作，禁燃区内工业生产、居民生活全部使用清洁能源，全面禁止销售和使用高污染燃料。积极推进城市建成区、工业园区热电联供，加快推进集中供热、</w:t>
      </w:r>
      <w:r>
        <w:rPr>
          <w:sz w:val="24"/>
          <w:lang w:bidi="en-US"/>
        </w:rPr>
        <w:t>“</w:t>
      </w:r>
      <w:r>
        <w:rPr>
          <w:rFonts w:hint="eastAsia"/>
          <w:sz w:val="24"/>
          <w:lang w:bidi="en-US"/>
        </w:rPr>
        <w:t>煤改电</w:t>
      </w:r>
      <w:r>
        <w:rPr>
          <w:sz w:val="24"/>
          <w:lang w:bidi="en-US"/>
        </w:rPr>
        <w:t>”</w:t>
      </w:r>
      <w:r>
        <w:rPr>
          <w:rFonts w:hint="eastAsia"/>
          <w:sz w:val="24"/>
          <w:lang w:bidi="en-US"/>
        </w:rPr>
        <w:t>工程建设。加快城乡结合部、农村民用和农业生产散烧煤的清洁能源替代，积极争取中央财政关于北方地区冬季清洁取暖项目资金支持。优化天然气使用方向，新增天然气优先保障城镇居民和</w:t>
      </w:r>
      <w:r>
        <w:rPr>
          <w:sz w:val="24"/>
          <w:lang w:bidi="en-US"/>
        </w:rPr>
        <w:t>“</w:t>
      </w:r>
      <w:r>
        <w:rPr>
          <w:rFonts w:hint="eastAsia"/>
          <w:sz w:val="24"/>
          <w:lang w:bidi="en-US"/>
        </w:rPr>
        <w:t>乌</w:t>
      </w:r>
      <w:r>
        <w:rPr>
          <w:sz w:val="24"/>
          <w:lang w:bidi="en-US"/>
        </w:rPr>
        <w:t>-</w:t>
      </w:r>
      <w:r>
        <w:rPr>
          <w:rFonts w:hint="eastAsia"/>
          <w:sz w:val="24"/>
          <w:lang w:bidi="en-US"/>
        </w:rPr>
        <w:t>昌</w:t>
      </w:r>
      <w:r>
        <w:rPr>
          <w:sz w:val="24"/>
          <w:lang w:bidi="en-US"/>
        </w:rPr>
        <w:t>-</w:t>
      </w:r>
      <w:r>
        <w:rPr>
          <w:rFonts w:hint="eastAsia"/>
          <w:sz w:val="24"/>
          <w:lang w:bidi="en-US"/>
        </w:rPr>
        <w:t>石</w:t>
      </w:r>
      <w:r>
        <w:rPr>
          <w:sz w:val="24"/>
          <w:lang w:bidi="en-US"/>
        </w:rPr>
        <w:t>”</w:t>
      </w:r>
      <w:r>
        <w:rPr>
          <w:rFonts w:hint="eastAsia"/>
          <w:sz w:val="24"/>
          <w:lang w:bidi="en-US"/>
        </w:rPr>
        <w:t>区域内</w:t>
      </w:r>
      <w:r>
        <w:rPr>
          <w:sz w:val="24"/>
          <w:lang w:bidi="en-US"/>
        </w:rPr>
        <w:t>4</w:t>
      </w:r>
      <w:r>
        <w:rPr>
          <w:rFonts w:hint="eastAsia"/>
          <w:sz w:val="24"/>
          <w:lang w:bidi="en-US"/>
        </w:rPr>
        <w:t>县市、</w:t>
      </w:r>
      <w:r>
        <w:rPr>
          <w:sz w:val="24"/>
          <w:lang w:bidi="en-US"/>
        </w:rPr>
        <w:t>2</w:t>
      </w:r>
      <w:r>
        <w:rPr>
          <w:rFonts w:hint="eastAsia"/>
          <w:sz w:val="24"/>
          <w:lang w:bidi="en-US"/>
        </w:rPr>
        <w:t>园区散煤替代。积极开发煤层气（煤矿瓦斯）综合利用，实施生物天然气工程。</w:t>
      </w:r>
      <w:r>
        <w:rPr>
          <w:sz w:val="24"/>
          <w:lang w:bidi="en-US"/>
        </w:rPr>
        <w:t>”</w:t>
      </w:r>
    </w:p>
    <w:p>
      <w:pPr>
        <w:spacing w:line="460" w:lineRule="exact"/>
        <w:ind w:firstLine="480" w:firstLineChars="200"/>
        <w:rPr>
          <w:sz w:val="24"/>
          <w:lang w:bidi="en-US"/>
        </w:rPr>
      </w:pPr>
      <w:r>
        <w:rPr>
          <w:rFonts w:hint="eastAsia"/>
          <w:sz w:val="24"/>
          <w:lang w:bidi="en-US"/>
        </w:rPr>
        <w:t>项目</w:t>
      </w:r>
      <w:r>
        <w:rPr>
          <w:sz w:val="24"/>
          <w:lang w:bidi="en-US"/>
        </w:rPr>
        <w:t>供暖采用</w:t>
      </w:r>
      <w:r>
        <w:rPr>
          <w:rFonts w:hint="eastAsia"/>
          <w:sz w:val="24"/>
          <w:lang w:bidi="en-US"/>
        </w:rPr>
        <w:t>电采暖</w:t>
      </w:r>
      <w:r>
        <w:rPr>
          <w:sz w:val="24"/>
          <w:lang w:bidi="en-US"/>
        </w:rPr>
        <w:t>，</w:t>
      </w:r>
      <w:r>
        <w:rPr>
          <w:rFonts w:hint="eastAsia"/>
          <w:sz w:val="24"/>
          <w:lang w:bidi="en-US"/>
        </w:rPr>
        <w:t>不使用高污染</w:t>
      </w:r>
      <w:r>
        <w:rPr>
          <w:sz w:val="24"/>
          <w:lang w:bidi="en-US"/>
        </w:rPr>
        <w:t>燃</w:t>
      </w:r>
      <w:r>
        <w:rPr>
          <w:rFonts w:hint="eastAsia"/>
          <w:sz w:val="24"/>
          <w:lang w:bidi="en-US"/>
        </w:rPr>
        <w:t>料，</w:t>
      </w:r>
      <w:r>
        <w:rPr>
          <w:sz w:val="24"/>
          <w:lang w:bidi="en-US"/>
        </w:rPr>
        <w:t>减少对大气环境的污染。</w:t>
      </w:r>
      <w:r>
        <w:rPr>
          <w:rFonts w:hint="eastAsia"/>
          <w:sz w:val="24"/>
          <w:lang w:bidi="en-US"/>
        </w:rPr>
        <w:t>本项目符合《昌吉回族自治州生态环境保护与建设</w:t>
      </w:r>
      <w:r>
        <w:rPr>
          <w:sz w:val="24"/>
          <w:lang w:bidi="en-US"/>
        </w:rPr>
        <w:t>“</w:t>
      </w:r>
      <w:r>
        <w:rPr>
          <w:rFonts w:hint="eastAsia"/>
          <w:sz w:val="24"/>
          <w:lang w:bidi="en-US"/>
        </w:rPr>
        <w:t>十四五</w:t>
      </w:r>
      <w:r>
        <w:rPr>
          <w:sz w:val="24"/>
          <w:lang w:bidi="en-US"/>
        </w:rPr>
        <w:t>”</w:t>
      </w:r>
      <w:r>
        <w:rPr>
          <w:rFonts w:hint="eastAsia"/>
          <w:sz w:val="24"/>
          <w:lang w:bidi="en-US"/>
        </w:rPr>
        <w:t>规划》中</w:t>
      </w:r>
      <w:r>
        <w:rPr>
          <w:sz w:val="24"/>
          <w:lang w:bidi="en-US"/>
        </w:rPr>
        <w:t>要求</w:t>
      </w:r>
      <w:r>
        <w:rPr>
          <w:rFonts w:hint="eastAsia"/>
          <w:sz w:val="24"/>
          <w:lang w:bidi="en-US"/>
        </w:rPr>
        <w:t>。</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1.3.3与“三线一单”符合性分析</w:t>
      </w:r>
    </w:p>
    <w:p>
      <w:pPr>
        <w:spacing w:line="460" w:lineRule="exact"/>
        <w:ind w:firstLine="480" w:firstLineChars="200"/>
        <w:rPr>
          <w:bCs/>
          <w:sz w:val="24"/>
          <w:lang w:bidi="en-US"/>
        </w:rPr>
      </w:pPr>
      <w:r>
        <w:rPr>
          <w:sz w:val="24"/>
          <w:lang w:bidi="en-US"/>
        </w:rPr>
        <w:t>1、</w:t>
      </w:r>
      <w:r>
        <w:rPr>
          <w:bCs/>
          <w:sz w:val="24"/>
          <w:lang w:bidi="en-US"/>
        </w:rPr>
        <w:t>生态保护红线</w:t>
      </w:r>
    </w:p>
    <w:p>
      <w:pPr>
        <w:spacing w:line="460" w:lineRule="exact"/>
        <w:ind w:firstLine="480" w:firstLineChars="200"/>
        <w:rPr>
          <w:bCs/>
          <w:sz w:val="24"/>
          <w:lang w:bidi="en-US"/>
        </w:rPr>
      </w:pPr>
      <w:r>
        <w:rPr>
          <w:bCs/>
          <w:sz w:val="24"/>
          <w:lang w:bidi="en-US"/>
        </w:rPr>
        <w:t>本项目位于</w:t>
      </w:r>
      <w:r>
        <w:rPr>
          <w:rFonts w:hint="eastAsia"/>
          <w:bCs/>
          <w:sz w:val="24"/>
          <w:lang w:bidi="en-US"/>
        </w:rPr>
        <w:t>昌吉国家农业科技园区示范区</w:t>
      </w:r>
      <w:r>
        <w:rPr>
          <w:bCs/>
          <w:sz w:val="24"/>
          <w:lang w:bidi="en-US"/>
        </w:rPr>
        <w:t>，</w:t>
      </w:r>
      <w:r>
        <w:rPr>
          <w:rFonts w:hint="eastAsia"/>
          <w:bCs/>
          <w:sz w:val="24"/>
          <w:lang w:bidi="en-US"/>
        </w:rPr>
        <w:t>根据《昌吉回族自治州“三线一单”生态环境分区管控方案及生态环境准入清单》（昌州政办发〔2021〕41号），属于昌吉市建成区重点管控单元（</w:t>
      </w:r>
      <w:r>
        <w:rPr>
          <w:bCs/>
          <w:sz w:val="24"/>
          <w:lang w:bidi="en-US"/>
        </w:rPr>
        <w:t>ZH65230120001</w:t>
      </w:r>
      <w:r>
        <w:rPr>
          <w:rFonts w:hint="eastAsia"/>
          <w:bCs/>
          <w:sz w:val="24"/>
          <w:lang w:bidi="en-US"/>
        </w:rPr>
        <w:t>），（详见图1.3</w:t>
      </w:r>
      <w:r>
        <w:rPr>
          <w:bCs/>
          <w:sz w:val="24"/>
          <w:lang w:bidi="en-US"/>
        </w:rPr>
        <w:t>-</w:t>
      </w:r>
      <w:r>
        <w:rPr>
          <w:rFonts w:hint="eastAsia"/>
          <w:bCs/>
          <w:sz w:val="24"/>
          <w:lang w:bidi="en-US"/>
        </w:rPr>
        <w:t>1）项目所在地不属于生态保护红线区域。</w:t>
      </w:r>
    </w:p>
    <w:p>
      <w:pPr>
        <w:spacing w:line="460" w:lineRule="exact"/>
        <w:ind w:firstLine="480" w:firstLineChars="200"/>
        <w:rPr>
          <w:bCs/>
          <w:sz w:val="24"/>
          <w:lang w:bidi="en-US"/>
        </w:rPr>
      </w:pPr>
      <w:r>
        <w:rPr>
          <w:rFonts w:hint="eastAsia"/>
          <w:bCs/>
          <w:sz w:val="24"/>
          <w:lang w:bidi="en-US"/>
        </w:rPr>
        <w:t>2、</w:t>
      </w:r>
      <w:r>
        <w:rPr>
          <w:bCs/>
          <w:sz w:val="24"/>
          <w:lang w:bidi="en-US"/>
        </w:rPr>
        <w:t>环境质量底线</w:t>
      </w:r>
    </w:p>
    <w:p>
      <w:pPr>
        <w:spacing w:line="460" w:lineRule="exact"/>
        <w:ind w:firstLine="480" w:firstLineChars="200"/>
        <w:rPr>
          <w:bCs/>
          <w:sz w:val="24"/>
          <w:lang w:bidi="en-US"/>
        </w:rPr>
      </w:pPr>
      <w:r>
        <w:rPr>
          <w:bCs/>
          <w:sz w:val="24"/>
          <w:lang w:bidi="en-US"/>
        </w:rPr>
        <w:t>依据《生态保护红线、环境质量底线、资源利用上线和环境准入负面清单编制技术指南（试行）》（环办环评[2017]99号），环境质量底线是指按照水、大气、土壤环境质量不断优化的原则，结合环境质量现状和相关规划、功能区划要求，考虑环境质量改善潜力，确定的分区域分阶段环境质量目标及相应的环境管控、污染物排放控制等要求。</w:t>
      </w:r>
    </w:p>
    <w:p>
      <w:pPr>
        <w:spacing w:line="460" w:lineRule="exact"/>
        <w:ind w:firstLine="480" w:firstLineChars="200"/>
        <w:rPr>
          <w:bCs/>
          <w:sz w:val="24"/>
          <w:lang w:bidi="en-US"/>
        </w:rPr>
      </w:pPr>
      <w:r>
        <w:rPr>
          <w:rFonts w:hint="eastAsia"/>
          <w:bCs/>
          <w:sz w:val="24"/>
          <w:lang w:bidi="en-US"/>
        </w:rPr>
        <w:t>（1）</w:t>
      </w:r>
      <w:r>
        <w:rPr>
          <w:bCs/>
          <w:sz w:val="24"/>
          <w:lang w:bidi="en-US"/>
        </w:rPr>
        <w:t>大气环境质量底线：</w:t>
      </w:r>
    </w:p>
    <w:p>
      <w:pPr>
        <w:spacing w:line="460" w:lineRule="exact"/>
        <w:ind w:firstLine="480" w:firstLineChars="200"/>
        <w:rPr>
          <w:bCs/>
          <w:sz w:val="24"/>
          <w:lang w:bidi="en-US"/>
        </w:rPr>
      </w:pPr>
      <w:r>
        <w:rPr>
          <w:rFonts w:hint="eastAsia"/>
          <w:bCs/>
          <w:sz w:val="24"/>
          <w:lang w:bidi="en-US"/>
        </w:rPr>
        <w:t>以区域环境空气中的各监测指标达到《环境空气质量标准》（GB3095-2012）的二级标准要求为主要目标，区域大气环境质量不低于现状。</w:t>
      </w:r>
    </w:p>
    <w:p>
      <w:pPr>
        <w:spacing w:line="460" w:lineRule="exact"/>
        <w:ind w:firstLine="480" w:firstLineChars="200"/>
        <w:rPr>
          <w:bCs/>
          <w:sz w:val="24"/>
          <w:lang w:bidi="en-US"/>
        </w:rPr>
      </w:pPr>
      <w:r>
        <w:rPr>
          <w:rFonts w:hint="eastAsia"/>
          <w:bCs/>
          <w:sz w:val="24"/>
          <w:lang w:bidi="en-US"/>
        </w:rPr>
        <w:t>项目排放的废气污染物在本区域内实现倍量削减；项目产生的废气经收集处理后可实现达标排放，根据本次评价大气环境影响预测结果，本项目排放的污染物最大落地浓度最大值满足环境质量标准要求；根据项目所在地环境现状调查和污染物排放影响预测，本项目实施后环境质量满足质量标准要求，符合环境质量底线要求。</w:t>
      </w:r>
    </w:p>
    <w:p>
      <w:pPr>
        <w:spacing w:line="460" w:lineRule="exact"/>
        <w:ind w:firstLine="480" w:firstLineChars="200"/>
        <w:rPr>
          <w:bCs/>
          <w:sz w:val="24"/>
          <w:lang w:bidi="en-US"/>
        </w:rPr>
      </w:pPr>
      <w:r>
        <w:rPr>
          <w:rFonts w:hint="eastAsia"/>
          <w:bCs/>
          <w:sz w:val="24"/>
          <w:lang w:bidi="en-US"/>
        </w:rPr>
        <w:t>（2）</w:t>
      </w:r>
      <w:r>
        <w:rPr>
          <w:bCs/>
          <w:sz w:val="24"/>
          <w:lang w:bidi="en-US"/>
        </w:rPr>
        <w:t>水环境质量底线：</w:t>
      </w:r>
    </w:p>
    <w:p>
      <w:pPr>
        <w:spacing w:line="460" w:lineRule="exact"/>
        <w:ind w:firstLine="480" w:firstLineChars="200"/>
        <w:rPr>
          <w:bCs/>
          <w:sz w:val="24"/>
          <w:lang w:bidi="en-US"/>
        </w:rPr>
      </w:pPr>
      <w:r>
        <w:rPr>
          <w:rFonts w:hint="eastAsia"/>
          <w:bCs/>
          <w:sz w:val="24"/>
          <w:lang w:bidi="en-US"/>
        </w:rPr>
        <w:t>以园区地下水水质目标满足《地下水质量标准》（GB/T14848‐2017）中Ⅲ类标准为主要目标。</w:t>
      </w:r>
    </w:p>
    <w:p>
      <w:pPr>
        <w:spacing w:line="460" w:lineRule="exact"/>
        <w:ind w:firstLine="480" w:firstLineChars="200"/>
        <w:rPr>
          <w:bCs/>
          <w:sz w:val="24"/>
          <w:lang w:bidi="en-US"/>
        </w:rPr>
      </w:pPr>
      <w:r>
        <w:rPr>
          <w:bCs/>
          <w:sz w:val="24"/>
          <w:lang w:bidi="en-US"/>
        </w:rPr>
        <w:t>项目</w:t>
      </w:r>
      <w:r>
        <w:rPr>
          <w:rFonts w:hint="eastAsia"/>
          <w:bCs/>
          <w:sz w:val="24"/>
          <w:lang w:bidi="en-US"/>
        </w:rPr>
        <w:t>生产废水经设置的生产废水处理设施处置后全部回用、生活污水经防渗化粪池暂存后定期拉运至农业园污水处理厂处置</w:t>
      </w:r>
      <w:r>
        <w:rPr>
          <w:bCs/>
          <w:sz w:val="24"/>
          <w:lang w:bidi="en-US"/>
        </w:rPr>
        <w:t>。厂区采取分区防渗措施，可确保不对地下水造成污染，不会对周围环境造成太大影响。</w:t>
      </w:r>
    </w:p>
    <w:p>
      <w:pPr>
        <w:spacing w:line="460" w:lineRule="exact"/>
        <w:ind w:firstLine="480" w:firstLineChars="200"/>
        <w:rPr>
          <w:bCs/>
          <w:sz w:val="24"/>
          <w:lang w:bidi="en-US"/>
        </w:rPr>
      </w:pPr>
      <w:r>
        <w:rPr>
          <w:rFonts w:hint="eastAsia"/>
          <w:bCs/>
          <w:sz w:val="24"/>
          <w:lang w:bidi="en-US"/>
        </w:rPr>
        <w:t>（3）</w:t>
      </w:r>
      <w:r>
        <w:rPr>
          <w:bCs/>
          <w:sz w:val="24"/>
          <w:lang w:bidi="en-US"/>
        </w:rPr>
        <w:t>土壤环境质量底线：</w:t>
      </w:r>
    </w:p>
    <w:p>
      <w:pPr>
        <w:spacing w:line="460" w:lineRule="exact"/>
        <w:ind w:firstLine="480" w:firstLineChars="200"/>
        <w:rPr>
          <w:bCs/>
          <w:sz w:val="24"/>
          <w:lang w:bidi="en-US"/>
        </w:rPr>
      </w:pPr>
      <w:r>
        <w:rPr>
          <w:bCs/>
          <w:sz w:val="24"/>
          <w:lang w:bidi="en-US"/>
        </w:rPr>
        <w:t>以</w:t>
      </w:r>
      <w:r>
        <w:rPr>
          <w:rFonts w:hint="eastAsia"/>
          <w:bCs/>
          <w:sz w:val="24"/>
          <w:lang w:bidi="en-US"/>
        </w:rPr>
        <w:t>厂区</w:t>
      </w:r>
      <w:r>
        <w:rPr>
          <w:bCs/>
          <w:sz w:val="24"/>
          <w:lang w:bidi="en-US"/>
        </w:rPr>
        <w:t>土壤环境质量满足《土壤环境质量 建设用地土壤污染风险管控标准(试行)》(GB36600-2018)标准要求为主要目标。土壤环境质量不低于现状。</w:t>
      </w:r>
    </w:p>
    <w:p>
      <w:pPr>
        <w:spacing w:line="460" w:lineRule="exact"/>
        <w:ind w:firstLine="480" w:firstLineChars="200"/>
        <w:rPr>
          <w:bCs/>
          <w:sz w:val="24"/>
          <w:lang w:bidi="en-US"/>
        </w:rPr>
      </w:pPr>
      <w:r>
        <w:rPr>
          <w:bCs/>
          <w:sz w:val="24"/>
          <w:lang w:bidi="en-US"/>
        </w:rPr>
        <w:t>根据环境质量现状调查评价结果，区域环境质量现状总体良好，有一定的环境容量。项目厂区采取分区防渗措施，废气达标排放，可确保不对土壤造成污染。本项目产生的危险废物和一般工业固体废物做到合理处置，实现固体废物的减量化、资源化和无害化。</w:t>
      </w:r>
    </w:p>
    <w:p>
      <w:pPr>
        <w:spacing w:line="460" w:lineRule="exact"/>
        <w:ind w:firstLine="480" w:firstLineChars="200"/>
        <w:rPr>
          <w:bCs/>
          <w:sz w:val="24"/>
          <w:lang w:bidi="en-US"/>
        </w:rPr>
      </w:pPr>
      <w:r>
        <w:rPr>
          <w:rFonts w:hint="eastAsia"/>
          <w:bCs/>
          <w:sz w:val="24"/>
          <w:lang w:bidi="en-US"/>
        </w:rPr>
        <w:t>3、</w:t>
      </w:r>
      <w:r>
        <w:rPr>
          <w:bCs/>
          <w:sz w:val="24"/>
          <w:lang w:bidi="en-US"/>
        </w:rPr>
        <w:t>资源利用上线</w:t>
      </w:r>
    </w:p>
    <w:p>
      <w:pPr>
        <w:spacing w:line="460" w:lineRule="exact"/>
        <w:ind w:firstLine="480" w:firstLineChars="200"/>
        <w:rPr>
          <w:bCs/>
          <w:sz w:val="24"/>
          <w:lang w:bidi="en-US"/>
        </w:rPr>
      </w:pPr>
      <w:r>
        <w:rPr>
          <w:bCs/>
          <w:sz w:val="24"/>
          <w:lang w:bidi="en-US"/>
        </w:rPr>
        <w:t>依据《生态保护红线、环境质量底线、资源利用上线和环境准入负面清单编制技术指南（试行）》（环办环评[2017]99号），资源利用上线是指按照自然资源资产“只能增值、不能贬值”的原则，以保证生态安全和改善环境质量为目的，利用自然资源资产负债表，结合自然资源开发管控，提出的分区域分阶段的资源开发利用总量、强度、效率等上线管控要求。</w:t>
      </w:r>
    </w:p>
    <w:p>
      <w:pPr>
        <w:spacing w:line="460" w:lineRule="exact"/>
        <w:ind w:firstLine="480" w:firstLineChars="200"/>
        <w:rPr>
          <w:bCs/>
          <w:sz w:val="24"/>
          <w:lang w:bidi="en-US"/>
        </w:rPr>
      </w:pPr>
      <w:r>
        <w:rPr>
          <w:rFonts w:hint="eastAsia"/>
          <w:bCs/>
          <w:sz w:val="24"/>
          <w:lang w:bidi="en-US"/>
        </w:rPr>
        <w:t>本项目的用水水源由园区规划地下水水井供给，根据核算，本项目用水量较小，未超过园区规划取水量。</w:t>
      </w:r>
    </w:p>
    <w:p>
      <w:pPr>
        <w:spacing w:line="460" w:lineRule="exact"/>
        <w:ind w:firstLine="480" w:firstLineChars="200"/>
        <w:rPr>
          <w:bCs/>
          <w:sz w:val="24"/>
          <w:lang w:bidi="en-US"/>
        </w:rPr>
      </w:pPr>
      <w:r>
        <w:rPr>
          <w:rFonts w:hint="eastAsia"/>
          <w:bCs/>
          <w:sz w:val="24"/>
          <w:lang w:bidi="en-US"/>
        </w:rPr>
        <w:t>本项目生产废水经设置的废水处理设施处置后全部回用；本项目建成运行后通过内部管理、设备选择、原辅材料的选用和管理、污染治理等多方面采取合理可行的防治措施，以“节能、降耗、减污”为目标，有效的控制污染及资源利用水平。项目的水、电等资源利用不会突破区域的资源利用上线。</w:t>
      </w:r>
    </w:p>
    <w:p>
      <w:pPr>
        <w:spacing w:line="460" w:lineRule="exact"/>
        <w:ind w:firstLine="480" w:firstLineChars="200"/>
        <w:rPr>
          <w:sz w:val="24"/>
          <w:lang w:bidi="en-US"/>
        </w:rPr>
      </w:pPr>
      <w:r>
        <w:rPr>
          <w:rFonts w:hint="eastAsia"/>
          <w:sz w:val="24"/>
          <w:lang w:bidi="en-US"/>
        </w:rPr>
        <w:t>4、</w:t>
      </w:r>
      <w:r>
        <w:rPr>
          <w:bCs/>
          <w:sz w:val="24"/>
          <w:lang w:bidi="en-US"/>
        </w:rPr>
        <w:t>生态环境准入与清单</w:t>
      </w:r>
    </w:p>
    <w:p>
      <w:pPr>
        <w:spacing w:line="460" w:lineRule="exact"/>
        <w:ind w:firstLine="480" w:firstLineChars="200"/>
        <w:rPr>
          <w:bCs/>
          <w:sz w:val="24"/>
          <w:lang w:bidi="en-US"/>
        </w:rPr>
      </w:pPr>
      <w:r>
        <w:rPr>
          <w:rFonts w:hint="eastAsia"/>
          <w:bCs/>
          <w:sz w:val="24"/>
          <w:lang w:bidi="en-US"/>
        </w:rPr>
        <w:t>依据</w:t>
      </w:r>
      <w:r>
        <w:rPr>
          <w:bCs/>
          <w:sz w:val="24"/>
          <w:lang w:bidi="en-US"/>
        </w:rPr>
        <w:t>《关于印发《新疆维吾尔自治区“三线一单”生态环境分区管控方案》的通知》（新政发〔2021〕18号）</w:t>
      </w:r>
      <w:r>
        <w:rPr>
          <w:rFonts w:hint="eastAsia"/>
          <w:bCs/>
          <w:sz w:val="24"/>
          <w:lang w:bidi="en-US"/>
        </w:rPr>
        <w:t>、《关于印发《新疆维吾尔自治区七大片区“三线一单”生态环境分区管控要求》（2</w:t>
      </w:r>
      <w:r>
        <w:rPr>
          <w:bCs/>
          <w:sz w:val="24"/>
          <w:lang w:bidi="en-US"/>
        </w:rPr>
        <w:t>021</w:t>
      </w:r>
      <w:r>
        <w:rPr>
          <w:rFonts w:hint="eastAsia"/>
          <w:bCs/>
          <w:sz w:val="24"/>
          <w:lang w:bidi="en-US"/>
        </w:rPr>
        <w:t>年版）的通知》（新环环评发〔2021〕162号）、《昌吉回族自治州“三线一单”生态环境分区管控方案及生态环境准入清单》（昌州政办发〔2021〕41号）对项目与生态环境准入清单符合性进行分析。</w:t>
      </w:r>
    </w:p>
    <w:p>
      <w:pPr>
        <w:spacing w:line="460" w:lineRule="exact"/>
        <w:ind w:firstLine="480" w:firstLineChars="200"/>
        <w:rPr>
          <w:sz w:val="24"/>
          <w:lang w:bidi="en-US"/>
        </w:rPr>
      </w:pPr>
      <w:r>
        <w:rPr>
          <w:bCs/>
          <w:sz w:val="24"/>
          <w:lang w:bidi="en-US"/>
        </w:rPr>
        <w:t>根据《关于印发《新疆维吾尔自治区“三线一单”生态环境分区管控方案》的通知》（新政发〔2021〕18号），自治区按照管控要求，划定优先保护单元、重点管控单元、一般管控单元三类，实施分类管控。根据</w:t>
      </w:r>
      <w:r>
        <w:rPr>
          <w:rFonts w:hint="eastAsia"/>
          <w:bCs/>
          <w:sz w:val="24"/>
          <w:lang w:bidi="en-US"/>
        </w:rPr>
        <w:t>《昌吉回族自治州“三线一单”生态环境分区管控方案及生态环境准入清单》（昌州政办发〔2021〕41号）</w:t>
      </w:r>
      <w:r>
        <w:rPr>
          <w:bCs/>
          <w:sz w:val="24"/>
          <w:lang w:bidi="en-US"/>
        </w:rPr>
        <w:t>，本项目位于</w:t>
      </w:r>
      <w:r>
        <w:rPr>
          <w:rFonts w:hint="eastAsia"/>
          <w:bCs/>
          <w:sz w:val="24"/>
          <w:lang w:bidi="en-US"/>
        </w:rPr>
        <w:t>昌吉国家农业科技园区示范区，属于昌吉市建成区重点管控单元（ZH65230120001），本项目与各级管控要求符合性分析见表1.3-17～表1.3-19。</w:t>
      </w:r>
    </w:p>
    <w:p>
      <w:pPr>
        <w:adjustRightInd w:val="0"/>
        <w:snapToGrid w:val="0"/>
        <w:ind w:firstLine="420" w:firstLineChars="200"/>
        <w:rPr>
          <w:rFonts w:eastAsia="黑体"/>
          <w:bCs/>
          <w:lang w:bidi="en-US"/>
        </w:rPr>
      </w:pPr>
    </w:p>
    <w:p>
      <w:pPr>
        <w:adjustRightInd w:val="0"/>
        <w:snapToGrid w:val="0"/>
        <w:ind w:firstLine="420" w:firstLineChars="200"/>
        <w:rPr>
          <w:rFonts w:eastAsia="黑体"/>
          <w:bCs/>
          <w:lang w:bidi="en-US"/>
        </w:rPr>
      </w:pPr>
    </w:p>
    <w:p>
      <w:pPr>
        <w:adjustRightInd w:val="0"/>
        <w:snapToGrid w:val="0"/>
        <w:ind w:firstLine="420" w:firstLineChars="200"/>
        <w:rPr>
          <w:rFonts w:eastAsia="黑体"/>
          <w:lang w:bidi="en-US"/>
        </w:rPr>
      </w:pPr>
      <w:r>
        <w:rPr>
          <w:rFonts w:eastAsia="黑体"/>
          <w:bCs/>
          <w:lang w:bidi="en-US"/>
        </w:rPr>
        <w:t>表</w:t>
      </w:r>
      <w:r>
        <w:rPr>
          <w:rFonts w:hint="eastAsia" w:eastAsia="黑体"/>
          <w:bCs/>
          <w:lang w:bidi="en-US"/>
        </w:rPr>
        <w:t>1.3-17</w:t>
      </w:r>
      <w:r>
        <w:rPr>
          <w:rFonts w:eastAsia="黑体"/>
          <w:bCs/>
          <w:lang w:bidi="en-US"/>
        </w:rPr>
        <w:t xml:space="preserve">  《新疆维吾尔自治区“三线一单”生态环境分区管控方案》符合性分析结果</w:t>
      </w:r>
    </w:p>
    <w:tbl>
      <w:tblPr>
        <w:tblStyle w:val="739"/>
        <w:tblW w:w="500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6"/>
        <w:gridCol w:w="540"/>
        <w:gridCol w:w="4591"/>
        <w:gridCol w:w="2029"/>
        <w:gridCol w:w="7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23" w:type="pct"/>
            <w:gridSpan w:val="3"/>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管控要求</w:t>
            </w:r>
          </w:p>
        </w:tc>
        <w:tc>
          <w:tcPr>
            <w:tcW w:w="1233"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本项目情况</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restar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重点管控单元</w:t>
            </w:r>
          </w:p>
        </w:tc>
        <w:tc>
          <w:tcPr>
            <w:tcW w:w="328" w:type="pct"/>
            <w:vMerge w:val="restar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空间布局约束</w:t>
            </w:r>
          </w:p>
        </w:tc>
        <w:tc>
          <w:tcPr>
            <w:tcW w:w="2790"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本项目为</w:t>
            </w:r>
            <w:r>
              <w:rPr>
                <w:rFonts w:hint="eastAsia"/>
                <w:snapToGrid w:val="0"/>
                <w:kern w:val="0"/>
                <w:sz w:val="22"/>
                <w:szCs w:val="21"/>
                <w:lang w:eastAsia="zh-CN"/>
              </w:rPr>
              <w:t>农业废旧塑料综合利用生产滴灌带及PE管生产项目，项目选址位于昌吉国家农业科技园区示范区，用地属于工业用地</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Merge w:val="continue"/>
            <w:vAlign w:val="center"/>
          </w:tcPr>
          <w:p>
            <w:pPr>
              <w:widowControl/>
              <w:adjustRightInd w:val="0"/>
              <w:snapToGrid w:val="0"/>
              <w:jc w:val="center"/>
              <w:rPr>
                <w:snapToGrid w:val="0"/>
                <w:kern w:val="0"/>
                <w:sz w:val="22"/>
                <w:szCs w:val="21"/>
                <w:lang w:eastAsia="en-US"/>
              </w:rPr>
            </w:pPr>
          </w:p>
        </w:tc>
        <w:tc>
          <w:tcPr>
            <w:tcW w:w="2790"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本项目采用电能替代高污染燃料，不涉及禁止或淘汰生产工艺及设备；清洁生产水平可达到国内先进水平。</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Merge w:val="continue"/>
            <w:vAlign w:val="center"/>
          </w:tcPr>
          <w:p>
            <w:pPr>
              <w:widowControl/>
              <w:adjustRightInd w:val="0"/>
              <w:snapToGrid w:val="0"/>
              <w:jc w:val="center"/>
              <w:rPr>
                <w:snapToGrid w:val="0"/>
                <w:kern w:val="0"/>
                <w:sz w:val="22"/>
                <w:szCs w:val="21"/>
                <w:lang w:eastAsia="en-US"/>
              </w:rPr>
            </w:pPr>
          </w:p>
        </w:tc>
        <w:tc>
          <w:tcPr>
            <w:tcW w:w="2790" w:type="pct"/>
            <w:vAlign w:val="center"/>
          </w:tcPr>
          <w:p>
            <w:pPr>
              <w:widowControl/>
              <w:adjustRightInd w:val="0"/>
              <w:snapToGrid w:val="0"/>
              <w:jc w:val="center"/>
              <w:rPr>
                <w:snapToGrid w:val="0"/>
                <w:kern w:val="0"/>
                <w:sz w:val="22"/>
                <w:szCs w:val="21"/>
                <w:lang w:eastAsia="en-US"/>
              </w:rPr>
            </w:pPr>
            <w:r>
              <w:rPr>
                <w:snapToGrid w:val="0"/>
                <w:kern w:val="0"/>
                <w:sz w:val="22"/>
                <w:szCs w:val="21"/>
                <w:lang w:eastAsia="zh-CN"/>
              </w:rPr>
              <w:t>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w:t>
            </w:r>
            <w:r>
              <w:rPr>
                <w:snapToGrid w:val="0"/>
                <w:kern w:val="0"/>
                <w:sz w:val="22"/>
                <w:szCs w:val="21"/>
                <w:lang w:eastAsia="en-US"/>
              </w:rPr>
              <w:t>……</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本项目生产废水自行处理后全部回用，生活污水</w:t>
            </w:r>
            <w:r>
              <w:rPr>
                <w:rFonts w:hint="eastAsia"/>
                <w:snapToGrid w:val="0"/>
                <w:kern w:val="0"/>
                <w:sz w:val="22"/>
                <w:szCs w:val="21"/>
                <w:lang w:eastAsia="zh-CN"/>
              </w:rPr>
              <w:t>拉运至园区污水处理厂处置</w:t>
            </w:r>
            <w:r>
              <w:rPr>
                <w:snapToGrid w:val="0"/>
                <w:kern w:val="0"/>
                <w:sz w:val="22"/>
                <w:szCs w:val="21"/>
                <w:lang w:eastAsia="zh-CN"/>
              </w:rPr>
              <w:t>。</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Merge w:val="continue"/>
            <w:vAlign w:val="center"/>
          </w:tcPr>
          <w:p>
            <w:pPr>
              <w:widowControl/>
              <w:adjustRightInd w:val="0"/>
              <w:snapToGrid w:val="0"/>
              <w:jc w:val="center"/>
              <w:rPr>
                <w:snapToGrid w:val="0"/>
                <w:kern w:val="0"/>
                <w:sz w:val="22"/>
                <w:szCs w:val="21"/>
                <w:lang w:eastAsia="en-US"/>
              </w:rPr>
            </w:pPr>
          </w:p>
        </w:tc>
        <w:tc>
          <w:tcPr>
            <w:tcW w:w="2790"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本项目不涉重金属、持久性有机物等有毒有害污染物。</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污染物排放管控</w:t>
            </w:r>
          </w:p>
        </w:tc>
        <w:tc>
          <w:tcPr>
            <w:tcW w:w="2790" w:type="pct"/>
            <w:vAlign w:val="center"/>
          </w:tcPr>
          <w:p>
            <w:pPr>
              <w:widowControl/>
              <w:adjustRightInd w:val="0"/>
              <w:snapToGrid w:val="0"/>
              <w:jc w:val="center"/>
              <w:rPr>
                <w:snapToGrid w:val="0"/>
                <w:kern w:val="0"/>
                <w:sz w:val="22"/>
                <w:szCs w:val="21"/>
                <w:lang w:eastAsia="en-US"/>
              </w:rPr>
            </w:pPr>
            <w:r>
              <w:rPr>
                <w:snapToGrid w:val="0"/>
                <w:kern w:val="0"/>
                <w:sz w:val="22"/>
                <w:szCs w:val="21"/>
                <w:lang w:eastAsia="zh-CN"/>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w:t>
            </w:r>
            <w:r>
              <w:rPr>
                <w:snapToGrid w:val="0"/>
                <w:kern w:val="0"/>
                <w:sz w:val="22"/>
                <w:szCs w:val="21"/>
                <w:lang w:eastAsia="en-US"/>
              </w:rPr>
              <w:t>加强土壤和地下水污染防治与修复。</w:t>
            </w:r>
          </w:p>
        </w:tc>
        <w:tc>
          <w:tcPr>
            <w:tcW w:w="1233" w:type="pct"/>
            <w:vAlign w:val="center"/>
          </w:tcPr>
          <w:p>
            <w:pPr>
              <w:widowControl/>
              <w:adjustRightInd w:val="0"/>
              <w:snapToGrid w:val="0"/>
              <w:jc w:val="center"/>
              <w:rPr>
                <w:snapToGrid w:val="0"/>
                <w:kern w:val="0"/>
                <w:sz w:val="22"/>
                <w:szCs w:val="21"/>
                <w:lang w:eastAsia="zh-CN"/>
              </w:rPr>
            </w:pPr>
            <w:r>
              <w:rPr>
                <w:rFonts w:hint="eastAsia" w:ascii="宋体" w:hAnsi="宋体" w:cs="宋体"/>
                <w:snapToGrid w:val="0"/>
                <w:kern w:val="0"/>
                <w:sz w:val="22"/>
                <w:szCs w:val="21"/>
                <w:lang w:eastAsia="zh-CN"/>
              </w:rPr>
              <w:t>①</w:t>
            </w:r>
            <w:r>
              <w:rPr>
                <w:snapToGrid w:val="0"/>
                <w:kern w:val="0"/>
                <w:sz w:val="22"/>
                <w:szCs w:val="21"/>
                <w:lang w:eastAsia="zh-CN"/>
              </w:rPr>
              <w:t>本项目</w:t>
            </w:r>
            <w:r>
              <w:rPr>
                <w:rFonts w:hint="eastAsia"/>
                <w:snapToGrid w:val="0"/>
                <w:kern w:val="0"/>
                <w:sz w:val="22"/>
                <w:szCs w:val="21"/>
                <w:lang w:eastAsia="zh-CN"/>
              </w:rPr>
              <w:t>非甲烷总烃</w:t>
            </w:r>
            <w:r>
              <w:rPr>
                <w:snapToGrid w:val="0"/>
                <w:kern w:val="0"/>
                <w:sz w:val="22"/>
                <w:szCs w:val="21"/>
                <w:lang w:eastAsia="zh-CN"/>
              </w:rPr>
              <w:t>实施总量控制，所有污染物能够达标排放；</w:t>
            </w:r>
            <w:r>
              <w:rPr>
                <w:rFonts w:hint="eastAsia" w:ascii="宋体" w:hAnsi="宋体" w:cs="宋体"/>
                <w:snapToGrid w:val="0"/>
                <w:kern w:val="0"/>
                <w:sz w:val="22"/>
                <w:szCs w:val="21"/>
                <w:lang w:eastAsia="zh-CN"/>
              </w:rPr>
              <w:t>②</w:t>
            </w:r>
            <w:r>
              <w:rPr>
                <w:snapToGrid w:val="0"/>
                <w:kern w:val="0"/>
                <w:sz w:val="22"/>
                <w:szCs w:val="21"/>
                <w:lang w:eastAsia="zh-CN"/>
              </w:rPr>
              <w:t>项目清洁生产水平可以达到国内先进水平；</w:t>
            </w:r>
            <w:r>
              <w:rPr>
                <w:rFonts w:hint="eastAsia" w:ascii="宋体" w:hAnsi="宋体" w:cs="宋体"/>
                <w:snapToGrid w:val="0"/>
                <w:kern w:val="0"/>
                <w:sz w:val="22"/>
                <w:szCs w:val="21"/>
                <w:lang w:eastAsia="zh-CN"/>
              </w:rPr>
              <w:t>③废水自行处理后回用</w:t>
            </w:r>
            <w:r>
              <w:rPr>
                <w:snapToGrid w:val="0"/>
                <w:kern w:val="0"/>
                <w:sz w:val="22"/>
                <w:szCs w:val="21"/>
                <w:lang w:eastAsia="zh-CN"/>
              </w:rPr>
              <w:t>；</w:t>
            </w:r>
            <w:r>
              <w:rPr>
                <w:rFonts w:hint="eastAsia" w:ascii="宋体" w:hAnsi="宋体" w:cs="宋体"/>
                <w:snapToGrid w:val="0"/>
                <w:kern w:val="0"/>
                <w:sz w:val="22"/>
                <w:szCs w:val="21"/>
                <w:lang w:eastAsia="zh-CN"/>
              </w:rPr>
              <w:t>④</w:t>
            </w:r>
            <w:r>
              <w:rPr>
                <w:snapToGrid w:val="0"/>
                <w:kern w:val="0"/>
                <w:sz w:val="22"/>
                <w:szCs w:val="21"/>
                <w:lang w:eastAsia="zh-CN"/>
              </w:rPr>
              <w:t>固废能够妥善处置；</w:t>
            </w:r>
            <w:r>
              <w:rPr>
                <w:rFonts w:hint="eastAsia" w:ascii="宋体" w:hAnsi="宋体" w:cs="宋体"/>
                <w:snapToGrid w:val="0"/>
                <w:kern w:val="0"/>
                <w:sz w:val="22"/>
                <w:szCs w:val="21"/>
                <w:lang w:eastAsia="zh-CN"/>
              </w:rPr>
              <w:t>⑤</w:t>
            </w:r>
            <w:r>
              <w:rPr>
                <w:snapToGrid w:val="0"/>
                <w:kern w:val="0"/>
                <w:sz w:val="22"/>
                <w:szCs w:val="21"/>
                <w:lang w:eastAsia="zh-CN"/>
              </w:rPr>
              <w:t>厂区采取分区防渗措施。</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环境风险防控</w:t>
            </w:r>
          </w:p>
        </w:tc>
        <w:tc>
          <w:tcPr>
            <w:tcW w:w="2790" w:type="pct"/>
            <w:vAlign w:val="center"/>
          </w:tcPr>
          <w:p>
            <w:pPr>
              <w:widowControl/>
              <w:adjustRightInd w:val="0"/>
              <w:snapToGrid w:val="0"/>
              <w:jc w:val="center"/>
              <w:rPr>
                <w:snapToGrid w:val="0"/>
                <w:kern w:val="0"/>
                <w:sz w:val="22"/>
                <w:szCs w:val="21"/>
                <w:lang w:eastAsia="en-US"/>
              </w:rPr>
            </w:pPr>
            <w:r>
              <w:rPr>
                <w:snapToGrid w:val="0"/>
                <w:kern w:val="0"/>
                <w:sz w:val="22"/>
                <w:szCs w:val="21"/>
                <w:lang w:eastAsia="zh-CN"/>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w:t>
            </w:r>
            <w:r>
              <w:rPr>
                <w:snapToGrid w:val="0"/>
                <w:kern w:val="0"/>
                <w:sz w:val="22"/>
                <w:szCs w:val="21"/>
                <w:lang w:eastAsia="en-US"/>
              </w:rPr>
              <w:t>加强土壤和地下水污染防治与修复。</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本项目建成后落实环境风险应急预案和备案工作</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en-US"/>
              </w:rPr>
            </w:pPr>
          </w:p>
        </w:tc>
        <w:tc>
          <w:tcPr>
            <w:tcW w:w="328"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资源利用要求</w:t>
            </w:r>
          </w:p>
        </w:tc>
        <w:tc>
          <w:tcPr>
            <w:tcW w:w="2790"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推进工业集聚区生态化改造，强化企业清洁生产改造，推进节水型企业、节水型工业园区建设，提高资源能源利用效率。</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本项目清洁生产水平为国内先进，水循环利用率达到100%</w:t>
            </w:r>
          </w:p>
        </w:tc>
        <w:tc>
          <w:tcPr>
            <w:tcW w:w="444" w:type="pct"/>
            <w:vAlign w:val="center"/>
          </w:tcPr>
          <w:p>
            <w:pPr>
              <w:widowControl/>
              <w:adjustRightInd w:val="0"/>
              <w:snapToGrid w:val="0"/>
              <w:jc w:val="center"/>
              <w:rPr>
                <w:snapToGrid w:val="0"/>
                <w:kern w:val="0"/>
                <w:sz w:val="22"/>
                <w:szCs w:val="21"/>
                <w:lang w:eastAsia="en-US"/>
              </w:rPr>
            </w:pPr>
            <w:r>
              <w:rPr>
                <w:snapToGrid w:val="0"/>
                <w:kern w:val="0"/>
                <w:sz w:val="22"/>
                <w:szCs w:val="21"/>
                <w:lang w:eastAsia="en-US"/>
              </w:rPr>
              <w:t>符合</w:t>
            </w:r>
          </w:p>
        </w:tc>
      </w:tr>
    </w:tbl>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r>
        <w:rPr>
          <w:rFonts w:ascii="Times New Roman" w:hAnsi="Times New Roman" w:eastAsia="黑体" w:cs="Times New Roman"/>
          <w:sz w:val="21"/>
          <w:lang w:bidi="en-US"/>
        </w:rPr>
        <w:t>表</w:t>
      </w:r>
      <w:r>
        <w:rPr>
          <w:rFonts w:hint="eastAsia" w:ascii="Times New Roman" w:hAnsi="Times New Roman" w:eastAsia="黑体" w:cs="Times New Roman"/>
          <w:sz w:val="21"/>
          <w:lang w:bidi="en-US"/>
        </w:rPr>
        <w:t>1.3</w:t>
      </w:r>
      <w:r>
        <w:rPr>
          <w:rFonts w:ascii="Times New Roman" w:hAnsi="Times New Roman" w:eastAsia="黑体" w:cs="Times New Roman"/>
          <w:sz w:val="21"/>
          <w:lang w:bidi="en-US"/>
        </w:rPr>
        <w:t>-</w:t>
      </w:r>
      <w:r>
        <w:rPr>
          <w:rFonts w:hint="eastAsia" w:ascii="Times New Roman" w:hAnsi="Times New Roman" w:eastAsia="黑体" w:cs="Times New Roman"/>
          <w:sz w:val="21"/>
          <w:lang w:bidi="en-US"/>
        </w:rPr>
        <w:t>18</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新环环评发〔2021〕162号</w:t>
      </w:r>
      <w:r>
        <w:rPr>
          <w:rFonts w:ascii="Times New Roman" w:hAnsi="Times New Roman" w:eastAsia="黑体" w:cs="Times New Roman"/>
          <w:sz w:val="21"/>
          <w:lang w:bidi="en-US"/>
        </w:rPr>
        <w:t>符合性分析结果</w:t>
      </w:r>
    </w:p>
    <w:tbl>
      <w:tblPr>
        <w:tblStyle w:val="739"/>
        <w:tblW w:w="500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6"/>
        <w:gridCol w:w="540"/>
        <w:gridCol w:w="4591"/>
        <w:gridCol w:w="2029"/>
        <w:gridCol w:w="7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23" w:type="pct"/>
            <w:gridSpan w:val="3"/>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管控要求</w:t>
            </w:r>
          </w:p>
        </w:tc>
        <w:tc>
          <w:tcPr>
            <w:tcW w:w="1233"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本项目情况</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restar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总体要求</w:t>
            </w:r>
          </w:p>
        </w:tc>
        <w:tc>
          <w:tcPr>
            <w:tcW w:w="328"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空间布局约束</w:t>
            </w: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严格执行国家、自治区产业政策和环境准入要求，严禁“三高”项目进新疆，坚决遏制“两高”项目盲目发展。不得在水源涵养区、饮用水水源保护区和河流、湖泊、水库周围建设重化工、涉重金属等工业污染项目。推动项目集聚发展，新建、改建、扩建工业项目原则上应布置于由县级及以上人民政府批准建立、环境保护基础设施完善的产业园区、工业集聚区或规划矿区，并且符合相关规划和规划环评要求。</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本项目为农业废旧塑料综合利用生产滴灌带及PE管生产项目，项目选址位于昌吉国家农业科技园区示范区，用地属于工业用地</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污染物排放管控</w:t>
            </w: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果，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本项目属于农业生产废旧塑料综合利用项目，项目运营期产生废气主要为非甲烷总烃，经设置的集气设施收集后经过分别配套的活性炭吸附+催化燃烧（CO）净化处置后排放，废水处置后回用</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环境风险防控</w:t>
            </w: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禁止在化工园区外新建、扩建危险化学品生产向目。严格落实危险废物处置相关要求。加强重点流域水环境风险管控，保障水环境安全。</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本项目不属于危险化学品生产项目</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资源利用效率要求</w:t>
            </w: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优化能源结构，控制煤炭等化石能源使用量，鼓励使用清洁能源，协同推进减污降碳。全面实施节水工程，合理开发利用水资源，提升水资源利用效率，保障生态用水，严防地下水超采。</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项目使用电能</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restar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各片区管控要求</w:t>
            </w:r>
          </w:p>
        </w:tc>
        <w:tc>
          <w:tcPr>
            <w:tcW w:w="328" w:type="pct"/>
            <w:vMerge w:val="restar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乌昌石片区</w:t>
            </w: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厂项目。坚持属地负责与区域大气污染联防联控相结合，以明显降低细颗粒物浓度为重点，协同推进“乌-昌-石”同防同治区域大气环境治理。强化与生产建设兵团第六师、第八师、第十一师、第十二师同防同治，所有新建、改建、扩建工业项目执行最严格的大气污染物排放标准，强化氮氧化物深度治理，确保区域环境空气质量持续改善</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本项目为废旧塑料回收再生利用生产滴灌带、PE管生产项目，本项目产生废气执行特别排放限值要求</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Merge w:val="continue"/>
            <w:vAlign w:val="center"/>
          </w:tcPr>
          <w:p>
            <w:pPr>
              <w:widowControl/>
              <w:adjustRightInd w:val="0"/>
              <w:snapToGrid w:val="0"/>
              <w:jc w:val="center"/>
              <w:rPr>
                <w:snapToGrid w:val="0"/>
                <w:kern w:val="0"/>
                <w:sz w:val="22"/>
                <w:szCs w:val="21"/>
                <w:lang w:eastAsia="zh-CN"/>
              </w:rPr>
            </w:pP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强化挥发性有机物污染防治措施。推广使用低挥发性有机物原辅料，推动有条件的园区（工业集聚区）建设集中喷涂工程中心，配备高效治污设施，替代企业独立喷涂工序</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本项目挥发性有机物采取活性炭吸附+催化燃烧（CO）净化处置后排放</w:t>
            </w:r>
          </w:p>
        </w:tc>
        <w:tc>
          <w:tcPr>
            <w:tcW w:w="444"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Merge w:val="continue"/>
            <w:vAlign w:val="center"/>
          </w:tcPr>
          <w:p>
            <w:pPr>
              <w:widowControl/>
              <w:adjustRightInd w:val="0"/>
              <w:snapToGrid w:val="0"/>
              <w:jc w:val="center"/>
              <w:rPr>
                <w:snapToGrid w:val="0"/>
                <w:kern w:val="0"/>
                <w:sz w:val="22"/>
                <w:szCs w:val="21"/>
                <w:lang w:eastAsia="zh-CN"/>
              </w:rPr>
            </w:pP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强化企业清洁生产改造，推进节水型企业、节水型工业园区建设，提高资源集约节约利用水平。积极推进地下水超采治理，逐步压减地下水超采量，实现地下水采补平衡</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本项目用水根据园区规划采用地下水，用水量控制在园区规划用水量范围内，不会对区域水资源造成冲击</w:t>
            </w:r>
          </w:p>
        </w:tc>
        <w:tc>
          <w:tcPr>
            <w:tcW w:w="444"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Merge w:val="continue"/>
            <w:vAlign w:val="center"/>
          </w:tcPr>
          <w:p>
            <w:pPr>
              <w:widowControl/>
              <w:adjustRightInd w:val="0"/>
              <w:snapToGrid w:val="0"/>
              <w:jc w:val="center"/>
              <w:rPr>
                <w:snapToGrid w:val="0"/>
                <w:kern w:val="0"/>
                <w:sz w:val="22"/>
                <w:szCs w:val="21"/>
                <w:lang w:eastAsia="zh-CN"/>
              </w:rPr>
            </w:pP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强化油（气）资源开发区土壤环境污染综合整治，加强涉重金属行业污染防控与工业废物处理处置</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本项目不涉及重金属排放</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 w:type="pct"/>
            <w:vMerge w:val="continue"/>
            <w:vAlign w:val="center"/>
          </w:tcPr>
          <w:p>
            <w:pPr>
              <w:widowControl/>
              <w:adjustRightInd w:val="0"/>
              <w:snapToGrid w:val="0"/>
              <w:jc w:val="center"/>
              <w:rPr>
                <w:snapToGrid w:val="0"/>
                <w:kern w:val="0"/>
                <w:sz w:val="22"/>
                <w:szCs w:val="21"/>
                <w:lang w:eastAsia="zh-CN"/>
              </w:rPr>
            </w:pPr>
          </w:p>
        </w:tc>
        <w:tc>
          <w:tcPr>
            <w:tcW w:w="328" w:type="pct"/>
            <w:vMerge w:val="continue"/>
            <w:vAlign w:val="center"/>
          </w:tcPr>
          <w:p>
            <w:pPr>
              <w:widowControl/>
              <w:adjustRightInd w:val="0"/>
              <w:snapToGrid w:val="0"/>
              <w:jc w:val="center"/>
              <w:rPr>
                <w:snapToGrid w:val="0"/>
                <w:kern w:val="0"/>
                <w:sz w:val="22"/>
                <w:szCs w:val="21"/>
                <w:lang w:eastAsia="zh-CN"/>
              </w:rPr>
            </w:pPr>
          </w:p>
        </w:tc>
        <w:tc>
          <w:tcPr>
            <w:tcW w:w="2790"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煤炭、石油、天然气开发单位应当制定生态保护和恢复治理方案，并予以实施。生态保护和恢复治理方案内容应当向社会公布，接受社会监督</w:t>
            </w:r>
          </w:p>
        </w:tc>
        <w:tc>
          <w:tcPr>
            <w:tcW w:w="1233" w:type="pct"/>
            <w:vAlign w:val="center"/>
          </w:tcPr>
          <w:p>
            <w:pPr>
              <w:widowControl/>
              <w:adjustRightInd w:val="0"/>
              <w:snapToGrid w:val="0"/>
              <w:jc w:val="center"/>
              <w:rPr>
                <w:snapToGrid w:val="0"/>
                <w:kern w:val="0"/>
                <w:sz w:val="22"/>
                <w:szCs w:val="21"/>
                <w:lang w:eastAsia="zh-CN"/>
              </w:rPr>
            </w:pPr>
            <w:r>
              <w:rPr>
                <w:rFonts w:hint="eastAsia"/>
                <w:snapToGrid w:val="0"/>
                <w:kern w:val="0"/>
                <w:sz w:val="22"/>
                <w:szCs w:val="21"/>
                <w:lang w:eastAsia="zh-CN"/>
              </w:rPr>
              <w:t>本项目为废旧塑料回收再生利用生产滴灌带、PE管生产项目</w:t>
            </w:r>
          </w:p>
        </w:tc>
        <w:tc>
          <w:tcPr>
            <w:tcW w:w="444" w:type="pct"/>
            <w:vAlign w:val="center"/>
          </w:tcPr>
          <w:p>
            <w:pPr>
              <w:widowControl/>
              <w:adjustRightInd w:val="0"/>
              <w:snapToGrid w:val="0"/>
              <w:jc w:val="center"/>
              <w:rPr>
                <w:snapToGrid w:val="0"/>
                <w:kern w:val="0"/>
                <w:sz w:val="22"/>
                <w:szCs w:val="21"/>
                <w:lang w:eastAsia="zh-CN"/>
              </w:rPr>
            </w:pPr>
            <w:r>
              <w:rPr>
                <w:snapToGrid w:val="0"/>
                <w:kern w:val="0"/>
                <w:sz w:val="22"/>
                <w:szCs w:val="21"/>
                <w:lang w:eastAsia="zh-CN"/>
              </w:rPr>
              <w:t>符合</w:t>
            </w:r>
          </w:p>
        </w:tc>
      </w:tr>
    </w:tbl>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r>
        <w:rPr>
          <w:rFonts w:ascii="Times New Roman" w:hAnsi="Times New Roman" w:eastAsia="黑体" w:cs="Times New Roman"/>
          <w:sz w:val="21"/>
          <w:lang w:bidi="en-US"/>
        </w:rPr>
        <w:t>表</w:t>
      </w:r>
      <w:r>
        <w:rPr>
          <w:rFonts w:hint="eastAsia" w:ascii="Times New Roman" w:hAnsi="Times New Roman" w:eastAsia="黑体" w:cs="Times New Roman"/>
          <w:sz w:val="21"/>
          <w:lang w:bidi="en-US"/>
        </w:rPr>
        <w:t>1.3</w:t>
      </w:r>
      <w:r>
        <w:rPr>
          <w:rFonts w:ascii="Times New Roman" w:hAnsi="Times New Roman" w:eastAsia="黑体" w:cs="Times New Roman"/>
          <w:sz w:val="21"/>
          <w:lang w:bidi="en-US"/>
        </w:rPr>
        <w:t>-1</w:t>
      </w:r>
      <w:r>
        <w:rPr>
          <w:rFonts w:hint="eastAsia" w:ascii="Times New Roman" w:hAnsi="Times New Roman" w:eastAsia="黑体" w:cs="Times New Roman"/>
          <w:sz w:val="21"/>
          <w:lang w:bidi="en-US"/>
        </w:rPr>
        <w:t>9</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昌吉市建成区重点管控单元</w:t>
      </w:r>
      <w:r>
        <w:rPr>
          <w:rFonts w:ascii="Times New Roman" w:hAnsi="Times New Roman" w:eastAsia="黑体" w:cs="Times New Roman"/>
          <w:sz w:val="21"/>
          <w:lang w:bidi="en-US"/>
        </w:rPr>
        <w:t>准入清单及符合性分析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77"/>
        <w:gridCol w:w="5222"/>
        <w:gridCol w:w="1933"/>
        <w:gridCol w:w="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Align w:val="center"/>
          </w:tcPr>
          <w:p>
            <w:pPr>
              <w:pStyle w:val="547"/>
              <w:rPr>
                <w:rFonts w:ascii="Times New Roman" w:cs="Times New Roman"/>
                <w:color w:val="auto"/>
                <w:sz w:val="21"/>
                <w:szCs w:val="21"/>
              </w:rPr>
            </w:pPr>
            <w:r>
              <w:rPr>
                <w:rFonts w:ascii="Times New Roman" w:cs="Times New Roman"/>
                <w:color w:val="auto"/>
                <w:sz w:val="21"/>
                <w:szCs w:val="21"/>
              </w:rPr>
              <w:t>项目</w:t>
            </w: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重点管控</w:t>
            </w:r>
            <w:r>
              <w:rPr>
                <w:rFonts w:ascii="Times New Roman" w:cs="Times New Roman"/>
                <w:color w:val="auto"/>
                <w:sz w:val="21"/>
                <w:szCs w:val="21"/>
              </w:rPr>
              <w:t>类环境管控单元分类准入清单</w:t>
            </w:r>
          </w:p>
        </w:tc>
        <w:tc>
          <w:tcPr>
            <w:tcW w:w="1168" w:type="pct"/>
            <w:vAlign w:val="center"/>
          </w:tcPr>
          <w:p>
            <w:pPr>
              <w:pStyle w:val="547"/>
              <w:rPr>
                <w:rFonts w:ascii="Times New Roman" w:cs="Times New Roman"/>
                <w:color w:val="auto"/>
                <w:sz w:val="21"/>
                <w:szCs w:val="21"/>
              </w:rPr>
            </w:pPr>
            <w:r>
              <w:rPr>
                <w:rFonts w:ascii="Times New Roman" w:cs="Times New Roman"/>
                <w:color w:val="auto"/>
                <w:sz w:val="21"/>
                <w:szCs w:val="21"/>
              </w:rPr>
              <w:t>符合性分析</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vAlign w:val="center"/>
          </w:tcPr>
          <w:p>
            <w:pPr>
              <w:pStyle w:val="547"/>
              <w:rPr>
                <w:rFonts w:ascii="Times New Roman" w:cs="Times New Roman"/>
                <w:color w:val="auto"/>
                <w:sz w:val="21"/>
                <w:szCs w:val="21"/>
              </w:rPr>
            </w:pPr>
            <w:r>
              <w:rPr>
                <w:rFonts w:ascii="Times New Roman" w:cs="Times New Roman"/>
                <w:color w:val="auto"/>
                <w:sz w:val="21"/>
                <w:szCs w:val="21"/>
              </w:rPr>
              <w:t>空间布局约束</w:t>
            </w: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tc>
        <w:tc>
          <w:tcPr>
            <w:tcW w:w="1168" w:type="pct"/>
            <w:vAlign w:val="center"/>
          </w:tcPr>
          <w:p>
            <w:pPr>
              <w:pStyle w:val="547"/>
              <w:rPr>
                <w:rFonts w:ascii="Times New Roman" w:cs="Times New Roman"/>
                <w:color w:val="auto"/>
                <w:sz w:val="21"/>
                <w:szCs w:val="21"/>
                <w:highlight w:val="yellow"/>
              </w:rPr>
            </w:pPr>
            <w:r>
              <w:rPr>
                <w:rFonts w:hint="eastAsia" w:ascii="Times New Roman" w:cs="Times New Roman"/>
                <w:color w:val="auto"/>
                <w:sz w:val="21"/>
                <w:szCs w:val="21"/>
              </w:rPr>
              <w:t>本项目位于昌吉国家农业科技园区示范区，项目回收农业生产产生的废旧滴灌带及废旧塑料膜再生造粒生产农业用滴灌带及PE管</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本项目符合《产业结构调整指导目录（2024年本）》、《国家发展改革委 商务部关于印发&lt;市场准入负面清单（2020年版）&gt;的通知》（发改体改〔2020〕1880号）相关要求</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本项目废水经处置后全部回用，不外排</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本项目不涉及重金属等污染物，项目针对土壤土壤采取分区防渗等措施</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2、城市建成区禁止新建每小时65蒸吨以下燃煤锅炉。</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本项目不建设锅炉</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3、在居民住宅区等人口密集区域和机关、医院、学校、幼儿园、养老院等其他需要特殊保护的区域及其周边，不得新建和扩建易产生恶臭气体的生产项目，或者从事其他产生恶臭气体的生产经营活动。已建成的，应当逐步搬迁或者升级改造。</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本项目位于城市外，周边无人口密集区域和机关、医院、学校、幼儿园、养老院等其他需要特殊保护的区域</w:t>
            </w:r>
          </w:p>
        </w:tc>
        <w:tc>
          <w:tcPr>
            <w:tcW w:w="389"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4、在集中供热管网覆盖地区，禁止新建、扩建分散燃煤供热锅炉。</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本项目采用电采暖方式</w:t>
            </w:r>
          </w:p>
        </w:tc>
        <w:tc>
          <w:tcPr>
            <w:tcW w:w="389" w:type="pct"/>
            <w:vAlign w:val="center"/>
          </w:tcPr>
          <w:p>
            <w:pPr>
              <w:pStyle w:val="547"/>
              <w:rPr>
                <w:rFonts w:ascii="Times New Roman" w:cs="Times New Roman"/>
                <w:color w:val="auto"/>
                <w:sz w:val="21"/>
                <w:szCs w:val="21"/>
                <w:highlight w:val="yellow"/>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vAlign w:val="center"/>
          </w:tcPr>
          <w:p>
            <w:pPr>
              <w:pStyle w:val="547"/>
              <w:rPr>
                <w:rFonts w:ascii="Times New Roman" w:cs="Times New Roman"/>
                <w:color w:val="auto"/>
                <w:sz w:val="21"/>
                <w:szCs w:val="21"/>
              </w:rPr>
            </w:pPr>
            <w:r>
              <w:rPr>
                <w:rFonts w:ascii="Times New Roman" w:cs="Times New Roman"/>
                <w:color w:val="auto"/>
                <w:sz w:val="21"/>
                <w:szCs w:val="21"/>
              </w:rPr>
              <w:t>污染物排放管控</w:t>
            </w: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根据分析本项目污染物在采取相应治理措施后均可稳定达标，且项目排放水平较高</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2、新（改、扩）建项目应执行最严格的大气污染物排放标准。</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本项目非甲烷总烃执行特别排放限值</w:t>
            </w:r>
          </w:p>
        </w:tc>
        <w:tc>
          <w:tcPr>
            <w:tcW w:w="389"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3、PM</w:t>
            </w:r>
            <w:r>
              <w:rPr>
                <w:rFonts w:hint="eastAsia" w:ascii="Times New Roman" w:cs="Times New Roman"/>
                <w:color w:val="auto"/>
                <w:sz w:val="21"/>
                <w:szCs w:val="21"/>
                <w:vertAlign w:val="subscript"/>
              </w:rPr>
              <w:t>2.5</w:t>
            </w:r>
            <w:r>
              <w:rPr>
                <w:rFonts w:hint="eastAsia" w:ascii="Times New Roman" w:cs="Times New Roman"/>
                <w:color w:val="auto"/>
                <w:sz w:val="21"/>
                <w:szCs w:val="21"/>
              </w:rPr>
              <w:t>年平均浓度不达标城市，禁止新（改、扩）建未落实SO</w:t>
            </w:r>
            <w:r>
              <w:rPr>
                <w:rFonts w:hint="eastAsia" w:ascii="Times New Roman" w:cs="Times New Roman"/>
                <w:color w:val="auto"/>
                <w:sz w:val="21"/>
                <w:szCs w:val="21"/>
                <w:vertAlign w:val="subscript"/>
              </w:rPr>
              <w:t>2</w:t>
            </w:r>
            <w:r>
              <w:rPr>
                <w:rFonts w:hint="eastAsia" w:ascii="Times New Roman" w:cs="Times New Roman"/>
                <w:color w:val="auto"/>
                <w:sz w:val="21"/>
                <w:szCs w:val="21"/>
              </w:rPr>
              <w:t>、NOx、烟粉尘、挥发性有机物（VOCs）等四项大气污染物总量指标昌吉州区域内倍量替代的项目。</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本项目废气污染物非甲烷总烃采取倍量替代</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4、向城镇污水集中处理设施排放水污染物，应当达到《污水排入城镇下水道标准》（GB/T31962-2015）要求。</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本项目生活污水拉运至园区污水处理厂处置</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5、施工工地全面落实“六个百分之百”（施工工地周边围挡、物料堆放覆盖、出入车辆冲洗、施工现场地面硬化、拆迁工地湿法作业、渣土车辆密闭运输）。</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环评要求项目施工期落实 “六个百分百”</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vAlign w:val="center"/>
          </w:tcPr>
          <w:p>
            <w:pPr>
              <w:pStyle w:val="547"/>
              <w:rPr>
                <w:rFonts w:ascii="Times New Roman" w:cs="Times New Roman"/>
                <w:color w:val="auto"/>
                <w:sz w:val="21"/>
                <w:szCs w:val="21"/>
              </w:rPr>
            </w:pPr>
            <w:r>
              <w:rPr>
                <w:rFonts w:ascii="Times New Roman" w:cs="Times New Roman"/>
                <w:color w:val="auto"/>
                <w:sz w:val="21"/>
                <w:szCs w:val="21"/>
              </w:rPr>
              <w:t>环境风险防控</w:t>
            </w: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本环评要求企业编制突发环境事件应急预案，并与园区应急预案相衔接</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2、到2022年，城镇人口密集区现有不符合安全和卫生防护距离要求的危险化学品生产企业就地改造达标、搬迁进入规范工业（化工）园区或关闭退出。城市建成区重污染企业和危险化学品企业搬迁改造。</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本项目不属于危险化学品生产企业，且远离人口密集区</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3、搬迁改造企业拆除危化品生产装置、建筑物和防污染设施，事先制定废弃危险化学品、残留污染物清理和安全处置方案，采取切实有效措施，防范拆除活动造成人员伤亡和环境污染。加强腾退土地污染风险管控和治理修复，确保腾退土地符合规划用地土壤环境质量标准。</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本项目不属于危化品生产企业</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vAlign w:val="center"/>
          </w:tcPr>
          <w:p>
            <w:pPr>
              <w:pStyle w:val="547"/>
              <w:rPr>
                <w:rFonts w:ascii="Times New Roman" w:cs="Times New Roman"/>
                <w:color w:val="auto"/>
                <w:sz w:val="21"/>
                <w:szCs w:val="21"/>
              </w:rPr>
            </w:pPr>
            <w:r>
              <w:rPr>
                <w:rFonts w:ascii="Times New Roman" w:cs="Times New Roman"/>
                <w:color w:val="auto"/>
                <w:sz w:val="21"/>
                <w:szCs w:val="21"/>
              </w:rPr>
              <w:t>资源利用效率</w:t>
            </w: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【A6.4-1】推进工业集聚区生态化改造，强化企业清洁生产改造，推进节水型企业、节水型工业园区建设，提高资源能源利用效率。</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本项目清洁生产符合相关要求，废水全部回用</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vAlign w:val="center"/>
          </w:tcPr>
          <w:p>
            <w:pPr>
              <w:pStyle w:val="547"/>
              <w:rPr>
                <w:rFonts w:ascii="Times New Roman" w:cs="Times New Roman"/>
                <w:color w:val="auto"/>
                <w:sz w:val="21"/>
                <w:szCs w:val="21"/>
              </w:rPr>
            </w:pPr>
          </w:p>
        </w:tc>
        <w:tc>
          <w:tcPr>
            <w:tcW w:w="3155" w:type="pct"/>
            <w:vAlign w:val="center"/>
          </w:tcPr>
          <w:p>
            <w:pPr>
              <w:pStyle w:val="547"/>
              <w:rPr>
                <w:rFonts w:ascii="Times New Roman" w:cs="Times New Roman"/>
                <w:color w:val="auto"/>
                <w:sz w:val="21"/>
                <w:szCs w:val="21"/>
              </w:rPr>
            </w:pPr>
            <w:r>
              <w:rPr>
                <w:rFonts w:hint="eastAsia" w:ascii="Times New Roman" w:cs="Times New Roman"/>
                <w:color w:val="auto"/>
                <w:sz w:val="21"/>
                <w:szCs w:val="21"/>
              </w:rPr>
              <w:t>2、禁燃区内禁止销售、燃用原煤、粉煤、各种可燃废物等高污染燃料；禁止新建、扩建燃用高污染燃料的设施，已建设成的，应当在规定的期限内改用清洁能源；严格控制引进高载能项目，禁止建设不符合国家和自治区环境保护标准的项目。</w:t>
            </w:r>
          </w:p>
        </w:tc>
        <w:tc>
          <w:tcPr>
            <w:tcW w:w="1168" w:type="pct"/>
            <w:shd w:val="clear" w:color="auto" w:fill="auto"/>
            <w:vAlign w:val="center"/>
          </w:tcPr>
          <w:p>
            <w:pPr>
              <w:pStyle w:val="547"/>
              <w:rPr>
                <w:rFonts w:ascii="Times New Roman" w:cs="Times New Roman"/>
                <w:color w:val="auto"/>
                <w:sz w:val="21"/>
                <w:szCs w:val="21"/>
              </w:rPr>
            </w:pPr>
            <w:r>
              <w:rPr>
                <w:rFonts w:hint="eastAsia" w:ascii="Times New Roman" w:cs="Times New Roman"/>
                <w:color w:val="auto"/>
                <w:sz w:val="21"/>
                <w:szCs w:val="21"/>
              </w:rPr>
              <w:t>本项目采用电能，不使用高污染燃料</w:t>
            </w:r>
          </w:p>
        </w:tc>
        <w:tc>
          <w:tcPr>
            <w:tcW w:w="389" w:type="pct"/>
            <w:vAlign w:val="center"/>
          </w:tcPr>
          <w:p>
            <w:pPr>
              <w:pStyle w:val="547"/>
              <w:rPr>
                <w:rFonts w:ascii="Times New Roman" w:cs="Times New Roman"/>
                <w:color w:val="auto"/>
                <w:sz w:val="21"/>
                <w:szCs w:val="21"/>
              </w:rPr>
            </w:pPr>
            <w:r>
              <w:rPr>
                <w:rFonts w:ascii="Times New Roman" w:cs="Times New Roman"/>
                <w:color w:val="auto"/>
                <w:sz w:val="21"/>
                <w:szCs w:val="21"/>
              </w:rPr>
              <w:t>符合</w:t>
            </w:r>
          </w:p>
        </w:tc>
      </w:tr>
    </w:tbl>
    <w:p>
      <w:pPr>
        <w:spacing w:line="460" w:lineRule="exact"/>
        <w:ind w:firstLine="480" w:firstLineChars="200"/>
        <w:rPr>
          <w:sz w:val="24"/>
          <w:lang w:bidi="en-US"/>
        </w:rPr>
      </w:pPr>
      <w:r>
        <w:rPr>
          <w:bCs/>
          <w:sz w:val="24"/>
          <w:lang w:bidi="en-US"/>
        </w:rPr>
        <w:t>本项目选址位于</w:t>
      </w:r>
      <w:r>
        <w:rPr>
          <w:rFonts w:hint="eastAsia"/>
          <w:bCs/>
          <w:sz w:val="24"/>
          <w:lang w:bidi="en-US"/>
        </w:rPr>
        <w:t>昌吉国家农业科技园区示范区</w:t>
      </w:r>
      <w:r>
        <w:rPr>
          <w:bCs/>
          <w:sz w:val="24"/>
          <w:lang w:bidi="en-US"/>
        </w:rPr>
        <w:t>，根据</w:t>
      </w:r>
      <w:r>
        <w:rPr>
          <w:rFonts w:hint="eastAsia"/>
          <w:bCs/>
          <w:sz w:val="24"/>
          <w:lang w:bidi="en-US"/>
        </w:rPr>
        <w:t>《昌吉回族自治州“三线一单”生态环境分区管控方案及生态环境准入清单》（昌州政办发〔2021〕41号），本项目位于昌吉市建成区重点管控单元（ZH65230120001）</w:t>
      </w:r>
      <w:r>
        <w:rPr>
          <w:bCs/>
          <w:sz w:val="24"/>
          <w:lang w:bidi="en-US"/>
        </w:rPr>
        <w:t>，根据分析，本项目建设符合《关于印发《新疆维吾尔自治区“三线一单”生态环境分区管控方案》的通知》（新政发〔2021〕18号）</w:t>
      </w:r>
      <w:r>
        <w:rPr>
          <w:rFonts w:hint="eastAsia"/>
          <w:bCs/>
          <w:sz w:val="24"/>
          <w:lang w:bidi="en-US"/>
        </w:rPr>
        <w:t>、《关于印发《新疆维吾尔自治区七大片区“三线一单”生态环境分区管控要求》（2</w:t>
      </w:r>
      <w:r>
        <w:rPr>
          <w:bCs/>
          <w:sz w:val="24"/>
          <w:lang w:bidi="en-US"/>
        </w:rPr>
        <w:t>021</w:t>
      </w:r>
      <w:r>
        <w:rPr>
          <w:rFonts w:hint="eastAsia"/>
          <w:bCs/>
          <w:sz w:val="24"/>
          <w:lang w:bidi="en-US"/>
        </w:rPr>
        <w:t>年版）的通知》（新环环评发〔2021〕162号）、《昌吉回族自治州“三线一单”生态环境分区管控方案及生态环境准入清单》（昌州政办发〔2021〕41号）相关要求</w:t>
      </w:r>
      <w:r>
        <w:rPr>
          <w:bCs/>
          <w:sz w:val="24"/>
          <w:lang w:bidi="en-US"/>
        </w:rPr>
        <w:t>。</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1.3.4</w:t>
      </w:r>
      <w:r>
        <w:rPr>
          <w:rFonts w:ascii="Times New Roman"/>
          <w:spacing w:val="12"/>
          <w:w w:val="95"/>
          <w:kern w:val="0"/>
          <w:szCs w:val="26"/>
        </w:rPr>
        <w:t>选址符合性分析</w:t>
      </w:r>
    </w:p>
    <w:p>
      <w:pPr>
        <w:pStyle w:val="24"/>
        <w:autoSpaceDE/>
        <w:autoSpaceDN/>
        <w:adjustRightInd/>
        <w:spacing w:line="460" w:lineRule="exact"/>
        <w:ind w:firstLine="480" w:firstLineChars="200"/>
        <w:rPr>
          <w:rFonts w:hint="default" w:ascii="Times New Roman" w:hAnsi="Times New Roman" w:cs="Times New Roman"/>
          <w:color w:val="auto"/>
          <w:szCs w:val="24"/>
        </w:rPr>
      </w:pPr>
      <w:bookmarkStart w:id="30" w:name="_Hlk168302992"/>
      <w:r>
        <w:rPr>
          <w:rFonts w:ascii="Times New Roman" w:hAnsi="Times New Roman" w:cs="Times New Roman"/>
          <w:color w:val="auto"/>
          <w:szCs w:val="24"/>
          <w:lang w:bidi="en-US"/>
        </w:rPr>
        <w:t>本项目位于昌吉国家农业科技园区示范区昌吉市昊慧盛塑料制品厂厂区内，项目西侧为X122县道，本项目用地性质为工业用地（详见附件2），距离城乡规划区边界大于5km，不在生态保护红线范围内，周边1000m范围内无区控重点河流、高速公路、铁路干线及重要地下管网以及其他需严防污染的食品、药品等企业，满足新疆维吾尔自治区生态环境厅《关于促进废旧塑料再生利用行业有序发展的指导意见》选址要求。项目区常年主导风向为西南风，根据现场勘查项目区下风向5km范围内无村庄等敏感点。本项目为农业生产废旧塑料回收及塑料制品生产项目，项目不属于国土资源部与国家发展和改革委员会联合发布的《关于发布实施《限制用地项目目录（2012年本）》和《禁止用地项目目录（2012年本）》的通知》（国土资发〔2012〕98号）中规定的限制和禁止用地类型项目。项目周边无自然保护区、风景名胜区和集中饮用水水源地等环境敏感点。项目选址综合考虑了所在区域滴灌带、PE管的使用情况及废旧滴灌带、废旧塑料膜产生情况，收购周边农田生产的废旧滴灌带、废旧塑料膜，再生造粒后生产滴灌带和PE管外售给周边的农户，减少废旧滴灌带、废旧塑料膜及产品的运输距离。因此，本项目选址合理可行。</w:t>
      </w:r>
      <w:bookmarkEnd w:id="30"/>
    </w:p>
    <w:p>
      <w:pPr>
        <w:pStyle w:val="4"/>
        <w:adjustRightInd w:val="0"/>
        <w:spacing w:before="120" w:after="120" w:line="460" w:lineRule="exact"/>
        <w:textAlignment w:val="baseline"/>
        <w:rPr>
          <w:rFonts w:ascii="Times New Roman" w:hAnsi="Times New Roman"/>
          <w:b w:val="0"/>
          <w:szCs w:val="28"/>
        </w:rPr>
      </w:pPr>
      <w:bookmarkStart w:id="31" w:name="_Toc324671611"/>
      <w:bookmarkStart w:id="32" w:name="_Toc370992972"/>
      <w:bookmarkStart w:id="33" w:name="_Toc2551"/>
      <w:bookmarkStart w:id="34" w:name="_Toc165386206"/>
      <w:r>
        <w:rPr>
          <w:rFonts w:hint="eastAsia" w:ascii="Times New Roman" w:hAnsi="Times New Roman"/>
          <w:b w:val="0"/>
          <w:szCs w:val="28"/>
        </w:rPr>
        <w:t xml:space="preserve">1.4 </w:t>
      </w:r>
      <w:r>
        <w:rPr>
          <w:rFonts w:ascii="Times New Roman" w:hAnsi="Times New Roman"/>
          <w:b w:val="0"/>
          <w:szCs w:val="28"/>
        </w:rPr>
        <w:t>关注的主要环境问题及</w:t>
      </w:r>
      <w:bookmarkEnd w:id="31"/>
      <w:bookmarkEnd w:id="32"/>
      <w:bookmarkEnd w:id="33"/>
      <w:r>
        <w:rPr>
          <w:rFonts w:ascii="Times New Roman" w:hAnsi="Times New Roman"/>
          <w:b w:val="0"/>
          <w:szCs w:val="28"/>
        </w:rPr>
        <w:t>环境影响</w:t>
      </w:r>
      <w:bookmarkEnd w:id="34"/>
    </w:p>
    <w:p>
      <w:pPr>
        <w:spacing w:line="460" w:lineRule="exact"/>
        <w:ind w:firstLine="480" w:firstLineChars="200"/>
        <w:rPr>
          <w:sz w:val="24"/>
        </w:rPr>
      </w:pPr>
      <w:r>
        <w:rPr>
          <w:rFonts w:hint="eastAsia"/>
          <w:sz w:val="24"/>
        </w:rPr>
        <w:t>结合本项目运营过程产污环节，本次环境影响评价过程关注的主要环境问题及环境影响概述如下：</w:t>
      </w:r>
    </w:p>
    <w:p>
      <w:pPr>
        <w:spacing w:line="460" w:lineRule="exact"/>
        <w:ind w:firstLine="480" w:firstLineChars="200"/>
        <w:rPr>
          <w:sz w:val="24"/>
        </w:rPr>
      </w:pPr>
      <w:r>
        <w:rPr>
          <w:rFonts w:hint="eastAsia"/>
          <w:sz w:val="24"/>
        </w:rPr>
        <w:t>（</w:t>
      </w:r>
      <w:r>
        <w:rPr>
          <w:sz w:val="24"/>
        </w:rPr>
        <w:t>1</w:t>
      </w:r>
      <w:r>
        <w:rPr>
          <w:rFonts w:hint="eastAsia"/>
          <w:sz w:val="24"/>
        </w:rPr>
        <w:t>）大气：本项目运营期大气环境影响主要为废旧塑料膜、废旧滴灌带再生造粒过程产生的有机废气以及滴灌带、</w:t>
      </w:r>
      <w:r>
        <w:rPr>
          <w:sz w:val="24"/>
        </w:rPr>
        <w:t>PE管</w:t>
      </w:r>
      <w:r>
        <w:rPr>
          <w:rFonts w:hint="eastAsia"/>
          <w:sz w:val="24"/>
        </w:rPr>
        <w:t>挤塑成型过程产生的有机废气，主要特征污染物有非甲烷总烃，环评中重点关注运营期废旧塑料造粒车间以及滴灌带、</w:t>
      </w:r>
      <w:r>
        <w:rPr>
          <w:sz w:val="24"/>
        </w:rPr>
        <w:t>PE管</w:t>
      </w:r>
      <w:r>
        <w:rPr>
          <w:rFonts w:hint="eastAsia"/>
          <w:sz w:val="24"/>
        </w:rPr>
        <w:t>生产车间有机废气非甲烷总烃的排放情况，给出本项目建成后，运营期对项目区的影响程度。</w:t>
      </w:r>
    </w:p>
    <w:p>
      <w:pPr>
        <w:spacing w:line="460" w:lineRule="exact"/>
        <w:ind w:firstLine="480" w:firstLineChars="200"/>
        <w:rPr>
          <w:sz w:val="24"/>
        </w:rPr>
      </w:pPr>
      <w:r>
        <w:rPr>
          <w:rFonts w:hint="eastAsia"/>
          <w:sz w:val="24"/>
        </w:rPr>
        <w:t>（</w:t>
      </w:r>
      <w:r>
        <w:rPr>
          <w:sz w:val="24"/>
        </w:rPr>
        <w:t>2</w:t>
      </w:r>
      <w:r>
        <w:rPr>
          <w:rFonts w:hint="eastAsia"/>
          <w:sz w:val="24"/>
        </w:rPr>
        <w:t>）地下水：本项目建成后对地下水的影响主要体现在危废暂存间危废泄漏、清洗废水沉淀池废水的下渗对地下水的影响，因此本次环评主要关注的重点为企业针对上述可能对地下水造成影响的过程所采取的地下水防治措施，分析措施可行性，完善应急措施。</w:t>
      </w:r>
    </w:p>
    <w:p>
      <w:pPr>
        <w:spacing w:line="460" w:lineRule="exact"/>
        <w:ind w:firstLine="480" w:firstLineChars="200"/>
        <w:rPr>
          <w:sz w:val="24"/>
        </w:rPr>
      </w:pPr>
      <w:r>
        <w:rPr>
          <w:rFonts w:hint="eastAsia"/>
          <w:sz w:val="24"/>
        </w:rPr>
        <w:t>（</w:t>
      </w:r>
      <w:r>
        <w:rPr>
          <w:sz w:val="24"/>
        </w:rPr>
        <w:t>3</w:t>
      </w:r>
      <w:r>
        <w:rPr>
          <w:rFonts w:hint="eastAsia"/>
          <w:sz w:val="24"/>
        </w:rPr>
        <w:t>）固废：本项目运营期产生的固体废物主要为沉淀池沉淀物、废滤网、不合格品、废活性炭、废催化剂等。本次环评关注的主要重点为沉淀池沉淀物、废滤网、不合格品、废活性炭、废催化剂等处置措施及去向等，以上固体废物是否均进行了无害化处置，分析最终去向，是否会对周围环境造成影响。</w:t>
      </w:r>
    </w:p>
    <w:p>
      <w:pPr>
        <w:pStyle w:val="4"/>
        <w:adjustRightInd w:val="0"/>
        <w:spacing w:before="120" w:after="120" w:line="460" w:lineRule="exact"/>
        <w:textAlignment w:val="baseline"/>
        <w:rPr>
          <w:rFonts w:ascii="Times New Roman" w:hAnsi="Times New Roman"/>
          <w:b w:val="0"/>
          <w:szCs w:val="28"/>
        </w:rPr>
      </w:pPr>
      <w:bookmarkStart w:id="35" w:name="_Toc165386207"/>
      <w:r>
        <w:rPr>
          <w:rFonts w:hint="eastAsia" w:ascii="Times New Roman" w:hAnsi="Times New Roman"/>
          <w:b w:val="0"/>
          <w:szCs w:val="28"/>
        </w:rPr>
        <w:t xml:space="preserve">1.5 </w:t>
      </w:r>
      <w:r>
        <w:rPr>
          <w:rFonts w:ascii="Times New Roman" w:hAnsi="Times New Roman"/>
          <w:b w:val="0"/>
          <w:szCs w:val="28"/>
        </w:rPr>
        <w:t>环境影响报告书的主要结论</w:t>
      </w:r>
      <w:bookmarkEnd w:id="12"/>
      <w:bookmarkEnd w:id="13"/>
      <w:bookmarkEnd w:id="14"/>
      <w:bookmarkEnd w:id="15"/>
      <w:bookmarkEnd w:id="35"/>
    </w:p>
    <w:p>
      <w:pPr>
        <w:spacing w:line="460" w:lineRule="exact"/>
        <w:ind w:firstLine="480" w:firstLineChars="200"/>
        <w:rPr>
          <w:sz w:val="24"/>
        </w:rPr>
      </w:pPr>
      <w:r>
        <w:rPr>
          <w:rFonts w:hint="eastAsia"/>
          <w:sz w:val="24"/>
        </w:rPr>
        <w:t>本项目的建设符合国家产业政策、选址合理、符合</w:t>
      </w:r>
      <w:r>
        <w:rPr>
          <w:sz w:val="24"/>
        </w:rPr>
        <w:t>“</w:t>
      </w:r>
      <w:r>
        <w:rPr>
          <w:rFonts w:hint="eastAsia"/>
          <w:sz w:val="24"/>
        </w:rPr>
        <w:t>三线一单</w:t>
      </w:r>
      <w:r>
        <w:rPr>
          <w:sz w:val="24"/>
        </w:rPr>
        <w:t>”</w:t>
      </w:r>
      <w:r>
        <w:rPr>
          <w:rFonts w:hint="eastAsia"/>
          <w:sz w:val="24"/>
        </w:rPr>
        <w:t>要求、污染物的防治措施在技术上和经济上可行，本项目回收当地农业生产产生的废旧塑料膜、废旧滴灌带进行再生造粒，利用再生聚乙烯颗粒料生产滴灌带、PE管，项目的建设可有效解决当地农业生产的废塑料污染，同时可达到资源循环利用目的。环境影响评价的结果表明，项目在严格落实施工期以及运营期各项环保措施的情况下，项目的污染物排放对环境的影响较小，基本不改变当地环境质量现状和功能要求。</w:t>
      </w:r>
    </w:p>
    <w:p>
      <w:pPr>
        <w:spacing w:line="460" w:lineRule="exact"/>
        <w:ind w:firstLine="480" w:firstLineChars="200"/>
        <w:rPr>
          <w:sz w:val="24"/>
        </w:rPr>
      </w:pPr>
      <w:r>
        <w:rPr>
          <w:rFonts w:hint="eastAsia"/>
          <w:sz w:val="24"/>
        </w:rPr>
        <w:t>本评价认为，项目在设计和运行时应严格执行安全生产的各项规章制度，根据生产安全要求，制定事故应急预案，配套相应安全防范措施，杜绝事故发生风险。项目建设过程中应严格认真执行环境保护</w:t>
      </w:r>
      <w:r>
        <w:rPr>
          <w:sz w:val="24"/>
        </w:rPr>
        <w:t>“</w:t>
      </w:r>
      <w:r>
        <w:rPr>
          <w:rFonts w:hint="eastAsia"/>
          <w:sz w:val="24"/>
        </w:rPr>
        <w:t>三同时</w:t>
      </w:r>
      <w:r>
        <w:rPr>
          <w:sz w:val="24"/>
        </w:rPr>
        <w:t>”</w:t>
      </w:r>
      <w:r>
        <w:rPr>
          <w:rFonts w:hint="eastAsia"/>
          <w:sz w:val="24"/>
        </w:rPr>
        <w:t>制度，切实落实本报告书各项污染防治措施和环境管理措施，确保各类污染物稳定达标排放和污染物排放总量控制。从环境保护的角度分析，本项目的建设是可行的。</w:t>
      </w:r>
    </w:p>
    <w:p>
      <w:pPr>
        <w:pStyle w:val="3"/>
        <w:spacing w:before="100" w:beforeAutospacing="1" w:after="100" w:afterAutospacing="1" w:line="360" w:lineRule="auto"/>
        <w:jc w:val="center"/>
      </w:pPr>
      <w:r>
        <w:rPr>
          <w:sz w:val="24"/>
        </w:rPr>
        <w:br w:type="column"/>
      </w:r>
      <w:bookmarkStart w:id="36" w:name="_Toc430033214"/>
      <w:bookmarkStart w:id="37" w:name="_Toc437732078"/>
      <w:bookmarkStart w:id="38" w:name="_Toc165386208"/>
      <w:bookmarkStart w:id="39" w:name="_Toc327365456"/>
      <w:bookmarkStart w:id="40" w:name="_Toc146967226"/>
      <w:bookmarkStart w:id="41" w:name="_Toc2471"/>
      <w:bookmarkStart w:id="42" w:name="_Toc188349428"/>
      <w:bookmarkStart w:id="43" w:name="_Toc149705125"/>
      <w:r>
        <w:rPr>
          <w:rFonts w:hint="eastAsia"/>
        </w:rPr>
        <w:t>2</w:t>
      </w:r>
      <w:r>
        <w:t xml:space="preserve">  </w:t>
      </w:r>
      <w:bookmarkEnd w:id="36"/>
      <w:bookmarkEnd w:id="37"/>
      <w:r>
        <w:rPr>
          <w:rFonts w:hint="eastAsia"/>
        </w:rPr>
        <w:t>总则</w:t>
      </w:r>
      <w:bookmarkEnd w:id="38"/>
    </w:p>
    <w:p>
      <w:pPr>
        <w:pStyle w:val="4"/>
        <w:adjustRightInd w:val="0"/>
        <w:spacing w:before="120" w:after="120" w:line="460" w:lineRule="exact"/>
        <w:textAlignment w:val="baseline"/>
        <w:rPr>
          <w:rFonts w:ascii="Times New Roman" w:hAnsi="Times New Roman"/>
          <w:b w:val="0"/>
          <w:szCs w:val="28"/>
        </w:rPr>
      </w:pPr>
      <w:bookmarkStart w:id="44" w:name="_Toc437732079"/>
      <w:bookmarkStart w:id="45" w:name="_Toc430033215"/>
      <w:bookmarkStart w:id="46" w:name="_Toc165386209"/>
      <w:r>
        <w:rPr>
          <w:rFonts w:hint="eastAsia" w:ascii="Times New Roman" w:hAnsi="Times New Roman"/>
          <w:b w:val="0"/>
          <w:szCs w:val="28"/>
        </w:rPr>
        <w:t>2</w:t>
      </w:r>
      <w:r>
        <w:rPr>
          <w:rFonts w:ascii="Times New Roman" w:hAnsi="Times New Roman"/>
          <w:b w:val="0"/>
          <w:szCs w:val="28"/>
        </w:rPr>
        <w:t>.1 编制依据</w:t>
      </w:r>
      <w:bookmarkEnd w:id="44"/>
      <w:bookmarkEnd w:id="45"/>
      <w:bookmarkEnd w:id="46"/>
    </w:p>
    <w:bookmarkEnd w:id="39"/>
    <w:bookmarkEnd w:id="40"/>
    <w:bookmarkEnd w:id="41"/>
    <w:bookmarkEnd w:id="42"/>
    <w:bookmarkEnd w:id="43"/>
    <w:p>
      <w:pPr>
        <w:spacing w:line="460" w:lineRule="exact"/>
        <w:ind w:firstLine="480" w:firstLineChars="200"/>
        <w:rPr>
          <w:sz w:val="24"/>
        </w:rPr>
      </w:pPr>
      <w:r>
        <w:rPr>
          <w:rFonts w:hint="eastAsia"/>
          <w:sz w:val="24"/>
        </w:rPr>
        <w:t>本项目环境影响评价相关依据汇总见表2</w:t>
      </w:r>
      <w:r>
        <w:rPr>
          <w:sz w:val="24"/>
        </w:rPr>
        <w:t>.1-1</w:t>
      </w:r>
      <w:r>
        <w:rPr>
          <w:rFonts w:hint="eastAsia"/>
          <w:sz w:val="24"/>
        </w:rPr>
        <w:t>。</w:t>
      </w:r>
    </w:p>
    <w:p>
      <w:pPr>
        <w:ind w:firstLine="420" w:firstLineChars="200"/>
        <w:rPr>
          <w:rFonts w:eastAsia="黑体"/>
          <w:bCs/>
          <w:szCs w:val="21"/>
        </w:rPr>
      </w:pPr>
      <w:r>
        <w:rPr>
          <w:rFonts w:hint="eastAsia" w:eastAsia="黑体"/>
          <w:bCs/>
          <w:szCs w:val="21"/>
        </w:rPr>
        <w:t>表2</w:t>
      </w:r>
      <w:r>
        <w:rPr>
          <w:rFonts w:eastAsia="黑体"/>
          <w:bCs/>
          <w:szCs w:val="21"/>
        </w:rPr>
        <w:t xml:space="preserve">.1-1             </w:t>
      </w:r>
      <w:r>
        <w:rPr>
          <w:rFonts w:hint="eastAsia" w:eastAsia="黑体"/>
          <w:bCs/>
          <w:szCs w:val="21"/>
        </w:rPr>
        <w:t>环境影响评价相关依据汇总一览表</w:t>
      </w:r>
    </w:p>
    <w:tbl>
      <w:tblPr>
        <w:tblStyle w:val="5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4378"/>
        <w:gridCol w:w="2693"/>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12" w:space="0"/>
              <w:left w:val="nil"/>
              <w:bottom w:val="single" w:color="auto" w:sz="6" w:space="0"/>
              <w:right w:val="single" w:color="auto" w:sz="6" w:space="0"/>
            </w:tcBorders>
            <w:vAlign w:val="center"/>
          </w:tcPr>
          <w:p>
            <w:pPr>
              <w:jc w:val="center"/>
              <w:rPr>
                <w:szCs w:val="21"/>
              </w:rPr>
            </w:pPr>
            <w:r>
              <w:rPr>
                <w:szCs w:val="21"/>
              </w:rPr>
              <w:t>序号</w:t>
            </w:r>
          </w:p>
        </w:tc>
        <w:tc>
          <w:tcPr>
            <w:tcW w:w="4378"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szCs w:val="21"/>
              </w:rPr>
              <w:t>依据名称</w:t>
            </w:r>
          </w:p>
        </w:tc>
        <w:tc>
          <w:tcPr>
            <w:tcW w:w="2693"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szCs w:val="21"/>
              </w:rPr>
              <w:t>文号或标准号</w:t>
            </w:r>
          </w:p>
        </w:tc>
        <w:tc>
          <w:tcPr>
            <w:tcW w:w="1530" w:type="dxa"/>
            <w:tcBorders>
              <w:top w:val="single" w:color="auto" w:sz="12" w:space="0"/>
              <w:left w:val="single" w:color="auto" w:sz="6" w:space="0"/>
              <w:bottom w:val="single" w:color="auto" w:sz="6" w:space="0"/>
              <w:right w:val="nil"/>
            </w:tcBorders>
            <w:vAlign w:val="center"/>
          </w:tcPr>
          <w:p>
            <w:pPr>
              <w:jc w:val="center"/>
              <w:rPr>
                <w:szCs w:val="21"/>
              </w:rPr>
            </w:pPr>
            <w:r>
              <w:rPr>
                <w:szCs w:val="21"/>
              </w:rPr>
              <w:t>实施</w:t>
            </w:r>
            <w:r>
              <w:rPr>
                <w:rFonts w:hint="eastAsia"/>
                <w:szCs w:val="21"/>
              </w:rPr>
              <w:t>/</w:t>
            </w:r>
            <w:r>
              <w:rPr>
                <w:szCs w:val="21"/>
              </w:rPr>
              <w:t>编制</w:t>
            </w:r>
          </w:p>
          <w:p>
            <w:pPr>
              <w:jc w:val="center"/>
              <w:rPr>
                <w:szCs w:val="21"/>
              </w:rPr>
            </w:pPr>
            <w:r>
              <w:rPr>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中华人民共和国环境保护法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2014年 主席令第9号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 xml:space="preserve">2015.1.1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中华人民共和国环境影响评价法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2018年 主席令第24号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中华人民共和国大气污染防治法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13届人大第6次会议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中华人民共和国水污染防治法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2017年 主席令第70号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中华人民共和国噪声污染防治法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w:t>
            </w:r>
            <w:r>
              <w:rPr>
                <w:rFonts w:hint="eastAsia"/>
                <w:szCs w:val="21"/>
              </w:rPr>
              <w:t>届人大</w:t>
            </w:r>
            <w:r>
              <w:rPr>
                <w:szCs w:val="21"/>
              </w:rPr>
              <w:t>第</w:t>
            </w:r>
            <w:r>
              <w:rPr>
                <w:rFonts w:hint="eastAsia"/>
                <w:szCs w:val="21"/>
              </w:rPr>
              <w:t>32次</w:t>
            </w:r>
            <w:r>
              <w:rPr>
                <w:szCs w:val="21"/>
              </w:rPr>
              <w:t>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中华人民共和国固体废物污染环境防治法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13届人大第17次会议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中华人民共和国土壤污染防治法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13届人大第5次会议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中华人民共和国土地管理法</w:t>
            </w:r>
          </w:p>
          <w:p>
            <w:pPr>
              <w:jc w:val="center"/>
              <w:rPr>
                <w:szCs w:val="21"/>
              </w:rPr>
            </w:pPr>
            <w:r>
              <w:rPr>
                <w:rFonts w:hint="eastAsia"/>
                <w:szCs w:val="21"/>
              </w:rPr>
              <w:t>（2019年</w:t>
            </w:r>
            <w:r>
              <w:rPr>
                <w:szCs w:val="21"/>
              </w:rPr>
              <w:t>修正版本</w:t>
            </w:r>
            <w:r>
              <w:rPr>
                <w:rFonts w:hint="eastAsia"/>
                <w:szCs w:val="21"/>
              </w:rPr>
              <w:t>）</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w:t>
            </w:r>
            <w:r>
              <w:rPr>
                <w:rFonts w:hint="eastAsia"/>
                <w:szCs w:val="21"/>
              </w:rPr>
              <w:t>届</w:t>
            </w:r>
            <w:r>
              <w:rPr>
                <w:szCs w:val="21"/>
              </w:rPr>
              <w:t>人大第</w:t>
            </w:r>
            <w:r>
              <w:rPr>
                <w:rFonts w:hint="eastAsia"/>
                <w:szCs w:val="21"/>
              </w:rPr>
              <w:t>12次</w:t>
            </w:r>
            <w:r>
              <w:rPr>
                <w:szCs w:val="21"/>
              </w:rPr>
              <w:t>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中华人民共和国安全生产法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w:t>
            </w:r>
            <w:r>
              <w:rPr>
                <w:rFonts w:hint="eastAsia"/>
                <w:szCs w:val="21"/>
              </w:rPr>
              <w:t>届</w:t>
            </w:r>
            <w:r>
              <w:rPr>
                <w:szCs w:val="21"/>
              </w:rPr>
              <w:t>人大第29</w:t>
            </w:r>
            <w:r>
              <w:rPr>
                <w:rFonts w:hint="eastAsia"/>
                <w:szCs w:val="21"/>
              </w:rPr>
              <w:t>次</w:t>
            </w:r>
            <w:r>
              <w:rPr>
                <w:szCs w:val="21"/>
              </w:rPr>
              <w:t>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10</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中华人民共和国清洁生产促进法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2012年 主席令第54号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中华人民共和国循环经济促进法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13届人大第6次会议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中华人民共和国节约能源法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13届人大第6次会议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 xml:space="preserve">中华人民共和国水土保持法 </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2010年 主席令第39号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行政规范与国务院发布的规范性文件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建设项目环境保护管理条例</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国务院令第682号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 xml:space="preserve">2017.8.1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关于全面加强生态环境保护坚决打好污染防治攻坚战的意见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中发〔2018〕17号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国务院关于印发水污染防治行动计划的通知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国发〔2015〕17号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国务院关于印发土壤污染防治行动计划的通知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国发〔2016〕31号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国务院关于加强环境保护重点工作的意见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国发〔2011〕35号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国务院办公厅关于建立完整的先进的废旧商品回收体系的意见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国办发[2011]49 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中共中央国务院关于深入打好污染防治攻坚战的意见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2021</w:t>
            </w:r>
            <w:r>
              <w:rPr>
                <w:rFonts w:hint="eastAsia"/>
                <w:szCs w:val="21"/>
              </w:rPr>
              <w:t>.</w:t>
            </w:r>
            <w:r>
              <w:rPr>
                <w:szCs w:val="21"/>
              </w:rPr>
              <w:t>11</w:t>
            </w:r>
            <w:r>
              <w:rPr>
                <w:rFonts w:hint="eastAsia"/>
                <w:szCs w:val="21"/>
              </w:rPr>
              <w:t>.</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地下水管理条例</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国务院令 第736号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中华人民共和国土地管理法实施条例</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中华人民共和国国务院令 第743 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部门规章与部门发布的规范性文件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建设项目环境影响评价分类管理名录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部令第16号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2021</w:t>
            </w:r>
            <w:r>
              <w:rPr>
                <w:rFonts w:hint="eastAsia"/>
                <w:szCs w:val="21"/>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建设项目竣工环境保护验收暂行办法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国环规环评[2017]4号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2017.11.22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关于切实加强环境影响评价管理防范环境风险的通知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环发〔2012〕77号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关于印发《企业事业单位突发环境事件应急预案备案管理办法（试行）》</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环发〔2015〕4号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关于进一步加强建设项目环境保护管理工作的通知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环发〔2001〕19号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2001.2.21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建设项目环境影响评价信息公开机制方案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环发〔2015〕162号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2015.12.10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关于切实加强风险防范严格环境影响评价管理的通知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环发〔2012〕98号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关于以改善环境质量为核心加强环境影响评价管理的通知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环评〔2016〕150号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关于加强资源环境生态红线管控的指导意见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发改委等9部委发改环资〔2016〕1162号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10</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环境影响评价公众参与办法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生态环境部令第4号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11</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《国家危险废物名录(2021年版)》</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部令第15号</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szCs w:val="21"/>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r>
              <w:rPr>
                <w:rFonts w:hint="eastAsia"/>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再生资源回收管理办法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2007.5.1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r>
              <w:rPr>
                <w:rFonts w:hint="eastAsia"/>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废塑料加工利用污染防治管理规定</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环境保护部、发展改革委、商务部公告2012年第55号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关于加快解决当前挥发性有机物治理突出问题的通知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环大气〔2021〕65号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产业及行业政策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《产业结构调整指导目录（20</w:t>
            </w:r>
            <w:r>
              <w:rPr>
                <w:rFonts w:hint="eastAsia"/>
                <w:szCs w:val="21"/>
              </w:rPr>
              <w:t>24</w:t>
            </w:r>
            <w:r>
              <w:rPr>
                <w:szCs w:val="21"/>
              </w:rPr>
              <w:t>年本）》</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中华人民共和国国家发展和改革委员会令第7 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2023.12.27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挥发性有机物（VOCs）污染防治技术政策</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国家环境保护部2013年第31号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2007.12.1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2020年挥发性有机物治理攻坚方案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环大气〔2020〕33号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废塑料综合利用行业规范条件</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中华人民共和国工业和信息化</w:t>
            </w:r>
            <w:r>
              <w:rPr>
                <w:rFonts w:hint="eastAsia"/>
                <w:szCs w:val="21"/>
                <w:lang w:eastAsia="zh-CN"/>
              </w:rPr>
              <w:t>部</w:t>
            </w:r>
            <w:r>
              <w:rPr>
                <w:szCs w:val="21"/>
              </w:rPr>
              <w:t>2015 年第 81 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2013.11.18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废塑料污染控制技术规范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364-2022</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2022.5.31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重点行业挥发性有机物综合治理方案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环大气〔2019〕53号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关于进一步加强塑料污染治理的意见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发改环资〔2020〕80号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废塑料加工利用污染防治管理规定</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环境</w:t>
            </w:r>
            <w:r>
              <w:rPr>
                <w:szCs w:val="21"/>
              </w:rPr>
              <w:t>保护部</w:t>
            </w:r>
            <w:r>
              <w:rPr>
                <w:rFonts w:hint="eastAsia"/>
                <w:szCs w:val="21"/>
              </w:rPr>
              <w:t xml:space="preserve"> 发展</w:t>
            </w:r>
            <w:r>
              <w:rPr>
                <w:szCs w:val="21"/>
              </w:rPr>
              <w:t>改革委</w:t>
            </w:r>
          </w:p>
          <w:p>
            <w:pPr>
              <w:jc w:val="center"/>
              <w:rPr>
                <w:szCs w:val="21"/>
              </w:rPr>
            </w:pPr>
            <w:r>
              <w:rPr>
                <w:szCs w:val="21"/>
              </w:rPr>
              <w:t>商务</w:t>
            </w:r>
            <w:r>
              <w:rPr>
                <w:rFonts w:hint="eastAsia"/>
                <w:szCs w:val="21"/>
              </w:rPr>
              <w:t>部</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2012.10.1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挥发性</w:t>
            </w:r>
            <w:r>
              <w:rPr>
                <w:szCs w:val="21"/>
              </w:rPr>
              <w:t>有机物治理</w:t>
            </w:r>
            <w:r>
              <w:rPr>
                <w:rFonts w:hint="eastAsia"/>
                <w:szCs w:val="21"/>
              </w:rPr>
              <w:t>实用</w:t>
            </w:r>
            <w:r>
              <w:rPr>
                <w:szCs w:val="21"/>
              </w:rPr>
              <w:t>手册</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生态</w:t>
            </w:r>
            <w:r>
              <w:rPr>
                <w:szCs w:val="21"/>
              </w:rPr>
              <w:t>环境部大气环境</w:t>
            </w:r>
            <w:r>
              <w:rPr>
                <w:rFonts w:hint="eastAsia"/>
                <w:szCs w:val="21"/>
              </w:rPr>
              <w:t>司</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0</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关于加快解决当前挥发性有机物治理突出问题的通知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环大气〔2021〕65号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废塑料再生利用技术规范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GB/T 37821-2019</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2019.12.1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挥发性有机物无组织排放控制标准</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GB37822-2019</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2020年挥发性有机物治理攻坚方案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环大气〔2020〕33号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2020.6.24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再生资源回收管理办法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中华人民共和国商务部</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2019.11.30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国务院关于印发“十四五”节能减排综合工作方案的通知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国发〔2021〕33号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2022.1.24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关于扎实推进塑料污染治理工作的通知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发改环资〔2020〕1146号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国家发展改革委生态环境部关于印发“十四五”塑料污染治理行动方案的通知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发改环资〔2021〕1298 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地方法规及政府规范文件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新疆维吾尔自治区环境保护管理条例</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新疆维吾尔自治区十三届人大常委会第六次会议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新疆维吾尔自治区大气污染防治条例</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新疆维吾尔自治区十三届人大常委会第七次会议</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关于印发新疆维吾尔自治区水污染防治工作方案的通知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新政发〔2016〕21号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关于印发新疆维吾尔自治区土壤污染防治工作方案的通知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新兵发〔2017〕25号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关于全面加强生态环境保护坚决打好污染防治攻坚战实施方案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新疆生态功能区划</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新政函〔2005〕96号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7</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新疆维吾尔自治区水环境功能区划</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8</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新疆维吾尔自治区主体功能区规划</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自治区发展和改革委员会</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szCs w:val="21"/>
              </w:rPr>
              <w:t>2012.12.27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9</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关于印发《新疆维吾尔自治区“三线一单”生态环境分区管控方案》的通知</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新政发〔2021〕18号</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szCs w:val="21"/>
              </w:rPr>
              <w:t>2021.2.21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10</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新疆维吾尔自治区七大片区“三线一单”生态环境分区管控方案</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新环环评发</w:t>
            </w:r>
            <w:r>
              <w:rPr>
                <w:szCs w:val="21"/>
              </w:rPr>
              <w:t>〔2021〕162号</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rFonts w:hint="eastAsia"/>
                <w:szCs w:val="21"/>
              </w:rPr>
              <w:t>2</w:t>
            </w:r>
            <w:r>
              <w:rPr>
                <w:szCs w:val="21"/>
              </w:rPr>
              <w:t>021.7.26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1</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关于</w:t>
            </w:r>
            <w:r>
              <w:rPr>
                <w:szCs w:val="21"/>
              </w:rPr>
              <w:t>开展</w:t>
            </w:r>
            <w:r>
              <w:rPr>
                <w:rFonts w:hint="eastAsia"/>
                <w:szCs w:val="21"/>
              </w:rPr>
              <w:t>自治区202</w:t>
            </w:r>
            <w:r>
              <w:rPr>
                <w:szCs w:val="21"/>
              </w:rPr>
              <w:t>2</w:t>
            </w:r>
            <w:r>
              <w:rPr>
                <w:rFonts w:hint="eastAsia"/>
                <w:szCs w:val="21"/>
              </w:rPr>
              <w:t>年</w:t>
            </w:r>
            <w:r>
              <w:rPr>
                <w:szCs w:val="21"/>
              </w:rPr>
              <w:t>度夏秋季大气污染防治“</w:t>
            </w:r>
            <w:r>
              <w:rPr>
                <w:rFonts w:hint="eastAsia"/>
                <w:szCs w:val="21"/>
              </w:rPr>
              <w:t>冬</w:t>
            </w:r>
            <w:r>
              <w:rPr>
                <w:szCs w:val="21"/>
              </w:rPr>
              <w:t>病夏</w:t>
            </w:r>
            <w:r>
              <w:rPr>
                <w:rFonts w:hint="eastAsia"/>
                <w:szCs w:val="21"/>
              </w:rPr>
              <w:t>治</w:t>
            </w:r>
            <w:r>
              <w:rPr>
                <w:szCs w:val="21"/>
              </w:rPr>
              <w:t>”</w:t>
            </w:r>
            <w:r>
              <w:rPr>
                <w:rFonts w:hint="eastAsia"/>
                <w:szCs w:val="21"/>
              </w:rPr>
              <w:t>有关</w:t>
            </w:r>
            <w:r>
              <w:rPr>
                <w:szCs w:val="21"/>
              </w:rPr>
              <w:t>工作的通知</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2</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关于</w:t>
            </w:r>
            <w:r>
              <w:rPr>
                <w:szCs w:val="21"/>
              </w:rPr>
              <w:t>开展</w:t>
            </w:r>
            <w:r>
              <w:rPr>
                <w:rFonts w:hint="eastAsia"/>
                <w:szCs w:val="21"/>
              </w:rPr>
              <w:t>自治州202</w:t>
            </w:r>
            <w:r>
              <w:rPr>
                <w:szCs w:val="21"/>
              </w:rPr>
              <w:t>2</w:t>
            </w:r>
            <w:r>
              <w:rPr>
                <w:rFonts w:hint="eastAsia"/>
                <w:szCs w:val="21"/>
              </w:rPr>
              <w:t>年</w:t>
            </w:r>
            <w:r>
              <w:rPr>
                <w:szCs w:val="21"/>
              </w:rPr>
              <w:t>度夏秋季大气污染防治“</w:t>
            </w:r>
            <w:r>
              <w:rPr>
                <w:rFonts w:hint="eastAsia"/>
                <w:szCs w:val="21"/>
              </w:rPr>
              <w:t>冬</w:t>
            </w:r>
            <w:r>
              <w:rPr>
                <w:szCs w:val="21"/>
              </w:rPr>
              <w:t>病夏</w:t>
            </w:r>
            <w:r>
              <w:rPr>
                <w:rFonts w:hint="eastAsia"/>
                <w:szCs w:val="21"/>
              </w:rPr>
              <w:t>治</w:t>
            </w:r>
            <w:r>
              <w:rPr>
                <w:szCs w:val="21"/>
              </w:rPr>
              <w:t>”</w:t>
            </w:r>
            <w:r>
              <w:rPr>
                <w:rFonts w:hint="eastAsia"/>
                <w:szCs w:val="21"/>
              </w:rPr>
              <w:t>有关</w:t>
            </w:r>
            <w:r>
              <w:rPr>
                <w:szCs w:val="21"/>
              </w:rPr>
              <w:t>工作的通知</w:t>
            </w:r>
          </w:p>
        </w:tc>
        <w:tc>
          <w:tcPr>
            <w:tcW w:w="2693"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昌州</w:t>
            </w:r>
            <w:r>
              <w:rPr>
                <w:szCs w:val="21"/>
              </w:rPr>
              <w:t>环委</w:t>
            </w:r>
            <w:r>
              <w:rPr>
                <w:rFonts w:hint="eastAsia"/>
                <w:szCs w:val="21"/>
              </w:rPr>
              <w:t>办发</w:t>
            </w:r>
            <w:r>
              <w:rPr>
                <w:szCs w:val="21"/>
              </w:rPr>
              <w:t>〔2022〕18号</w:t>
            </w:r>
          </w:p>
        </w:tc>
        <w:tc>
          <w:tcPr>
            <w:tcW w:w="1530" w:type="dxa"/>
            <w:tcBorders>
              <w:top w:val="single" w:color="auto" w:sz="6" w:space="0"/>
              <w:left w:val="single" w:color="auto" w:sz="6" w:space="0"/>
              <w:bottom w:val="single" w:color="auto" w:sz="6" w:space="0"/>
              <w:right w:val="nil"/>
              <w:tl2br w:val="nil"/>
              <w:tr2bl w:val="nil"/>
            </w:tcBorders>
            <w:vAlign w:val="center"/>
          </w:tcPr>
          <w:p>
            <w:pPr>
              <w:jc w:val="center"/>
              <w:rPr>
                <w:szCs w:val="21"/>
              </w:rPr>
            </w:pPr>
            <w:r>
              <w:rPr>
                <w:rFonts w:hint="eastAsia"/>
                <w:szCs w:val="21"/>
              </w:rPr>
              <w:t>202</w:t>
            </w:r>
            <w:r>
              <w:rPr>
                <w:szCs w:val="21"/>
              </w:rPr>
              <w:t>2</w:t>
            </w:r>
            <w:r>
              <w:rPr>
                <w:rFonts w:hint="eastAsia"/>
                <w:szCs w:val="21"/>
              </w:rPr>
              <w:t>.</w:t>
            </w:r>
            <w:r>
              <w:rPr>
                <w:szCs w:val="21"/>
              </w:rPr>
              <w:t>7</w:t>
            </w:r>
            <w:r>
              <w:rPr>
                <w:rFonts w:hint="eastAsia"/>
                <w:szCs w:val="21"/>
              </w:rPr>
              <w:t>.</w:t>
            </w:r>
            <w:r>
              <w:rPr>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昌吉回族自治州“三线一单”生态环境分区管控方案及生态环境准入清单</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昌州政办发〔</w:t>
            </w:r>
            <w:r>
              <w:rPr>
                <w:szCs w:val="21"/>
              </w:rPr>
              <w:t>2021</w:t>
            </w:r>
            <w:r>
              <w:rPr>
                <w:rFonts w:hint="eastAsia"/>
                <w:szCs w:val="21"/>
              </w:rPr>
              <w:t>〕</w:t>
            </w:r>
            <w:r>
              <w:rPr>
                <w:szCs w:val="21"/>
              </w:rPr>
              <w:t>41</w:t>
            </w:r>
            <w:r>
              <w:rPr>
                <w:rFonts w:hint="eastAsia"/>
                <w:szCs w:val="21"/>
              </w:rPr>
              <w:t>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关于促进全区废旧塑料再生利用行业有序发展的指导意见</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新环环评发〔2020〕5号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关于自治区加快解决当前挥发性有机物治理突出问题的通知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关于印发新疆维吾尔自治区“十三五”挥发性有机物污染防治实施方案的通知</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新环发〔2018〕74号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关于“乌昌石”区域执行大气污染物特别排放限值的公告</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公告〔2</w:t>
            </w:r>
            <w:r>
              <w:rPr>
                <w:szCs w:val="21"/>
              </w:rPr>
              <w:t>023</w:t>
            </w:r>
            <w:r>
              <w:rPr>
                <w:rFonts w:hint="eastAsia"/>
                <w:szCs w:val="21"/>
              </w:rPr>
              <w:t>〕2</w:t>
            </w:r>
            <w:r>
              <w:rPr>
                <w:szCs w:val="21"/>
              </w:rPr>
              <w:t>0</w:t>
            </w:r>
            <w:r>
              <w:rPr>
                <w:rFonts w:hint="eastAsia"/>
                <w:szCs w:val="21"/>
              </w:rPr>
              <w:t>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w:t>
            </w:r>
            <w:r>
              <w:rPr>
                <w:szCs w:val="21"/>
              </w:rPr>
              <w:t>023.5.22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r>
              <w:rPr>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新疆维吾尔自治区水土流失重点预防区和重点治理区复核划分成果</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新</w:t>
            </w:r>
            <w:r>
              <w:rPr>
                <w:rFonts w:hint="eastAsia"/>
                <w:szCs w:val="21"/>
              </w:rPr>
              <w:t>水水保</w:t>
            </w:r>
            <w:r>
              <w:rPr>
                <w:szCs w:val="21"/>
              </w:rPr>
              <w:t>〔2019〕4号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w:t>
            </w:r>
            <w:r>
              <w:rPr>
                <w:szCs w:val="21"/>
              </w:rPr>
              <w:t>019.1.21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“乌-昌-石”区域大气环境整治 2023年行动方案</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导则及行业技术规范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总纲</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HJ2.1-2016</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大气环境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HJ2.2-2018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地表水环境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HJ2.3-2018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地下水环境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HJ610-2016</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声环境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HJ2.4-2021</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生态影响</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HJ19-2022</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环境影响评价技术导则  土壤环境（试行）</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HJ964-2018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8</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建设项目环境风险评价技术导则</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w:t>
            </w:r>
            <w:r>
              <w:rPr>
                <w:rFonts w:hint="eastAsia"/>
                <w:szCs w:val="21"/>
              </w:rPr>
              <w:t xml:space="preserve"> </w:t>
            </w:r>
            <w:r>
              <w:rPr>
                <w:szCs w:val="21"/>
              </w:rPr>
              <w:t>169-2018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9</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建设项目危险废物环境影响评价指南</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环境保护部公告</w:t>
            </w:r>
            <w:r>
              <w:rPr>
                <w:szCs w:val="21"/>
              </w:rPr>
              <w:t>2017</w:t>
            </w:r>
            <w:r>
              <w:rPr>
                <w:rFonts w:hint="eastAsia"/>
                <w:szCs w:val="21"/>
              </w:rPr>
              <w:t>年第</w:t>
            </w:r>
            <w:r>
              <w:rPr>
                <w:szCs w:val="21"/>
              </w:rPr>
              <w:t>43</w:t>
            </w:r>
            <w:r>
              <w:rPr>
                <w:rFonts w:hint="eastAsia"/>
                <w:szCs w:val="21"/>
              </w:rPr>
              <w:t>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10</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工业企业土壤和地下水自行监测技术指南（试行）</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HJ 1209-2021</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11</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建设项目竣工环境保护验收技术指南</w:t>
            </w:r>
            <w:r>
              <w:rPr>
                <w:szCs w:val="21"/>
              </w:rPr>
              <w:t xml:space="preserve"> </w:t>
            </w:r>
            <w:r>
              <w:rPr>
                <w:rFonts w:hint="eastAsia"/>
                <w:szCs w:val="21"/>
              </w:rPr>
              <w:t>污染影响类</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环境保护部公告</w:t>
            </w:r>
            <w:r>
              <w:rPr>
                <w:szCs w:val="21"/>
              </w:rPr>
              <w:t>2018</w:t>
            </w:r>
            <w:r>
              <w:rPr>
                <w:rFonts w:hint="eastAsia"/>
                <w:szCs w:val="21"/>
              </w:rPr>
              <w:t>年第</w:t>
            </w:r>
            <w:r>
              <w:rPr>
                <w:szCs w:val="21"/>
              </w:rPr>
              <w:t>9</w:t>
            </w:r>
            <w:r>
              <w:rPr>
                <w:rFonts w:hint="eastAsia"/>
                <w:szCs w:val="21"/>
              </w:rPr>
              <w:t>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12</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排污许可证申请与核发技术规范</w:t>
            </w:r>
            <w:r>
              <w:rPr>
                <w:szCs w:val="21"/>
              </w:rPr>
              <w:t xml:space="preserve"> </w:t>
            </w:r>
            <w:r>
              <w:rPr>
                <w:rFonts w:hint="eastAsia"/>
                <w:szCs w:val="21"/>
              </w:rPr>
              <w:t>总则</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942-2018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13</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排污许可证申请与核发技术规范</w:t>
            </w:r>
            <w:r>
              <w:rPr>
                <w:szCs w:val="21"/>
              </w:rPr>
              <w:t xml:space="preserve"> </w:t>
            </w:r>
            <w:r>
              <w:rPr>
                <w:rFonts w:hint="eastAsia"/>
                <w:szCs w:val="21"/>
              </w:rPr>
              <w:t>废弃资源加工工业</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1034-2019</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14</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排污许可证申请与核发技术规范</w:t>
            </w:r>
            <w:r>
              <w:rPr>
                <w:szCs w:val="21"/>
              </w:rPr>
              <w:t xml:space="preserve"> </w:t>
            </w:r>
            <w:r>
              <w:rPr>
                <w:rFonts w:hint="eastAsia"/>
                <w:szCs w:val="21"/>
              </w:rPr>
              <w:t>橡胶和塑料制品工业</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1122-2020</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2020.3.27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15</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排污单位自行监测技术指南</w:t>
            </w:r>
            <w:r>
              <w:rPr>
                <w:szCs w:val="21"/>
              </w:rPr>
              <w:t xml:space="preserve"> </w:t>
            </w:r>
            <w:r>
              <w:rPr>
                <w:rFonts w:hint="eastAsia"/>
                <w:szCs w:val="21"/>
              </w:rPr>
              <w:t>总则</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819-2017</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16</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污染源源强核算技术指南</w:t>
            </w:r>
            <w:r>
              <w:rPr>
                <w:szCs w:val="21"/>
              </w:rPr>
              <w:t xml:space="preserve"> </w:t>
            </w:r>
            <w:r>
              <w:rPr>
                <w:rFonts w:hint="eastAsia"/>
                <w:szCs w:val="21"/>
              </w:rPr>
              <w:t>准则</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 884-2018</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2018.3.27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17</w:t>
            </w:r>
          </w:p>
        </w:tc>
        <w:tc>
          <w:tcPr>
            <w:tcW w:w="4378"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废塑料回收与再生利用污染控制技术规范（试行）</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HJ/T 364-2007</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szCs w:val="21"/>
              </w:rPr>
              <w:t>2007.12.1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18</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szCs w:val="21"/>
              </w:rPr>
              <w:t>关于发布《排放源统计调查产排污核算方法和系数手册》的公告</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生态</w:t>
            </w:r>
            <w:r>
              <w:rPr>
                <w:szCs w:val="21"/>
              </w:rPr>
              <w:t>环境部公告</w:t>
            </w:r>
            <w:r>
              <w:rPr>
                <w:rFonts w:hint="eastAsia"/>
                <w:szCs w:val="21"/>
              </w:rPr>
              <w:t>2021年</w:t>
            </w:r>
            <w:r>
              <w:rPr>
                <w:szCs w:val="21"/>
              </w:rPr>
              <w:t>第</w:t>
            </w:r>
            <w:r>
              <w:rPr>
                <w:rFonts w:hint="eastAsia"/>
                <w:szCs w:val="21"/>
              </w:rPr>
              <w:t>24号</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2021.6</w:t>
            </w:r>
            <w:r>
              <w:rPr>
                <w:szCs w:val="21"/>
              </w:rPr>
              <w:t>.</w:t>
            </w:r>
            <w:r>
              <w:rPr>
                <w:rFonts w:hint="eastAsia"/>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19</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危险废物识别标志设置技术规范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HJ 1276-2022</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20</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废塑料回收技术规范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GB/T 39171-2020</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21</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催化燃烧法工业有机废气治理工程技术规范</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HJ 2027-2013</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2013.7.1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22</w:t>
            </w:r>
          </w:p>
        </w:tc>
        <w:tc>
          <w:tcPr>
            <w:tcW w:w="4378" w:type="dxa"/>
            <w:tcBorders>
              <w:top w:val="single" w:color="auto" w:sz="6" w:space="0"/>
              <w:left w:val="single" w:color="auto" w:sz="6" w:space="0"/>
              <w:bottom w:val="single" w:color="auto" w:sz="6" w:space="0"/>
              <w:right w:val="single" w:color="auto" w:sz="6" w:space="0"/>
              <w:tl2br w:val="nil"/>
              <w:tr2bl w:val="nil"/>
            </w:tcBorders>
            <w:vAlign w:val="center"/>
          </w:tcPr>
          <w:p>
            <w:pPr>
              <w:jc w:val="center"/>
              <w:rPr>
                <w:szCs w:val="21"/>
              </w:rPr>
            </w:pPr>
            <w:r>
              <w:rPr>
                <w:rFonts w:hint="eastAsia"/>
                <w:szCs w:val="21"/>
              </w:rPr>
              <w:t>危险废物管理计划和管理台账制定技术导则</w:t>
            </w:r>
          </w:p>
        </w:tc>
        <w:tc>
          <w:tcPr>
            <w:tcW w:w="2693"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HJ 1259-2022</w:t>
            </w:r>
          </w:p>
        </w:tc>
        <w:tc>
          <w:tcPr>
            <w:tcW w:w="1530" w:type="dxa"/>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2022.10.1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与项目有关的规划文件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1</w:t>
            </w:r>
          </w:p>
        </w:tc>
        <w:tc>
          <w:tcPr>
            <w:tcW w:w="8601" w:type="dxa"/>
            <w:gridSpan w:val="3"/>
            <w:tcBorders>
              <w:top w:val="single" w:color="auto" w:sz="6" w:space="0"/>
              <w:left w:val="single" w:color="auto" w:sz="6" w:space="0"/>
              <w:bottom w:val="single" w:color="auto" w:sz="6" w:space="0"/>
              <w:right w:val="nil"/>
            </w:tcBorders>
            <w:vAlign w:val="center"/>
          </w:tcPr>
          <w:p>
            <w:pPr>
              <w:jc w:val="center"/>
              <w:rPr>
                <w:szCs w:val="21"/>
              </w:rPr>
            </w:pPr>
            <w:r>
              <w:rPr>
                <w:szCs w:val="21"/>
              </w:rPr>
              <w:t>新疆生态环境保护“十四五”规划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2</w:t>
            </w:r>
          </w:p>
        </w:tc>
        <w:tc>
          <w:tcPr>
            <w:tcW w:w="8601" w:type="dxa"/>
            <w:gridSpan w:val="3"/>
            <w:tcBorders>
              <w:top w:val="single" w:color="auto" w:sz="6" w:space="0"/>
              <w:left w:val="single" w:color="auto" w:sz="6" w:space="0"/>
              <w:bottom w:val="single" w:color="auto" w:sz="6" w:space="0"/>
              <w:right w:val="nil"/>
            </w:tcBorders>
            <w:vAlign w:val="center"/>
          </w:tcPr>
          <w:p>
            <w:pPr>
              <w:jc w:val="center"/>
              <w:rPr>
                <w:szCs w:val="21"/>
              </w:rPr>
            </w:pPr>
            <w:r>
              <w:rPr>
                <w:szCs w:val="21"/>
              </w:rPr>
              <w:t>新疆维吾尔自治区国民经济和社会发展第十</w:t>
            </w:r>
            <w:r>
              <w:rPr>
                <w:rFonts w:hint="eastAsia"/>
                <w:szCs w:val="21"/>
              </w:rPr>
              <w:t>四</w:t>
            </w:r>
            <w:r>
              <w:rPr>
                <w:szCs w:val="21"/>
              </w:rPr>
              <w:t>个五年规划纲要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3</w:t>
            </w:r>
          </w:p>
        </w:tc>
        <w:tc>
          <w:tcPr>
            <w:tcW w:w="8601" w:type="dxa"/>
            <w:gridSpan w:val="3"/>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昌吉回族自治州生态环境保护与建设</w:t>
            </w:r>
            <w:r>
              <w:rPr>
                <w:szCs w:val="21"/>
              </w:rPr>
              <w:t>“</w:t>
            </w:r>
            <w:r>
              <w:rPr>
                <w:rFonts w:hint="eastAsia"/>
                <w:szCs w:val="21"/>
              </w:rPr>
              <w:t>十四五</w:t>
            </w:r>
            <w:r>
              <w:rPr>
                <w:szCs w:val="21"/>
              </w:rPr>
              <w:t>”</w:t>
            </w:r>
            <w:r>
              <w:rPr>
                <w:rFonts w:hint="eastAsia"/>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4</w:t>
            </w:r>
          </w:p>
        </w:tc>
        <w:tc>
          <w:tcPr>
            <w:tcW w:w="8601" w:type="dxa"/>
            <w:gridSpan w:val="3"/>
            <w:tcBorders>
              <w:top w:val="single" w:color="auto" w:sz="6" w:space="0"/>
              <w:left w:val="single" w:color="auto" w:sz="6" w:space="0"/>
              <w:bottom w:val="single" w:color="auto" w:sz="6" w:space="0"/>
              <w:right w:val="nil"/>
            </w:tcBorders>
            <w:vAlign w:val="center"/>
          </w:tcPr>
          <w:p>
            <w:pPr>
              <w:jc w:val="center"/>
              <w:rPr>
                <w:szCs w:val="21"/>
              </w:rPr>
            </w:pPr>
            <w:r>
              <w:rPr>
                <w:rFonts w:hint="eastAsia"/>
                <w:szCs w:val="21"/>
              </w:rPr>
              <w:t>昌吉回族自治州国民经济和社会发展第十四个五年规划和2035年远景目标纲要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0" w:type="dxa"/>
            <w:gridSpan w:val="4"/>
            <w:tcBorders>
              <w:top w:val="single" w:color="auto" w:sz="6" w:space="0"/>
              <w:left w:val="nil"/>
              <w:bottom w:val="single" w:color="auto" w:sz="6" w:space="0"/>
              <w:right w:val="nil"/>
            </w:tcBorders>
            <w:vAlign w:val="center"/>
          </w:tcPr>
          <w:p>
            <w:pPr>
              <w:jc w:val="center"/>
              <w:rPr>
                <w:szCs w:val="21"/>
              </w:rPr>
            </w:pPr>
            <w:r>
              <w:rPr>
                <w:szCs w:val="21"/>
              </w:rPr>
              <w:t>与项目有关文件依据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6" w:space="0"/>
              <w:right w:val="single" w:color="auto" w:sz="6" w:space="0"/>
            </w:tcBorders>
            <w:vAlign w:val="center"/>
          </w:tcPr>
          <w:p>
            <w:pPr>
              <w:jc w:val="center"/>
              <w:rPr>
                <w:szCs w:val="21"/>
              </w:rPr>
            </w:pPr>
            <w:r>
              <w:rPr>
                <w:szCs w:val="21"/>
              </w:rPr>
              <w:t>1</w:t>
            </w:r>
          </w:p>
        </w:tc>
        <w:tc>
          <w:tcPr>
            <w:tcW w:w="8601" w:type="dxa"/>
            <w:gridSpan w:val="3"/>
            <w:tcBorders>
              <w:top w:val="single" w:color="auto" w:sz="6" w:space="0"/>
              <w:left w:val="single" w:color="auto" w:sz="6" w:space="0"/>
              <w:bottom w:val="single" w:color="auto" w:sz="6" w:space="0"/>
              <w:right w:val="nil"/>
            </w:tcBorders>
            <w:vAlign w:val="center"/>
          </w:tcPr>
          <w:p>
            <w:pPr>
              <w:jc w:val="center"/>
              <w:rPr>
                <w:szCs w:val="21"/>
              </w:rPr>
            </w:pPr>
            <w:r>
              <w:rPr>
                <w:szCs w:val="21"/>
              </w:rPr>
              <w:t>项目环境影响评价委托书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tcBorders>
              <w:top w:val="single" w:color="auto" w:sz="6" w:space="0"/>
              <w:left w:val="nil"/>
              <w:bottom w:val="single" w:color="auto" w:sz="12" w:space="0"/>
              <w:right w:val="single" w:color="auto" w:sz="6" w:space="0"/>
            </w:tcBorders>
            <w:vAlign w:val="center"/>
          </w:tcPr>
          <w:p>
            <w:pPr>
              <w:jc w:val="center"/>
              <w:rPr>
                <w:szCs w:val="21"/>
              </w:rPr>
            </w:pPr>
            <w:r>
              <w:rPr>
                <w:szCs w:val="21"/>
              </w:rPr>
              <w:t>2</w:t>
            </w:r>
          </w:p>
        </w:tc>
        <w:tc>
          <w:tcPr>
            <w:tcW w:w="8601" w:type="dxa"/>
            <w:gridSpan w:val="3"/>
            <w:tcBorders>
              <w:top w:val="single" w:color="auto" w:sz="6" w:space="0"/>
              <w:left w:val="single" w:color="auto" w:sz="6" w:space="0"/>
              <w:bottom w:val="single" w:color="auto" w:sz="12" w:space="0"/>
              <w:right w:val="nil"/>
            </w:tcBorders>
            <w:vAlign w:val="center"/>
          </w:tcPr>
          <w:p>
            <w:pPr>
              <w:jc w:val="center"/>
              <w:rPr>
                <w:szCs w:val="21"/>
              </w:rPr>
            </w:pPr>
            <w:r>
              <w:rPr>
                <w:szCs w:val="21"/>
              </w:rPr>
              <w:t>建设单位提供的与本项目有关的其他资料</w:t>
            </w:r>
          </w:p>
        </w:tc>
      </w:tr>
    </w:tbl>
    <w:p>
      <w:pPr>
        <w:pStyle w:val="4"/>
        <w:adjustRightInd w:val="0"/>
        <w:spacing w:before="120" w:after="120" w:line="460" w:lineRule="exact"/>
        <w:textAlignment w:val="baseline"/>
        <w:rPr>
          <w:rFonts w:ascii="Times New Roman" w:hAnsi="Times New Roman"/>
          <w:b w:val="0"/>
          <w:szCs w:val="28"/>
        </w:rPr>
      </w:pPr>
      <w:bookmarkStart w:id="47" w:name="_Toc165386210"/>
      <w:bookmarkStart w:id="48" w:name="_Toc507155707"/>
      <w:bookmarkStart w:id="49" w:name="_Toc327365461"/>
      <w:bookmarkStart w:id="50" w:name="_Toc188349433"/>
      <w:bookmarkStart w:id="51" w:name="_Toc149705130"/>
      <w:bookmarkStart w:id="52" w:name="_Toc9409"/>
      <w:bookmarkStart w:id="53" w:name="_Toc146967231"/>
      <w:r>
        <w:rPr>
          <w:rFonts w:hint="eastAsia" w:ascii="Times New Roman" w:hAnsi="Times New Roman"/>
          <w:b w:val="0"/>
          <w:szCs w:val="28"/>
        </w:rPr>
        <w:t>2</w:t>
      </w:r>
      <w:r>
        <w:rPr>
          <w:rFonts w:ascii="Times New Roman" w:hAnsi="Times New Roman"/>
          <w:b w:val="0"/>
          <w:szCs w:val="28"/>
        </w:rPr>
        <w:t>.2</w:t>
      </w:r>
      <w:r>
        <w:rPr>
          <w:rFonts w:hint="eastAsia" w:ascii="Times New Roman" w:hAnsi="Times New Roman"/>
          <w:b w:val="0"/>
          <w:szCs w:val="28"/>
        </w:rPr>
        <w:t xml:space="preserve"> </w:t>
      </w:r>
      <w:r>
        <w:rPr>
          <w:rFonts w:ascii="Times New Roman" w:hAnsi="Times New Roman"/>
          <w:b w:val="0"/>
          <w:szCs w:val="28"/>
        </w:rPr>
        <w:t>评价目的与原则</w:t>
      </w:r>
      <w:bookmarkEnd w:id="47"/>
      <w:bookmarkEnd w:id="48"/>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.2.1评价目的</w:t>
      </w:r>
    </w:p>
    <w:p>
      <w:pPr>
        <w:spacing w:line="460" w:lineRule="exact"/>
        <w:ind w:firstLine="480" w:firstLineChars="200"/>
        <w:rPr>
          <w:rFonts w:eastAsiaTheme="minorEastAsia"/>
          <w:sz w:val="24"/>
        </w:rPr>
      </w:pPr>
      <w:r>
        <w:rPr>
          <w:rFonts w:eastAsiaTheme="minorEastAsia"/>
          <w:sz w:val="24"/>
        </w:rPr>
        <w:t>1、通过调查、收集资料与实测，了解本项目评价范围内的社会环境、自然环境和环境质量现状；</w:t>
      </w:r>
    </w:p>
    <w:p>
      <w:pPr>
        <w:spacing w:line="460" w:lineRule="exact"/>
        <w:ind w:firstLine="480" w:firstLineChars="200"/>
        <w:rPr>
          <w:rFonts w:eastAsiaTheme="minorEastAsia"/>
          <w:sz w:val="24"/>
        </w:rPr>
      </w:pPr>
      <w:r>
        <w:rPr>
          <w:rFonts w:eastAsiaTheme="minorEastAsia"/>
          <w:sz w:val="24"/>
        </w:rPr>
        <w:t>2、</w:t>
      </w:r>
      <w:r>
        <w:rPr>
          <w:rFonts w:hint="eastAsia" w:eastAsiaTheme="minorEastAsia"/>
          <w:sz w:val="24"/>
        </w:rPr>
        <w:t>通过工程分析，明确本项目的主要污染源、污染物种类、排放强度，并对污染物达标排放进行分析</w:t>
      </w:r>
      <w:r>
        <w:rPr>
          <w:rFonts w:eastAsiaTheme="minorEastAsia"/>
          <w:sz w:val="24"/>
        </w:rPr>
        <w:t>；</w:t>
      </w:r>
    </w:p>
    <w:p>
      <w:pPr>
        <w:spacing w:line="460" w:lineRule="exact"/>
        <w:ind w:firstLine="480" w:firstLineChars="200"/>
        <w:rPr>
          <w:rFonts w:eastAsiaTheme="minorEastAsia"/>
          <w:sz w:val="24"/>
        </w:rPr>
      </w:pPr>
      <w:r>
        <w:rPr>
          <w:rFonts w:eastAsiaTheme="minorEastAsia"/>
          <w:sz w:val="24"/>
        </w:rPr>
        <w:t>3、</w:t>
      </w:r>
      <w:r>
        <w:rPr>
          <w:rFonts w:hint="eastAsia" w:eastAsiaTheme="minorEastAsia"/>
          <w:sz w:val="24"/>
        </w:rPr>
        <w:t>论证本项目采取的环境保护措施的可行性及合理性，并针对存在的问题，提出预防或者减轻不良环境影响的对策和措施</w:t>
      </w:r>
      <w:r>
        <w:rPr>
          <w:rFonts w:eastAsiaTheme="minorEastAsia"/>
          <w:sz w:val="24"/>
        </w:rPr>
        <w:t>；</w:t>
      </w:r>
    </w:p>
    <w:p>
      <w:pPr>
        <w:spacing w:line="460" w:lineRule="exact"/>
        <w:ind w:firstLine="480" w:firstLineChars="200"/>
        <w:rPr>
          <w:rFonts w:eastAsiaTheme="minorEastAsia"/>
          <w:sz w:val="24"/>
        </w:rPr>
      </w:pPr>
      <w:r>
        <w:rPr>
          <w:rFonts w:eastAsiaTheme="minorEastAsia"/>
          <w:sz w:val="24"/>
        </w:rPr>
        <w:t>4、</w:t>
      </w:r>
      <w:r>
        <w:rPr>
          <w:rFonts w:hint="eastAsia" w:eastAsiaTheme="minorEastAsia"/>
          <w:sz w:val="24"/>
        </w:rPr>
        <w:t>论证项目与产业政策的符合性、与当地建设规划的相容性、资源利用可行性以及环境可行性；</w:t>
      </w:r>
    </w:p>
    <w:p>
      <w:pPr>
        <w:spacing w:line="460" w:lineRule="exact"/>
        <w:ind w:firstLine="480" w:firstLineChars="200"/>
        <w:rPr>
          <w:rFonts w:eastAsiaTheme="minorEastAsia"/>
          <w:sz w:val="24"/>
        </w:rPr>
      </w:pPr>
      <w:r>
        <w:rPr>
          <w:rFonts w:hint="eastAsia" w:eastAsiaTheme="minorEastAsia"/>
          <w:sz w:val="24"/>
        </w:rPr>
        <w:t>5、分析本项目可能存在的事故隐患，预测可能产生的环境风险程度，提出具体的环境风险防范措施。</w:t>
      </w:r>
    </w:p>
    <w:p>
      <w:pPr>
        <w:spacing w:line="460" w:lineRule="exact"/>
        <w:ind w:firstLine="480" w:firstLineChars="200"/>
        <w:rPr>
          <w:rFonts w:eastAsiaTheme="minorEastAsia"/>
          <w:sz w:val="24"/>
        </w:rPr>
      </w:pPr>
      <w:r>
        <w:rPr>
          <w:rFonts w:hint="eastAsia" w:eastAsiaTheme="minorEastAsia"/>
          <w:sz w:val="24"/>
        </w:rPr>
        <w:t>通过上述评价，论证项目在环境方面的可行性，给出环境影响评价结论，为环境保护主管部门提供决策依据。</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.2.2评价原则</w:t>
      </w:r>
    </w:p>
    <w:p>
      <w:pPr>
        <w:spacing w:line="460" w:lineRule="exact"/>
        <w:ind w:firstLine="480" w:firstLineChars="200"/>
        <w:rPr>
          <w:rFonts w:eastAsiaTheme="minorEastAsia"/>
          <w:sz w:val="24"/>
        </w:rPr>
      </w:pPr>
      <w:r>
        <w:rPr>
          <w:rFonts w:eastAsiaTheme="minorEastAsia"/>
          <w:sz w:val="24"/>
        </w:rPr>
        <w:t>突出环境影响评价的源头预防作用，坚持保护和改善环境质量。</w:t>
      </w:r>
    </w:p>
    <w:p>
      <w:pPr>
        <w:spacing w:line="460" w:lineRule="exact"/>
        <w:ind w:firstLine="480" w:firstLineChars="200"/>
        <w:rPr>
          <w:rFonts w:eastAsiaTheme="minorEastAsia"/>
          <w:sz w:val="24"/>
        </w:rPr>
      </w:pPr>
      <w:r>
        <w:rPr>
          <w:rFonts w:hint="eastAsia" w:eastAsiaTheme="minorEastAsia"/>
          <w:sz w:val="24"/>
        </w:rPr>
        <w:t>1、</w:t>
      </w:r>
      <w:r>
        <w:rPr>
          <w:rFonts w:eastAsiaTheme="minorEastAsia"/>
          <w:sz w:val="24"/>
        </w:rPr>
        <w:t>依法评价</w:t>
      </w:r>
    </w:p>
    <w:p>
      <w:pPr>
        <w:spacing w:line="460" w:lineRule="exact"/>
        <w:ind w:firstLine="480" w:firstLineChars="200"/>
        <w:rPr>
          <w:rFonts w:eastAsiaTheme="minorEastAsia"/>
          <w:sz w:val="24"/>
        </w:rPr>
      </w:pPr>
      <w:r>
        <w:rPr>
          <w:rFonts w:eastAsiaTheme="minorEastAsia"/>
          <w:sz w:val="24"/>
        </w:rPr>
        <w:t>贯彻执行我国环境保护相关法律法规、标准、政策和规划等，优化项目建设，服务环境管理。</w:t>
      </w:r>
    </w:p>
    <w:p>
      <w:pPr>
        <w:spacing w:line="460" w:lineRule="exact"/>
        <w:ind w:firstLine="480" w:firstLineChars="200"/>
        <w:rPr>
          <w:rFonts w:eastAsiaTheme="minorEastAsia"/>
          <w:sz w:val="24"/>
        </w:rPr>
      </w:pPr>
      <w:r>
        <w:rPr>
          <w:rFonts w:hint="eastAsia" w:eastAsiaTheme="minorEastAsia"/>
          <w:sz w:val="24"/>
        </w:rPr>
        <w:t>2、</w:t>
      </w:r>
      <w:r>
        <w:rPr>
          <w:rFonts w:eastAsiaTheme="minorEastAsia"/>
          <w:sz w:val="24"/>
        </w:rPr>
        <w:t>科学评价</w:t>
      </w:r>
    </w:p>
    <w:p>
      <w:pPr>
        <w:spacing w:line="460" w:lineRule="exact"/>
        <w:ind w:firstLine="480" w:firstLineChars="200"/>
        <w:rPr>
          <w:rFonts w:eastAsiaTheme="minorEastAsia"/>
          <w:sz w:val="24"/>
        </w:rPr>
      </w:pPr>
      <w:r>
        <w:rPr>
          <w:rFonts w:eastAsiaTheme="minorEastAsia"/>
          <w:sz w:val="24"/>
        </w:rPr>
        <w:t>规范环境影响评价方法，科学分析项目建设对环境质量的影响。</w:t>
      </w:r>
    </w:p>
    <w:p>
      <w:pPr>
        <w:spacing w:line="460" w:lineRule="exact"/>
        <w:ind w:firstLine="480" w:firstLineChars="200"/>
        <w:rPr>
          <w:rFonts w:eastAsiaTheme="minorEastAsia"/>
          <w:sz w:val="24"/>
        </w:rPr>
      </w:pPr>
      <w:r>
        <w:rPr>
          <w:rFonts w:hint="eastAsia" w:eastAsiaTheme="minorEastAsia"/>
          <w:sz w:val="24"/>
        </w:rPr>
        <w:t>3、</w:t>
      </w:r>
      <w:r>
        <w:rPr>
          <w:rFonts w:eastAsiaTheme="minorEastAsia"/>
          <w:sz w:val="24"/>
        </w:rPr>
        <w:t>突出重点</w:t>
      </w:r>
    </w:p>
    <w:p>
      <w:pPr>
        <w:spacing w:line="460" w:lineRule="exact"/>
        <w:ind w:firstLine="480" w:firstLineChars="200"/>
        <w:rPr>
          <w:rFonts w:eastAsiaTheme="minorEastAsia"/>
          <w:sz w:val="24"/>
        </w:rPr>
      </w:pPr>
      <w:r>
        <w:rPr>
          <w:rFonts w:eastAsiaTheme="minorEastAsia"/>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adjustRightInd w:val="0"/>
        <w:spacing w:before="120" w:after="120" w:line="460" w:lineRule="exact"/>
        <w:textAlignment w:val="baseline"/>
        <w:rPr>
          <w:rFonts w:ascii="Times New Roman" w:hAnsi="Times New Roman"/>
          <w:b w:val="0"/>
          <w:bCs w:val="0"/>
          <w:szCs w:val="28"/>
        </w:rPr>
      </w:pPr>
      <w:bookmarkStart w:id="54" w:name="_Toc165386211"/>
      <w:r>
        <w:rPr>
          <w:rFonts w:hint="eastAsia" w:ascii="Times New Roman" w:hAnsi="Times New Roman"/>
          <w:b w:val="0"/>
          <w:szCs w:val="28"/>
        </w:rPr>
        <w:t>2</w:t>
      </w:r>
      <w:r>
        <w:rPr>
          <w:rFonts w:ascii="Times New Roman" w:hAnsi="Times New Roman"/>
          <w:b w:val="0"/>
          <w:szCs w:val="28"/>
        </w:rPr>
        <w:t>.3</w:t>
      </w:r>
      <w:r>
        <w:rPr>
          <w:rFonts w:hint="eastAsia" w:ascii="Times New Roman" w:hAnsi="Times New Roman"/>
          <w:b w:val="0"/>
          <w:szCs w:val="28"/>
        </w:rPr>
        <w:t xml:space="preserve"> </w:t>
      </w:r>
      <w:r>
        <w:rPr>
          <w:rFonts w:ascii="Times New Roman" w:hAnsi="Times New Roman"/>
          <w:b w:val="0"/>
          <w:szCs w:val="28"/>
        </w:rPr>
        <w:t>环境影响识别及评价因子</w:t>
      </w:r>
      <w:r>
        <w:rPr>
          <w:rFonts w:hint="eastAsia" w:ascii="Times New Roman" w:hAnsi="Times New Roman"/>
          <w:b w:val="0"/>
          <w:szCs w:val="28"/>
        </w:rPr>
        <w:t>变化</w:t>
      </w:r>
      <w:bookmarkEnd w:id="54"/>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.3.1环境影响要素识别</w:t>
      </w:r>
    </w:p>
    <w:p>
      <w:pPr>
        <w:pStyle w:val="57"/>
        <w:spacing w:after="0" w:line="460" w:lineRule="exact"/>
        <w:ind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根据项目的污染物排放特征及所在区域的环境特征，识别出项目运营期对厂址周围的环境空气、地下水环境及声环境等产生不同程度的影响，</w:t>
      </w:r>
      <w:r>
        <w:rPr>
          <w:rFonts w:hint="eastAsia" w:ascii="Times New Roman" w:hAnsi="Times New Roman" w:cs="Times New Roman"/>
          <w:sz w:val="24"/>
        </w:rPr>
        <w:t>具体</w:t>
      </w:r>
      <w:r>
        <w:rPr>
          <w:rFonts w:ascii="Times New Roman" w:hAnsi="Times New Roman" w:cs="Times New Roman"/>
          <w:sz w:val="24"/>
        </w:rPr>
        <w:t>见表</w:t>
      </w:r>
      <w:r>
        <w:rPr>
          <w:rFonts w:hint="eastAsia" w:ascii="Times New Roman" w:hAnsi="Times New Roman" w:cs="Times New Roman"/>
          <w:sz w:val="24"/>
        </w:rPr>
        <w:t>2</w:t>
      </w:r>
      <w:r>
        <w:rPr>
          <w:rFonts w:ascii="Times New Roman" w:hAnsi="Times New Roman" w:cs="Times New Roman"/>
          <w:sz w:val="24"/>
        </w:rPr>
        <w:t>.3-1。</w:t>
      </w:r>
    </w:p>
    <w:p>
      <w:pPr>
        <w:ind w:firstLine="420" w:firstLineChars="200"/>
        <w:rPr>
          <w:rFonts w:eastAsia="黑体"/>
          <w:szCs w:val="21"/>
        </w:rPr>
      </w:pPr>
      <w:r>
        <w:rPr>
          <w:rFonts w:eastAsia="黑体"/>
          <w:szCs w:val="21"/>
        </w:rPr>
        <w:t>表</w:t>
      </w:r>
      <w:r>
        <w:rPr>
          <w:rFonts w:hint="eastAsia" w:eastAsia="黑体"/>
          <w:szCs w:val="21"/>
        </w:rPr>
        <w:t>2</w:t>
      </w:r>
      <w:r>
        <w:rPr>
          <w:rFonts w:eastAsia="黑体"/>
          <w:szCs w:val="21"/>
        </w:rPr>
        <w:t xml:space="preserve">.3-1          </w:t>
      </w:r>
      <w:r>
        <w:rPr>
          <w:rFonts w:hint="eastAsia" w:eastAsia="黑体"/>
          <w:szCs w:val="21"/>
        </w:rPr>
        <w:t xml:space="preserve">   </w:t>
      </w:r>
      <w:r>
        <w:rPr>
          <w:rFonts w:eastAsia="黑体"/>
          <w:szCs w:val="21"/>
        </w:rPr>
        <w:t xml:space="preserve">       环境影响要素判别表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079"/>
        <w:gridCol w:w="1602"/>
        <w:gridCol w:w="3972"/>
        <w:gridCol w:w="1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Align w:val="center"/>
          </w:tcPr>
          <w:p>
            <w:pPr>
              <w:jc w:val="center"/>
              <w:rPr>
                <w:szCs w:val="21"/>
              </w:rPr>
            </w:pPr>
            <w:r>
              <w:rPr>
                <w:rFonts w:hint="eastAsia"/>
                <w:szCs w:val="21"/>
              </w:rPr>
              <w:t>序号</w:t>
            </w:r>
          </w:p>
        </w:tc>
        <w:tc>
          <w:tcPr>
            <w:tcW w:w="1079" w:type="dxa"/>
            <w:vAlign w:val="center"/>
          </w:tcPr>
          <w:p>
            <w:pPr>
              <w:jc w:val="center"/>
              <w:rPr>
                <w:szCs w:val="21"/>
              </w:rPr>
            </w:pPr>
            <w:r>
              <w:rPr>
                <w:rFonts w:hint="eastAsia"/>
                <w:szCs w:val="21"/>
              </w:rPr>
              <w:t>环境要素</w:t>
            </w:r>
          </w:p>
        </w:tc>
        <w:tc>
          <w:tcPr>
            <w:tcW w:w="1602" w:type="dxa"/>
            <w:vAlign w:val="center"/>
          </w:tcPr>
          <w:p>
            <w:pPr>
              <w:jc w:val="center"/>
              <w:rPr>
                <w:szCs w:val="21"/>
              </w:rPr>
            </w:pPr>
            <w:r>
              <w:rPr>
                <w:rFonts w:hint="eastAsia"/>
                <w:szCs w:val="21"/>
              </w:rPr>
              <w:t>影响因子</w:t>
            </w:r>
          </w:p>
        </w:tc>
        <w:tc>
          <w:tcPr>
            <w:tcW w:w="3972" w:type="dxa"/>
            <w:vAlign w:val="center"/>
          </w:tcPr>
          <w:p>
            <w:pPr>
              <w:jc w:val="center"/>
              <w:rPr>
                <w:szCs w:val="21"/>
              </w:rPr>
            </w:pPr>
            <w:r>
              <w:rPr>
                <w:rFonts w:hint="eastAsia"/>
                <w:szCs w:val="21"/>
              </w:rPr>
              <w:t>工程内容及表征</w:t>
            </w:r>
          </w:p>
        </w:tc>
        <w:tc>
          <w:tcPr>
            <w:tcW w:w="1095" w:type="dxa"/>
            <w:vAlign w:val="center"/>
          </w:tcPr>
          <w:p>
            <w:pPr>
              <w:jc w:val="center"/>
              <w:rPr>
                <w:szCs w:val="21"/>
              </w:rPr>
            </w:pPr>
            <w:r>
              <w:rPr>
                <w:rFonts w:hint="eastAsia"/>
                <w:szCs w:val="21"/>
              </w:rPr>
              <w:t>影响程度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Align w:val="center"/>
          </w:tcPr>
          <w:p>
            <w:pPr>
              <w:jc w:val="center"/>
              <w:rPr>
                <w:szCs w:val="21"/>
              </w:rPr>
            </w:pPr>
            <w:r>
              <w:rPr>
                <w:szCs w:val="21"/>
              </w:rPr>
              <w:t>1</w:t>
            </w:r>
          </w:p>
        </w:tc>
        <w:tc>
          <w:tcPr>
            <w:tcW w:w="1079" w:type="dxa"/>
            <w:vAlign w:val="center"/>
          </w:tcPr>
          <w:p>
            <w:pPr>
              <w:jc w:val="center"/>
              <w:rPr>
                <w:szCs w:val="21"/>
              </w:rPr>
            </w:pPr>
            <w:r>
              <w:rPr>
                <w:rFonts w:hint="eastAsia"/>
                <w:szCs w:val="21"/>
              </w:rPr>
              <w:t>环境空气</w:t>
            </w:r>
          </w:p>
        </w:tc>
        <w:tc>
          <w:tcPr>
            <w:tcW w:w="1602" w:type="dxa"/>
            <w:vAlign w:val="center"/>
          </w:tcPr>
          <w:p>
            <w:pPr>
              <w:jc w:val="center"/>
              <w:rPr>
                <w:szCs w:val="21"/>
              </w:rPr>
            </w:pPr>
            <w:r>
              <w:rPr>
                <w:rFonts w:hint="eastAsia"/>
                <w:szCs w:val="21"/>
              </w:rPr>
              <w:t>废气</w:t>
            </w:r>
          </w:p>
        </w:tc>
        <w:tc>
          <w:tcPr>
            <w:tcW w:w="3972" w:type="dxa"/>
            <w:vAlign w:val="center"/>
          </w:tcPr>
          <w:p>
            <w:pPr>
              <w:jc w:val="center"/>
              <w:rPr>
                <w:szCs w:val="21"/>
              </w:rPr>
            </w:pPr>
            <w:r>
              <w:rPr>
                <w:rFonts w:hint="eastAsia"/>
                <w:szCs w:val="21"/>
              </w:rPr>
              <w:t>破碎、混料、造粒、挤出工序</w:t>
            </w:r>
          </w:p>
        </w:tc>
        <w:tc>
          <w:tcPr>
            <w:tcW w:w="1095"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Align w:val="center"/>
          </w:tcPr>
          <w:p>
            <w:pPr>
              <w:jc w:val="center"/>
              <w:rPr>
                <w:szCs w:val="21"/>
              </w:rPr>
            </w:pPr>
            <w:r>
              <w:rPr>
                <w:szCs w:val="21"/>
              </w:rPr>
              <w:t>2</w:t>
            </w:r>
          </w:p>
        </w:tc>
        <w:tc>
          <w:tcPr>
            <w:tcW w:w="1079" w:type="dxa"/>
            <w:vAlign w:val="center"/>
          </w:tcPr>
          <w:p>
            <w:pPr>
              <w:jc w:val="center"/>
              <w:rPr>
                <w:szCs w:val="21"/>
              </w:rPr>
            </w:pPr>
            <w:r>
              <w:rPr>
                <w:rFonts w:hint="eastAsia"/>
                <w:szCs w:val="21"/>
              </w:rPr>
              <w:t>声环境</w:t>
            </w:r>
          </w:p>
        </w:tc>
        <w:tc>
          <w:tcPr>
            <w:tcW w:w="1602" w:type="dxa"/>
            <w:vAlign w:val="center"/>
          </w:tcPr>
          <w:p>
            <w:pPr>
              <w:jc w:val="center"/>
              <w:rPr>
                <w:szCs w:val="21"/>
              </w:rPr>
            </w:pPr>
            <w:r>
              <w:rPr>
                <w:rFonts w:hint="eastAsia"/>
                <w:szCs w:val="21"/>
              </w:rPr>
              <w:t>噪声</w:t>
            </w:r>
          </w:p>
        </w:tc>
        <w:tc>
          <w:tcPr>
            <w:tcW w:w="3972" w:type="dxa"/>
            <w:vAlign w:val="center"/>
          </w:tcPr>
          <w:p>
            <w:pPr>
              <w:jc w:val="center"/>
              <w:rPr>
                <w:szCs w:val="21"/>
              </w:rPr>
            </w:pPr>
            <w:r>
              <w:rPr>
                <w:rFonts w:hint="eastAsia"/>
                <w:szCs w:val="21"/>
              </w:rPr>
              <w:t>机械噪声、运输噪声</w:t>
            </w:r>
          </w:p>
        </w:tc>
        <w:tc>
          <w:tcPr>
            <w:tcW w:w="1095"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Align w:val="center"/>
          </w:tcPr>
          <w:p>
            <w:pPr>
              <w:jc w:val="center"/>
              <w:rPr>
                <w:szCs w:val="21"/>
              </w:rPr>
            </w:pPr>
            <w:r>
              <w:rPr>
                <w:szCs w:val="21"/>
              </w:rPr>
              <w:t>3</w:t>
            </w:r>
          </w:p>
        </w:tc>
        <w:tc>
          <w:tcPr>
            <w:tcW w:w="1079" w:type="dxa"/>
            <w:vAlign w:val="center"/>
          </w:tcPr>
          <w:p>
            <w:pPr>
              <w:jc w:val="center"/>
              <w:rPr>
                <w:szCs w:val="21"/>
              </w:rPr>
            </w:pPr>
            <w:r>
              <w:rPr>
                <w:rFonts w:hint="eastAsia"/>
                <w:szCs w:val="21"/>
              </w:rPr>
              <w:t>水环境</w:t>
            </w:r>
          </w:p>
        </w:tc>
        <w:tc>
          <w:tcPr>
            <w:tcW w:w="1602" w:type="dxa"/>
            <w:vAlign w:val="center"/>
          </w:tcPr>
          <w:p>
            <w:pPr>
              <w:jc w:val="center"/>
              <w:rPr>
                <w:szCs w:val="21"/>
              </w:rPr>
            </w:pPr>
            <w:r>
              <w:rPr>
                <w:rFonts w:hint="eastAsia"/>
                <w:szCs w:val="21"/>
              </w:rPr>
              <w:t>废水</w:t>
            </w:r>
          </w:p>
        </w:tc>
        <w:tc>
          <w:tcPr>
            <w:tcW w:w="3972" w:type="dxa"/>
            <w:vAlign w:val="center"/>
          </w:tcPr>
          <w:p>
            <w:pPr>
              <w:jc w:val="center"/>
              <w:rPr>
                <w:szCs w:val="21"/>
              </w:rPr>
            </w:pPr>
            <w:r>
              <w:rPr>
                <w:rFonts w:hint="eastAsia"/>
                <w:szCs w:val="21"/>
              </w:rPr>
              <w:t>清洗、冷却</w:t>
            </w:r>
          </w:p>
        </w:tc>
        <w:tc>
          <w:tcPr>
            <w:tcW w:w="1095"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Align w:val="center"/>
          </w:tcPr>
          <w:p>
            <w:pPr>
              <w:jc w:val="center"/>
              <w:rPr>
                <w:szCs w:val="21"/>
              </w:rPr>
            </w:pPr>
            <w:r>
              <w:rPr>
                <w:szCs w:val="21"/>
              </w:rPr>
              <w:t>4</w:t>
            </w:r>
          </w:p>
        </w:tc>
        <w:tc>
          <w:tcPr>
            <w:tcW w:w="1079" w:type="dxa"/>
            <w:vAlign w:val="center"/>
          </w:tcPr>
          <w:p>
            <w:pPr>
              <w:jc w:val="center"/>
              <w:rPr>
                <w:szCs w:val="21"/>
              </w:rPr>
            </w:pPr>
            <w:r>
              <w:rPr>
                <w:rFonts w:hint="eastAsia"/>
                <w:szCs w:val="21"/>
              </w:rPr>
              <w:t>固体废物</w:t>
            </w:r>
          </w:p>
        </w:tc>
        <w:tc>
          <w:tcPr>
            <w:tcW w:w="1602" w:type="dxa"/>
            <w:vAlign w:val="center"/>
          </w:tcPr>
          <w:p>
            <w:pPr>
              <w:jc w:val="center"/>
              <w:rPr>
                <w:szCs w:val="21"/>
              </w:rPr>
            </w:pPr>
            <w:r>
              <w:rPr>
                <w:rFonts w:hint="eastAsia"/>
                <w:szCs w:val="21"/>
              </w:rPr>
              <w:t>固体废物</w:t>
            </w:r>
          </w:p>
        </w:tc>
        <w:tc>
          <w:tcPr>
            <w:tcW w:w="3972" w:type="dxa"/>
            <w:vAlign w:val="center"/>
          </w:tcPr>
          <w:p>
            <w:pPr>
              <w:jc w:val="center"/>
              <w:rPr>
                <w:szCs w:val="21"/>
              </w:rPr>
            </w:pPr>
            <w:r>
              <w:rPr>
                <w:rFonts w:hint="eastAsia"/>
                <w:szCs w:val="21"/>
              </w:rPr>
              <w:t>清洗、检验、废气处置、办公生活区</w:t>
            </w:r>
          </w:p>
        </w:tc>
        <w:tc>
          <w:tcPr>
            <w:tcW w:w="1095" w:type="dxa"/>
            <w:vAlign w:val="center"/>
          </w:tcPr>
          <w:p>
            <w:pPr>
              <w:jc w:val="center"/>
              <w:rPr>
                <w:szCs w:val="21"/>
              </w:rPr>
            </w:pPr>
            <w:r>
              <w:rPr>
                <w:rFonts w:hint="eastAsia"/>
                <w:szCs w:val="21"/>
              </w:rPr>
              <w:t>+</w:t>
            </w:r>
          </w:p>
        </w:tc>
      </w:tr>
    </w:tbl>
    <w:p>
      <w:pPr>
        <w:autoSpaceDE w:val="0"/>
        <w:autoSpaceDN w:val="0"/>
      </w:pPr>
      <w:r>
        <w:rPr>
          <w:rFonts w:hint="eastAsia"/>
          <w:b/>
          <w:sz w:val="18"/>
          <w:szCs w:val="21"/>
        </w:rPr>
        <w:t>注：</w:t>
      </w:r>
      <w:r>
        <w:rPr>
          <w:b/>
          <w:sz w:val="18"/>
          <w:szCs w:val="21"/>
        </w:rPr>
        <w:t xml:space="preserve">- </w:t>
      </w:r>
      <w:r>
        <w:rPr>
          <w:rFonts w:hint="eastAsia"/>
          <w:b/>
          <w:sz w:val="18"/>
          <w:szCs w:val="21"/>
        </w:rPr>
        <w:t>表示负效应，</w:t>
      </w:r>
      <w:r>
        <w:rPr>
          <w:b/>
          <w:sz w:val="18"/>
          <w:szCs w:val="21"/>
        </w:rPr>
        <w:t>+</w:t>
      </w:r>
      <w:r>
        <w:rPr>
          <w:rFonts w:hint="eastAsia"/>
          <w:b/>
          <w:sz w:val="18"/>
          <w:szCs w:val="21"/>
        </w:rPr>
        <w:t>表示正效应；符号随数量的递增，表示影响的程度由大到小。</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.3.2评价因子筛选</w:t>
      </w:r>
    </w:p>
    <w:p>
      <w:pPr>
        <w:autoSpaceDE w:val="0"/>
        <w:autoSpaceDN w:val="0"/>
        <w:spacing w:line="360" w:lineRule="auto"/>
        <w:ind w:firstLine="480" w:firstLineChars="200"/>
        <w:rPr>
          <w:sz w:val="24"/>
        </w:rPr>
      </w:pPr>
      <w:r>
        <w:rPr>
          <w:sz w:val="24"/>
        </w:rPr>
        <w:t>根据项目运营期的特点，结合本地区环境功能及各环境因子的重要性和可能受影响的程度，在环境影响因素识别的基础上，从环境要素方面进行环境因子的识别与筛选，本工程评价因子筛选从环境空气、声环境、水环境、环境风险等几方面进行，本工程评价因子筛选见表</w:t>
      </w:r>
      <w:r>
        <w:rPr>
          <w:rFonts w:hint="eastAsia"/>
          <w:sz w:val="24"/>
        </w:rPr>
        <w:t>2</w:t>
      </w:r>
      <w:r>
        <w:rPr>
          <w:sz w:val="24"/>
        </w:rPr>
        <w:t>.3-2。</w:t>
      </w:r>
    </w:p>
    <w:p>
      <w:pPr>
        <w:ind w:firstLine="420" w:firstLineChars="200"/>
        <w:rPr>
          <w:rFonts w:eastAsia="黑体"/>
          <w:szCs w:val="21"/>
        </w:rPr>
      </w:pPr>
      <w:r>
        <w:rPr>
          <w:rFonts w:eastAsia="黑体"/>
          <w:szCs w:val="21"/>
        </w:rPr>
        <w:t>表</w:t>
      </w:r>
      <w:r>
        <w:rPr>
          <w:rFonts w:hint="eastAsia" w:eastAsia="黑体"/>
          <w:szCs w:val="21"/>
        </w:rPr>
        <w:t>2</w:t>
      </w:r>
      <w:r>
        <w:rPr>
          <w:rFonts w:eastAsia="黑体"/>
          <w:szCs w:val="21"/>
        </w:rPr>
        <w:t>.3-2              环境现状及环境影响评价因子</w:t>
      </w:r>
    </w:p>
    <w:tbl>
      <w:tblPr>
        <w:tblStyle w:val="59"/>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8"/>
        <w:gridCol w:w="1134"/>
        <w:gridCol w:w="59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92" w:type="dxa"/>
            <w:gridSpan w:val="2"/>
            <w:vAlign w:val="center"/>
          </w:tcPr>
          <w:p>
            <w:pPr>
              <w:jc w:val="center"/>
              <w:rPr>
                <w:szCs w:val="21"/>
              </w:rPr>
            </w:pPr>
            <w:r>
              <w:rPr>
                <w:szCs w:val="21"/>
                <w:lang w:val="zh-CN"/>
              </w:rPr>
              <w:t>类别</w:t>
            </w:r>
          </w:p>
        </w:tc>
        <w:tc>
          <w:tcPr>
            <w:tcW w:w="5975" w:type="dxa"/>
            <w:vAlign w:val="center"/>
          </w:tcPr>
          <w:p>
            <w:pPr>
              <w:jc w:val="center"/>
              <w:rPr>
                <w:szCs w:val="21"/>
              </w:rPr>
            </w:pPr>
            <w:r>
              <w:rPr>
                <w:szCs w:val="21"/>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restart"/>
            <w:vAlign w:val="center"/>
          </w:tcPr>
          <w:p>
            <w:pPr>
              <w:jc w:val="center"/>
              <w:rPr>
                <w:szCs w:val="21"/>
              </w:rPr>
            </w:pPr>
            <w:r>
              <w:rPr>
                <w:szCs w:val="21"/>
                <w:lang w:val="zh-CN"/>
              </w:rPr>
              <w:t>环境空气</w:t>
            </w:r>
          </w:p>
        </w:tc>
        <w:tc>
          <w:tcPr>
            <w:tcW w:w="1134" w:type="dxa"/>
            <w:vAlign w:val="center"/>
          </w:tcPr>
          <w:p>
            <w:pPr>
              <w:jc w:val="center"/>
              <w:rPr>
                <w:szCs w:val="21"/>
                <w:lang w:val="zh-CN"/>
              </w:rPr>
            </w:pPr>
            <w:r>
              <w:rPr>
                <w:szCs w:val="21"/>
                <w:lang w:val="zh-CN"/>
              </w:rPr>
              <w:t>现状</w:t>
            </w:r>
          </w:p>
        </w:tc>
        <w:tc>
          <w:tcPr>
            <w:tcW w:w="5975" w:type="dxa"/>
            <w:vAlign w:val="center"/>
          </w:tcPr>
          <w:p>
            <w:pPr>
              <w:jc w:val="center"/>
              <w:rPr>
                <w:szCs w:val="21"/>
              </w:rPr>
            </w:pPr>
            <w:r>
              <w:rPr>
                <w:szCs w:val="21"/>
              </w:rPr>
              <w:t>TSP、PM</w:t>
            </w:r>
            <w:r>
              <w:rPr>
                <w:szCs w:val="21"/>
                <w:vertAlign w:val="subscript"/>
              </w:rPr>
              <w:t>10</w:t>
            </w:r>
            <w:r>
              <w:rPr>
                <w:szCs w:val="21"/>
              </w:rPr>
              <w:t>、PM</w:t>
            </w:r>
            <w:r>
              <w:rPr>
                <w:szCs w:val="21"/>
                <w:vertAlign w:val="subscript"/>
              </w:rPr>
              <w:t>2.5</w:t>
            </w:r>
            <w:r>
              <w:rPr>
                <w:szCs w:val="21"/>
              </w:rPr>
              <w:t>、NO</w:t>
            </w:r>
            <w:r>
              <w:rPr>
                <w:szCs w:val="21"/>
                <w:vertAlign w:val="subscript"/>
              </w:rPr>
              <w:t>2</w:t>
            </w:r>
            <w:r>
              <w:rPr>
                <w:szCs w:val="21"/>
              </w:rPr>
              <w:t>、SO</w:t>
            </w:r>
            <w:r>
              <w:rPr>
                <w:szCs w:val="21"/>
                <w:vertAlign w:val="subscript"/>
              </w:rPr>
              <w:t>2</w:t>
            </w:r>
            <w:r>
              <w:rPr>
                <w:szCs w:val="21"/>
              </w:rPr>
              <w:t>、</w:t>
            </w:r>
            <w:r>
              <w:rPr>
                <w:rFonts w:hint="eastAsia"/>
                <w:szCs w:val="21"/>
              </w:rPr>
              <w:t>CO、O</w:t>
            </w:r>
            <w:r>
              <w:rPr>
                <w:rFonts w:hint="eastAsia"/>
                <w:szCs w:val="21"/>
                <w:vertAlign w:val="subscript"/>
              </w:rPr>
              <w:t>3</w:t>
            </w:r>
            <w:r>
              <w:rPr>
                <w:rFonts w:hint="eastAsia"/>
                <w:szCs w:val="21"/>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continue"/>
            <w:vAlign w:val="center"/>
          </w:tcPr>
          <w:p>
            <w:pPr>
              <w:jc w:val="center"/>
              <w:rPr>
                <w:szCs w:val="21"/>
                <w:lang w:val="zh-CN"/>
              </w:rPr>
            </w:pPr>
          </w:p>
        </w:tc>
        <w:tc>
          <w:tcPr>
            <w:tcW w:w="1134" w:type="dxa"/>
            <w:vAlign w:val="center"/>
          </w:tcPr>
          <w:p>
            <w:pPr>
              <w:jc w:val="center"/>
              <w:rPr>
                <w:szCs w:val="21"/>
                <w:lang w:val="zh-CN"/>
              </w:rPr>
            </w:pPr>
            <w:r>
              <w:rPr>
                <w:szCs w:val="21"/>
                <w:lang w:val="zh-CN"/>
              </w:rPr>
              <w:t>运营期</w:t>
            </w:r>
          </w:p>
        </w:tc>
        <w:tc>
          <w:tcPr>
            <w:tcW w:w="5975" w:type="dxa"/>
            <w:vAlign w:val="center"/>
          </w:tcPr>
          <w:p>
            <w:pPr>
              <w:jc w:val="center"/>
              <w:rPr>
                <w:szCs w:val="21"/>
              </w:rPr>
            </w:pPr>
            <w:r>
              <w:rPr>
                <w:rFonts w:hint="eastAsia"/>
                <w:szCs w:val="21"/>
              </w:rPr>
              <w:t>TSP、非甲烷总烃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restart"/>
            <w:vAlign w:val="center"/>
          </w:tcPr>
          <w:p>
            <w:pPr>
              <w:jc w:val="center"/>
              <w:rPr>
                <w:szCs w:val="21"/>
              </w:rPr>
            </w:pPr>
            <w:r>
              <w:rPr>
                <w:szCs w:val="21"/>
              </w:rPr>
              <w:t>水环境</w:t>
            </w:r>
          </w:p>
        </w:tc>
        <w:tc>
          <w:tcPr>
            <w:tcW w:w="1134" w:type="dxa"/>
            <w:vAlign w:val="center"/>
          </w:tcPr>
          <w:p>
            <w:pPr>
              <w:jc w:val="center"/>
              <w:rPr>
                <w:szCs w:val="21"/>
                <w:lang w:val="zh-CN"/>
              </w:rPr>
            </w:pPr>
            <w:r>
              <w:rPr>
                <w:szCs w:val="21"/>
                <w:lang w:val="zh-CN"/>
              </w:rPr>
              <w:t>现状</w:t>
            </w:r>
          </w:p>
        </w:tc>
        <w:tc>
          <w:tcPr>
            <w:tcW w:w="5975" w:type="dxa"/>
            <w:vAlign w:val="center"/>
          </w:tcPr>
          <w:p>
            <w:pPr>
              <w:jc w:val="center"/>
              <w:rPr>
                <w:szCs w:val="21"/>
              </w:rPr>
            </w:pPr>
            <w:r>
              <w:rPr>
                <w:szCs w:val="21"/>
              </w:rPr>
              <w:t>地下水：</w:t>
            </w:r>
            <w:r>
              <w:rPr>
                <w:bCs/>
                <w:szCs w:val="21"/>
              </w:rPr>
              <w:t>K</w:t>
            </w:r>
            <w:r>
              <w:rPr>
                <w:bCs/>
                <w:szCs w:val="21"/>
                <w:vertAlign w:val="superscript"/>
              </w:rPr>
              <w:t>+</w:t>
            </w:r>
            <w:r>
              <w:rPr>
                <w:rFonts w:hint="eastAsia"/>
                <w:bCs/>
                <w:szCs w:val="21"/>
              </w:rPr>
              <w:t>、</w:t>
            </w:r>
            <w:r>
              <w:rPr>
                <w:bCs/>
                <w:szCs w:val="21"/>
              </w:rPr>
              <w:t>Na</w:t>
            </w:r>
            <w:r>
              <w:rPr>
                <w:bCs/>
                <w:szCs w:val="21"/>
                <w:vertAlign w:val="superscript"/>
              </w:rPr>
              <w:t>+</w:t>
            </w:r>
            <w:r>
              <w:rPr>
                <w:rFonts w:hint="eastAsia"/>
                <w:bCs/>
                <w:szCs w:val="21"/>
              </w:rPr>
              <w:t>、</w:t>
            </w:r>
            <w:r>
              <w:rPr>
                <w:bCs/>
                <w:szCs w:val="21"/>
              </w:rPr>
              <w:t>Ca</w:t>
            </w:r>
            <w:r>
              <w:rPr>
                <w:bCs/>
                <w:szCs w:val="21"/>
                <w:vertAlign w:val="superscript"/>
              </w:rPr>
              <w:t>2+</w:t>
            </w:r>
            <w:r>
              <w:rPr>
                <w:rFonts w:hint="eastAsia"/>
                <w:bCs/>
                <w:szCs w:val="21"/>
              </w:rPr>
              <w:t>、</w:t>
            </w:r>
            <w:r>
              <w:rPr>
                <w:bCs/>
                <w:szCs w:val="21"/>
              </w:rPr>
              <w:t>Mg</w:t>
            </w:r>
            <w:r>
              <w:rPr>
                <w:bCs/>
                <w:szCs w:val="21"/>
                <w:vertAlign w:val="superscript"/>
              </w:rPr>
              <w:t>2+</w:t>
            </w:r>
            <w:r>
              <w:rPr>
                <w:rFonts w:hint="eastAsia"/>
                <w:bCs/>
                <w:szCs w:val="21"/>
              </w:rPr>
              <w:t>、</w:t>
            </w:r>
            <w:r>
              <w:rPr>
                <w:bCs/>
                <w:szCs w:val="21"/>
              </w:rPr>
              <w:t>CO</w:t>
            </w:r>
            <w:r>
              <w:rPr>
                <w:bCs/>
                <w:szCs w:val="21"/>
                <w:vertAlign w:val="subscript"/>
              </w:rPr>
              <w:t>3</w:t>
            </w:r>
            <w:r>
              <w:rPr>
                <w:bCs/>
                <w:szCs w:val="21"/>
                <w:vertAlign w:val="superscript"/>
              </w:rPr>
              <w:t>2-</w:t>
            </w:r>
            <w:r>
              <w:rPr>
                <w:rFonts w:hint="eastAsia"/>
                <w:bCs/>
                <w:szCs w:val="21"/>
              </w:rPr>
              <w:t>、</w:t>
            </w:r>
            <w:r>
              <w:rPr>
                <w:bCs/>
                <w:szCs w:val="21"/>
              </w:rPr>
              <w:t>HCO</w:t>
            </w:r>
            <w:r>
              <w:rPr>
                <w:bCs/>
                <w:szCs w:val="21"/>
                <w:vertAlign w:val="subscript"/>
              </w:rPr>
              <w:t>3</w:t>
            </w:r>
            <w:r>
              <w:rPr>
                <w:bCs/>
                <w:szCs w:val="21"/>
                <w:vertAlign w:val="superscript"/>
              </w:rPr>
              <w:t>-</w:t>
            </w:r>
            <w:r>
              <w:rPr>
                <w:rFonts w:hint="eastAsia"/>
                <w:bCs/>
                <w:szCs w:val="21"/>
              </w:rPr>
              <w:t>、</w:t>
            </w:r>
            <w:r>
              <w:rPr>
                <w:bCs/>
                <w:szCs w:val="21"/>
              </w:rPr>
              <w:t>Cl</w:t>
            </w:r>
            <w:r>
              <w:rPr>
                <w:bCs/>
                <w:szCs w:val="21"/>
                <w:vertAlign w:val="superscript"/>
              </w:rPr>
              <w:t>-</w:t>
            </w:r>
            <w:r>
              <w:rPr>
                <w:rFonts w:hint="eastAsia"/>
                <w:bCs/>
                <w:szCs w:val="21"/>
              </w:rPr>
              <w:t>、</w:t>
            </w:r>
            <w:r>
              <w:rPr>
                <w:bCs/>
                <w:szCs w:val="21"/>
              </w:rPr>
              <w:t>SO</w:t>
            </w:r>
            <w:r>
              <w:rPr>
                <w:bCs/>
                <w:szCs w:val="21"/>
                <w:vertAlign w:val="subscript"/>
              </w:rPr>
              <w:t>4</w:t>
            </w:r>
            <w:r>
              <w:rPr>
                <w:bCs/>
                <w:szCs w:val="21"/>
                <w:vertAlign w:val="superscript"/>
              </w:rPr>
              <w:t>2-</w:t>
            </w:r>
            <w:r>
              <w:rPr>
                <w:rFonts w:hint="eastAsia"/>
                <w:bCs/>
                <w:szCs w:val="21"/>
              </w:rPr>
              <w:t>；pH、溶解性总固体、总硬度、挥发性酚类、阴离子表面活性剂、高锰酸盐指数、氨氮、氰化物、硫化物、氟化物、氯化物、硫酸盐、硝酸盐、亚硝酸盐、总大肠菌群、六价铬、铁、锰、铜、锌、汞、砷、铅、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continue"/>
            <w:vAlign w:val="center"/>
          </w:tcPr>
          <w:p>
            <w:pPr>
              <w:jc w:val="center"/>
              <w:rPr>
                <w:szCs w:val="21"/>
              </w:rPr>
            </w:pPr>
          </w:p>
        </w:tc>
        <w:tc>
          <w:tcPr>
            <w:tcW w:w="1134" w:type="dxa"/>
            <w:vAlign w:val="center"/>
          </w:tcPr>
          <w:p>
            <w:pPr>
              <w:jc w:val="center"/>
              <w:rPr>
                <w:szCs w:val="21"/>
                <w:lang w:val="zh-CN"/>
              </w:rPr>
            </w:pPr>
            <w:r>
              <w:rPr>
                <w:szCs w:val="21"/>
                <w:lang w:val="zh-CN"/>
              </w:rPr>
              <w:t>运营期</w:t>
            </w:r>
          </w:p>
        </w:tc>
        <w:tc>
          <w:tcPr>
            <w:tcW w:w="5975" w:type="dxa"/>
            <w:vAlign w:val="center"/>
          </w:tcPr>
          <w:p>
            <w:pPr>
              <w:jc w:val="center"/>
              <w:rPr>
                <w:szCs w:val="21"/>
              </w:rPr>
            </w:pPr>
            <w:r>
              <w:rPr>
                <w:szCs w:val="21"/>
              </w:rPr>
              <w:t>pH</w:t>
            </w:r>
            <w:r>
              <w:rPr>
                <w:rFonts w:hint="eastAsia"/>
                <w:szCs w:val="21"/>
              </w:rPr>
              <w:t>、</w:t>
            </w:r>
            <w:r>
              <w:rPr>
                <w:szCs w:val="21"/>
              </w:rPr>
              <w:t>CODcr</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、氨氮等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restart"/>
            <w:vAlign w:val="center"/>
          </w:tcPr>
          <w:p>
            <w:pPr>
              <w:jc w:val="center"/>
              <w:rPr>
                <w:szCs w:val="21"/>
              </w:rPr>
            </w:pPr>
            <w:r>
              <w:rPr>
                <w:szCs w:val="21"/>
              </w:rPr>
              <w:t>声环境</w:t>
            </w:r>
          </w:p>
        </w:tc>
        <w:tc>
          <w:tcPr>
            <w:tcW w:w="1134" w:type="dxa"/>
            <w:vAlign w:val="center"/>
          </w:tcPr>
          <w:p>
            <w:pPr>
              <w:jc w:val="center"/>
              <w:rPr>
                <w:szCs w:val="21"/>
              </w:rPr>
            </w:pPr>
            <w:r>
              <w:rPr>
                <w:szCs w:val="21"/>
              </w:rPr>
              <w:t>现状</w:t>
            </w:r>
          </w:p>
        </w:tc>
        <w:tc>
          <w:tcPr>
            <w:tcW w:w="5975" w:type="dxa"/>
            <w:vAlign w:val="center"/>
          </w:tcPr>
          <w:p>
            <w:pPr>
              <w:jc w:val="center"/>
              <w:rPr>
                <w:szCs w:val="21"/>
                <w:lang w:val="zh-CN"/>
              </w:rPr>
            </w:pPr>
            <w:r>
              <w:rPr>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continue"/>
            <w:vAlign w:val="center"/>
          </w:tcPr>
          <w:p>
            <w:pPr>
              <w:jc w:val="center"/>
              <w:rPr>
                <w:szCs w:val="21"/>
              </w:rPr>
            </w:pPr>
          </w:p>
        </w:tc>
        <w:tc>
          <w:tcPr>
            <w:tcW w:w="1134" w:type="dxa"/>
            <w:vAlign w:val="center"/>
          </w:tcPr>
          <w:p>
            <w:pPr>
              <w:jc w:val="center"/>
              <w:rPr>
                <w:szCs w:val="21"/>
              </w:rPr>
            </w:pPr>
            <w:r>
              <w:rPr>
                <w:szCs w:val="21"/>
              </w:rPr>
              <w:t>运营期</w:t>
            </w:r>
          </w:p>
        </w:tc>
        <w:tc>
          <w:tcPr>
            <w:tcW w:w="5975" w:type="dxa"/>
            <w:vAlign w:val="center"/>
          </w:tcPr>
          <w:p>
            <w:pPr>
              <w:jc w:val="center"/>
              <w:rPr>
                <w:szCs w:val="21"/>
                <w:lang w:val="zh-CN"/>
              </w:rPr>
            </w:pPr>
            <w:r>
              <w:rPr>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restart"/>
            <w:vAlign w:val="center"/>
          </w:tcPr>
          <w:p>
            <w:pPr>
              <w:jc w:val="center"/>
              <w:rPr>
                <w:szCs w:val="21"/>
              </w:rPr>
            </w:pPr>
            <w:r>
              <w:rPr>
                <w:rFonts w:hint="eastAsia"/>
                <w:szCs w:val="21"/>
              </w:rPr>
              <w:t>土壤环境</w:t>
            </w:r>
          </w:p>
        </w:tc>
        <w:tc>
          <w:tcPr>
            <w:tcW w:w="1134" w:type="dxa"/>
            <w:vAlign w:val="center"/>
          </w:tcPr>
          <w:p>
            <w:pPr>
              <w:jc w:val="center"/>
              <w:rPr>
                <w:szCs w:val="21"/>
              </w:rPr>
            </w:pPr>
            <w:r>
              <w:rPr>
                <w:szCs w:val="21"/>
              </w:rPr>
              <w:t>现状</w:t>
            </w:r>
          </w:p>
        </w:tc>
        <w:tc>
          <w:tcPr>
            <w:tcW w:w="5975" w:type="dxa"/>
            <w:vAlign w:val="center"/>
          </w:tcPr>
          <w:p>
            <w:pPr>
              <w:jc w:val="center"/>
              <w:rPr>
                <w:szCs w:val="21"/>
              </w:rPr>
            </w:pPr>
            <w:r>
              <w:rPr>
                <w:szCs w:val="21"/>
              </w:rPr>
              <w:t>pH</w:t>
            </w:r>
            <w:r>
              <w:rPr>
                <w:rFonts w:hint="eastAsia"/>
                <w:szCs w:val="21"/>
              </w:rPr>
              <w:t>、砷、镉、六价铬、铜、铅、汞、镍、四氯化碳、氯仿、氯甲烷、</w:t>
            </w:r>
            <w:r>
              <w:rPr>
                <w:szCs w:val="21"/>
              </w:rPr>
              <w:t>1,1-</w:t>
            </w:r>
            <w:r>
              <w:rPr>
                <w:rFonts w:hint="eastAsia"/>
                <w:szCs w:val="21"/>
              </w:rPr>
              <w:t>二氯乙烷、</w:t>
            </w:r>
            <w:r>
              <w:rPr>
                <w:szCs w:val="21"/>
              </w:rPr>
              <w:t>1,2-</w:t>
            </w:r>
            <w:r>
              <w:rPr>
                <w:rFonts w:hint="eastAsia"/>
                <w:szCs w:val="21"/>
              </w:rPr>
              <w:t>二氯乙烷、</w:t>
            </w:r>
            <w:r>
              <w:rPr>
                <w:szCs w:val="21"/>
              </w:rPr>
              <w:t>1,1-</w:t>
            </w:r>
            <w:r>
              <w:rPr>
                <w:rFonts w:hint="eastAsia"/>
                <w:szCs w:val="21"/>
              </w:rPr>
              <w:t>二氯乙烯、顺</w:t>
            </w:r>
            <w:r>
              <w:rPr>
                <w:szCs w:val="21"/>
              </w:rPr>
              <w:t>-1,2-</w:t>
            </w:r>
            <w:r>
              <w:rPr>
                <w:rFonts w:hint="eastAsia"/>
                <w:szCs w:val="21"/>
              </w:rPr>
              <w:t>二氯乙烯、反</w:t>
            </w:r>
            <w:r>
              <w:rPr>
                <w:szCs w:val="21"/>
              </w:rPr>
              <w:t>-1,2-</w:t>
            </w:r>
            <w:r>
              <w:rPr>
                <w:rFonts w:hint="eastAsia"/>
                <w:szCs w:val="21"/>
              </w:rPr>
              <w:t>二氯乙烯、二氯甲烷、</w:t>
            </w:r>
            <w:r>
              <w:rPr>
                <w:szCs w:val="21"/>
              </w:rPr>
              <w:t>1,2-</w:t>
            </w:r>
            <w:r>
              <w:rPr>
                <w:rFonts w:hint="eastAsia"/>
                <w:szCs w:val="21"/>
              </w:rPr>
              <w:t>二氯丙烷、</w:t>
            </w:r>
            <w:r>
              <w:rPr>
                <w:szCs w:val="21"/>
              </w:rPr>
              <w:t>1,1,1,2-</w:t>
            </w:r>
            <w:r>
              <w:rPr>
                <w:rFonts w:hint="eastAsia"/>
                <w:szCs w:val="21"/>
              </w:rPr>
              <w:t>四氯乙烷、</w:t>
            </w:r>
            <w:r>
              <w:rPr>
                <w:szCs w:val="21"/>
              </w:rPr>
              <w:t>1,1,2,2-</w:t>
            </w:r>
            <w:r>
              <w:rPr>
                <w:rFonts w:hint="eastAsia"/>
                <w:szCs w:val="21"/>
              </w:rPr>
              <w:t>四氯乙烷、四氯乙烯、</w:t>
            </w:r>
            <w:r>
              <w:rPr>
                <w:szCs w:val="21"/>
              </w:rPr>
              <w:t>1,1,1-</w:t>
            </w:r>
            <w:r>
              <w:rPr>
                <w:rFonts w:hint="eastAsia"/>
                <w:szCs w:val="21"/>
              </w:rPr>
              <w:t>三氯乙烷、</w:t>
            </w:r>
            <w:r>
              <w:rPr>
                <w:szCs w:val="21"/>
              </w:rPr>
              <w:t>1,1,2-</w:t>
            </w:r>
            <w:r>
              <w:rPr>
                <w:rFonts w:hint="eastAsia"/>
                <w:szCs w:val="21"/>
              </w:rPr>
              <w:t>三氯乙烷、三氯乙烯、</w:t>
            </w:r>
            <w:r>
              <w:rPr>
                <w:szCs w:val="21"/>
              </w:rPr>
              <w:t>1,2,3-</w:t>
            </w:r>
            <w:r>
              <w:rPr>
                <w:rFonts w:hint="eastAsia"/>
                <w:szCs w:val="21"/>
              </w:rPr>
              <w:t>三氯丙烷、氯乙烯、苯、氯苯、</w:t>
            </w:r>
            <w:r>
              <w:rPr>
                <w:szCs w:val="21"/>
              </w:rPr>
              <w:t>1,2-</w:t>
            </w:r>
            <w:r>
              <w:rPr>
                <w:rFonts w:hint="eastAsia"/>
                <w:szCs w:val="21"/>
              </w:rPr>
              <w:t>二氯苯、</w:t>
            </w:r>
            <w:r>
              <w:rPr>
                <w:szCs w:val="21"/>
              </w:rPr>
              <w:t>1,4-</w:t>
            </w:r>
            <w:r>
              <w:rPr>
                <w:rFonts w:hint="eastAsia"/>
                <w:szCs w:val="21"/>
              </w:rPr>
              <w:t>二氯苯、乙苯、苯乙烯、甲苯、间二甲苯</w:t>
            </w:r>
            <w:r>
              <w:rPr>
                <w:szCs w:val="21"/>
              </w:rPr>
              <w:t>+</w:t>
            </w:r>
            <w:r>
              <w:rPr>
                <w:rFonts w:hint="eastAsia"/>
                <w:szCs w:val="21"/>
              </w:rPr>
              <w:t>对二甲苯、邻二甲苯、硝基苯、苯胺、</w:t>
            </w:r>
            <w:r>
              <w:rPr>
                <w:szCs w:val="21"/>
              </w:rPr>
              <w:t>2-</w:t>
            </w:r>
            <w:r>
              <w:rPr>
                <w:rFonts w:hint="eastAsia"/>
                <w:szCs w:val="21"/>
              </w:rPr>
              <w:t>氯酚、苯并［</w:t>
            </w:r>
            <w:r>
              <w:rPr>
                <w:szCs w:val="21"/>
              </w:rPr>
              <w:t>a</w:t>
            </w:r>
            <w:r>
              <w:rPr>
                <w:rFonts w:hint="eastAsia"/>
                <w:szCs w:val="21"/>
              </w:rPr>
              <w:t>］蒽、苯并［</w:t>
            </w:r>
            <w:r>
              <w:rPr>
                <w:szCs w:val="21"/>
              </w:rPr>
              <w:t>a</w:t>
            </w:r>
            <w:r>
              <w:rPr>
                <w:rFonts w:hint="eastAsia"/>
                <w:szCs w:val="21"/>
              </w:rPr>
              <w:t>］芘、苯并［</w:t>
            </w:r>
            <w:r>
              <w:rPr>
                <w:szCs w:val="21"/>
              </w:rPr>
              <w:t>b</w:t>
            </w:r>
            <w:r>
              <w:rPr>
                <w:rFonts w:hint="eastAsia"/>
                <w:szCs w:val="21"/>
              </w:rPr>
              <w:t>］荧蒽、苯并［</w:t>
            </w:r>
            <w:r>
              <w:rPr>
                <w:szCs w:val="21"/>
              </w:rPr>
              <w:t>k</w:t>
            </w:r>
            <w:r>
              <w:rPr>
                <w:rFonts w:hint="eastAsia"/>
                <w:szCs w:val="21"/>
              </w:rPr>
              <w:t>］荧蒽、䓛、二苯并［a，h］蒽、茚并［1,2,3-cd］芘、萘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Merge w:val="continue"/>
            <w:vAlign w:val="center"/>
          </w:tcPr>
          <w:p>
            <w:pPr>
              <w:jc w:val="center"/>
              <w:rPr>
                <w:szCs w:val="21"/>
              </w:rPr>
            </w:pPr>
          </w:p>
        </w:tc>
        <w:tc>
          <w:tcPr>
            <w:tcW w:w="1134" w:type="dxa"/>
            <w:vAlign w:val="center"/>
          </w:tcPr>
          <w:p>
            <w:pPr>
              <w:jc w:val="center"/>
              <w:rPr>
                <w:szCs w:val="21"/>
              </w:rPr>
            </w:pPr>
            <w:r>
              <w:rPr>
                <w:szCs w:val="21"/>
              </w:rPr>
              <w:t>运营期</w:t>
            </w:r>
          </w:p>
        </w:tc>
        <w:tc>
          <w:tcPr>
            <w:tcW w:w="5975" w:type="dxa"/>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58" w:type="dxa"/>
            <w:vAlign w:val="center"/>
          </w:tcPr>
          <w:p>
            <w:pPr>
              <w:jc w:val="center"/>
              <w:rPr>
                <w:szCs w:val="21"/>
              </w:rPr>
            </w:pPr>
            <w:r>
              <w:rPr>
                <w:szCs w:val="21"/>
              </w:rPr>
              <w:t>固体废物</w:t>
            </w:r>
          </w:p>
        </w:tc>
        <w:tc>
          <w:tcPr>
            <w:tcW w:w="1134" w:type="dxa"/>
            <w:vAlign w:val="center"/>
          </w:tcPr>
          <w:p>
            <w:pPr>
              <w:jc w:val="center"/>
              <w:rPr>
                <w:szCs w:val="21"/>
                <w:lang w:val="zh-CN"/>
              </w:rPr>
            </w:pPr>
            <w:r>
              <w:rPr>
                <w:szCs w:val="21"/>
                <w:lang w:val="zh-CN"/>
              </w:rPr>
              <w:t>运营期</w:t>
            </w:r>
          </w:p>
        </w:tc>
        <w:tc>
          <w:tcPr>
            <w:tcW w:w="5975" w:type="dxa"/>
            <w:vAlign w:val="center"/>
          </w:tcPr>
          <w:p>
            <w:pPr>
              <w:jc w:val="center"/>
              <w:rPr>
                <w:szCs w:val="21"/>
              </w:rPr>
            </w:pPr>
            <w:r>
              <w:rPr>
                <w:rFonts w:hint="eastAsia"/>
                <w:szCs w:val="21"/>
              </w:rPr>
              <w:t>一般工业固废、危险废物、生活垃圾处置措施</w:t>
            </w:r>
          </w:p>
        </w:tc>
      </w:tr>
      <w:bookmarkEnd w:id="49"/>
      <w:bookmarkEnd w:id="50"/>
      <w:bookmarkEnd w:id="51"/>
      <w:bookmarkEnd w:id="52"/>
      <w:bookmarkEnd w:id="53"/>
    </w:tbl>
    <w:p>
      <w:pPr>
        <w:pStyle w:val="4"/>
        <w:adjustRightInd w:val="0"/>
        <w:spacing w:before="120" w:after="120" w:line="460" w:lineRule="exact"/>
        <w:textAlignment w:val="baseline"/>
        <w:rPr>
          <w:rFonts w:ascii="Times New Roman" w:hAnsi="Times New Roman"/>
          <w:b w:val="0"/>
          <w:szCs w:val="28"/>
        </w:rPr>
      </w:pPr>
      <w:bookmarkStart w:id="55" w:name="_Toc430033216"/>
      <w:bookmarkStart w:id="56" w:name="_Toc437732080"/>
      <w:bookmarkStart w:id="57" w:name="_Toc165386212"/>
      <w:bookmarkStart w:id="58" w:name="_Toc146967233"/>
      <w:bookmarkStart w:id="59" w:name="_Toc149705132"/>
      <w:bookmarkStart w:id="60" w:name="_Toc188349435"/>
      <w:bookmarkStart w:id="61" w:name="_Toc327365463"/>
      <w:bookmarkStart w:id="62" w:name="_Toc1588"/>
      <w:r>
        <w:rPr>
          <w:rFonts w:hint="eastAsia" w:ascii="Times New Roman" w:hAnsi="Times New Roman"/>
          <w:b w:val="0"/>
          <w:szCs w:val="28"/>
        </w:rPr>
        <w:t>2</w:t>
      </w:r>
      <w:r>
        <w:rPr>
          <w:rFonts w:ascii="Times New Roman" w:hAnsi="Times New Roman"/>
          <w:b w:val="0"/>
          <w:szCs w:val="28"/>
        </w:rPr>
        <w:t>.</w:t>
      </w:r>
      <w:r>
        <w:rPr>
          <w:rFonts w:hint="eastAsia" w:ascii="Times New Roman" w:hAnsi="Times New Roman"/>
          <w:b w:val="0"/>
          <w:szCs w:val="28"/>
        </w:rPr>
        <w:t xml:space="preserve">4 </w:t>
      </w:r>
      <w:r>
        <w:rPr>
          <w:rFonts w:ascii="Times New Roman" w:hAnsi="Times New Roman"/>
          <w:b w:val="0"/>
          <w:szCs w:val="28"/>
        </w:rPr>
        <w:t>环境功能区划</w:t>
      </w:r>
      <w:bookmarkEnd w:id="55"/>
      <w:bookmarkEnd w:id="56"/>
      <w:r>
        <w:rPr>
          <w:rFonts w:ascii="Times New Roman" w:hAnsi="Times New Roman"/>
          <w:b w:val="0"/>
          <w:szCs w:val="28"/>
        </w:rPr>
        <w:t>及评价标准</w:t>
      </w:r>
      <w:bookmarkEnd w:id="57"/>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w:t>
      </w:r>
      <w:r>
        <w:rPr>
          <w:rFonts w:hint="eastAsia" w:ascii="Times New Roman"/>
          <w:spacing w:val="12"/>
          <w:w w:val="95"/>
          <w:kern w:val="0"/>
          <w:szCs w:val="26"/>
        </w:rPr>
        <w:t>4</w:t>
      </w:r>
      <w:r>
        <w:rPr>
          <w:rFonts w:ascii="Times New Roman"/>
          <w:spacing w:val="12"/>
          <w:w w:val="95"/>
          <w:kern w:val="0"/>
          <w:szCs w:val="26"/>
        </w:rPr>
        <w:t>.1环境功能区划</w:t>
      </w:r>
    </w:p>
    <w:p>
      <w:pPr>
        <w:spacing w:line="460" w:lineRule="exact"/>
        <w:ind w:firstLine="480" w:firstLineChars="200"/>
        <w:rPr>
          <w:bCs/>
          <w:sz w:val="24"/>
        </w:rPr>
      </w:pPr>
      <w:r>
        <w:rPr>
          <w:rFonts w:hint="eastAsia"/>
          <w:bCs/>
          <w:sz w:val="24"/>
        </w:rPr>
        <w:t>1、</w:t>
      </w:r>
      <w:r>
        <w:rPr>
          <w:bCs/>
          <w:sz w:val="24"/>
        </w:rPr>
        <w:t>生态环境功能区划</w:t>
      </w:r>
    </w:p>
    <w:p>
      <w:pPr>
        <w:spacing w:line="460" w:lineRule="exact"/>
        <w:ind w:firstLine="480" w:firstLineChars="200"/>
        <w:rPr>
          <w:sz w:val="24"/>
        </w:rPr>
      </w:pPr>
      <w:r>
        <w:rPr>
          <w:rFonts w:hint="eastAsia"/>
          <w:sz w:val="24"/>
        </w:rPr>
        <w:t>根据《新疆生态功能区划》，本项目所在区域属于</w:t>
      </w:r>
      <w:r>
        <w:rPr>
          <w:sz w:val="24"/>
        </w:rPr>
        <w:t>“</w:t>
      </w:r>
      <w:r>
        <w:rPr>
          <w:rFonts w:hint="eastAsia"/>
          <w:sz w:val="24"/>
        </w:rPr>
        <w:t>准噶尔盆地温性荒漠与绿洲农业生态区（</w:t>
      </w:r>
      <w:r>
        <w:rPr>
          <w:rFonts w:hint="eastAsia" w:ascii="宋体" w:hAnsi="宋体" w:cs="宋体"/>
          <w:sz w:val="24"/>
        </w:rPr>
        <w:t>Ⅱ</w:t>
      </w:r>
      <w:r>
        <w:rPr>
          <w:rFonts w:hint="eastAsia"/>
          <w:sz w:val="24"/>
        </w:rPr>
        <w:t>）</w:t>
      </w:r>
      <w:r>
        <w:rPr>
          <w:sz w:val="24"/>
        </w:rPr>
        <w:t xml:space="preserve"> </w:t>
      </w:r>
      <w:r>
        <w:rPr>
          <w:rFonts w:hint="eastAsia"/>
          <w:sz w:val="24"/>
        </w:rPr>
        <w:t>准噶尔盆地南部荒漠绿洲农业生态亚区（</w:t>
      </w:r>
      <w:r>
        <w:rPr>
          <w:rFonts w:hint="eastAsia" w:ascii="宋体" w:hAnsi="宋体" w:cs="宋体"/>
          <w:sz w:val="24"/>
        </w:rPr>
        <w:t>Ⅱ</w:t>
      </w:r>
      <w:r>
        <w:rPr>
          <w:sz w:val="24"/>
        </w:rPr>
        <w:t>3</w:t>
      </w:r>
      <w:r>
        <w:rPr>
          <w:rFonts w:hint="eastAsia"/>
          <w:sz w:val="24"/>
        </w:rPr>
        <w:t>）</w:t>
      </w:r>
      <w:r>
        <w:rPr>
          <w:sz w:val="24"/>
        </w:rPr>
        <w:t xml:space="preserve"> </w:t>
      </w:r>
      <w:r>
        <w:rPr>
          <w:rFonts w:hint="eastAsia"/>
          <w:sz w:val="24"/>
        </w:rPr>
        <w:t>26．乌苏—石河子—昌吉城镇与绿洲农业生态功能区</w:t>
      </w:r>
      <w:r>
        <w:rPr>
          <w:sz w:val="24"/>
        </w:rPr>
        <w:t>”</w:t>
      </w:r>
      <w:r>
        <w:rPr>
          <w:rFonts w:hint="eastAsia"/>
          <w:sz w:val="24"/>
        </w:rPr>
        <w:t>。</w:t>
      </w:r>
      <w:r>
        <w:rPr>
          <w:sz w:val="24"/>
        </w:rPr>
        <w:t xml:space="preserve"> </w:t>
      </w:r>
      <w:r>
        <w:rPr>
          <w:rFonts w:hint="eastAsia"/>
          <w:sz w:val="24"/>
        </w:rPr>
        <w:t>该生态功能区的主要生态服务功能、生态敏感因子、主要生态环境问题和主要保护目标见表5.3-16。</w:t>
      </w:r>
    </w:p>
    <w:p>
      <w:pPr>
        <w:autoSpaceDE w:val="0"/>
        <w:autoSpaceDN w:val="0"/>
        <w:adjustRightInd w:val="0"/>
        <w:ind w:firstLine="420" w:firstLineChars="200"/>
        <w:rPr>
          <w:rFonts w:eastAsia="黑体"/>
          <w:szCs w:val="21"/>
        </w:rPr>
      </w:pPr>
      <w:r>
        <w:rPr>
          <w:rFonts w:hint="eastAsia" w:eastAsia="黑体"/>
          <w:szCs w:val="21"/>
        </w:rPr>
        <w:t>表5.3-16</w:t>
      </w:r>
      <w:r>
        <w:rPr>
          <w:rFonts w:eastAsia="黑体"/>
          <w:szCs w:val="21"/>
        </w:rPr>
        <w:t xml:space="preserve">        </w:t>
      </w:r>
      <w:r>
        <w:rPr>
          <w:rFonts w:hint="eastAsia" w:eastAsia="黑体"/>
          <w:szCs w:val="21"/>
        </w:rPr>
        <w:t>　　　</w:t>
      </w:r>
      <w:r>
        <w:rPr>
          <w:rFonts w:eastAsia="黑体"/>
          <w:szCs w:val="21"/>
        </w:rPr>
        <w:t xml:space="preserve">  </w:t>
      </w:r>
      <w:r>
        <w:rPr>
          <w:rFonts w:hint="eastAsia" w:eastAsia="黑体"/>
          <w:szCs w:val="21"/>
        </w:rPr>
        <w:t>　项目区生态功能区划</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350"/>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tcBorders>
              <w:top w:val="single" w:color="auto" w:sz="12" w:space="0"/>
              <w:left w:val="nil"/>
              <w:bottom w:val="single" w:color="auto" w:sz="4" w:space="0"/>
              <w:right w:val="single" w:color="auto" w:sz="4" w:space="0"/>
            </w:tcBorders>
            <w:vAlign w:val="center"/>
          </w:tcPr>
          <w:p>
            <w:pPr>
              <w:jc w:val="center"/>
              <w:rPr>
                <w:kern w:val="0"/>
                <w:szCs w:val="21"/>
              </w:rPr>
            </w:pPr>
            <w:r>
              <w:rPr>
                <w:rFonts w:hint="eastAsia"/>
                <w:kern w:val="0"/>
                <w:szCs w:val="21"/>
              </w:rPr>
              <w:t>生态功能分区单元</w:t>
            </w:r>
          </w:p>
        </w:tc>
        <w:tc>
          <w:tcPr>
            <w:tcW w:w="800" w:type="pct"/>
            <w:tcBorders>
              <w:top w:val="single" w:color="auto" w:sz="12"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生态区</w:t>
            </w:r>
          </w:p>
        </w:tc>
        <w:tc>
          <w:tcPr>
            <w:tcW w:w="3637" w:type="pct"/>
            <w:tcBorders>
              <w:top w:val="single" w:color="auto" w:sz="12" w:space="0"/>
              <w:left w:val="single" w:color="auto" w:sz="4" w:space="0"/>
              <w:bottom w:val="single" w:color="auto" w:sz="4" w:space="0"/>
              <w:right w:val="nil"/>
            </w:tcBorders>
            <w:vAlign w:val="center"/>
          </w:tcPr>
          <w:p>
            <w:pPr>
              <w:jc w:val="center"/>
              <w:rPr>
                <w:kern w:val="0"/>
                <w:szCs w:val="21"/>
              </w:rPr>
            </w:pPr>
            <w:r>
              <w:rPr>
                <w:rFonts w:hint="eastAsia" w:ascii="宋体" w:hAnsi="宋体" w:cs="宋体"/>
                <w:kern w:val="0"/>
                <w:szCs w:val="21"/>
              </w:rPr>
              <w:t>Ⅱ</w:t>
            </w:r>
            <w:r>
              <w:rPr>
                <w:rFonts w:hint="eastAsia"/>
                <w:kern w:val="0"/>
                <w:szCs w:val="21"/>
              </w:rPr>
              <w:t>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jc w:val="left"/>
              <w:rPr>
                <w:kern w:val="0"/>
                <w:szCs w:val="21"/>
              </w:rPr>
            </w:pPr>
          </w:p>
        </w:tc>
        <w:tc>
          <w:tcPr>
            <w:tcW w:w="800" w:type="pct"/>
            <w:tcBorders>
              <w:top w:val="single" w:color="auto" w:sz="4" w:space="0"/>
              <w:left w:val="single" w:color="auto" w:sz="4" w:space="0"/>
              <w:bottom w:val="single" w:color="auto" w:sz="4" w:space="0"/>
              <w:right w:val="single" w:color="auto" w:sz="4" w:space="0"/>
            </w:tcBorders>
            <w:vAlign w:val="center"/>
          </w:tcPr>
          <w:p>
            <w:pPr>
              <w:pStyle w:val="677"/>
              <w:widowControl w:val="0"/>
              <w:rPr>
                <w:kern w:val="2"/>
                <w:lang w:eastAsia="zh-CN" w:bidi="ar-SA"/>
              </w:rPr>
            </w:pPr>
            <w:r>
              <w:rPr>
                <w:rFonts w:hint="eastAsia"/>
                <w:kern w:val="2"/>
                <w:lang w:eastAsia="zh-CN" w:bidi="ar-SA"/>
              </w:rPr>
              <w:t>生态亚区</w:t>
            </w:r>
          </w:p>
        </w:tc>
        <w:tc>
          <w:tcPr>
            <w:tcW w:w="3637" w:type="pct"/>
            <w:tcBorders>
              <w:top w:val="single" w:color="auto" w:sz="4" w:space="0"/>
              <w:left w:val="single" w:color="auto" w:sz="4" w:space="0"/>
              <w:bottom w:val="single" w:color="auto" w:sz="4" w:space="0"/>
              <w:right w:val="nil"/>
            </w:tcBorders>
            <w:vAlign w:val="center"/>
          </w:tcPr>
          <w:p>
            <w:pPr>
              <w:pStyle w:val="677"/>
              <w:widowControl w:val="0"/>
              <w:rPr>
                <w:kern w:val="2"/>
                <w:lang w:eastAsia="zh-CN" w:bidi="ar-SA"/>
              </w:rPr>
            </w:pPr>
            <w:r>
              <w:rPr>
                <w:rFonts w:hint="eastAsia" w:ascii="宋体" w:hAnsi="宋体" w:cs="宋体"/>
                <w:kern w:val="2"/>
                <w:lang w:eastAsia="zh-CN" w:bidi="ar-SA"/>
              </w:rPr>
              <w:t>Ⅱ</w:t>
            </w:r>
            <w:r>
              <w:rPr>
                <w:kern w:val="2"/>
                <w:lang w:eastAsia="zh-CN" w:bidi="ar-SA"/>
              </w:rPr>
              <w:t>3</w:t>
            </w:r>
            <w:r>
              <w:rPr>
                <w:rFonts w:hint="eastAsia"/>
                <w:kern w:val="2"/>
                <w:lang w:eastAsia="zh-CN" w:bidi="ar-SA"/>
              </w:rPr>
              <w:t>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jc w:val="left"/>
              <w:rPr>
                <w:kern w:val="0"/>
                <w:szCs w:val="21"/>
              </w:rPr>
            </w:pPr>
          </w:p>
        </w:tc>
        <w:tc>
          <w:tcPr>
            <w:tcW w:w="800" w:type="pct"/>
            <w:tcBorders>
              <w:top w:val="single" w:color="auto" w:sz="4" w:space="0"/>
              <w:left w:val="single" w:color="auto" w:sz="4" w:space="0"/>
              <w:bottom w:val="single" w:color="auto" w:sz="4" w:space="0"/>
              <w:right w:val="single" w:color="auto" w:sz="4" w:space="0"/>
            </w:tcBorders>
            <w:vAlign w:val="center"/>
          </w:tcPr>
          <w:p>
            <w:pPr>
              <w:pStyle w:val="677"/>
              <w:widowControl w:val="0"/>
              <w:rPr>
                <w:kern w:val="2"/>
                <w:lang w:eastAsia="zh-CN" w:bidi="ar-SA"/>
              </w:rPr>
            </w:pPr>
            <w:r>
              <w:rPr>
                <w:rFonts w:hint="eastAsia"/>
                <w:kern w:val="2"/>
                <w:lang w:eastAsia="zh-CN" w:bidi="ar-SA"/>
              </w:rPr>
              <w:t>生态功能区</w:t>
            </w:r>
          </w:p>
        </w:tc>
        <w:tc>
          <w:tcPr>
            <w:tcW w:w="3637" w:type="pct"/>
            <w:tcBorders>
              <w:top w:val="single" w:color="auto" w:sz="4" w:space="0"/>
              <w:left w:val="single" w:color="auto" w:sz="4" w:space="0"/>
              <w:bottom w:val="single" w:color="auto" w:sz="4" w:space="0"/>
              <w:right w:val="nil"/>
            </w:tcBorders>
            <w:vAlign w:val="center"/>
          </w:tcPr>
          <w:p>
            <w:pPr>
              <w:pStyle w:val="677"/>
              <w:widowControl w:val="0"/>
              <w:rPr>
                <w:kern w:val="2"/>
                <w:lang w:eastAsia="zh-CN" w:bidi="ar-SA"/>
              </w:rPr>
            </w:pPr>
            <w:r>
              <w:rPr>
                <w:rFonts w:hint="eastAsia"/>
                <w:kern w:val="2"/>
                <w:lang w:eastAsia="zh-CN" w:bidi="ar-SA"/>
              </w:rPr>
              <w:t>26．乌苏—石河子—昌吉城镇与绿洲农业生态功能区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主要生态服务功能</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工农畜产品生产、人居环境、荒漠化控制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主要生态环境问题</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ascii="宋体" w:hAnsi="宋体"/>
              </w:rPr>
              <w:t>地下水超采、荒漠植被退化、土地荒漠化与盐渍化、大气和水质及土壤污染、良田减少、绿洲外围受到沙漠化威胁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生态敏感因子敏感程度</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生物多样性及其生境中度敏感，土壤盐渍化轻度敏感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保护目标</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保护绿洲农田、保护城市大气和水环境质量、保护荒漠植被、保护农田土壤环境质量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保护措施</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节水灌溉、严格控制地下水开采、污染物达标排放、提高城镇建设规划水平、控制城镇建设用地、荒漠草场禁牧休牧 、完善防护林体系、加强农田投入品的使用管理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12" w:space="0"/>
              <w:right w:val="single" w:color="auto" w:sz="4" w:space="0"/>
            </w:tcBorders>
            <w:vAlign w:val="center"/>
          </w:tcPr>
          <w:p>
            <w:pPr>
              <w:jc w:val="center"/>
              <w:rPr>
                <w:kern w:val="0"/>
                <w:szCs w:val="21"/>
              </w:rPr>
            </w:pPr>
            <w:r>
              <w:rPr>
                <w:rFonts w:hint="eastAsia"/>
                <w:kern w:val="0"/>
                <w:szCs w:val="21"/>
              </w:rPr>
              <w:t>发展方向</w:t>
            </w:r>
          </w:p>
        </w:tc>
        <w:tc>
          <w:tcPr>
            <w:tcW w:w="3637" w:type="pct"/>
            <w:tcBorders>
              <w:top w:val="single" w:color="auto" w:sz="4" w:space="0"/>
              <w:left w:val="single" w:color="auto" w:sz="4" w:space="0"/>
              <w:bottom w:val="single" w:color="auto" w:sz="12" w:space="0"/>
              <w:right w:val="nil"/>
            </w:tcBorders>
            <w:vAlign w:val="center"/>
          </w:tcPr>
          <w:p>
            <w:pPr>
              <w:jc w:val="center"/>
              <w:rPr>
                <w:kern w:val="0"/>
                <w:szCs w:val="21"/>
              </w:rPr>
            </w:pPr>
            <w:r>
              <w:rPr>
                <w:rFonts w:hint="eastAsia"/>
                <w:kern w:val="0"/>
                <w:szCs w:val="21"/>
              </w:rPr>
              <w:t>发展优质高效农牧业，美化城市环境，建设健康、稳定的城乡生态系统与人居环境</w:t>
            </w:r>
          </w:p>
        </w:tc>
      </w:tr>
    </w:tbl>
    <w:p>
      <w:pPr>
        <w:spacing w:line="460" w:lineRule="exact"/>
        <w:ind w:firstLine="480" w:firstLineChars="200"/>
        <w:rPr>
          <w:bCs/>
          <w:sz w:val="24"/>
        </w:rPr>
      </w:pPr>
      <w:r>
        <w:rPr>
          <w:rFonts w:hint="eastAsia"/>
          <w:bCs/>
          <w:sz w:val="24"/>
        </w:rPr>
        <w:t>2、</w:t>
      </w:r>
      <w:r>
        <w:rPr>
          <w:bCs/>
          <w:sz w:val="24"/>
        </w:rPr>
        <w:t>环境空气功能区划</w:t>
      </w:r>
    </w:p>
    <w:p>
      <w:pPr>
        <w:spacing w:line="460" w:lineRule="exact"/>
        <w:ind w:firstLine="480" w:firstLineChars="200"/>
        <w:rPr>
          <w:sz w:val="24"/>
        </w:rPr>
      </w:pPr>
      <w:r>
        <w:rPr>
          <w:rFonts w:hint="eastAsia"/>
          <w:sz w:val="24"/>
        </w:rPr>
        <w:t>本项目位于昌吉国家农业科技园区示范区昌吉市昊慧盛塑料制品厂区内，根据《环境空气质量功能区划分原则与技术方法》（</w:t>
      </w:r>
      <w:r>
        <w:rPr>
          <w:sz w:val="24"/>
        </w:rPr>
        <w:t>HJ14-1996</w:t>
      </w:r>
      <w:r>
        <w:rPr>
          <w:rFonts w:hint="eastAsia"/>
          <w:sz w:val="24"/>
        </w:rPr>
        <w:t>）及《环境空气质量标准》（</w:t>
      </w:r>
      <w:r>
        <w:rPr>
          <w:sz w:val="24"/>
        </w:rPr>
        <w:t>GB3095-2012</w:t>
      </w:r>
      <w:r>
        <w:rPr>
          <w:rFonts w:hint="eastAsia"/>
          <w:sz w:val="24"/>
        </w:rPr>
        <w:t>）中环境空气质量功能区分类方法，结合项目区域所处位置，确定项目区所在区域环境空气功能应划为二类功能区。</w:t>
      </w:r>
    </w:p>
    <w:p>
      <w:pPr>
        <w:spacing w:line="460" w:lineRule="exact"/>
        <w:ind w:firstLine="480" w:firstLineChars="200"/>
        <w:rPr>
          <w:bCs/>
          <w:sz w:val="24"/>
        </w:rPr>
      </w:pPr>
      <w:r>
        <w:rPr>
          <w:rFonts w:hint="eastAsia"/>
          <w:bCs/>
          <w:sz w:val="24"/>
        </w:rPr>
        <w:t>3、</w:t>
      </w:r>
      <w:r>
        <w:rPr>
          <w:bCs/>
          <w:sz w:val="24"/>
        </w:rPr>
        <w:t>水环境功能区划</w:t>
      </w:r>
    </w:p>
    <w:p>
      <w:pPr>
        <w:pStyle w:val="148"/>
        <w:spacing w:line="460" w:lineRule="exact"/>
        <w:rPr>
          <w:rFonts w:ascii="Times New Roman" w:hAnsi="Times New Roman" w:cs="Times New Roman"/>
          <w:color w:val="auto"/>
        </w:rPr>
      </w:pPr>
      <w:r>
        <w:rPr>
          <w:rFonts w:hint="eastAsia" w:ascii="Times New Roman" w:hAnsi="Times New Roman" w:cs="Times New Roman"/>
          <w:color w:val="auto"/>
        </w:rPr>
        <w:t>根据《地下水质量标准》（</w:t>
      </w:r>
      <w:r>
        <w:rPr>
          <w:rFonts w:ascii="Times New Roman" w:hAnsi="Times New Roman" w:cs="Times New Roman"/>
          <w:color w:val="auto"/>
        </w:rPr>
        <w:t>GB/T14848-2017</w:t>
      </w:r>
      <w:r>
        <w:rPr>
          <w:rFonts w:hint="eastAsia" w:ascii="Times New Roman" w:hAnsi="Times New Roman" w:cs="Times New Roman"/>
          <w:color w:val="auto"/>
        </w:rPr>
        <w:t>）中地下水质量分类“以人体健康基准值为依据”的要求，主要适用于集中式生活饮用水水源及工、农业用水的地下水为Ⅲ类水质。本项目所在区域地下水执行《地下水质量标准》（</w:t>
      </w:r>
      <w:r>
        <w:rPr>
          <w:rFonts w:ascii="Times New Roman" w:hAnsi="Times New Roman" w:cs="Times New Roman"/>
          <w:color w:val="auto"/>
        </w:rPr>
        <w:t>GB/T14848-2017</w:t>
      </w:r>
      <w:r>
        <w:rPr>
          <w:rFonts w:hint="eastAsia" w:ascii="Times New Roman" w:hAnsi="Times New Roman" w:cs="Times New Roman"/>
          <w:color w:val="auto"/>
        </w:rPr>
        <w:t>）中的Ⅲ类标准。</w:t>
      </w:r>
    </w:p>
    <w:p>
      <w:pPr>
        <w:spacing w:line="460" w:lineRule="exact"/>
        <w:ind w:firstLine="480" w:firstLineChars="200"/>
        <w:rPr>
          <w:bCs/>
          <w:sz w:val="24"/>
        </w:rPr>
      </w:pPr>
      <w:r>
        <w:rPr>
          <w:rFonts w:hint="eastAsia"/>
          <w:bCs/>
          <w:sz w:val="24"/>
        </w:rPr>
        <w:t>4、</w:t>
      </w:r>
      <w:r>
        <w:rPr>
          <w:bCs/>
          <w:sz w:val="24"/>
        </w:rPr>
        <w:t>声环境功能区划</w:t>
      </w:r>
    </w:p>
    <w:p>
      <w:pPr>
        <w:overflowPunct w:val="0"/>
        <w:spacing w:line="460" w:lineRule="exact"/>
        <w:ind w:firstLine="480" w:firstLineChars="200"/>
        <w:rPr>
          <w:sz w:val="24"/>
        </w:rPr>
      </w:pPr>
      <w:r>
        <w:rPr>
          <w:rFonts w:hint="eastAsia"/>
          <w:sz w:val="24"/>
        </w:rPr>
        <w:t>本项目位于昌吉国家农业科技园区示范区昌吉市昊慧盛塑料制品厂区内，根据《声环境功能区划分技术规范》（</w:t>
      </w:r>
      <w:r>
        <w:rPr>
          <w:sz w:val="24"/>
        </w:rPr>
        <w:t>GB/T15190-2014</w:t>
      </w:r>
      <w:r>
        <w:rPr>
          <w:rFonts w:hint="eastAsia"/>
          <w:sz w:val="24"/>
        </w:rPr>
        <w:t>）中各类标准的适用区解释，项目区划分为3类声环境功能区。</w:t>
      </w:r>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63" w:name="_Toc437732081"/>
      <w:bookmarkStart w:id="64" w:name="_Toc430033217"/>
      <w:r>
        <w:rPr>
          <w:rFonts w:hint="eastAsia" w:ascii="Times New Roman"/>
          <w:spacing w:val="12"/>
          <w:w w:val="95"/>
          <w:kern w:val="0"/>
          <w:szCs w:val="26"/>
        </w:rPr>
        <w:t>2</w:t>
      </w:r>
      <w:r>
        <w:rPr>
          <w:rFonts w:ascii="Times New Roman"/>
          <w:spacing w:val="12"/>
          <w:w w:val="95"/>
          <w:kern w:val="0"/>
          <w:szCs w:val="26"/>
        </w:rPr>
        <w:t>.</w:t>
      </w:r>
      <w:r>
        <w:rPr>
          <w:rFonts w:hint="eastAsia" w:ascii="Times New Roman"/>
          <w:spacing w:val="12"/>
          <w:w w:val="95"/>
          <w:kern w:val="0"/>
          <w:szCs w:val="26"/>
        </w:rPr>
        <w:t>4</w:t>
      </w:r>
      <w:r>
        <w:rPr>
          <w:rFonts w:ascii="Times New Roman"/>
          <w:spacing w:val="12"/>
          <w:w w:val="95"/>
          <w:kern w:val="0"/>
          <w:szCs w:val="26"/>
        </w:rPr>
        <w:t>.2评价标准</w:t>
      </w:r>
      <w:bookmarkEnd w:id="63"/>
      <w:bookmarkEnd w:id="64"/>
    </w:p>
    <w:p>
      <w:pPr>
        <w:autoSpaceDE w:val="0"/>
        <w:autoSpaceDN w:val="0"/>
        <w:spacing w:line="460" w:lineRule="exact"/>
        <w:ind w:firstLine="480" w:firstLineChars="200"/>
        <w:rPr>
          <w:kern w:val="0"/>
          <w:sz w:val="24"/>
        </w:rPr>
      </w:pPr>
      <w:r>
        <w:rPr>
          <w:rFonts w:hint="eastAsia"/>
          <w:kern w:val="0"/>
          <w:sz w:val="24"/>
        </w:rPr>
        <w:t>1、</w:t>
      </w:r>
      <w:r>
        <w:rPr>
          <w:kern w:val="0"/>
          <w:sz w:val="24"/>
        </w:rPr>
        <w:t>环境质量标准</w:t>
      </w:r>
    </w:p>
    <w:p>
      <w:pPr>
        <w:autoSpaceDE w:val="0"/>
        <w:autoSpaceDN w:val="0"/>
        <w:spacing w:line="460" w:lineRule="exact"/>
        <w:ind w:firstLine="480" w:firstLineChars="200"/>
        <w:rPr>
          <w:kern w:val="0"/>
          <w:sz w:val="24"/>
        </w:rPr>
      </w:pPr>
      <w:r>
        <w:rPr>
          <w:sz w:val="24"/>
        </w:rPr>
        <w:t>根据本项目的行业特点，</w:t>
      </w:r>
      <w:r>
        <w:rPr>
          <w:kern w:val="0"/>
          <w:sz w:val="24"/>
        </w:rPr>
        <w:t>结合项目所在区域环境功能，采用以下标准进行本项目环境影响评价。</w:t>
      </w:r>
    </w:p>
    <w:p>
      <w:pPr>
        <w:autoSpaceDE w:val="0"/>
        <w:autoSpaceDN w:val="0"/>
        <w:spacing w:line="460" w:lineRule="exact"/>
        <w:ind w:firstLine="480" w:firstLineChars="200"/>
        <w:rPr>
          <w:kern w:val="0"/>
          <w:sz w:val="24"/>
        </w:rPr>
      </w:pPr>
      <w:r>
        <w:rPr>
          <w:rFonts w:hint="eastAsia"/>
          <w:kern w:val="0"/>
          <w:sz w:val="24"/>
        </w:rPr>
        <w:t>（1）</w:t>
      </w:r>
      <w:r>
        <w:rPr>
          <w:kern w:val="0"/>
          <w:sz w:val="24"/>
        </w:rPr>
        <w:t>环境空气质量SO</w:t>
      </w:r>
      <w:r>
        <w:rPr>
          <w:kern w:val="0"/>
          <w:sz w:val="24"/>
          <w:vertAlign w:val="subscript"/>
        </w:rPr>
        <w:t>2</w:t>
      </w:r>
      <w:r>
        <w:rPr>
          <w:kern w:val="0"/>
          <w:sz w:val="24"/>
        </w:rPr>
        <w:t>、NO</w:t>
      </w:r>
      <w:r>
        <w:rPr>
          <w:kern w:val="0"/>
          <w:sz w:val="24"/>
          <w:vertAlign w:val="subscript"/>
        </w:rPr>
        <w:t>2</w:t>
      </w:r>
      <w:r>
        <w:rPr>
          <w:kern w:val="0"/>
          <w:sz w:val="24"/>
        </w:rPr>
        <w:t>、TSP、PM</w:t>
      </w:r>
      <w:r>
        <w:rPr>
          <w:kern w:val="0"/>
          <w:sz w:val="24"/>
          <w:vertAlign w:val="subscript"/>
        </w:rPr>
        <w:t>10</w:t>
      </w:r>
      <w:r>
        <w:rPr>
          <w:kern w:val="0"/>
          <w:sz w:val="24"/>
        </w:rPr>
        <w:t>、PM</w:t>
      </w:r>
      <w:r>
        <w:rPr>
          <w:kern w:val="0"/>
          <w:sz w:val="24"/>
          <w:vertAlign w:val="subscript"/>
        </w:rPr>
        <w:t>2.5</w:t>
      </w:r>
      <w:r>
        <w:rPr>
          <w:rFonts w:hint="eastAsia"/>
          <w:kern w:val="0"/>
          <w:sz w:val="24"/>
        </w:rPr>
        <w:t>、CO、O</w:t>
      </w:r>
      <w:r>
        <w:rPr>
          <w:rFonts w:hint="eastAsia"/>
          <w:kern w:val="0"/>
          <w:sz w:val="24"/>
          <w:vertAlign w:val="subscript"/>
        </w:rPr>
        <w:t>3</w:t>
      </w:r>
      <w:r>
        <w:rPr>
          <w:kern w:val="0"/>
          <w:sz w:val="24"/>
        </w:rPr>
        <w:t>执行《环境空气质量标准》（GB3095-2012）中二级标准，</w:t>
      </w:r>
      <w:r>
        <w:rPr>
          <w:rFonts w:hint="eastAsia"/>
          <w:bCs/>
          <w:kern w:val="0"/>
          <w:sz w:val="24"/>
        </w:rPr>
        <w:t>非甲烷总烃执行《大气污染物综合排放标准详解》中标准</w:t>
      </w:r>
      <w:r>
        <w:rPr>
          <w:kern w:val="0"/>
          <w:sz w:val="24"/>
        </w:rPr>
        <w:t>，</w:t>
      </w:r>
      <w:r>
        <w:rPr>
          <w:sz w:val="24"/>
        </w:rPr>
        <w:t>有关污染物及其浓度限值</w:t>
      </w:r>
      <w:r>
        <w:rPr>
          <w:kern w:val="0"/>
          <w:sz w:val="24"/>
        </w:rPr>
        <w:t>见表</w:t>
      </w:r>
      <w:r>
        <w:rPr>
          <w:rFonts w:hint="eastAsia"/>
          <w:kern w:val="0"/>
          <w:sz w:val="24"/>
        </w:rPr>
        <w:t>2</w:t>
      </w:r>
      <w:r>
        <w:rPr>
          <w:kern w:val="0"/>
          <w:sz w:val="24"/>
        </w:rPr>
        <w:t>.</w:t>
      </w:r>
      <w:r>
        <w:rPr>
          <w:rFonts w:hint="eastAsia"/>
          <w:kern w:val="0"/>
          <w:sz w:val="24"/>
        </w:rPr>
        <w:t>4</w:t>
      </w:r>
      <w:r>
        <w:rPr>
          <w:kern w:val="0"/>
          <w:sz w:val="24"/>
        </w:rPr>
        <w:t>-</w:t>
      </w:r>
      <w:r>
        <w:rPr>
          <w:rFonts w:hint="eastAsia"/>
          <w:kern w:val="0"/>
          <w:sz w:val="24"/>
        </w:rPr>
        <w:t>2</w:t>
      </w:r>
      <w:r>
        <w:rPr>
          <w:kern w:val="0"/>
          <w:sz w:val="24"/>
        </w:rPr>
        <w:t>。</w:t>
      </w:r>
    </w:p>
    <w:p>
      <w:pPr>
        <w:autoSpaceDE w:val="0"/>
        <w:autoSpaceDN w:val="0"/>
        <w:ind w:firstLine="420" w:firstLineChars="200"/>
      </w:pPr>
      <w:r>
        <w:rPr>
          <w:rFonts w:eastAsia="黑体"/>
          <w:szCs w:val="21"/>
        </w:rPr>
        <w:t>表</w:t>
      </w:r>
      <w:r>
        <w:rPr>
          <w:rFonts w:hint="eastAsia" w:eastAsia="黑体"/>
          <w:szCs w:val="21"/>
        </w:rPr>
        <w:t>2</w:t>
      </w:r>
      <w:r>
        <w:rPr>
          <w:rFonts w:eastAsia="黑体"/>
          <w:szCs w:val="21"/>
        </w:rPr>
        <w:t>.</w:t>
      </w:r>
      <w:r>
        <w:rPr>
          <w:rFonts w:hint="eastAsia" w:eastAsia="黑体"/>
          <w:szCs w:val="21"/>
        </w:rPr>
        <w:t>4</w:t>
      </w:r>
      <w:r>
        <w:rPr>
          <w:rFonts w:eastAsia="黑体"/>
          <w:szCs w:val="21"/>
        </w:rPr>
        <w:t>-</w:t>
      </w:r>
      <w:r>
        <w:rPr>
          <w:rFonts w:hint="eastAsia" w:eastAsia="黑体"/>
          <w:szCs w:val="21"/>
        </w:rPr>
        <w:t>2</w:t>
      </w:r>
      <w:r>
        <w:rPr>
          <w:rFonts w:eastAsia="黑体"/>
          <w:szCs w:val="21"/>
        </w:rPr>
        <w:t xml:space="preserve">              环境空气中各项污染物的浓度限值            单位：</w:t>
      </w:r>
      <w:r>
        <w:t>µg/m</w:t>
      </w:r>
      <w:r>
        <w:rPr>
          <w:vertAlign w:val="superscript"/>
        </w:rPr>
        <w:t>3</w:t>
      </w:r>
    </w:p>
    <w:tbl>
      <w:tblPr>
        <w:tblStyle w:val="59"/>
        <w:tblW w:w="87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985"/>
        <w:gridCol w:w="1984"/>
        <w:gridCol w:w="3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污染物</w:t>
            </w:r>
          </w:p>
        </w:tc>
        <w:tc>
          <w:tcPr>
            <w:tcW w:w="1985"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取值时间</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标准浓度（</w:t>
            </w:r>
            <w:r>
              <w:rPr>
                <w:rFonts w:ascii="Times New Roman" w:hAnsi="Times New Roman" w:eastAsia="宋体" w:cs="Times New Roman"/>
                <w:color w:val="auto"/>
                <w:sz w:val="21"/>
                <w:szCs w:val="21"/>
              </w:rPr>
              <w:t>μg/m</w:t>
            </w:r>
            <w:r>
              <w:rPr>
                <w:rFonts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3357"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restart"/>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150</w:t>
            </w:r>
          </w:p>
        </w:tc>
        <w:tc>
          <w:tcPr>
            <w:tcW w:w="3357" w:type="dxa"/>
            <w:vMerge w:val="restart"/>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《环境空气质量标准》</w:t>
            </w:r>
          </w:p>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GB3095-2012</w:t>
            </w:r>
            <w:r>
              <w:rPr>
                <w:rFonts w:hint="eastAsia" w:ascii="Times New Roman" w:hAnsi="Times New Roman" w:eastAsia="宋体" w:cs="Times New Roman"/>
                <w:color w:val="auto"/>
                <w:sz w:val="21"/>
                <w:szCs w:val="21"/>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continue"/>
            <w:vAlign w:val="center"/>
          </w:tcPr>
          <w:p>
            <w:pPr>
              <w:pStyle w:val="330"/>
              <w:rPr>
                <w:rFonts w:ascii="Times New Roman" w:hAnsi="Times New Roman" w:eastAsia="宋体" w:cs="Times New Roman"/>
                <w:color w:val="auto"/>
                <w:sz w:val="21"/>
                <w:szCs w:val="21"/>
              </w:rPr>
            </w:pP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restart"/>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continue"/>
            <w:vAlign w:val="center"/>
          </w:tcPr>
          <w:p>
            <w:pPr>
              <w:pStyle w:val="330"/>
              <w:rPr>
                <w:rFonts w:ascii="Times New Roman" w:hAnsi="Times New Roman" w:eastAsia="宋体" w:cs="Times New Roman"/>
                <w:color w:val="auto"/>
                <w:sz w:val="21"/>
                <w:szCs w:val="21"/>
              </w:rPr>
            </w:pP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restart"/>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CO</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4000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continue"/>
            <w:vAlign w:val="center"/>
          </w:tcPr>
          <w:p>
            <w:pPr>
              <w:pStyle w:val="330"/>
              <w:rPr>
                <w:rFonts w:ascii="Times New Roman" w:hAnsi="Times New Roman" w:eastAsia="宋体" w:cs="Times New Roman"/>
                <w:color w:val="auto"/>
                <w:sz w:val="21"/>
                <w:szCs w:val="21"/>
              </w:rPr>
            </w:pPr>
          </w:p>
        </w:tc>
        <w:tc>
          <w:tcPr>
            <w:tcW w:w="1985"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1小时</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10000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restart"/>
            <w:vAlign w:val="center"/>
          </w:tcPr>
          <w:p>
            <w:pPr>
              <w:pStyle w:val="330"/>
              <w:rPr>
                <w:rFonts w:ascii="Times New Roman" w:hAnsi="Times New Roman" w:eastAsia="宋体" w:cs="Times New Roman"/>
                <w:color w:val="auto"/>
                <w:sz w:val="21"/>
                <w:szCs w:val="21"/>
                <w:vertAlign w:val="subscript"/>
              </w:rPr>
            </w:pPr>
            <w:r>
              <w:rPr>
                <w:rFonts w:hint="eastAsia" w:ascii="Times New Roman" w:hAnsi="Times New Roman" w:eastAsia="宋体" w:cs="Times New Roman"/>
                <w:color w:val="auto"/>
                <w:sz w:val="21"/>
                <w:szCs w:val="21"/>
              </w:rPr>
              <w:t>O</w:t>
            </w:r>
            <w:r>
              <w:rPr>
                <w:rFonts w:hint="eastAsia" w:ascii="Times New Roman" w:hAnsi="Times New Roman" w:eastAsia="宋体" w:cs="Times New Roman"/>
                <w:color w:val="auto"/>
                <w:sz w:val="21"/>
                <w:szCs w:val="21"/>
                <w:vertAlign w:val="subscript"/>
              </w:rPr>
              <w:t>3</w:t>
            </w:r>
          </w:p>
        </w:tc>
        <w:tc>
          <w:tcPr>
            <w:tcW w:w="1985"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日最大8小时平均</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160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Merge w:val="continue"/>
            <w:vAlign w:val="center"/>
          </w:tcPr>
          <w:p>
            <w:pPr>
              <w:pStyle w:val="330"/>
              <w:rPr>
                <w:rFonts w:ascii="Times New Roman" w:hAnsi="Times New Roman" w:eastAsia="宋体" w:cs="Times New Roman"/>
                <w:color w:val="auto"/>
                <w:sz w:val="21"/>
                <w:szCs w:val="21"/>
              </w:rPr>
            </w:pPr>
          </w:p>
        </w:tc>
        <w:tc>
          <w:tcPr>
            <w:tcW w:w="1985"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1小时</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TSP</w:t>
            </w:r>
          </w:p>
        </w:tc>
        <w:tc>
          <w:tcPr>
            <w:tcW w:w="1985"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24小时</w:t>
            </w:r>
          </w:p>
        </w:tc>
        <w:tc>
          <w:tcPr>
            <w:tcW w:w="198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300</w:t>
            </w:r>
          </w:p>
        </w:tc>
        <w:tc>
          <w:tcPr>
            <w:tcW w:w="3357" w:type="dxa"/>
            <w:vMerge w:val="continue"/>
            <w:vAlign w:val="center"/>
          </w:tcPr>
          <w:p>
            <w:pPr>
              <w:pStyle w:val="330"/>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非甲烷总烃</w:t>
            </w:r>
          </w:p>
        </w:tc>
        <w:tc>
          <w:tcPr>
            <w:tcW w:w="1985"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小时</w:t>
            </w:r>
          </w:p>
        </w:tc>
        <w:tc>
          <w:tcPr>
            <w:tcW w:w="1984" w:type="dxa"/>
            <w:vAlign w:val="center"/>
          </w:tcPr>
          <w:p>
            <w:pPr>
              <w:pStyle w:val="3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2000</w:t>
            </w:r>
          </w:p>
        </w:tc>
        <w:tc>
          <w:tcPr>
            <w:tcW w:w="3357" w:type="dxa"/>
            <w:vAlign w:val="center"/>
          </w:tcPr>
          <w:p>
            <w:pPr>
              <w:pStyle w:val="33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大气污染物综合排放标准详解</w:t>
            </w:r>
          </w:p>
        </w:tc>
      </w:tr>
    </w:tbl>
    <w:p>
      <w:pPr>
        <w:autoSpaceDE w:val="0"/>
        <w:autoSpaceDN w:val="0"/>
        <w:spacing w:line="460" w:lineRule="exact"/>
        <w:ind w:firstLine="480" w:firstLineChars="200"/>
        <w:rPr>
          <w:kern w:val="0"/>
          <w:sz w:val="24"/>
        </w:rPr>
      </w:pPr>
      <w:r>
        <w:rPr>
          <w:rFonts w:hint="eastAsia"/>
          <w:kern w:val="0"/>
          <w:sz w:val="24"/>
        </w:rPr>
        <w:t>（2）</w:t>
      </w:r>
      <w:r>
        <w:rPr>
          <w:kern w:val="0"/>
          <w:sz w:val="24"/>
        </w:rPr>
        <w:t>地下水环境质量标准执行《地下水质量标准》（GB/T14848-2017）</w:t>
      </w:r>
      <w:r>
        <w:rPr>
          <w:rFonts w:ascii="宋体"/>
          <w:kern w:val="0"/>
          <w:sz w:val="24"/>
        </w:rPr>
        <w:t>Ⅲ</w:t>
      </w:r>
      <w:r>
        <w:rPr>
          <w:kern w:val="0"/>
          <w:sz w:val="24"/>
        </w:rPr>
        <w:t>类标准。</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4</w:t>
      </w:r>
      <w:r>
        <w:rPr>
          <w:rFonts w:eastAsia="黑体"/>
          <w:szCs w:val="21"/>
        </w:rPr>
        <w:t>-</w:t>
      </w:r>
      <w:r>
        <w:rPr>
          <w:rFonts w:hint="eastAsia" w:eastAsia="黑体"/>
          <w:szCs w:val="21"/>
        </w:rPr>
        <w:t>3</w:t>
      </w:r>
      <w:r>
        <w:rPr>
          <w:rFonts w:eastAsia="黑体"/>
          <w:szCs w:val="21"/>
        </w:rPr>
        <w:t xml:space="preserve">                地下水质量标准限值              单位：mg/L，pH除外</w:t>
      </w:r>
    </w:p>
    <w:tbl>
      <w:tblPr>
        <w:tblStyle w:val="59"/>
        <w:tblW w:w="83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59"/>
        <w:gridCol w:w="1622"/>
        <w:gridCol w:w="1809"/>
        <w:gridCol w:w="782"/>
        <w:gridCol w:w="1863"/>
        <w:gridCol w:w="14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序号</w:t>
            </w:r>
          </w:p>
        </w:tc>
        <w:tc>
          <w:tcPr>
            <w:tcW w:w="1622" w:type="dxa"/>
            <w:vAlign w:val="center"/>
          </w:tcPr>
          <w:p>
            <w:pPr>
              <w:overflowPunct w:val="0"/>
              <w:jc w:val="center"/>
              <w:rPr>
                <w:szCs w:val="21"/>
              </w:rPr>
            </w:pPr>
            <w:r>
              <w:rPr>
                <w:szCs w:val="21"/>
              </w:rPr>
              <w:t>项目</w:t>
            </w:r>
          </w:p>
        </w:tc>
        <w:tc>
          <w:tcPr>
            <w:tcW w:w="1809" w:type="dxa"/>
            <w:vAlign w:val="center"/>
          </w:tcPr>
          <w:p>
            <w:pPr>
              <w:overflowPunct w:val="0"/>
              <w:jc w:val="center"/>
              <w:rPr>
                <w:szCs w:val="21"/>
              </w:rPr>
            </w:pPr>
            <w:r>
              <w:rPr>
                <w:szCs w:val="21"/>
              </w:rPr>
              <w:t>标准值（</w:t>
            </w:r>
            <w:r>
              <w:rPr>
                <w:rFonts w:ascii="宋体"/>
                <w:szCs w:val="21"/>
              </w:rPr>
              <w:t>Ⅲ</w:t>
            </w:r>
            <w:r>
              <w:rPr>
                <w:szCs w:val="21"/>
              </w:rPr>
              <w:t>类）</w:t>
            </w:r>
          </w:p>
        </w:tc>
        <w:tc>
          <w:tcPr>
            <w:tcW w:w="782" w:type="dxa"/>
            <w:vAlign w:val="center"/>
          </w:tcPr>
          <w:p>
            <w:pPr>
              <w:overflowPunct w:val="0"/>
              <w:jc w:val="center"/>
              <w:rPr>
                <w:szCs w:val="21"/>
              </w:rPr>
            </w:pPr>
            <w:r>
              <w:rPr>
                <w:szCs w:val="21"/>
              </w:rPr>
              <w:t>序号</w:t>
            </w:r>
          </w:p>
        </w:tc>
        <w:tc>
          <w:tcPr>
            <w:tcW w:w="1863" w:type="dxa"/>
            <w:vAlign w:val="center"/>
          </w:tcPr>
          <w:p>
            <w:pPr>
              <w:overflowPunct w:val="0"/>
              <w:jc w:val="center"/>
              <w:rPr>
                <w:szCs w:val="21"/>
              </w:rPr>
            </w:pPr>
            <w:r>
              <w:rPr>
                <w:szCs w:val="21"/>
              </w:rPr>
              <w:t>项目</w:t>
            </w:r>
          </w:p>
        </w:tc>
        <w:tc>
          <w:tcPr>
            <w:tcW w:w="1433" w:type="dxa"/>
            <w:vAlign w:val="center"/>
          </w:tcPr>
          <w:p>
            <w:pPr>
              <w:overflowPunct w:val="0"/>
              <w:jc w:val="center"/>
              <w:rPr>
                <w:szCs w:val="21"/>
              </w:rPr>
            </w:pPr>
            <w:r>
              <w:rPr>
                <w:szCs w:val="21"/>
              </w:rPr>
              <w:t>标准值（</w:t>
            </w:r>
            <w:r>
              <w:rPr>
                <w:rFonts w:ascii="宋体"/>
                <w:szCs w:val="21"/>
              </w:rPr>
              <w:t>Ⅲ</w:t>
            </w:r>
            <w:r>
              <w:rPr>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1</w:t>
            </w:r>
          </w:p>
        </w:tc>
        <w:tc>
          <w:tcPr>
            <w:tcW w:w="1622" w:type="dxa"/>
            <w:vAlign w:val="center"/>
          </w:tcPr>
          <w:p>
            <w:pPr>
              <w:overflowPunct w:val="0"/>
              <w:jc w:val="center"/>
              <w:rPr>
                <w:szCs w:val="21"/>
              </w:rPr>
            </w:pPr>
            <w:r>
              <w:rPr>
                <w:szCs w:val="21"/>
              </w:rPr>
              <w:t>pH</w:t>
            </w:r>
          </w:p>
        </w:tc>
        <w:tc>
          <w:tcPr>
            <w:tcW w:w="1809" w:type="dxa"/>
            <w:vAlign w:val="center"/>
          </w:tcPr>
          <w:p>
            <w:pPr>
              <w:overflowPunct w:val="0"/>
              <w:jc w:val="center"/>
              <w:rPr>
                <w:szCs w:val="21"/>
              </w:rPr>
            </w:pPr>
            <w:r>
              <w:rPr>
                <w:szCs w:val="21"/>
              </w:rPr>
              <w:t>6.5~8.5</w:t>
            </w:r>
          </w:p>
        </w:tc>
        <w:tc>
          <w:tcPr>
            <w:tcW w:w="782" w:type="dxa"/>
            <w:vAlign w:val="center"/>
          </w:tcPr>
          <w:p>
            <w:pPr>
              <w:overflowPunct w:val="0"/>
              <w:jc w:val="center"/>
              <w:rPr>
                <w:szCs w:val="21"/>
              </w:rPr>
            </w:pPr>
            <w:r>
              <w:rPr>
                <w:rFonts w:hint="eastAsia"/>
                <w:szCs w:val="21"/>
              </w:rPr>
              <w:t>13</w:t>
            </w:r>
          </w:p>
        </w:tc>
        <w:tc>
          <w:tcPr>
            <w:tcW w:w="1863" w:type="dxa"/>
            <w:vAlign w:val="center"/>
          </w:tcPr>
          <w:p>
            <w:pPr>
              <w:overflowPunct w:val="0"/>
              <w:jc w:val="center"/>
              <w:rPr>
                <w:szCs w:val="21"/>
              </w:rPr>
            </w:pPr>
            <w:r>
              <w:rPr>
                <w:szCs w:val="21"/>
              </w:rPr>
              <w:t>亚硝酸盐氮</w:t>
            </w:r>
          </w:p>
        </w:tc>
        <w:tc>
          <w:tcPr>
            <w:tcW w:w="1433" w:type="dxa"/>
            <w:vAlign w:val="center"/>
          </w:tcPr>
          <w:p>
            <w:pPr>
              <w:overflowPunct w:val="0"/>
              <w:jc w:val="center"/>
              <w:rPr>
                <w:szCs w:val="21"/>
              </w:rPr>
            </w:pPr>
            <w:r>
              <w:rPr>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2</w:t>
            </w:r>
          </w:p>
        </w:tc>
        <w:tc>
          <w:tcPr>
            <w:tcW w:w="1622" w:type="dxa"/>
            <w:vAlign w:val="center"/>
          </w:tcPr>
          <w:p>
            <w:pPr>
              <w:overflowPunct w:val="0"/>
              <w:jc w:val="center"/>
              <w:rPr>
                <w:szCs w:val="21"/>
              </w:rPr>
            </w:pPr>
            <w:r>
              <w:rPr>
                <w:szCs w:val="21"/>
              </w:rPr>
              <w:t>总硬度</w:t>
            </w:r>
          </w:p>
        </w:tc>
        <w:tc>
          <w:tcPr>
            <w:tcW w:w="1809" w:type="dxa"/>
            <w:vAlign w:val="center"/>
          </w:tcPr>
          <w:p>
            <w:pPr>
              <w:overflowPunct w:val="0"/>
              <w:jc w:val="center"/>
              <w:rPr>
                <w:szCs w:val="21"/>
              </w:rPr>
            </w:pPr>
            <w:r>
              <w:rPr>
                <w:szCs w:val="21"/>
              </w:rPr>
              <w:t>≤450</w:t>
            </w:r>
          </w:p>
        </w:tc>
        <w:tc>
          <w:tcPr>
            <w:tcW w:w="782" w:type="dxa"/>
            <w:vAlign w:val="center"/>
          </w:tcPr>
          <w:p>
            <w:pPr>
              <w:overflowPunct w:val="0"/>
              <w:jc w:val="center"/>
              <w:rPr>
                <w:szCs w:val="21"/>
              </w:rPr>
            </w:pPr>
            <w:r>
              <w:rPr>
                <w:rFonts w:hint="eastAsia"/>
                <w:szCs w:val="21"/>
              </w:rPr>
              <w:t>14</w:t>
            </w:r>
          </w:p>
        </w:tc>
        <w:tc>
          <w:tcPr>
            <w:tcW w:w="1863" w:type="dxa"/>
            <w:vAlign w:val="center"/>
          </w:tcPr>
          <w:p>
            <w:pPr>
              <w:overflowPunct w:val="0"/>
              <w:jc w:val="center"/>
              <w:rPr>
                <w:szCs w:val="21"/>
              </w:rPr>
            </w:pPr>
            <w:r>
              <w:rPr>
                <w:szCs w:val="21"/>
              </w:rPr>
              <w:t>六价铬</w:t>
            </w:r>
          </w:p>
        </w:tc>
        <w:tc>
          <w:tcPr>
            <w:tcW w:w="1433" w:type="dxa"/>
            <w:vAlign w:val="center"/>
          </w:tcPr>
          <w:p>
            <w:pPr>
              <w:overflowPunct w:val="0"/>
              <w:jc w:val="center"/>
              <w:rPr>
                <w:szCs w:val="21"/>
              </w:rPr>
            </w:pPr>
            <w:r>
              <w:rPr>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3</w:t>
            </w:r>
          </w:p>
        </w:tc>
        <w:tc>
          <w:tcPr>
            <w:tcW w:w="1622" w:type="dxa"/>
            <w:vAlign w:val="center"/>
          </w:tcPr>
          <w:p>
            <w:pPr>
              <w:overflowPunct w:val="0"/>
              <w:jc w:val="center"/>
              <w:rPr>
                <w:szCs w:val="21"/>
              </w:rPr>
            </w:pPr>
            <w:r>
              <w:rPr>
                <w:szCs w:val="21"/>
              </w:rPr>
              <w:t>溶解性总固体</w:t>
            </w:r>
          </w:p>
        </w:tc>
        <w:tc>
          <w:tcPr>
            <w:tcW w:w="1809" w:type="dxa"/>
            <w:vAlign w:val="center"/>
          </w:tcPr>
          <w:p>
            <w:pPr>
              <w:overflowPunct w:val="0"/>
              <w:jc w:val="center"/>
              <w:rPr>
                <w:szCs w:val="21"/>
              </w:rPr>
            </w:pPr>
            <w:r>
              <w:rPr>
                <w:szCs w:val="21"/>
              </w:rPr>
              <w:t>≤1000</w:t>
            </w:r>
          </w:p>
        </w:tc>
        <w:tc>
          <w:tcPr>
            <w:tcW w:w="782" w:type="dxa"/>
            <w:vAlign w:val="center"/>
          </w:tcPr>
          <w:p>
            <w:pPr>
              <w:overflowPunct w:val="0"/>
              <w:jc w:val="center"/>
              <w:rPr>
                <w:szCs w:val="21"/>
              </w:rPr>
            </w:pPr>
            <w:r>
              <w:rPr>
                <w:rFonts w:hint="eastAsia"/>
                <w:szCs w:val="21"/>
              </w:rPr>
              <w:t>15</w:t>
            </w:r>
          </w:p>
        </w:tc>
        <w:tc>
          <w:tcPr>
            <w:tcW w:w="1863" w:type="dxa"/>
            <w:vAlign w:val="center"/>
          </w:tcPr>
          <w:p>
            <w:pPr>
              <w:overflowPunct w:val="0"/>
              <w:jc w:val="center"/>
              <w:rPr>
                <w:szCs w:val="21"/>
              </w:rPr>
            </w:pPr>
            <w:r>
              <w:rPr>
                <w:szCs w:val="21"/>
              </w:rPr>
              <w:t>总大肠菌群（个/L）</w:t>
            </w:r>
          </w:p>
        </w:tc>
        <w:tc>
          <w:tcPr>
            <w:tcW w:w="1433" w:type="dxa"/>
            <w:vAlign w:val="center"/>
          </w:tcPr>
          <w:p>
            <w:pPr>
              <w:overflowPunct w:val="0"/>
              <w:jc w:val="center"/>
              <w:rPr>
                <w:szCs w:val="21"/>
              </w:rPr>
            </w:pPr>
            <w:r>
              <w:rPr>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4</w:t>
            </w:r>
          </w:p>
        </w:tc>
        <w:tc>
          <w:tcPr>
            <w:tcW w:w="1622" w:type="dxa"/>
            <w:vAlign w:val="center"/>
          </w:tcPr>
          <w:p>
            <w:pPr>
              <w:overflowPunct w:val="0"/>
              <w:jc w:val="center"/>
              <w:rPr>
                <w:szCs w:val="21"/>
              </w:rPr>
            </w:pPr>
            <w:r>
              <w:rPr>
                <w:szCs w:val="21"/>
              </w:rPr>
              <w:t>氨氮</w:t>
            </w:r>
          </w:p>
        </w:tc>
        <w:tc>
          <w:tcPr>
            <w:tcW w:w="1809" w:type="dxa"/>
            <w:vAlign w:val="center"/>
          </w:tcPr>
          <w:p>
            <w:pPr>
              <w:overflowPunct w:val="0"/>
              <w:jc w:val="center"/>
              <w:rPr>
                <w:szCs w:val="21"/>
              </w:rPr>
            </w:pPr>
            <w:r>
              <w:rPr>
                <w:szCs w:val="21"/>
              </w:rPr>
              <w:t>≤0.5</w:t>
            </w:r>
          </w:p>
        </w:tc>
        <w:tc>
          <w:tcPr>
            <w:tcW w:w="782" w:type="dxa"/>
            <w:vAlign w:val="center"/>
          </w:tcPr>
          <w:p>
            <w:pPr>
              <w:overflowPunct w:val="0"/>
              <w:jc w:val="center"/>
              <w:rPr>
                <w:szCs w:val="21"/>
              </w:rPr>
            </w:pPr>
            <w:r>
              <w:rPr>
                <w:rFonts w:hint="eastAsia"/>
                <w:szCs w:val="21"/>
              </w:rPr>
              <w:t>16</w:t>
            </w:r>
          </w:p>
        </w:tc>
        <w:tc>
          <w:tcPr>
            <w:tcW w:w="1863" w:type="dxa"/>
            <w:vAlign w:val="center"/>
          </w:tcPr>
          <w:p>
            <w:pPr>
              <w:overflowPunct w:val="0"/>
              <w:jc w:val="center"/>
              <w:rPr>
                <w:szCs w:val="21"/>
              </w:rPr>
            </w:pPr>
            <w:r>
              <w:rPr>
                <w:szCs w:val="21"/>
              </w:rPr>
              <w:t>铅</w:t>
            </w:r>
          </w:p>
        </w:tc>
        <w:tc>
          <w:tcPr>
            <w:tcW w:w="1433" w:type="dxa"/>
            <w:vAlign w:val="center"/>
          </w:tcPr>
          <w:p>
            <w:pPr>
              <w:overflowPunct w:val="0"/>
              <w:jc w:val="center"/>
              <w:rPr>
                <w:szCs w:val="21"/>
              </w:rPr>
            </w:pPr>
            <w:r>
              <w:rPr>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5</w:t>
            </w:r>
          </w:p>
        </w:tc>
        <w:tc>
          <w:tcPr>
            <w:tcW w:w="1622" w:type="dxa"/>
            <w:vAlign w:val="center"/>
          </w:tcPr>
          <w:p>
            <w:pPr>
              <w:overflowPunct w:val="0"/>
              <w:jc w:val="center"/>
              <w:rPr>
                <w:szCs w:val="21"/>
              </w:rPr>
            </w:pPr>
            <w:r>
              <w:rPr>
                <w:szCs w:val="21"/>
              </w:rPr>
              <w:t>氟化物</w:t>
            </w:r>
          </w:p>
        </w:tc>
        <w:tc>
          <w:tcPr>
            <w:tcW w:w="1809" w:type="dxa"/>
            <w:vAlign w:val="center"/>
          </w:tcPr>
          <w:p>
            <w:pPr>
              <w:overflowPunct w:val="0"/>
              <w:jc w:val="center"/>
              <w:rPr>
                <w:szCs w:val="21"/>
              </w:rPr>
            </w:pPr>
            <w:r>
              <w:rPr>
                <w:szCs w:val="21"/>
              </w:rPr>
              <w:t>≤1.0</w:t>
            </w:r>
          </w:p>
        </w:tc>
        <w:tc>
          <w:tcPr>
            <w:tcW w:w="782" w:type="dxa"/>
            <w:vAlign w:val="center"/>
          </w:tcPr>
          <w:p>
            <w:pPr>
              <w:overflowPunct w:val="0"/>
              <w:jc w:val="center"/>
              <w:rPr>
                <w:szCs w:val="21"/>
              </w:rPr>
            </w:pPr>
            <w:r>
              <w:rPr>
                <w:rFonts w:hint="eastAsia"/>
                <w:szCs w:val="21"/>
              </w:rPr>
              <w:t>17</w:t>
            </w:r>
          </w:p>
        </w:tc>
        <w:tc>
          <w:tcPr>
            <w:tcW w:w="1863" w:type="dxa"/>
            <w:vAlign w:val="center"/>
          </w:tcPr>
          <w:p>
            <w:pPr>
              <w:overflowPunct w:val="0"/>
              <w:jc w:val="center"/>
              <w:rPr>
                <w:szCs w:val="21"/>
              </w:rPr>
            </w:pPr>
            <w:r>
              <w:rPr>
                <w:szCs w:val="21"/>
              </w:rPr>
              <w:t>铁</w:t>
            </w:r>
          </w:p>
        </w:tc>
        <w:tc>
          <w:tcPr>
            <w:tcW w:w="1433" w:type="dxa"/>
            <w:vAlign w:val="center"/>
          </w:tcPr>
          <w:p>
            <w:pPr>
              <w:overflowPunct w:val="0"/>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6</w:t>
            </w:r>
          </w:p>
        </w:tc>
        <w:tc>
          <w:tcPr>
            <w:tcW w:w="1622" w:type="dxa"/>
            <w:vAlign w:val="center"/>
          </w:tcPr>
          <w:p>
            <w:pPr>
              <w:overflowPunct w:val="0"/>
              <w:jc w:val="center"/>
              <w:rPr>
                <w:szCs w:val="21"/>
              </w:rPr>
            </w:pPr>
            <w:r>
              <w:rPr>
                <w:szCs w:val="21"/>
              </w:rPr>
              <w:t>硫酸盐</w:t>
            </w:r>
          </w:p>
        </w:tc>
        <w:tc>
          <w:tcPr>
            <w:tcW w:w="1809" w:type="dxa"/>
            <w:vAlign w:val="center"/>
          </w:tcPr>
          <w:p>
            <w:pPr>
              <w:overflowPunct w:val="0"/>
              <w:jc w:val="center"/>
              <w:rPr>
                <w:szCs w:val="21"/>
              </w:rPr>
            </w:pPr>
            <w:r>
              <w:rPr>
                <w:szCs w:val="21"/>
              </w:rPr>
              <w:t>≤250</w:t>
            </w:r>
          </w:p>
        </w:tc>
        <w:tc>
          <w:tcPr>
            <w:tcW w:w="782" w:type="dxa"/>
            <w:vAlign w:val="center"/>
          </w:tcPr>
          <w:p>
            <w:pPr>
              <w:overflowPunct w:val="0"/>
              <w:jc w:val="center"/>
              <w:rPr>
                <w:szCs w:val="21"/>
              </w:rPr>
            </w:pPr>
            <w:r>
              <w:rPr>
                <w:rFonts w:hint="eastAsia"/>
                <w:szCs w:val="21"/>
              </w:rPr>
              <w:t>18</w:t>
            </w:r>
          </w:p>
        </w:tc>
        <w:tc>
          <w:tcPr>
            <w:tcW w:w="1863" w:type="dxa"/>
            <w:vAlign w:val="center"/>
          </w:tcPr>
          <w:p>
            <w:pPr>
              <w:overflowPunct w:val="0"/>
              <w:jc w:val="center"/>
              <w:rPr>
                <w:szCs w:val="21"/>
              </w:rPr>
            </w:pPr>
            <w:r>
              <w:rPr>
                <w:szCs w:val="21"/>
              </w:rPr>
              <w:t>锰</w:t>
            </w:r>
          </w:p>
        </w:tc>
        <w:tc>
          <w:tcPr>
            <w:tcW w:w="1433" w:type="dxa"/>
            <w:vAlign w:val="center"/>
          </w:tcPr>
          <w:p>
            <w:pPr>
              <w:overflowPunct w:val="0"/>
              <w:jc w:val="center"/>
              <w:rPr>
                <w:szCs w:val="21"/>
              </w:rPr>
            </w:pPr>
            <w:r>
              <w:rPr>
                <w:szCs w:val="21"/>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7</w:t>
            </w:r>
          </w:p>
        </w:tc>
        <w:tc>
          <w:tcPr>
            <w:tcW w:w="1622" w:type="dxa"/>
            <w:vAlign w:val="center"/>
          </w:tcPr>
          <w:p>
            <w:pPr>
              <w:overflowPunct w:val="0"/>
              <w:jc w:val="center"/>
              <w:rPr>
                <w:szCs w:val="21"/>
              </w:rPr>
            </w:pPr>
            <w:r>
              <w:rPr>
                <w:szCs w:val="21"/>
              </w:rPr>
              <w:t>硝酸盐氮</w:t>
            </w:r>
          </w:p>
        </w:tc>
        <w:tc>
          <w:tcPr>
            <w:tcW w:w="1809" w:type="dxa"/>
            <w:vAlign w:val="center"/>
          </w:tcPr>
          <w:p>
            <w:pPr>
              <w:overflowPunct w:val="0"/>
              <w:jc w:val="center"/>
              <w:rPr>
                <w:szCs w:val="21"/>
              </w:rPr>
            </w:pPr>
            <w:r>
              <w:rPr>
                <w:szCs w:val="21"/>
              </w:rPr>
              <w:t>≤20</w:t>
            </w:r>
          </w:p>
        </w:tc>
        <w:tc>
          <w:tcPr>
            <w:tcW w:w="782" w:type="dxa"/>
            <w:vAlign w:val="center"/>
          </w:tcPr>
          <w:p>
            <w:pPr>
              <w:overflowPunct w:val="0"/>
              <w:jc w:val="center"/>
              <w:rPr>
                <w:szCs w:val="21"/>
              </w:rPr>
            </w:pPr>
            <w:r>
              <w:rPr>
                <w:rFonts w:hint="eastAsia"/>
                <w:szCs w:val="21"/>
              </w:rPr>
              <w:t>19</w:t>
            </w:r>
          </w:p>
        </w:tc>
        <w:tc>
          <w:tcPr>
            <w:tcW w:w="1863" w:type="dxa"/>
            <w:vAlign w:val="center"/>
          </w:tcPr>
          <w:p>
            <w:pPr>
              <w:overflowPunct w:val="0"/>
              <w:jc w:val="center"/>
              <w:rPr>
                <w:szCs w:val="21"/>
              </w:rPr>
            </w:pPr>
            <w:r>
              <w:rPr>
                <w:szCs w:val="21"/>
              </w:rPr>
              <w:t>汞</w:t>
            </w:r>
          </w:p>
        </w:tc>
        <w:tc>
          <w:tcPr>
            <w:tcW w:w="1433" w:type="dxa"/>
            <w:vAlign w:val="center"/>
          </w:tcPr>
          <w:p>
            <w:pPr>
              <w:overflowPunct w:val="0"/>
              <w:jc w:val="center"/>
              <w:rPr>
                <w:szCs w:val="21"/>
              </w:rPr>
            </w:pPr>
            <w:r>
              <w:rPr>
                <w:szCs w:val="21"/>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8</w:t>
            </w:r>
          </w:p>
        </w:tc>
        <w:tc>
          <w:tcPr>
            <w:tcW w:w="1622" w:type="dxa"/>
            <w:vAlign w:val="center"/>
          </w:tcPr>
          <w:p>
            <w:pPr>
              <w:overflowPunct w:val="0"/>
              <w:jc w:val="center"/>
              <w:rPr>
                <w:szCs w:val="21"/>
              </w:rPr>
            </w:pPr>
            <w:r>
              <w:rPr>
                <w:szCs w:val="21"/>
              </w:rPr>
              <w:t>挥发酚</w:t>
            </w:r>
          </w:p>
        </w:tc>
        <w:tc>
          <w:tcPr>
            <w:tcW w:w="1809" w:type="dxa"/>
            <w:vAlign w:val="center"/>
          </w:tcPr>
          <w:p>
            <w:pPr>
              <w:overflowPunct w:val="0"/>
              <w:jc w:val="center"/>
              <w:rPr>
                <w:szCs w:val="21"/>
              </w:rPr>
            </w:pPr>
            <w:r>
              <w:rPr>
                <w:szCs w:val="21"/>
              </w:rPr>
              <w:t>≤0.002</w:t>
            </w:r>
          </w:p>
        </w:tc>
        <w:tc>
          <w:tcPr>
            <w:tcW w:w="782" w:type="dxa"/>
            <w:vAlign w:val="center"/>
          </w:tcPr>
          <w:p>
            <w:pPr>
              <w:overflowPunct w:val="0"/>
              <w:jc w:val="center"/>
              <w:rPr>
                <w:szCs w:val="21"/>
              </w:rPr>
            </w:pPr>
            <w:r>
              <w:rPr>
                <w:rFonts w:hint="eastAsia"/>
                <w:szCs w:val="21"/>
              </w:rPr>
              <w:t>20</w:t>
            </w:r>
          </w:p>
        </w:tc>
        <w:tc>
          <w:tcPr>
            <w:tcW w:w="1863" w:type="dxa"/>
            <w:vAlign w:val="center"/>
          </w:tcPr>
          <w:p>
            <w:pPr>
              <w:overflowPunct w:val="0"/>
              <w:jc w:val="center"/>
              <w:rPr>
                <w:szCs w:val="21"/>
              </w:rPr>
            </w:pPr>
            <w:r>
              <w:rPr>
                <w:szCs w:val="21"/>
              </w:rPr>
              <w:t>砷</w:t>
            </w:r>
          </w:p>
        </w:tc>
        <w:tc>
          <w:tcPr>
            <w:tcW w:w="1433" w:type="dxa"/>
            <w:vAlign w:val="center"/>
          </w:tcPr>
          <w:p>
            <w:pPr>
              <w:overflowPunct w:val="0"/>
              <w:jc w:val="center"/>
              <w:rPr>
                <w:szCs w:val="21"/>
              </w:rPr>
            </w:pPr>
            <w:r>
              <w:rPr>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9</w:t>
            </w:r>
          </w:p>
        </w:tc>
        <w:tc>
          <w:tcPr>
            <w:tcW w:w="1622" w:type="dxa"/>
            <w:vAlign w:val="center"/>
          </w:tcPr>
          <w:p>
            <w:pPr>
              <w:overflowPunct w:val="0"/>
              <w:jc w:val="center"/>
              <w:rPr>
                <w:szCs w:val="21"/>
              </w:rPr>
            </w:pPr>
            <w:r>
              <w:rPr>
                <w:szCs w:val="21"/>
              </w:rPr>
              <w:t>氯化物</w:t>
            </w:r>
          </w:p>
        </w:tc>
        <w:tc>
          <w:tcPr>
            <w:tcW w:w="1809" w:type="dxa"/>
            <w:vAlign w:val="center"/>
          </w:tcPr>
          <w:p>
            <w:pPr>
              <w:overflowPunct w:val="0"/>
              <w:jc w:val="center"/>
              <w:rPr>
                <w:szCs w:val="21"/>
              </w:rPr>
            </w:pPr>
            <w:r>
              <w:rPr>
                <w:szCs w:val="21"/>
              </w:rPr>
              <w:t>≤250</w:t>
            </w:r>
          </w:p>
        </w:tc>
        <w:tc>
          <w:tcPr>
            <w:tcW w:w="782" w:type="dxa"/>
            <w:vAlign w:val="center"/>
          </w:tcPr>
          <w:p>
            <w:pPr>
              <w:overflowPunct w:val="0"/>
              <w:jc w:val="center"/>
              <w:rPr>
                <w:szCs w:val="21"/>
              </w:rPr>
            </w:pPr>
            <w:r>
              <w:rPr>
                <w:rFonts w:hint="eastAsia"/>
                <w:szCs w:val="21"/>
              </w:rPr>
              <w:t>21</w:t>
            </w:r>
          </w:p>
        </w:tc>
        <w:tc>
          <w:tcPr>
            <w:tcW w:w="1863" w:type="dxa"/>
            <w:vAlign w:val="center"/>
          </w:tcPr>
          <w:p>
            <w:pPr>
              <w:overflowPunct w:val="0"/>
              <w:jc w:val="center"/>
              <w:rPr>
                <w:szCs w:val="21"/>
              </w:rPr>
            </w:pPr>
            <w:r>
              <w:rPr>
                <w:szCs w:val="21"/>
              </w:rPr>
              <w:t>镉</w:t>
            </w:r>
          </w:p>
        </w:tc>
        <w:tc>
          <w:tcPr>
            <w:tcW w:w="1433" w:type="dxa"/>
            <w:vAlign w:val="center"/>
          </w:tcPr>
          <w:p>
            <w:pPr>
              <w:overflowPunct w:val="0"/>
              <w:jc w:val="center"/>
              <w:rPr>
                <w:szCs w:val="21"/>
              </w:rPr>
            </w:pPr>
            <w:r>
              <w:rPr>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szCs w:val="21"/>
              </w:rPr>
              <w:t>10</w:t>
            </w:r>
          </w:p>
        </w:tc>
        <w:tc>
          <w:tcPr>
            <w:tcW w:w="1622" w:type="dxa"/>
            <w:vAlign w:val="center"/>
          </w:tcPr>
          <w:p>
            <w:pPr>
              <w:overflowPunct w:val="0"/>
              <w:jc w:val="center"/>
              <w:rPr>
                <w:szCs w:val="21"/>
              </w:rPr>
            </w:pPr>
            <w:r>
              <w:rPr>
                <w:szCs w:val="21"/>
              </w:rPr>
              <w:t>氰化物</w:t>
            </w:r>
          </w:p>
        </w:tc>
        <w:tc>
          <w:tcPr>
            <w:tcW w:w="1809" w:type="dxa"/>
            <w:vAlign w:val="center"/>
          </w:tcPr>
          <w:p>
            <w:pPr>
              <w:overflowPunct w:val="0"/>
              <w:jc w:val="center"/>
              <w:rPr>
                <w:szCs w:val="21"/>
              </w:rPr>
            </w:pPr>
            <w:r>
              <w:rPr>
                <w:szCs w:val="21"/>
              </w:rPr>
              <w:t>≤0.05</w:t>
            </w:r>
          </w:p>
        </w:tc>
        <w:tc>
          <w:tcPr>
            <w:tcW w:w="782" w:type="dxa"/>
            <w:vAlign w:val="center"/>
          </w:tcPr>
          <w:p>
            <w:pPr>
              <w:overflowPunct w:val="0"/>
              <w:jc w:val="center"/>
              <w:rPr>
                <w:szCs w:val="21"/>
              </w:rPr>
            </w:pPr>
            <w:r>
              <w:rPr>
                <w:rFonts w:hint="eastAsia"/>
                <w:szCs w:val="21"/>
              </w:rPr>
              <w:t>22</w:t>
            </w:r>
          </w:p>
        </w:tc>
        <w:tc>
          <w:tcPr>
            <w:tcW w:w="1863" w:type="dxa"/>
            <w:vAlign w:val="center"/>
          </w:tcPr>
          <w:p>
            <w:pPr>
              <w:overflowPunct w:val="0"/>
              <w:jc w:val="center"/>
              <w:rPr>
                <w:szCs w:val="21"/>
              </w:rPr>
            </w:pPr>
            <w:r>
              <w:rPr>
                <w:szCs w:val="21"/>
              </w:rPr>
              <w:t>硫化物</w:t>
            </w:r>
          </w:p>
        </w:tc>
        <w:tc>
          <w:tcPr>
            <w:tcW w:w="1433" w:type="dxa"/>
            <w:vAlign w:val="center"/>
          </w:tcPr>
          <w:p>
            <w:pPr>
              <w:overflowPunct w:val="0"/>
              <w:jc w:val="center"/>
              <w:rPr>
                <w:szCs w:val="21"/>
              </w:rPr>
            </w:pPr>
            <w:r>
              <w:rPr>
                <w:szCs w:val="21"/>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rFonts w:hint="eastAsia"/>
                <w:szCs w:val="21"/>
              </w:rPr>
              <w:t>11</w:t>
            </w:r>
          </w:p>
        </w:tc>
        <w:tc>
          <w:tcPr>
            <w:tcW w:w="1622" w:type="dxa"/>
            <w:vAlign w:val="center"/>
          </w:tcPr>
          <w:p>
            <w:pPr>
              <w:overflowPunct w:val="0"/>
              <w:jc w:val="center"/>
              <w:rPr>
                <w:szCs w:val="21"/>
              </w:rPr>
            </w:pPr>
            <w:r>
              <w:rPr>
                <w:rFonts w:hint="eastAsia"/>
                <w:szCs w:val="21"/>
              </w:rPr>
              <w:t>铜</w:t>
            </w:r>
          </w:p>
        </w:tc>
        <w:tc>
          <w:tcPr>
            <w:tcW w:w="1809" w:type="dxa"/>
            <w:vAlign w:val="center"/>
          </w:tcPr>
          <w:p>
            <w:pPr>
              <w:overflowPunct w:val="0"/>
              <w:jc w:val="center"/>
              <w:rPr>
                <w:szCs w:val="21"/>
              </w:rPr>
            </w:pPr>
            <w:r>
              <w:rPr>
                <w:szCs w:val="21"/>
              </w:rPr>
              <w:t>≤</w:t>
            </w:r>
            <w:r>
              <w:rPr>
                <w:rFonts w:hint="eastAsia"/>
                <w:szCs w:val="21"/>
              </w:rPr>
              <w:t>1.00</w:t>
            </w:r>
          </w:p>
        </w:tc>
        <w:tc>
          <w:tcPr>
            <w:tcW w:w="782" w:type="dxa"/>
            <w:vAlign w:val="center"/>
          </w:tcPr>
          <w:p>
            <w:pPr>
              <w:overflowPunct w:val="0"/>
              <w:jc w:val="center"/>
              <w:rPr>
                <w:szCs w:val="21"/>
              </w:rPr>
            </w:pPr>
            <w:r>
              <w:rPr>
                <w:rFonts w:hint="eastAsia"/>
                <w:szCs w:val="21"/>
              </w:rPr>
              <w:t>23</w:t>
            </w:r>
          </w:p>
        </w:tc>
        <w:tc>
          <w:tcPr>
            <w:tcW w:w="1863" w:type="dxa"/>
            <w:vAlign w:val="center"/>
          </w:tcPr>
          <w:p>
            <w:pPr>
              <w:overflowPunct w:val="0"/>
              <w:jc w:val="center"/>
              <w:rPr>
                <w:szCs w:val="21"/>
              </w:rPr>
            </w:pPr>
            <w:r>
              <w:rPr>
                <w:rFonts w:hint="eastAsia"/>
                <w:szCs w:val="21"/>
              </w:rPr>
              <w:t>阴离子表面活性剂</w:t>
            </w:r>
          </w:p>
        </w:tc>
        <w:tc>
          <w:tcPr>
            <w:tcW w:w="1433" w:type="dxa"/>
            <w:vAlign w:val="center"/>
          </w:tcPr>
          <w:p>
            <w:pPr>
              <w:overflowPunct w:val="0"/>
              <w:jc w:val="center"/>
              <w:rPr>
                <w:szCs w:val="21"/>
              </w:rPr>
            </w:pPr>
            <w:r>
              <w:rPr>
                <w:szCs w:val="21"/>
              </w:rPr>
              <w:t>≤</w:t>
            </w:r>
            <w:r>
              <w:rPr>
                <w:rFonts w:hint="eastAsia"/>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59" w:type="dxa"/>
            <w:vAlign w:val="center"/>
          </w:tcPr>
          <w:p>
            <w:pPr>
              <w:overflowPunct w:val="0"/>
              <w:jc w:val="center"/>
              <w:rPr>
                <w:szCs w:val="21"/>
              </w:rPr>
            </w:pPr>
            <w:r>
              <w:rPr>
                <w:rFonts w:hint="eastAsia"/>
                <w:szCs w:val="21"/>
              </w:rPr>
              <w:t>12</w:t>
            </w:r>
          </w:p>
        </w:tc>
        <w:tc>
          <w:tcPr>
            <w:tcW w:w="1622" w:type="dxa"/>
            <w:vAlign w:val="center"/>
          </w:tcPr>
          <w:p>
            <w:pPr>
              <w:overflowPunct w:val="0"/>
              <w:jc w:val="center"/>
              <w:rPr>
                <w:szCs w:val="21"/>
              </w:rPr>
            </w:pPr>
            <w:r>
              <w:rPr>
                <w:rFonts w:hint="eastAsia"/>
                <w:szCs w:val="21"/>
              </w:rPr>
              <w:t>锌</w:t>
            </w:r>
          </w:p>
        </w:tc>
        <w:tc>
          <w:tcPr>
            <w:tcW w:w="1809" w:type="dxa"/>
            <w:vAlign w:val="center"/>
          </w:tcPr>
          <w:p>
            <w:pPr>
              <w:overflowPunct w:val="0"/>
              <w:jc w:val="center"/>
              <w:rPr>
                <w:szCs w:val="21"/>
              </w:rPr>
            </w:pPr>
            <w:r>
              <w:rPr>
                <w:szCs w:val="21"/>
              </w:rPr>
              <w:t>≤</w:t>
            </w:r>
            <w:r>
              <w:rPr>
                <w:rFonts w:hint="eastAsia"/>
                <w:szCs w:val="21"/>
              </w:rPr>
              <w:t>1.00</w:t>
            </w:r>
          </w:p>
        </w:tc>
        <w:tc>
          <w:tcPr>
            <w:tcW w:w="782" w:type="dxa"/>
            <w:vAlign w:val="center"/>
          </w:tcPr>
          <w:p>
            <w:pPr>
              <w:overflowPunct w:val="0"/>
              <w:jc w:val="center"/>
              <w:rPr>
                <w:szCs w:val="21"/>
              </w:rPr>
            </w:pPr>
          </w:p>
        </w:tc>
        <w:tc>
          <w:tcPr>
            <w:tcW w:w="1863" w:type="dxa"/>
            <w:vAlign w:val="center"/>
          </w:tcPr>
          <w:p>
            <w:pPr>
              <w:overflowPunct w:val="0"/>
              <w:jc w:val="center"/>
              <w:rPr>
                <w:szCs w:val="21"/>
              </w:rPr>
            </w:pPr>
          </w:p>
        </w:tc>
        <w:tc>
          <w:tcPr>
            <w:tcW w:w="1433" w:type="dxa"/>
            <w:vAlign w:val="center"/>
          </w:tcPr>
          <w:p>
            <w:pPr>
              <w:overflowPunct w:val="0"/>
              <w:jc w:val="center"/>
              <w:rPr>
                <w:szCs w:val="21"/>
              </w:rPr>
            </w:pPr>
          </w:p>
        </w:tc>
      </w:tr>
    </w:tbl>
    <w:p>
      <w:pPr>
        <w:autoSpaceDE w:val="0"/>
        <w:autoSpaceDN w:val="0"/>
        <w:spacing w:line="460" w:lineRule="exact"/>
        <w:ind w:firstLine="480" w:firstLineChars="200"/>
        <w:rPr>
          <w:kern w:val="0"/>
          <w:sz w:val="24"/>
        </w:rPr>
      </w:pPr>
      <w:r>
        <w:rPr>
          <w:rFonts w:hint="eastAsia"/>
          <w:kern w:val="0"/>
          <w:sz w:val="24"/>
        </w:rPr>
        <w:t>3、</w:t>
      </w:r>
      <w:r>
        <w:rPr>
          <w:kern w:val="0"/>
          <w:sz w:val="24"/>
        </w:rPr>
        <w:t>声环境执行《声环境质量标准》（GB3096-2008）</w:t>
      </w:r>
      <w:r>
        <w:rPr>
          <w:rFonts w:hint="eastAsia"/>
          <w:kern w:val="0"/>
          <w:sz w:val="24"/>
        </w:rPr>
        <w:t>3</w:t>
      </w:r>
      <w:r>
        <w:rPr>
          <w:kern w:val="0"/>
          <w:sz w:val="24"/>
        </w:rPr>
        <w:t>类区标准。</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4</w:t>
      </w:r>
      <w:r>
        <w:rPr>
          <w:rFonts w:eastAsia="黑体"/>
          <w:szCs w:val="21"/>
        </w:rPr>
        <w:t>-</w:t>
      </w:r>
      <w:r>
        <w:rPr>
          <w:rFonts w:hint="eastAsia" w:eastAsia="黑体"/>
          <w:szCs w:val="21"/>
        </w:rPr>
        <w:t>4</w:t>
      </w:r>
      <w:r>
        <w:rPr>
          <w:rFonts w:eastAsia="黑体"/>
          <w:szCs w:val="21"/>
        </w:rPr>
        <w:t xml:space="preserve">                   声环境质量标准</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46"/>
        <w:gridCol w:w="2787"/>
        <w:gridCol w:w="27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6" w:type="dxa"/>
            <w:vAlign w:val="center"/>
          </w:tcPr>
          <w:p>
            <w:pPr>
              <w:overflowPunct w:val="0"/>
              <w:jc w:val="center"/>
              <w:rPr>
                <w:szCs w:val="21"/>
              </w:rPr>
            </w:pPr>
            <w:r>
              <w:rPr>
                <w:szCs w:val="21"/>
              </w:rPr>
              <w:t>类别</w:t>
            </w:r>
          </w:p>
        </w:tc>
        <w:tc>
          <w:tcPr>
            <w:tcW w:w="2787" w:type="dxa"/>
            <w:vAlign w:val="center"/>
          </w:tcPr>
          <w:p>
            <w:pPr>
              <w:overflowPunct w:val="0"/>
              <w:jc w:val="center"/>
              <w:rPr>
                <w:szCs w:val="21"/>
              </w:rPr>
            </w:pPr>
            <w:r>
              <w:rPr>
                <w:szCs w:val="21"/>
              </w:rPr>
              <w:t>昼间/dB（A）</w:t>
            </w:r>
          </w:p>
        </w:tc>
        <w:tc>
          <w:tcPr>
            <w:tcW w:w="2789" w:type="dxa"/>
            <w:vAlign w:val="center"/>
          </w:tcPr>
          <w:p>
            <w:pPr>
              <w:overflowPunct w:val="0"/>
              <w:jc w:val="center"/>
              <w:rPr>
                <w:szCs w:val="21"/>
              </w:rPr>
            </w:pPr>
            <w:r>
              <w:rPr>
                <w:szCs w:val="21"/>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6" w:type="dxa"/>
            <w:vAlign w:val="center"/>
          </w:tcPr>
          <w:p>
            <w:pPr>
              <w:overflowPunct w:val="0"/>
              <w:jc w:val="center"/>
              <w:rPr>
                <w:szCs w:val="21"/>
              </w:rPr>
            </w:pPr>
            <w:r>
              <w:rPr>
                <w:rFonts w:hint="eastAsia"/>
                <w:szCs w:val="21"/>
              </w:rPr>
              <w:t>3</w:t>
            </w:r>
          </w:p>
        </w:tc>
        <w:tc>
          <w:tcPr>
            <w:tcW w:w="2787" w:type="dxa"/>
            <w:vAlign w:val="center"/>
          </w:tcPr>
          <w:p>
            <w:pPr>
              <w:overflowPunct w:val="0"/>
              <w:jc w:val="center"/>
              <w:rPr>
                <w:szCs w:val="21"/>
              </w:rPr>
            </w:pPr>
            <w:r>
              <w:rPr>
                <w:szCs w:val="21"/>
              </w:rPr>
              <w:t>6</w:t>
            </w:r>
            <w:r>
              <w:rPr>
                <w:rFonts w:hint="eastAsia"/>
                <w:szCs w:val="21"/>
              </w:rPr>
              <w:t>5</w:t>
            </w:r>
          </w:p>
        </w:tc>
        <w:tc>
          <w:tcPr>
            <w:tcW w:w="2789" w:type="dxa"/>
            <w:vAlign w:val="center"/>
          </w:tcPr>
          <w:p>
            <w:pPr>
              <w:overflowPunct w:val="0"/>
              <w:jc w:val="center"/>
              <w:rPr>
                <w:szCs w:val="21"/>
              </w:rPr>
            </w:pPr>
            <w:r>
              <w:rPr>
                <w:szCs w:val="21"/>
              </w:rPr>
              <w:t>5</w:t>
            </w:r>
            <w:r>
              <w:rPr>
                <w:rFonts w:hint="eastAsia"/>
                <w:szCs w:val="21"/>
              </w:rPr>
              <w:t>5</w:t>
            </w:r>
          </w:p>
        </w:tc>
      </w:tr>
    </w:tbl>
    <w:p>
      <w:pPr>
        <w:autoSpaceDE w:val="0"/>
        <w:autoSpaceDN w:val="0"/>
        <w:spacing w:line="460" w:lineRule="exact"/>
        <w:ind w:firstLine="480" w:firstLineChars="200"/>
        <w:rPr>
          <w:kern w:val="0"/>
          <w:sz w:val="24"/>
        </w:rPr>
      </w:pPr>
      <w:r>
        <w:rPr>
          <w:rFonts w:hint="eastAsia"/>
          <w:kern w:val="0"/>
          <w:sz w:val="24"/>
        </w:rPr>
        <w:t>2、</w:t>
      </w:r>
      <w:r>
        <w:rPr>
          <w:kern w:val="0"/>
          <w:sz w:val="24"/>
        </w:rPr>
        <w:t>污染物排放标准</w:t>
      </w:r>
    </w:p>
    <w:p>
      <w:pPr>
        <w:spacing w:line="460" w:lineRule="exact"/>
        <w:ind w:firstLine="480" w:firstLineChars="200"/>
        <w:rPr>
          <w:kern w:val="0"/>
          <w:sz w:val="24"/>
        </w:rPr>
      </w:pPr>
      <w:r>
        <w:rPr>
          <w:rFonts w:hint="eastAsia"/>
          <w:kern w:val="0"/>
          <w:sz w:val="24"/>
        </w:rPr>
        <w:t>（1）</w:t>
      </w:r>
      <w:r>
        <w:rPr>
          <w:kern w:val="0"/>
          <w:sz w:val="24"/>
        </w:rPr>
        <w:t>大气污染物排放标准</w:t>
      </w:r>
    </w:p>
    <w:p>
      <w:pPr>
        <w:overflowPunct w:val="0"/>
        <w:spacing w:line="460" w:lineRule="exact"/>
        <w:ind w:firstLine="480" w:firstLineChars="200"/>
        <w:rPr>
          <w:sz w:val="24"/>
        </w:rPr>
      </w:pPr>
      <w:bookmarkStart w:id="65" w:name="_Hlk168302259"/>
      <w:r>
        <w:rPr>
          <w:rFonts w:hint="eastAsia"/>
          <w:sz w:val="24"/>
        </w:rPr>
        <w:t>项目有组织废气排放非甲烷总烃执行《合成树脂工业污染物排放标准》（GB31572-2015）表</w:t>
      </w:r>
      <w:r>
        <w:rPr>
          <w:sz w:val="24"/>
        </w:rPr>
        <w:t>5</w:t>
      </w:r>
      <w:r>
        <w:rPr>
          <w:rFonts w:hint="eastAsia"/>
          <w:sz w:val="24"/>
        </w:rPr>
        <w:t>大气污染物特别排放限值要求、</w:t>
      </w:r>
      <w:r>
        <w:rPr>
          <w:sz w:val="24"/>
        </w:rPr>
        <w:t>臭气浓度执行</w:t>
      </w:r>
      <w:r>
        <w:rPr>
          <w:rFonts w:hint="eastAsia"/>
          <w:sz w:val="24"/>
        </w:rPr>
        <w:t>《恶臭污染物排放标准》（GB14554-93）中表2限值；厂界无组织非甲烷总烃及颗粒物执行《合成树脂工业污染物排放标准》（GB31572-2015）表9企业边界大气污染物浓度限值、臭气浓度执行《恶臭污染物排放标准》（GB14554-93）中表</w:t>
      </w:r>
      <w:r>
        <w:rPr>
          <w:sz w:val="24"/>
        </w:rPr>
        <w:t>1</w:t>
      </w:r>
      <w:r>
        <w:rPr>
          <w:rFonts w:hint="eastAsia"/>
          <w:sz w:val="24"/>
        </w:rPr>
        <w:t>二级</w:t>
      </w:r>
      <w:r>
        <w:rPr>
          <w:sz w:val="24"/>
        </w:rPr>
        <w:t>标准</w:t>
      </w:r>
      <w:r>
        <w:rPr>
          <w:rFonts w:hint="eastAsia"/>
          <w:sz w:val="24"/>
        </w:rPr>
        <w:t>限值；厂区内无组织非甲烷总烃执行《挥发性有机物无组织排放控制标准》（</w:t>
      </w:r>
      <w:r>
        <w:rPr>
          <w:sz w:val="24"/>
        </w:rPr>
        <w:t>GB37822-2019</w:t>
      </w:r>
      <w:r>
        <w:rPr>
          <w:rFonts w:hint="eastAsia"/>
          <w:sz w:val="24"/>
        </w:rPr>
        <w:t>）附录</w:t>
      </w:r>
      <w:r>
        <w:rPr>
          <w:sz w:val="24"/>
        </w:rPr>
        <w:t>A.1</w:t>
      </w:r>
      <w:r>
        <w:rPr>
          <w:rFonts w:hint="eastAsia"/>
          <w:sz w:val="24"/>
        </w:rPr>
        <w:t>限值。</w:t>
      </w:r>
    </w:p>
    <w:p>
      <w:pPr>
        <w:overflowPunct w:val="0"/>
        <w:spacing w:line="460" w:lineRule="exact"/>
        <w:ind w:firstLine="480" w:firstLineChars="200"/>
        <w:rPr>
          <w:sz w:val="24"/>
        </w:rPr>
      </w:pPr>
      <w:r>
        <w:rPr>
          <w:sz w:val="24"/>
        </w:rPr>
        <w:t>有关标准限值见表</w:t>
      </w:r>
      <w:r>
        <w:rPr>
          <w:rFonts w:hint="eastAsia"/>
          <w:sz w:val="24"/>
        </w:rPr>
        <w:t>2</w:t>
      </w:r>
      <w:r>
        <w:rPr>
          <w:sz w:val="24"/>
        </w:rPr>
        <w:t>.</w:t>
      </w:r>
      <w:r>
        <w:rPr>
          <w:rFonts w:hint="eastAsia"/>
          <w:sz w:val="24"/>
        </w:rPr>
        <w:t>4</w:t>
      </w:r>
      <w:r>
        <w:rPr>
          <w:sz w:val="24"/>
        </w:rPr>
        <w:t>-</w:t>
      </w:r>
      <w:r>
        <w:rPr>
          <w:rFonts w:hint="eastAsia"/>
          <w:sz w:val="24"/>
        </w:rPr>
        <w:t>5、表2.4-6</w:t>
      </w:r>
      <w:r>
        <w:rPr>
          <w:sz w:val="24"/>
        </w:rPr>
        <w:t>。</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4</w:t>
      </w:r>
      <w:r>
        <w:rPr>
          <w:rFonts w:eastAsia="黑体"/>
          <w:szCs w:val="21"/>
        </w:rPr>
        <w:t>-</w:t>
      </w:r>
      <w:r>
        <w:rPr>
          <w:rFonts w:hint="eastAsia" w:eastAsia="黑体"/>
          <w:szCs w:val="21"/>
        </w:rPr>
        <w:t>5</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废气</w:t>
      </w:r>
      <w:r>
        <w:rPr>
          <w:rFonts w:eastAsia="黑体"/>
          <w:szCs w:val="21"/>
        </w:rPr>
        <w:t>污染物排放浓度限值</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276"/>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污染物</w:t>
            </w:r>
          </w:p>
        </w:tc>
        <w:tc>
          <w:tcPr>
            <w:tcW w:w="1559" w:type="dxa"/>
            <w:vAlign w:val="center"/>
          </w:tcPr>
          <w:p>
            <w:pPr>
              <w:overflowPunct w:val="0"/>
              <w:jc w:val="center"/>
              <w:rPr>
                <w:kern w:val="0"/>
                <w:sz w:val="21"/>
                <w:szCs w:val="21"/>
              </w:rPr>
            </w:pPr>
            <w:r>
              <w:rPr>
                <w:rFonts w:hint="eastAsia"/>
                <w:kern w:val="0"/>
                <w:sz w:val="21"/>
                <w:szCs w:val="21"/>
              </w:rPr>
              <w:t>排放浓度（mg/m</w:t>
            </w:r>
            <w:r>
              <w:rPr>
                <w:rFonts w:hint="eastAsia"/>
                <w:kern w:val="0"/>
                <w:sz w:val="21"/>
                <w:szCs w:val="21"/>
                <w:vertAlign w:val="superscript"/>
              </w:rPr>
              <w:t>3</w:t>
            </w:r>
            <w:r>
              <w:rPr>
                <w:rFonts w:hint="eastAsia"/>
                <w:kern w:val="0"/>
                <w:sz w:val="21"/>
                <w:szCs w:val="21"/>
              </w:rPr>
              <w:t>）</w:t>
            </w:r>
          </w:p>
        </w:tc>
        <w:tc>
          <w:tcPr>
            <w:tcW w:w="1276" w:type="dxa"/>
            <w:vAlign w:val="center"/>
          </w:tcPr>
          <w:p>
            <w:pPr>
              <w:overflowPunct w:val="0"/>
              <w:jc w:val="center"/>
              <w:rPr>
                <w:kern w:val="0"/>
                <w:sz w:val="21"/>
                <w:szCs w:val="21"/>
              </w:rPr>
            </w:pPr>
            <w:r>
              <w:rPr>
                <w:rFonts w:hint="eastAsia"/>
                <w:kern w:val="0"/>
                <w:sz w:val="21"/>
                <w:szCs w:val="21"/>
              </w:rPr>
              <w:t>速率限值（</w:t>
            </w:r>
            <w:r>
              <w:rPr>
                <w:kern w:val="0"/>
                <w:sz w:val="21"/>
                <w:szCs w:val="21"/>
              </w:rPr>
              <w:t>kg/h</w:t>
            </w:r>
            <w:r>
              <w:rPr>
                <w:rFonts w:hint="eastAsia"/>
                <w:kern w:val="0"/>
                <w:sz w:val="21"/>
                <w:szCs w:val="21"/>
              </w:rPr>
              <w:t>）</w:t>
            </w:r>
          </w:p>
        </w:tc>
        <w:tc>
          <w:tcPr>
            <w:tcW w:w="3083" w:type="dxa"/>
            <w:vAlign w:val="center"/>
          </w:tcPr>
          <w:p>
            <w:pPr>
              <w:overflowPunct w:val="0"/>
              <w:jc w:val="center"/>
              <w:rPr>
                <w:kern w:val="0"/>
                <w:sz w:val="21"/>
                <w:szCs w:val="21"/>
              </w:rPr>
            </w:pPr>
            <w:r>
              <w:rPr>
                <w:rFonts w:hint="eastAsia"/>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有组织非甲烷总烃</w:t>
            </w:r>
          </w:p>
        </w:tc>
        <w:tc>
          <w:tcPr>
            <w:tcW w:w="1559" w:type="dxa"/>
            <w:vAlign w:val="center"/>
          </w:tcPr>
          <w:p>
            <w:pPr>
              <w:overflowPunct w:val="0"/>
              <w:jc w:val="center"/>
              <w:rPr>
                <w:kern w:val="0"/>
                <w:sz w:val="21"/>
                <w:szCs w:val="21"/>
              </w:rPr>
            </w:pPr>
            <w:r>
              <w:rPr>
                <w:kern w:val="0"/>
                <w:sz w:val="21"/>
                <w:szCs w:val="21"/>
              </w:rPr>
              <w:t>60</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Align w:val="center"/>
          </w:tcPr>
          <w:p>
            <w:pPr>
              <w:overflowPunct w:val="0"/>
              <w:jc w:val="center"/>
              <w:rPr>
                <w:kern w:val="0"/>
                <w:sz w:val="21"/>
                <w:szCs w:val="21"/>
              </w:rPr>
            </w:pPr>
            <w:r>
              <w:rPr>
                <w:rFonts w:hint="eastAsia"/>
                <w:kern w:val="0"/>
                <w:sz w:val="21"/>
                <w:szCs w:val="21"/>
              </w:rPr>
              <w:t>《合成树脂工业污染物排放标准》（GB31572-2015）表5大气污染物特别排放限值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臭气浓度</w:t>
            </w:r>
          </w:p>
        </w:tc>
        <w:tc>
          <w:tcPr>
            <w:tcW w:w="1559" w:type="dxa"/>
            <w:vAlign w:val="center"/>
          </w:tcPr>
          <w:p>
            <w:pPr>
              <w:overflowPunct w:val="0"/>
              <w:jc w:val="center"/>
              <w:rPr>
                <w:kern w:val="0"/>
                <w:sz w:val="21"/>
                <w:szCs w:val="21"/>
              </w:rPr>
            </w:pPr>
            <w:r>
              <w:rPr>
                <w:rFonts w:hint="eastAsia"/>
                <w:kern w:val="0"/>
                <w:sz w:val="21"/>
                <w:szCs w:val="21"/>
              </w:rPr>
              <w:t>2000（无量纲）</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Align w:val="center"/>
          </w:tcPr>
          <w:p>
            <w:pPr>
              <w:overflowPunct w:val="0"/>
              <w:jc w:val="center"/>
              <w:rPr>
                <w:kern w:val="0"/>
                <w:sz w:val="21"/>
                <w:szCs w:val="21"/>
              </w:rPr>
            </w:pPr>
            <w:r>
              <w:rPr>
                <w:rFonts w:hint="eastAsia"/>
                <w:kern w:val="0"/>
                <w:sz w:val="21"/>
                <w:szCs w:val="21"/>
              </w:rPr>
              <w:t>《恶臭</w:t>
            </w:r>
            <w:r>
              <w:rPr>
                <w:kern w:val="0"/>
                <w:sz w:val="21"/>
                <w:szCs w:val="21"/>
              </w:rPr>
              <w:t>污染物排放标准</w:t>
            </w:r>
            <w:r>
              <w:rPr>
                <w:rFonts w:hint="eastAsia"/>
                <w:kern w:val="0"/>
                <w:sz w:val="21"/>
                <w:szCs w:val="21"/>
              </w:rPr>
              <w:t>》（GB</w:t>
            </w:r>
            <w:r>
              <w:rPr>
                <w:kern w:val="0"/>
                <w:sz w:val="21"/>
                <w:szCs w:val="21"/>
              </w:rPr>
              <w:t>14554-93</w:t>
            </w:r>
            <w:r>
              <w:rPr>
                <w:rFonts w:hint="eastAsia"/>
                <w:kern w:val="0"/>
                <w:sz w:val="21"/>
                <w:szCs w:val="21"/>
              </w:rPr>
              <w:t>）中</w:t>
            </w:r>
            <w:r>
              <w:rPr>
                <w:kern w:val="0"/>
                <w:sz w:val="21"/>
                <w:szCs w:val="21"/>
              </w:rPr>
              <w:t>表</w:t>
            </w:r>
            <w:r>
              <w:rPr>
                <w:rFonts w:hint="eastAsia"/>
                <w:kern w:val="0"/>
                <w:sz w:val="21"/>
                <w:szCs w:val="21"/>
              </w:rPr>
              <w:t>2限值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厂界</w:t>
            </w:r>
            <w:r>
              <w:rPr>
                <w:kern w:val="0"/>
                <w:sz w:val="21"/>
                <w:szCs w:val="21"/>
              </w:rPr>
              <w:t>无组织</w:t>
            </w:r>
            <w:r>
              <w:rPr>
                <w:rFonts w:hint="eastAsia"/>
                <w:kern w:val="0"/>
                <w:sz w:val="21"/>
                <w:szCs w:val="21"/>
              </w:rPr>
              <w:t>非甲烷总烃</w:t>
            </w:r>
          </w:p>
        </w:tc>
        <w:tc>
          <w:tcPr>
            <w:tcW w:w="1559" w:type="dxa"/>
            <w:vAlign w:val="center"/>
          </w:tcPr>
          <w:p>
            <w:pPr>
              <w:overflowPunct w:val="0"/>
              <w:jc w:val="center"/>
              <w:rPr>
                <w:kern w:val="0"/>
                <w:sz w:val="21"/>
                <w:szCs w:val="21"/>
              </w:rPr>
            </w:pPr>
            <w:r>
              <w:rPr>
                <w:rFonts w:hint="eastAsia"/>
                <w:kern w:val="0"/>
                <w:sz w:val="21"/>
                <w:szCs w:val="21"/>
              </w:rPr>
              <w:t>4.0</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Merge w:val="restart"/>
            <w:vAlign w:val="center"/>
          </w:tcPr>
          <w:p>
            <w:pPr>
              <w:overflowPunct w:val="0"/>
              <w:jc w:val="center"/>
              <w:rPr>
                <w:kern w:val="0"/>
                <w:sz w:val="21"/>
                <w:szCs w:val="21"/>
              </w:rPr>
            </w:pPr>
            <w:r>
              <w:rPr>
                <w:rFonts w:hint="eastAsia"/>
                <w:kern w:val="0"/>
                <w:sz w:val="21"/>
                <w:szCs w:val="21"/>
              </w:rPr>
              <w:t>《合成树脂工业污染物排放标准》（GB31572-2015）表</w:t>
            </w:r>
            <w:r>
              <w:rPr>
                <w:kern w:val="0"/>
                <w:sz w:val="21"/>
                <w:szCs w:val="21"/>
              </w:rPr>
              <w:t>9</w:t>
            </w:r>
            <w:r>
              <w:rPr>
                <w:rFonts w:hint="eastAsia"/>
                <w:kern w:val="0"/>
                <w:sz w:val="21"/>
                <w:szCs w:val="21"/>
              </w:rPr>
              <w:t>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厂界</w:t>
            </w:r>
            <w:r>
              <w:rPr>
                <w:kern w:val="0"/>
                <w:sz w:val="21"/>
                <w:szCs w:val="21"/>
              </w:rPr>
              <w:t>无组织颗粒物</w:t>
            </w:r>
          </w:p>
        </w:tc>
        <w:tc>
          <w:tcPr>
            <w:tcW w:w="1559" w:type="dxa"/>
            <w:vAlign w:val="center"/>
          </w:tcPr>
          <w:p>
            <w:pPr>
              <w:overflowPunct w:val="0"/>
              <w:jc w:val="center"/>
              <w:rPr>
                <w:kern w:val="0"/>
                <w:sz w:val="21"/>
                <w:szCs w:val="21"/>
              </w:rPr>
            </w:pPr>
            <w:r>
              <w:rPr>
                <w:rFonts w:hint="eastAsia"/>
                <w:kern w:val="0"/>
                <w:sz w:val="21"/>
                <w:szCs w:val="21"/>
              </w:rPr>
              <w:t>1.0</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Merge w:val="continue"/>
            <w:vAlign w:val="center"/>
          </w:tcPr>
          <w:p>
            <w:pPr>
              <w:overflowPunct w:val="0"/>
              <w:jc w:val="center"/>
              <w:rPr>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厂界</w:t>
            </w:r>
            <w:r>
              <w:rPr>
                <w:kern w:val="0"/>
                <w:sz w:val="21"/>
                <w:szCs w:val="21"/>
              </w:rPr>
              <w:t>无组织臭气浓度</w:t>
            </w:r>
          </w:p>
        </w:tc>
        <w:tc>
          <w:tcPr>
            <w:tcW w:w="1559" w:type="dxa"/>
            <w:vAlign w:val="center"/>
          </w:tcPr>
          <w:p>
            <w:pPr>
              <w:overflowPunct w:val="0"/>
              <w:jc w:val="center"/>
              <w:rPr>
                <w:kern w:val="0"/>
                <w:sz w:val="21"/>
                <w:szCs w:val="21"/>
              </w:rPr>
            </w:pPr>
            <w:r>
              <w:rPr>
                <w:rFonts w:hint="eastAsia"/>
                <w:kern w:val="0"/>
                <w:sz w:val="21"/>
                <w:szCs w:val="21"/>
              </w:rPr>
              <w:t>20（无量纲）</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Align w:val="center"/>
          </w:tcPr>
          <w:p>
            <w:pPr>
              <w:overflowPunct w:val="0"/>
              <w:jc w:val="center"/>
              <w:rPr>
                <w:kern w:val="0"/>
                <w:sz w:val="21"/>
                <w:szCs w:val="21"/>
              </w:rPr>
            </w:pPr>
            <w:r>
              <w:rPr>
                <w:rFonts w:hint="eastAsia"/>
                <w:kern w:val="0"/>
                <w:sz w:val="21"/>
                <w:szCs w:val="21"/>
              </w:rPr>
              <w:t>《恶臭</w:t>
            </w:r>
            <w:r>
              <w:rPr>
                <w:kern w:val="0"/>
                <w:sz w:val="21"/>
                <w:szCs w:val="21"/>
              </w:rPr>
              <w:t>污染物排放标准</w:t>
            </w:r>
            <w:r>
              <w:rPr>
                <w:rFonts w:hint="eastAsia"/>
                <w:kern w:val="0"/>
                <w:sz w:val="21"/>
                <w:szCs w:val="21"/>
              </w:rPr>
              <w:t>》（GB</w:t>
            </w:r>
            <w:r>
              <w:rPr>
                <w:kern w:val="0"/>
                <w:sz w:val="21"/>
                <w:szCs w:val="21"/>
              </w:rPr>
              <w:t>14554-93</w:t>
            </w:r>
            <w:r>
              <w:rPr>
                <w:rFonts w:hint="eastAsia"/>
                <w:kern w:val="0"/>
                <w:sz w:val="21"/>
                <w:szCs w:val="21"/>
              </w:rPr>
              <w:t>）中</w:t>
            </w:r>
            <w:r>
              <w:rPr>
                <w:kern w:val="0"/>
                <w:sz w:val="21"/>
                <w:szCs w:val="21"/>
              </w:rPr>
              <w:t>表</w:t>
            </w:r>
            <w:r>
              <w:rPr>
                <w:rFonts w:hint="eastAsia"/>
                <w:kern w:val="0"/>
                <w:sz w:val="21"/>
                <w:szCs w:val="21"/>
              </w:rPr>
              <w:t>1限值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vAlign w:val="center"/>
          </w:tcPr>
          <w:p>
            <w:pPr>
              <w:overflowPunct w:val="0"/>
              <w:jc w:val="center"/>
              <w:rPr>
                <w:kern w:val="0"/>
                <w:sz w:val="21"/>
                <w:szCs w:val="21"/>
              </w:rPr>
            </w:pPr>
            <w:r>
              <w:rPr>
                <w:rFonts w:hint="eastAsia"/>
                <w:kern w:val="0"/>
                <w:sz w:val="21"/>
                <w:szCs w:val="21"/>
              </w:rPr>
              <w:t>单位产品非甲烷总烃排放量（kg/t-产品）</w:t>
            </w:r>
          </w:p>
        </w:tc>
        <w:tc>
          <w:tcPr>
            <w:tcW w:w="1559" w:type="dxa"/>
            <w:vAlign w:val="center"/>
          </w:tcPr>
          <w:p>
            <w:pPr>
              <w:overflowPunct w:val="0"/>
              <w:jc w:val="center"/>
              <w:rPr>
                <w:kern w:val="0"/>
                <w:sz w:val="21"/>
                <w:szCs w:val="21"/>
              </w:rPr>
            </w:pPr>
            <w:r>
              <w:rPr>
                <w:rFonts w:hint="eastAsia"/>
                <w:kern w:val="0"/>
                <w:sz w:val="21"/>
                <w:szCs w:val="21"/>
              </w:rPr>
              <w:t>0.3</w:t>
            </w:r>
          </w:p>
        </w:tc>
        <w:tc>
          <w:tcPr>
            <w:tcW w:w="1276" w:type="dxa"/>
            <w:vAlign w:val="center"/>
          </w:tcPr>
          <w:p>
            <w:pPr>
              <w:overflowPunct w:val="0"/>
              <w:jc w:val="center"/>
              <w:rPr>
                <w:kern w:val="0"/>
                <w:sz w:val="21"/>
                <w:szCs w:val="21"/>
              </w:rPr>
            </w:pPr>
            <w:r>
              <w:rPr>
                <w:rFonts w:hint="eastAsia"/>
                <w:kern w:val="0"/>
                <w:sz w:val="21"/>
                <w:szCs w:val="21"/>
              </w:rPr>
              <w:t>/</w:t>
            </w:r>
          </w:p>
        </w:tc>
        <w:tc>
          <w:tcPr>
            <w:tcW w:w="3083" w:type="dxa"/>
            <w:vAlign w:val="center"/>
          </w:tcPr>
          <w:p>
            <w:pPr>
              <w:overflowPunct w:val="0"/>
              <w:jc w:val="center"/>
              <w:rPr>
                <w:kern w:val="0"/>
                <w:sz w:val="21"/>
                <w:szCs w:val="21"/>
              </w:rPr>
            </w:pPr>
            <w:r>
              <w:rPr>
                <w:rFonts w:hint="eastAsia"/>
                <w:kern w:val="0"/>
                <w:sz w:val="21"/>
                <w:szCs w:val="21"/>
              </w:rPr>
              <w:t>《合成树脂工业污染物排放标准》（GB31572-2015）表5大气污染物特别排放限值</w:t>
            </w:r>
          </w:p>
        </w:tc>
      </w:tr>
      <w:bookmarkEnd w:id="65"/>
    </w:tbl>
    <w:p>
      <w:pPr>
        <w:autoSpaceDE w:val="0"/>
        <w:autoSpaceDN w:val="0"/>
        <w:ind w:firstLine="420" w:firstLineChars="200"/>
        <w:rPr>
          <w:rFonts w:eastAsia="黑体"/>
          <w:szCs w:val="21"/>
        </w:rPr>
      </w:pPr>
    </w:p>
    <w:p>
      <w:pPr>
        <w:autoSpaceDE w:val="0"/>
        <w:autoSpaceDN w:val="0"/>
        <w:ind w:firstLine="420" w:firstLineChars="200"/>
        <w:rPr>
          <w:rFonts w:eastAsia="黑体"/>
          <w:szCs w:val="21"/>
        </w:rPr>
      </w:pPr>
      <w:r>
        <w:rPr>
          <w:rFonts w:hint="eastAsia" w:eastAsia="黑体"/>
          <w:szCs w:val="21"/>
        </w:rPr>
        <w:t>表2</w:t>
      </w:r>
      <w:r>
        <w:rPr>
          <w:rFonts w:eastAsia="黑体"/>
          <w:szCs w:val="21"/>
        </w:rPr>
        <w:t xml:space="preserve">.4-6                  </w:t>
      </w:r>
      <w:r>
        <w:rPr>
          <w:rFonts w:hint="eastAsia" w:eastAsia="黑体"/>
          <w:szCs w:val="21"/>
        </w:rPr>
        <w:t>厂区内无组织废气控制标准</w:t>
      </w:r>
    </w:p>
    <w:tbl>
      <w:tblPr>
        <w:tblStyle w:val="60"/>
        <w:tblW w:w="87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01"/>
        <w:gridCol w:w="1701"/>
        <w:gridCol w:w="1276"/>
        <w:gridCol w:w="3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12" w:space="0"/>
              <w:left w:val="nil"/>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污染物</w:t>
            </w:r>
          </w:p>
        </w:tc>
        <w:tc>
          <w:tcPr>
            <w:tcW w:w="1701" w:type="dxa"/>
            <w:tcBorders>
              <w:top w:val="single" w:color="auto" w:sz="12" w:space="0"/>
              <w:left w:val="single" w:color="auto" w:sz="4" w:space="0"/>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监控点</w:t>
            </w:r>
            <w:r>
              <w:rPr>
                <w:kern w:val="0"/>
                <w:sz w:val="21"/>
                <w:szCs w:val="21"/>
              </w:rPr>
              <w:t>1h</w:t>
            </w:r>
            <w:r>
              <w:rPr>
                <w:rFonts w:hint="eastAsia"/>
                <w:kern w:val="0"/>
                <w:sz w:val="21"/>
                <w:szCs w:val="21"/>
              </w:rPr>
              <w:t>平均浓度值（</w:t>
            </w:r>
            <w:r>
              <w:rPr>
                <w:kern w:val="0"/>
                <w:sz w:val="21"/>
                <w:szCs w:val="21"/>
              </w:rPr>
              <w:t>mg/m</w:t>
            </w:r>
            <w:r>
              <w:rPr>
                <w:kern w:val="0"/>
                <w:sz w:val="21"/>
                <w:szCs w:val="21"/>
                <w:vertAlign w:val="superscript"/>
              </w:rPr>
              <w:t>3</w:t>
            </w:r>
            <w:r>
              <w:rPr>
                <w:rFonts w:hint="eastAsia"/>
                <w:kern w:val="0"/>
                <w:sz w:val="21"/>
                <w:szCs w:val="21"/>
              </w:rPr>
              <w:t>）</w:t>
            </w:r>
          </w:p>
        </w:tc>
        <w:tc>
          <w:tcPr>
            <w:tcW w:w="1701" w:type="dxa"/>
            <w:tcBorders>
              <w:top w:val="single" w:color="auto" w:sz="12" w:space="0"/>
              <w:left w:val="single" w:color="auto" w:sz="4" w:space="0"/>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监控点任意一次浓度值（</w:t>
            </w:r>
            <w:r>
              <w:rPr>
                <w:kern w:val="0"/>
                <w:sz w:val="21"/>
                <w:szCs w:val="21"/>
              </w:rPr>
              <w:t>mg/m</w:t>
            </w:r>
            <w:r>
              <w:rPr>
                <w:kern w:val="0"/>
                <w:sz w:val="21"/>
                <w:szCs w:val="21"/>
                <w:vertAlign w:val="superscript"/>
              </w:rPr>
              <w:t>3</w:t>
            </w:r>
            <w:r>
              <w:rPr>
                <w:rFonts w:hint="eastAsia"/>
                <w:kern w:val="0"/>
                <w:sz w:val="21"/>
                <w:szCs w:val="21"/>
              </w:rPr>
              <w:t>）</w:t>
            </w:r>
          </w:p>
        </w:tc>
        <w:tc>
          <w:tcPr>
            <w:tcW w:w="1276" w:type="dxa"/>
            <w:tcBorders>
              <w:top w:val="single" w:color="auto" w:sz="12" w:space="0"/>
              <w:left w:val="single" w:color="auto" w:sz="4" w:space="0"/>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无组织监控点位置</w:t>
            </w:r>
          </w:p>
        </w:tc>
        <w:tc>
          <w:tcPr>
            <w:tcW w:w="3118" w:type="dxa"/>
            <w:tcBorders>
              <w:top w:val="single" w:color="auto" w:sz="12" w:space="0"/>
              <w:left w:val="single" w:color="auto" w:sz="4" w:space="0"/>
              <w:bottom w:val="single" w:color="auto" w:sz="4" w:space="0"/>
              <w:right w:val="nil"/>
            </w:tcBorders>
            <w:vAlign w:val="center"/>
          </w:tcPr>
          <w:p>
            <w:pPr>
              <w:overflowPunct w:val="0"/>
              <w:jc w:val="center"/>
              <w:rPr>
                <w:kern w:val="0"/>
                <w:sz w:val="21"/>
                <w:szCs w:val="21"/>
              </w:rPr>
            </w:pPr>
            <w:r>
              <w:rPr>
                <w:rFonts w:hint="eastAsia"/>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nil"/>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非甲烷总烃</w:t>
            </w:r>
          </w:p>
        </w:tc>
        <w:tc>
          <w:tcPr>
            <w:tcW w:w="1701" w:type="dxa"/>
            <w:tcBorders>
              <w:top w:val="single" w:color="auto" w:sz="4" w:space="0"/>
              <w:left w:val="single" w:color="auto" w:sz="4" w:space="0"/>
              <w:bottom w:val="single" w:color="auto" w:sz="4" w:space="0"/>
              <w:right w:val="single" w:color="auto" w:sz="4" w:space="0"/>
            </w:tcBorders>
            <w:vAlign w:val="center"/>
          </w:tcPr>
          <w:p>
            <w:pPr>
              <w:overflowPunct w:val="0"/>
              <w:jc w:val="center"/>
              <w:rPr>
                <w:kern w:val="0"/>
                <w:sz w:val="21"/>
                <w:szCs w:val="21"/>
              </w:rPr>
            </w:pPr>
            <w:r>
              <w:rPr>
                <w:kern w:val="0"/>
                <w:sz w:val="21"/>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overflowPunct w:val="0"/>
              <w:jc w:val="center"/>
              <w:rPr>
                <w:kern w:val="0"/>
                <w:sz w:val="21"/>
                <w:szCs w:val="21"/>
              </w:rPr>
            </w:pPr>
            <w:r>
              <w:rPr>
                <w:kern w:val="0"/>
                <w:sz w:val="21"/>
                <w:szCs w:val="21"/>
              </w:rPr>
              <w:t>20</w:t>
            </w:r>
          </w:p>
        </w:tc>
        <w:tc>
          <w:tcPr>
            <w:tcW w:w="1276" w:type="dxa"/>
            <w:tcBorders>
              <w:top w:val="single" w:color="auto" w:sz="4" w:space="0"/>
              <w:left w:val="single" w:color="auto" w:sz="4" w:space="0"/>
              <w:bottom w:val="single" w:color="auto" w:sz="4" w:space="0"/>
              <w:right w:val="single" w:color="auto" w:sz="4" w:space="0"/>
            </w:tcBorders>
            <w:vAlign w:val="center"/>
          </w:tcPr>
          <w:p>
            <w:pPr>
              <w:overflowPunct w:val="0"/>
              <w:jc w:val="center"/>
              <w:rPr>
                <w:kern w:val="0"/>
                <w:sz w:val="21"/>
                <w:szCs w:val="21"/>
              </w:rPr>
            </w:pPr>
            <w:r>
              <w:rPr>
                <w:rFonts w:hint="eastAsia"/>
                <w:kern w:val="0"/>
                <w:sz w:val="21"/>
                <w:szCs w:val="21"/>
              </w:rPr>
              <w:t>在厂房外设置监控点</w:t>
            </w:r>
          </w:p>
        </w:tc>
        <w:tc>
          <w:tcPr>
            <w:tcW w:w="3118" w:type="dxa"/>
            <w:tcBorders>
              <w:top w:val="single" w:color="auto" w:sz="4" w:space="0"/>
              <w:left w:val="single" w:color="auto" w:sz="4" w:space="0"/>
              <w:bottom w:val="single" w:color="auto" w:sz="4" w:space="0"/>
              <w:right w:val="nil"/>
            </w:tcBorders>
            <w:vAlign w:val="center"/>
          </w:tcPr>
          <w:p>
            <w:pPr>
              <w:overflowPunct w:val="0"/>
              <w:jc w:val="center"/>
              <w:rPr>
                <w:kern w:val="0"/>
                <w:sz w:val="21"/>
                <w:szCs w:val="21"/>
              </w:rPr>
            </w:pPr>
            <w:r>
              <w:rPr>
                <w:rFonts w:hint="eastAsia"/>
                <w:kern w:val="0"/>
                <w:sz w:val="21"/>
                <w:szCs w:val="21"/>
              </w:rPr>
              <w:t>《挥发性有机物无组织排放控制标准》（</w:t>
            </w:r>
            <w:r>
              <w:rPr>
                <w:kern w:val="0"/>
                <w:sz w:val="21"/>
                <w:szCs w:val="21"/>
              </w:rPr>
              <w:t>GB37822-2019</w:t>
            </w:r>
            <w:r>
              <w:rPr>
                <w:rFonts w:hint="eastAsia"/>
                <w:kern w:val="0"/>
                <w:sz w:val="21"/>
                <w:szCs w:val="21"/>
              </w:rPr>
              <w:t>）附录</w:t>
            </w:r>
            <w:r>
              <w:rPr>
                <w:kern w:val="0"/>
                <w:sz w:val="21"/>
                <w:szCs w:val="21"/>
              </w:rPr>
              <w:t>A.1</w:t>
            </w:r>
            <w:r>
              <w:rPr>
                <w:rFonts w:hint="eastAsia"/>
                <w:kern w:val="0"/>
                <w:sz w:val="21"/>
                <w:szCs w:val="21"/>
              </w:rPr>
              <w:t>特别排放限值</w:t>
            </w:r>
          </w:p>
        </w:tc>
      </w:tr>
    </w:tbl>
    <w:p>
      <w:pPr>
        <w:spacing w:line="460" w:lineRule="exact"/>
        <w:ind w:firstLine="480" w:firstLineChars="200"/>
        <w:rPr>
          <w:sz w:val="24"/>
        </w:rPr>
      </w:pPr>
      <w:r>
        <w:rPr>
          <w:rFonts w:hint="eastAsia"/>
          <w:sz w:val="24"/>
        </w:rPr>
        <w:t>职工食堂产生的油烟执行《饮食行业油烟排放标准（试行）》（</w:t>
      </w:r>
      <w:r>
        <w:rPr>
          <w:sz w:val="24"/>
        </w:rPr>
        <w:t>GB18483-2001</w:t>
      </w:r>
      <w:r>
        <w:rPr>
          <w:rFonts w:hint="eastAsia"/>
          <w:sz w:val="24"/>
        </w:rPr>
        <w:t>）中的有关规定，即最高允许排放浓度为</w:t>
      </w:r>
      <w:r>
        <w:rPr>
          <w:sz w:val="24"/>
        </w:rPr>
        <w:t>2.0mg/m</w:t>
      </w:r>
      <w:r>
        <w:rPr>
          <w:sz w:val="24"/>
          <w:vertAlign w:val="superscript"/>
        </w:rPr>
        <w:t>3</w:t>
      </w:r>
      <w:r>
        <w:rPr>
          <w:rFonts w:hint="eastAsia"/>
          <w:sz w:val="24"/>
        </w:rPr>
        <w:t>。</w:t>
      </w:r>
    </w:p>
    <w:p>
      <w:pPr>
        <w:spacing w:line="460" w:lineRule="exact"/>
        <w:ind w:firstLine="480" w:firstLineChars="200"/>
        <w:rPr>
          <w:sz w:val="24"/>
        </w:rPr>
      </w:pPr>
      <w:r>
        <w:rPr>
          <w:rFonts w:hint="eastAsia"/>
          <w:sz w:val="24"/>
        </w:rPr>
        <w:t>标准值见表2.4-7。</w:t>
      </w:r>
    </w:p>
    <w:p>
      <w:pPr>
        <w:autoSpaceDE w:val="0"/>
        <w:autoSpaceDN w:val="0"/>
        <w:ind w:firstLine="420" w:firstLineChars="200"/>
        <w:rPr>
          <w:rFonts w:eastAsia="黑体"/>
          <w:szCs w:val="21"/>
        </w:rPr>
      </w:pPr>
      <w:r>
        <w:rPr>
          <w:rFonts w:hint="eastAsia" w:eastAsia="黑体"/>
          <w:szCs w:val="21"/>
        </w:rPr>
        <w:t>表2.4-7</w:t>
      </w:r>
      <w:r>
        <w:rPr>
          <w:rFonts w:eastAsia="黑体"/>
          <w:szCs w:val="21"/>
        </w:rPr>
        <w:t xml:space="preserve">         </w:t>
      </w:r>
      <w:r>
        <w:rPr>
          <w:rFonts w:hint="eastAsia" w:eastAsia="黑体"/>
          <w:szCs w:val="21"/>
        </w:rPr>
        <w:t xml:space="preserve">         饮食业油烟排放标准</w:t>
      </w:r>
    </w:p>
    <w:tbl>
      <w:tblPr>
        <w:tblStyle w:val="59"/>
        <w:tblW w:w="82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34"/>
        <w:gridCol w:w="1508"/>
        <w:gridCol w:w="1696"/>
        <w:gridCol w:w="14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6" w:type="dxa"/>
            <w:vAlign w:val="center"/>
          </w:tcPr>
          <w:p>
            <w:pPr>
              <w:overflowPunct w:val="0"/>
              <w:jc w:val="center"/>
              <w:rPr>
                <w:szCs w:val="21"/>
              </w:rPr>
            </w:pPr>
            <w:r>
              <w:rPr>
                <w:rFonts w:hint="eastAsia"/>
                <w:szCs w:val="21"/>
              </w:rPr>
              <w:t>规模</w:t>
            </w:r>
          </w:p>
        </w:tc>
        <w:tc>
          <w:tcPr>
            <w:tcW w:w="1508" w:type="dxa"/>
            <w:vAlign w:val="center"/>
          </w:tcPr>
          <w:p>
            <w:pPr>
              <w:overflowPunct w:val="0"/>
              <w:jc w:val="center"/>
              <w:rPr>
                <w:szCs w:val="21"/>
              </w:rPr>
            </w:pPr>
            <w:r>
              <w:rPr>
                <w:rFonts w:hint="eastAsia"/>
                <w:szCs w:val="21"/>
              </w:rPr>
              <w:t>小型</w:t>
            </w:r>
          </w:p>
        </w:tc>
        <w:tc>
          <w:tcPr>
            <w:tcW w:w="1696" w:type="dxa"/>
            <w:vAlign w:val="center"/>
          </w:tcPr>
          <w:p>
            <w:pPr>
              <w:overflowPunct w:val="0"/>
              <w:jc w:val="center"/>
              <w:rPr>
                <w:szCs w:val="21"/>
              </w:rPr>
            </w:pPr>
            <w:r>
              <w:rPr>
                <w:rFonts w:hint="eastAsia"/>
                <w:szCs w:val="21"/>
              </w:rPr>
              <w:t>中型</w:t>
            </w:r>
          </w:p>
        </w:tc>
        <w:tc>
          <w:tcPr>
            <w:tcW w:w="1442" w:type="dxa"/>
            <w:vAlign w:val="center"/>
          </w:tcPr>
          <w:p>
            <w:pPr>
              <w:overflowPunct w:val="0"/>
              <w:jc w:val="center"/>
              <w:rPr>
                <w:szCs w:val="21"/>
              </w:rPr>
            </w:pPr>
            <w:r>
              <w:rPr>
                <w:rFonts w:hint="eastAsia"/>
                <w:szCs w:val="21"/>
              </w:rPr>
              <w:t>大型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6" w:type="dxa"/>
            <w:vAlign w:val="center"/>
          </w:tcPr>
          <w:p>
            <w:pPr>
              <w:overflowPunct w:val="0"/>
              <w:jc w:val="center"/>
              <w:rPr>
                <w:szCs w:val="21"/>
              </w:rPr>
            </w:pPr>
            <w:r>
              <w:rPr>
                <w:rFonts w:hint="eastAsia"/>
                <w:szCs w:val="21"/>
              </w:rPr>
              <w:t>最高允许排放浓度（</w:t>
            </w:r>
            <w:r>
              <w:rPr>
                <w:szCs w:val="21"/>
              </w:rPr>
              <w:t>mg/m</w:t>
            </w:r>
            <w:r>
              <w:rPr>
                <w:szCs w:val="21"/>
                <w:vertAlign w:val="superscript"/>
              </w:rPr>
              <w:t>3</w:t>
            </w:r>
            <w:r>
              <w:rPr>
                <w:rFonts w:hint="eastAsia"/>
                <w:szCs w:val="21"/>
              </w:rPr>
              <w:t>）</w:t>
            </w:r>
          </w:p>
        </w:tc>
        <w:tc>
          <w:tcPr>
            <w:tcW w:w="1508" w:type="dxa"/>
            <w:vAlign w:val="center"/>
          </w:tcPr>
          <w:p>
            <w:pPr>
              <w:overflowPunct w:val="0"/>
              <w:jc w:val="center"/>
              <w:rPr>
                <w:szCs w:val="21"/>
              </w:rPr>
            </w:pPr>
            <w:r>
              <w:rPr>
                <w:szCs w:val="21"/>
              </w:rPr>
              <w:t>2.0</w:t>
            </w:r>
          </w:p>
        </w:tc>
        <w:tc>
          <w:tcPr>
            <w:tcW w:w="1696" w:type="dxa"/>
            <w:vAlign w:val="center"/>
          </w:tcPr>
          <w:p>
            <w:pPr>
              <w:overflowPunct w:val="0"/>
              <w:jc w:val="center"/>
              <w:rPr>
                <w:szCs w:val="21"/>
              </w:rPr>
            </w:pPr>
            <w:r>
              <w:rPr>
                <w:szCs w:val="21"/>
              </w:rPr>
              <w:t>2.0</w:t>
            </w:r>
          </w:p>
        </w:tc>
        <w:tc>
          <w:tcPr>
            <w:tcW w:w="1442" w:type="dxa"/>
            <w:vAlign w:val="center"/>
          </w:tcPr>
          <w:p>
            <w:pPr>
              <w:overflowPunct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6" w:type="dxa"/>
            <w:vAlign w:val="center"/>
          </w:tcPr>
          <w:p>
            <w:pPr>
              <w:overflowPunct w:val="0"/>
              <w:jc w:val="center"/>
              <w:rPr>
                <w:szCs w:val="21"/>
              </w:rPr>
            </w:pPr>
            <w:r>
              <w:rPr>
                <w:rFonts w:hint="eastAsia"/>
                <w:szCs w:val="21"/>
              </w:rPr>
              <w:t>净化设施最低去除效率（</w:t>
            </w:r>
            <w:r>
              <w:rPr>
                <w:szCs w:val="21"/>
              </w:rPr>
              <w:t>%</w:t>
            </w:r>
            <w:r>
              <w:rPr>
                <w:rFonts w:hint="eastAsia"/>
                <w:szCs w:val="21"/>
              </w:rPr>
              <w:t>）</w:t>
            </w:r>
          </w:p>
        </w:tc>
        <w:tc>
          <w:tcPr>
            <w:tcW w:w="1508" w:type="dxa"/>
            <w:vAlign w:val="center"/>
          </w:tcPr>
          <w:p>
            <w:pPr>
              <w:overflowPunct w:val="0"/>
              <w:jc w:val="center"/>
              <w:rPr>
                <w:szCs w:val="21"/>
              </w:rPr>
            </w:pPr>
            <w:r>
              <w:rPr>
                <w:szCs w:val="21"/>
              </w:rPr>
              <w:t>60</w:t>
            </w:r>
          </w:p>
        </w:tc>
        <w:tc>
          <w:tcPr>
            <w:tcW w:w="1696" w:type="dxa"/>
            <w:vAlign w:val="center"/>
          </w:tcPr>
          <w:p>
            <w:pPr>
              <w:overflowPunct w:val="0"/>
              <w:jc w:val="center"/>
              <w:rPr>
                <w:szCs w:val="21"/>
              </w:rPr>
            </w:pPr>
            <w:r>
              <w:rPr>
                <w:szCs w:val="21"/>
              </w:rPr>
              <w:t>75</w:t>
            </w:r>
          </w:p>
        </w:tc>
        <w:tc>
          <w:tcPr>
            <w:tcW w:w="1442" w:type="dxa"/>
            <w:vAlign w:val="center"/>
          </w:tcPr>
          <w:p>
            <w:pPr>
              <w:overflowPunct w:val="0"/>
              <w:jc w:val="center"/>
              <w:rPr>
                <w:szCs w:val="21"/>
              </w:rPr>
            </w:pPr>
            <w:r>
              <w:rPr>
                <w:szCs w:val="21"/>
              </w:rPr>
              <w:t>85</w:t>
            </w:r>
          </w:p>
        </w:tc>
      </w:tr>
    </w:tbl>
    <w:p>
      <w:pPr>
        <w:spacing w:line="460" w:lineRule="exact"/>
        <w:ind w:firstLine="480" w:firstLineChars="200"/>
        <w:rPr>
          <w:kern w:val="0"/>
          <w:sz w:val="24"/>
        </w:rPr>
      </w:pPr>
      <w:r>
        <w:rPr>
          <w:rFonts w:hint="eastAsia"/>
          <w:kern w:val="0"/>
          <w:sz w:val="24"/>
        </w:rPr>
        <w:t>（2）</w:t>
      </w:r>
      <w:r>
        <w:rPr>
          <w:kern w:val="0"/>
          <w:sz w:val="24"/>
        </w:rPr>
        <w:t>废水污染物排放标准</w:t>
      </w:r>
    </w:p>
    <w:p>
      <w:pPr>
        <w:spacing w:line="460" w:lineRule="exact"/>
        <w:ind w:firstLine="482"/>
        <w:rPr>
          <w:kern w:val="0"/>
          <w:sz w:val="24"/>
        </w:rPr>
      </w:pPr>
      <w:r>
        <w:rPr>
          <w:rFonts w:hint="eastAsia"/>
          <w:kern w:val="0"/>
          <w:sz w:val="24"/>
        </w:rPr>
        <w:t>本项目产生的生产废水均循环利用，不外排；生活污水经防渗化粪池暂存后定期拉运至农业园区污水处理厂处置，废水排放执行《污水综合排放标准》（GB8978-1996）中表4三级标准，</w:t>
      </w:r>
      <w:r>
        <w:rPr>
          <w:kern w:val="0"/>
          <w:sz w:val="24"/>
        </w:rPr>
        <w:t>具体标准</w:t>
      </w:r>
      <w:r>
        <w:rPr>
          <w:rFonts w:hint="eastAsia"/>
          <w:kern w:val="0"/>
          <w:sz w:val="24"/>
        </w:rPr>
        <w:t>见</w:t>
      </w:r>
      <w:r>
        <w:rPr>
          <w:kern w:val="0"/>
          <w:sz w:val="24"/>
        </w:rPr>
        <w:t>表</w:t>
      </w:r>
      <w:r>
        <w:rPr>
          <w:rFonts w:hint="eastAsia"/>
          <w:kern w:val="0"/>
          <w:sz w:val="24"/>
        </w:rPr>
        <w:t>2.4-8。</w:t>
      </w:r>
    </w:p>
    <w:p>
      <w:pPr>
        <w:autoSpaceDE w:val="0"/>
        <w:autoSpaceDN w:val="0"/>
        <w:ind w:firstLine="420" w:firstLineChars="200"/>
        <w:rPr>
          <w:rFonts w:eastAsia="黑体"/>
          <w:szCs w:val="21"/>
        </w:rPr>
      </w:pPr>
      <w:r>
        <w:rPr>
          <w:rFonts w:hint="eastAsia" w:eastAsia="黑体"/>
          <w:szCs w:val="21"/>
        </w:rPr>
        <w:t>表2</w:t>
      </w:r>
      <w:r>
        <w:rPr>
          <w:rFonts w:eastAsia="黑体"/>
          <w:szCs w:val="21"/>
        </w:rPr>
        <w:t>.4-</w:t>
      </w:r>
      <w:r>
        <w:rPr>
          <w:rFonts w:hint="eastAsia" w:eastAsia="黑体"/>
          <w:szCs w:val="21"/>
        </w:rPr>
        <w:t>8</w:t>
      </w:r>
      <w:r>
        <w:rPr>
          <w:rFonts w:eastAsia="黑体"/>
          <w:szCs w:val="21"/>
        </w:rPr>
        <w:t xml:space="preserve">                  </w:t>
      </w:r>
      <w:r>
        <w:rPr>
          <w:rFonts w:hint="eastAsia" w:eastAsia="黑体"/>
          <w:szCs w:val="21"/>
        </w:rPr>
        <w:t>废水污染物执行标准一览表</w:t>
      </w:r>
      <w:r>
        <w:rPr>
          <w:rFonts w:eastAsia="黑体"/>
          <w:szCs w:val="21"/>
        </w:rPr>
        <w:t xml:space="preserve"> </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915"/>
        <w:gridCol w:w="4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overflowPunct w:val="0"/>
              <w:jc w:val="center"/>
              <w:rPr>
                <w:szCs w:val="21"/>
              </w:rPr>
            </w:pPr>
            <w:r>
              <w:rPr>
                <w:rFonts w:hint="eastAsia"/>
                <w:szCs w:val="21"/>
              </w:rPr>
              <w:t>序号</w:t>
            </w:r>
          </w:p>
        </w:tc>
        <w:tc>
          <w:tcPr>
            <w:tcW w:w="1728" w:type="pct"/>
            <w:vAlign w:val="center"/>
          </w:tcPr>
          <w:p>
            <w:pPr>
              <w:overflowPunct w:val="0"/>
              <w:jc w:val="center"/>
              <w:rPr>
                <w:szCs w:val="21"/>
              </w:rPr>
            </w:pPr>
            <w:r>
              <w:rPr>
                <w:rFonts w:hint="eastAsia"/>
                <w:szCs w:val="21"/>
              </w:rPr>
              <w:t>污染物</w:t>
            </w:r>
          </w:p>
        </w:tc>
        <w:tc>
          <w:tcPr>
            <w:tcW w:w="2835" w:type="pct"/>
            <w:vAlign w:val="center"/>
          </w:tcPr>
          <w:p>
            <w:pPr>
              <w:overflowPunct w:val="0"/>
              <w:jc w:val="center"/>
              <w:rPr>
                <w:szCs w:val="21"/>
              </w:rPr>
            </w:pPr>
            <w:r>
              <w:rPr>
                <w:rFonts w:hint="eastAsia"/>
                <w:szCs w:val="21"/>
              </w:rPr>
              <w:t>标准限值（mg/L，pH除外）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overflowPunct w:val="0"/>
              <w:jc w:val="center"/>
              <w:rPr>
                <w:szCs w:val="21"/>
              </w:rPr>
            </w:pPr>
            <w:r>
              <w:rPr>
                <w:szCs w:val="21"/>
              </w:rPr>
              <w:t>1</w:t>
            </w:r>
          </w:p>
        </w:tc>
        <w:tc>
          <w:tcPr>
            <w:tcW w:w="1728" w:type="pct"/>
            <w:vAlign w:val="center"/>
          </w:tcPr>
          <w:p>
            <w:pPr>
              <w:overflowPunct w:val="0"/>
              <w:jc w:val="center"/>
              <w:rPr>
                <w:szCs w:val="21"/>
              </w:rPr>
            </w:pPr>
            <w:r>
              <w:rPr>
                <w:szCs w:val="21"/>
              </w:rPr>
              <w:t>pH(</w:t>
            </w:r>
            <w:r>
              <w:rPr>
                <w:rFonts w:hint="eastAsia"/>
                <w:szCs w:val="21"/>
              </w:rPr>
              <w:t>无量纲</w:t>
            </w:r>
            <w:r>
              <w:rPr>
                <w:szCs w:val="21"/>
              </w:rPr>
              <w:t>)</w:t>
            </w:r>
          </w:p>
        </w:tc>
        <w:tc>
          <w:tcPr>
            <w:tcW w:w="2835" w:type="pct"/>
            <w:vAlign w:val="center"/>
          </w:tcPr>
          <w:p>
            <w:pPr>
              <w:overflowPunct w:val="0"/>
              <w:jc w:val="center"/>
              <w:rPr>
                <w:szCs w:val="21"/>
              </w:rPr>
            </w:pPr>
            <w:r>
              <w:rPr>
                <w:szCs w:val="21"/>
              </w:rPr>
              <w:t>6.0</w:t>
            </w:r>
            <w:r>
              <w:rPr>
                <w:rFonts w:hint="eastAsia"/>
                <w:szCs w:val="21"/>
              </w:rPr>
              <w:t>～</w:t>
            </w:r>
            <w:r>
              <w:rPr>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overflowPunct w:val="0"/>
              <w:jc w:val="center"/>
              <w:rPr>
                <w:szCs w:val="21"/>
              </w:rPr>
            </w:pPr>
            <w:r>
              <w:rPr>
                <w:szCs w:val="21"/>
              </w:rPr>
              <w:t>2</w:t>
            </w:r>
          </w:p>
        </w:tc>
        <w:tc>
          <w:tcPr>
            <w:tcW w:w="1728" w:type="pct"/>
            <w:vAlign w:val="center"/>
          </w:tcPr>
          <w:p>
            <w:pPr>
              <w:overflowPunct w:val="0"/>
              <w:jc w:val="center"/>
              <w:rPr>
                <w:szCs w:val="21"/>
              </w:rPr>
            </w:pPr>
            <w:r>
              <w:rPr>
                <w:rFonts w:hint="eastAsia"/>
                <w:szCs w:val="21"/>
              </w:rPr>
              <w:t>悬浮物（SS）</w:t>
            </w:r>
          </w:p>
        </w:tc>
        <w:tc>
          <w:tcPr>
            <w:tcW w:w="2835" w:type="pct"/>
            <w:vAlign w:val="center"/>
          </w:tcPr>
          <w:p>
            <w:pPr>
              <w:overflowPunct w:val="0"/>
              <w:jc w:val="center"/>
              <w:rPr>
                <w:szCs w:val="21"/>
              </w:rPr>
            </w:pPr>
            <w:r>
              <w:rPr>
                <w:rFonts w:hint="eastAsia"/>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overflowPunct w:val="0"/>
              <w:jc w:val="center"/>
              <w:rPr>
                <w:szCs w:val="21"/>
              </w:rPr>
            </w:pPr>
            <w:r>
              <w:rPr>
                <w:szCs w:val="21"/>
              </w:rPr>
              <w:t>3</w:t>
            </w:r>
          </w:p>
        </w:tc>
        <w:tc>
          <w:tcPr>
            <w:tcW w:w="1728" w:type="pct"/>
            <w:vAlign w:val="center"/>
          </w:tcPr>
          <w:p>
            <w:pPr>
              <w:overflowPunct w:val="0"/>
              <w:jc w:val="center"/>
              <w:rPr>
                <w:szCs w:val="21"/>
              </w:rPr>
            </w:pPr>
            <w:r>
              <w:rPr>
                <w:rFonts w:hint="eastAsia"/>
                <w:szCs w:val="21"/>
              </w:rPr>
              <w:t>五日生化需氧量（</w:t>
            </w:r>
            <w:r>
              <w:rPr>
                <w:szCs w:val="21"/>
              </w:rPr>
              <w:t>BOD</w:t>
            </w:r>
            <w:r>
              <w:rPr>
                <w:szCs w:val="21"/>
                <w:vertAlign w:val="subscript"/>
              </w:rPr>
              <w:t>5</w:t>
            </w:r>
            <w:r>
              <w:rPr>
                <w:rFonts w:hint="eastAsia"/>
                <w:szCs w:val="21"/>
              </w:rPr>
              <w:t>）</w:t>
            </w:r>
          </w:p>
        </w:tc>
        <w:tc>
          <w:tcPr>
            <w:tcW w:w="2835" w:type="pct"/>
            <w:vAlign w:val="center"/>
          </w:tcPr>
          <w:p>
            <w:pPr>
              <w:overflowPunct w:val="0"/>
              <w:jc w:val="center"/>
              <w:rPr>
                <w:szCs w:val="21"/>
              </w:rPr>
            </w:pPr>
            <w:r>
              <w:rPr>
                <w:rFonts w:hint="eastAsia"/>
                <w:szCs w:val="21"/>
              </w:rPr>
              <w:t>≤3</w:t>
            </w:r>
            <w:r>
              <w:rPr>
                <w:szCs w:val="21"/>
              </w:rPr>
              <w:t>0</w:t>
            </w: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overflowPunct w:val="0"/>
              <w:jc w:val="center"/>
              <w:rPr>
                <w:szCs w:val="21"/>
              </w:rPr>
            </w:pPr>
            <w:r>
              <w:rPr>
                <w:szCs w:val="21"/>
              </w:rPr>
              <w:t>4</w:t>
            </w:r>
          </w:p>
        </w:tc>
        <w:tc>
          <w:tcPr>
            <w:tcW w:w="1728" w:type="pct"/>
            <w:vAlign w:val="center"/>
          </w:tcPr>
          <w:p>
            <w:pPr>
              <w:overflowPunct w:val="0"/>
              <w:jc w:val="center"/>
              <w:rPr>
                <w:szCs w:val="21"/>
              </w:rPr>
            </w:pPr>
            <w:r>
              <w:rPr>
                <w:rFonts w:hint="eastAsia"/>
                <w:szCs w:val="21"/>
              </w:rPr>
              <w:t>化学</w:t>
            </w:r>
            <w:r>
              <w:rPr>
                <w:szCs w:val="21"/>
              </w:rPr>
              <w:t>需氧量（</w:t>
            </w:r>
            <w:r>
              <w:rPr>
                <w:rFonts w:hint="eastAsia"/>
                <w:szCs w:val="21"/>
              </w:rPr>
              <w:t>COD</w:t>
            </w:r>
            <w:r>
              <w:rPr>
                <w:szCs w:val="21"/>
              </w:rPr>
              <w:t>）</w:t>
            </w:r>
          </w:p>
        </w:tc>
        <w:tc>
          <w:tcPr>
            <w:tcW w:w="2835" w:type="pct"/>
            <w:vAlign w:val="center"/>
          </w:tcPr>
          <w:p>
            <w:pPr>
              <w:overflowPunct w:val="0"/>
              <w:jc w:val="center"/>
              <w:rPr>
                <w:szCs w:val="21"/>
              </w:rPr>
            </w:pPr>
            <w:r>
              <w:rPr>
                <w:rFonts w:hint="eastAsia"/>
                <w:szCs w:val="21"/>
              </w:rPr>
              <w:t>≤500</w:t>
            </w:r>
          </w:p>
        </w:tc>
      </w:tr>
    </w:tbl>
    <w:p>
      <w:pPr>
        <w:spacing w:line="460" w:lineRule="exact"/>
        <w:ind w:firstLine="480" w:firstLineChars="200"/>
        <w:rPr>
          <w:kern w:val="0"/>
          <w:sz w:val="24"/>
        </w:rPr>
      </w:pPr>
      <w:r>
        <w:rPr>
          <w:rFonts w:hint="eastAsia"/>
          <w:kern w:val="0"/>
          <w:sz w:val="24"/>
        </w:rPr>
        <w:t>（3）</w:t>
      </w:r>
      <w:r>
        <w:rPr>
          <w:kern w:val="0"/>
          <w:sz w:val="24"/>
        </w:rPr>
        <w:t>噪声排放标准</w:t>
      </w:r>
    </w:p>
    <w:p>
      <w:pPr>
        <w:spacing w:line="460" w:lineRule="exact"/>
        <w:ind w:firstLine="482"/>
        <w:rPr>
          <w:sz w:val="24"/>
        </w:rPr>
      </w:pPr>
      <w:r>
        <w:rPr>
          <w:sz w:val="24"/>
        </w:rPr>
        <w:t>本项目</w:t>
      </w:r>
      <w:r>
        <w:rPr>
          <w:rFonts w:hint="eastAsia"/>
          <w:sz w:val="24"/>
        </w:rPr>
        <w:t>运营期厂</w:t>
      </w:r>
      <w:r>
        <w:rPr>
          <w:sz w:val="24"/>
        </w:rPr>
        <w:t>界噪声执行《工业企业厂界环境噪声排放标准》（GB</w:t>
      </w:r>
      <w:r>
        <w:rPr>
          <w:rFonts w:hint="eastAsia"/>
          <w:sz w:val="24"/>
        </w:rPr>
        <w:t xml:space="preserve"> </w:t>
      </w:r>
      <w:r>
        <w:rPr>
          <w:sz w:val="24"/>
        </w:rPr>
        <w:t>12348-2008）中的</w:t>
      </w:r>
      <w:r>
        <w:rPr>
          <w:rFonts w:hint="eastAsia"/>
          <w:sz w:val="24"/>
        </w:rPr>
        <w:t>3</w:t>
      </w:r>
      <w:r>
        <w:rPr>
          <w:sz w:val="24"/>
        </w:rPr>
        <w:t>类标准。</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4</w:t>
      </w:r>
      <w:r>
        <w:rPr>
          <w:rFonts w:eastAsia="黑体"/>
          <w:szCs w:val="21"/>
        </w:rPr>
        <w:t>-</w:t>
      </w:r>
      <w:r>
        <w:rPr>
          <w:rFonts w:hint="eastAsia" w:eastAsia="黑体"/>
          <w:szCs w:val="21"/>
        </w:rPr>
        <w:t>9</w:t>
      </w:r>
      <w:r>
        <w:rPr>
          <w:rFonts w:eastAsia="黑体"/>
          <w:szCs w:val="21"/>
        </w:rPr>
        <w:t xml:space="preserve">                     </w:t>
      </w:r>
      <w:r>
        <w:rPr>
          <w:rFonts w:hint="eastAsia" w:eastAsia="黑体"/>
          <w:szCs w:val="21"/>
        </w:rPr>
        <w:t>厂</w:t>
      </w:r>
      <w:r>
        <w:rPr>
          <w:rFonts w:eastAsia="黑体"/>
          <w:szCs w:val="21"/>
        </w:rPr>
        <w:t>界噪声排放标准</w:t>
      </w:r>
    </w:p>
    <w:tbl>
      <w:tblPr>
        <w:tblStyle w:val="59"/>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3008"/>
        <w:gridCol w:w="2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7" w:type="dxa"/>
            <w:vAlign w:val="center"/>
          </w:tcPr>
          <w:p>
            <w:pPr>
              <w:jc w:val="center"/>
              <w:rPr>
                <w:szCs w:val="21"/>
              </w:rPr>
            </w:pPr>
            <w:r>
              <w:rPr>
                <w:szCs w:val="21"/>
              </w:rPr>
              <w:t>类别</w:t>
            </w:r>
          </w:p>
        </w:tc>
        <w:tc>
          <w:tcPr>
            <w:tcW w:w="3008" w:type="dxa"/>
            <w:vAlign w:val="center"/>
          </w:tcPr>
          <w:p>
            <w:pPr>
              <w:jc w:val="center"/>
              <w:rPr>
                <w:szCs w:val="21"/>
              </w:rPr>
            </w:pPr>
            <w:r>
              <w:rPr>
                <w:bCs/>
                <w:kern w:val="0"/>
                <w:szCs w:val="21"/>
              </w:rPr>
              <w:t>昼间/dB（A）</w:t>
            </w:r>
          </w:p>
        </w:tc>
        <w:tc>
          <w:tcPr>
            <w:tcW w:w="2737" w:type="dxa"/>
            <w:vAlign w:val="center"/>
          </w:tcPr>
          <w:p>
            <w:pPr>
              <w:jc w:val="center"/>
              <w:rPr>
                <w:szCs w:val="21"/>
              </w:rPr>
            </w:pPr>
            <w:r>
              <w:rPr>
                <w:bCs/>
                <w:kern w:val="0"/>
                <w:szCs w:val="21"/>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7" w:type="dxa"/>
            <w:vAlign w:val="center"/>
          </w:tcPr>
          <w:p>
            <w:pPr>
              <w:jc w:val="center"/>
              <w:rPr>
                <w:szCs w:val="21"/>
              </w:rPr>
            </w:pPr>
            <w:r>
              <w:rPr>
                <w:rFonts w:hint="eastAsia"/>
                <w:szCs w:val="21"/>
              </w:rPr>
              <w:t>3</w:t>
            </w:r>
          </w:p>
        </w:tc>
        <w:tc>
          <w:tcPr>
            <w:tcW w:w="3008" w:type="dxa"/>
            <w:vAlign w:val="center"/>
          </w:tcPr>
          <w:p>
            <w:pPr>
              <w:jc w:val="center"/>
              <w:rPr>
                <w:szCs w:val="21"/>
              </w:rPr>
            </w:pPr>
            <w:r>
              <w:rPr>
                <w:szCs w:val="21"/>
              </w:rPr>
              <w:t>6</w:t>
            </w:r>
            <w:r>
              <w:rPr>
                <w:rFonts w:hint="eastAsia"/>
                <w:szCs w:val="21"/>
              </w:rPr>
              <w:t>5</w:t>
            </w:r>
          </w:p>
        </w:tc>
        <w:tc>
          <w:tcPr>
            <w:tcW w:w="2737" w:type="dxa"/>
            <w:vAlign w:val="center"/>
          </w:tcPr>
          <w:p>
            <w:pPr>
              <w:jc w:val="center"/>
              <w:rPr>
                <w:szCs w:val="21"/>
              </w:rPr>
            </w:pPr>
            <w:r>
              <w:rPr>
                <w:szCs w:val="21"/>
              </w:rPr>
              <w:t>5</w:t>
            </w:r>
            <w:r>
              <w:rPr>
                <w:rFonts w:hint="eastAsia"/>
                <w:szCs w:val="21"/>
              </w:rPr>
              <w:t>5</w:t>
            </w:r>
          </w:p>
        </w:tc>
      </w:tr>
    </w:tbl>
    <w:p>
      <w:pPr>
        <w:spacing w:line="460" w:lineRule="exact"/>
        <w:ind w:firstLine="480" w:firstLineChars="200"/>
        <w:rPr>
          <w:kern w:val="0"/>
          <w:sz w:val="24"/>
        </w:rPr>
      </w:pPr>
      <w:r>
        <w:rPr>
          <w:rFonts w:hint="eastAsia"/>
          <w:kern w:val="0"/>
          <w:sz w:val="24"/>
        </w:rPr>
        <w:t>（4）</w:t>
      </w:r>
      <w:r>
        <w:rPr>
          <w:kern w:val="0"/>
          <w:sz w:val="24"/>
        </w:rPr>
        <w:t>固体废物标准</w:t>
      </w:r>
    </w:p>
    <w:p>
      <w:pPr>
        <w:spacing w:line="460" w:lineRule="exact"/>
        <w:ind w:firstLine="480" w:firstLineChars="200"/>
        <w:rPr>
          <w:bCs/>
          <w:kern w:val="0"/>
          <w:sz w:val="24"/>
        </w:rPr>
      </w:pPr>
      <w:r>
        <w:rPr>
          <w:bCs/>
          <w:kern w:val="0"/>
          <w:sz w:val="24"/>
        </w:rPr>
        <w:t>一般工业固体废物执行《一般工业固体废物贮存和填埋污染控制标准》（GB18599-2020）中有关规定。危险废物执行《危险废物贮存污染控制标准》（GB</w:t>
      </w:r>
      <w:r>
        <w:rPr>
          <w:rFonts w:hint="eastAsia"/>
          <w:bCs/>
          <w:kern w:val="0"/>
          <w:sz w:val="24"/>
        </w:rPr>
        <w:t xml:space="preserve"> </w:t>
      </w:r>
      <w:r>
        <w:rPr>
          <w:bCs/>
          <w:kern w:val="0"/>
          <w:sz w:val="24"/>
        </w:rPr>
        <w:t>18597-20</w:t>
      </w:r>
      <w:r>
        <w:rPr>
          <w:rFonts w:hint="eastAsia"/>
          <w:bCs/>
          <w:kern w:val="0"/>
          <w:sz w:val="24"/>
        </w:rPr>
        <w:t>23</w:t>
      </w:r>
      <w:r>
        <w:rPr>
          <w:bCs/>
          <w:kern w:val="0"/>
          <w:sz w:val="24"/>
        </w:rPr>
        <w:t>）中要求。</w:t>
      </w:r>
    </w:p>
    <w:p>
      <w:pPr>
        <w:pStyle w:val="4"/>
        <w:adjustRightInd w:val="0"/>
        <w:spacing w:before="120" w:after="120" w:line="460" w:lineRule="exact"/>
        <w:textAlignment w:val="baseline"/>
        <w:rPr>
          <w:rFonts w:ascii="Times New Roman" w:hAnsi="Times New Roman"/>
          <w:b w:val="0"/>
          <w:szCs w:val="28"/>
        </w:rPr>
      </w:pPr>
      <w:bookmarkStart w:id="66" w:name="_Toc437732082"/>
      <w:bookmarkStart w:id="67" w:name="_Toc430033218"/>
      <w:bookmarkStart w:id="68" w:name="_Toc165386213"/>
      <w:r>
        <w:rPr>
          <w:rFonts w:hint="eastAsia" w:ascii="Times New Roman" w:hAnsi="Times New Roman"/>
          <w:b w:val="0"/>
          <w:szCs w:val="28"/>
        </w:rPr>
        <w:t>2</w:t>
      </w:r>
      <w:r>
        <w:rPr>
          <w:rFonts w:ascii="Times New Roman" w:hAnsi="Times New Roman"/>
          <w:b w:val="0"/>
          <w:szCs w:val="28"/>
        </w:rPr>
        <w:t>.</w:t>
      </w:r>
      <w:r>
        <w:rPr>
          <w:rFonts w:hint="eastAsia" w:ascii="Times New Roman" w:hAnsi="Times New Roman"/>
          <w:b w:val="0"/>
          <w:szCs w:val="28"/>
        </w:rPr>
        <w:t xml:space="preserve">5 </w:t>
      </w:r>
      <w:r>
        <w:rPr>
          <w:rFonts w:ascii="Times New Roman" w:hAnsi="Times New Roman"/>
          <w:b w:val="0"/>
          <w:szCs w:val="28"/>
        </w:rPr>
        <w:t>评价等级与评价范围</w:t>
      </w:r>
      <w:bookmarkEnd w:id="66"/>
      <w:bookmarkEnd w:id="67"/>
      <w:bookmarkEnd w:id="68"/>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w:t>
      </w:r>
      <w:r>
        <w:rPr>
          <w:rFonts w:hint="eastAsia" w:ascii="Times New Roman"/>
          <w:spacing w:val="12"/>
          <w:w w:val="95"/>
          <w:kern w:val="0"/>
          <w:szCs w:val="26"/>
        </w:rPr>
        <w:t>5</w:t>
      </w:r>
      <w:r>
        <w:rPr>
          <w:rFonts w:ascii="Times New Roman"/>
          <w:spacing w:val="12"/>
          <w:w w:val="95"/>
          <w:kern w:val="0"/>
          <w:szCs w:val="26"/>
        </w:rPr>
        <w:t>.1评价工作等级</w:t>
      </w:r>
    </w:p>
    <w:p>
      <w:pPr>
        <w:autoSpaceDE w:val="0"/>
        <w:autoSpaceDN w:val="0"/>
        <w:spacing w:line="460" w:lineRule="exact"/>
        <w:ind w:firstLine="480" w:firstLineChars="200"/>
        <w:rPr>
          <w:kern w:val="0"/>
          <w:sz w:val="24"/>
        </w:rPr>
      </w:pPr>
      <w:r>
        <w:rPr>
          <w:kern w:val="0"/>
          <w:sz w:val="24"/>
        </w:rPr>
        <w:t>按照</w:t>
      </w:r>
      <w:r>
        <w:rPr>
          <w:sz w:val="24"/>
        </w:rPr>
        <w:t>《建设项目环境影响评价技术导则</w:t>
      </w:r>
      <w:r>
        <w:rPr>
          <w:rFonts w:hint="eastAsia"/>
          <w:sz w:val="24"/>
        </w:rPr>
        <w:t xml:space="preserve"> </w:t>
      </w:r>
      <w:r>
        <w:rPr>
          <w:sz w:val="24"/>
        </w:rPr>
        <w:t>总纲》（HJ2.1-2016）</w:t>
      </w:r>
      <w:r>
        <w:rPr>
          <w:kern w:val="0"/>
          <w:sz w:val="24"/>
        </w:rPr>
        <w:t>的要求，并根据拟建项目的排污特征、污染物排放量及项目所在地的环境功能区划要求，确定评价工作等级如下：</w:t>
      </w:r>
    </w:p>
    <w:p>
      <w:pPr>
        <w:autoSpaceDE w:val="0"/>
        <w:autoSpaceDN w:val="0"/>
        <w:spacing w:line="460" w:lineRule="exact"/>
        <w:ind w:firstLine="480" w:firstLineChars="200"/>
        <w:rPr>
          <w:sz w:val="24"/>
        </w:rPr>
      </w:pPr>
      <w:bookmarkStart w:id="69" w:name="_Toc280044941"/>
      <w:bookmarkStart w:id="70" w:name="_Toc282470319"/>
      <w:bookmarkStart w:id="71" w:name="_Toc297197785"/>
      <w:r>
        <w:rPr>
          <w:rFonts w:hint="eastAsia"/>
          <w:sz w:val="24"/>
        </w:rPr>
        <w:t>1、</w:t>
      </w:r>
      <w:r>
        <w:rPr>
          <w:sz w:val="24"/>
        </w:rPr>
        <w:t>大气评价等级</w:t>
      </w:r>
      <w:bookmarkEnd w:id="69"/>
      <w:bookmarkEnd w:id="70"/>
      <w:bookmarkEnd w:id="71"/>
    </w:p>
    <w:p>
      <w:pPr>
        <w:spacing w:line="460" w:lineRule="exact"/>
        <w:ind w:firstLine="480" w:firstLineChars="200"/>
        <w:rPr>
          <w:sz w:val="24"/>
        </w:rPr>
      </w:pPr>
      <w:r>
        <w:rPr>
          <w:sz w:val="24"/>
        </w:rPr>
        <w:t>（1）</w:t>
      </w:r>
      <w:r>
        <w:rPr>
          <w:rFonts w:hint="eastAsia"/>
          <w:sz w:val="24"/>
        </w:rPr>
        <w:t>判定依据</w:t>
      </w:r>
    </w:p>
    <w:p>
      <w:pPr>
        <w:spacing w:line="460" w:lineRule="exact"/>
        <w:ind w:firstLine="480" w:firstLineChars="200"/>
        <w:rPr>
          <w:sz w:val="24"/>
        </w:rPr>
      </w:pPr>
      <w:r>
        <w:rPr>
          <w:sz w:val="24"/>
        </w:rPr>
        <w:t>根据《环境影响评价技术导则</w:t>
      </w:r>
      <w:r>
        <w:rPr>
          <w:rFonts w:hint="eastAsia"/>
          <w:sz w:val="24"/>
        </w:rPr>
        <w:t xml:space="preserve"> </w:t>
      </w:r>
      <w:r>
        <w:rPr>
          <w:sz w:val="24"/>
        </w:rPr>
        <w:t>大气环境》（HJ2.2-20</w:t>
      </w:r>
      <w:r>
        <w:rPr>
          <w:rFonts w:hint="eastAsia"/>
          <w:sz w:val="24"/>
        </w:rPr>
        <w:t>1</w:t>
      </w:r>
      <w:r>
        <w:rPr>
          <w:sz w:val="24"/>
        </w:rPr>
        <w:t>8），确定评价等级时需根据项目的初步工程分析结果，分别计算每一种污染物的最大地面浓度占标率Pi（第i个污染物），及第i个污染物的地面浓度达到标准值的10%时所对应的最远距离D10%。其中Pi定义为：</w:t>
      </w:r>
    </w:p>
    <w:p>
      <w:pPr>
        <w:ind w:firstLine="2640" w:firstLineChars="1100"/>
        <w:rPr>
          <w:i/>
          <w:sz w:val="24"/>
        </w:rPr>
      </w:pPr>
      <m:oMathPara>
        <m:oMath>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0i</m:t>
                  </m:r>
                  <m:ctrlPr>
                    <w:rPr>
                      <w:rFonts w:ascii="Cambria Math" w:hAnsi="Cambria Math"/>
                      <w:i/>
                      <w:sz w:val="24"/>
                    </w:rPr>
                  </m:ctrlPr>
                </m:sub>
              </m:sSub>
              <m:ctrlPr>
                <w:rPr>
                  <w:rFonts w:ascii="Cambria Math" w:hAnsi="Cambria Math"/>
                  <w:i/>
                  <w:sz w:val="24"/>
                </w:rPr>
              </m:ctrlPr>
            </m:den>
          </m:f>
          <m:r>
            <m:rPr/>
            <w:rPr>
              <w:rFonts w:ascii="Cambria Math" w:hAnsi="Cambria Math"/>
              <w:sz w:val="24"/>
            </w:rPr>
            <m:t>×100%</m:t>
          </m:r>
        </m:oMath>
      </m:oMathPara>
    </w:p>
    <w:p>
      <w:pPr>
        <w:spacing w:line="460" w:lineRule="exact"/>
        <w:ind w:firstLine="480" w:firstLineChars="200"/>
        <w:rPr>
          <w:sz w:val="24"/>
        </w:rPr>
      </w:pPr>
      <w:r>
        <w:rPr>
          <w:sz w:val="24"/>
        </w:rPr>
        <w:t>式中：</w:t>
      </w:r>
      <w:r>
        <w:rPr>
          <w:i/>
          <w:sz w:val="24"/>
        </w:rPr>
        <w:t>P</w:t>
      </w:r>
      <w:r>
        <w:rPr>
          <w:i/>
          <w:sz w:val="24"/>
          <w:vertAlign w:val="subscript"/>
        </w:rPr>
        <w:t>i</w:t>
      </w:r>
      <w:r>
        <w:rPr>
          <w:sz w:val="24"/>
        </w:rPr>
        <w:t>—第i个污染物的最大地面浓度占标率，%；</w:t>
      </w:r>
    </w:p>
    <w:p>
      <w:pPr>
        <w:spacing w:line="460" w:lineRule="exact"/>
        <w:ind w:firstLine="480" w:firstLineChars="200"/>
        <w:rPr>
          <w:sz w:val="24"/>
        </w:rPr>
      </w:pPr>
      <w:r>
        <w:rPr>
          <w:sz w:val="24"/>
        </w:rPr>
        <w:t xml:space="preserve">      </w:t>
      </w:r>
      <w:r>
        <w:rPr>
          <w:i/>
          <w:sz w:val="24"/>
        </w:rPr>
        <w:t>C</w:t>
      </w:r>
      <w:r>
        <w:rPr>
          <w:i/>
          <w:sz w:val="24"/>
          <w:vertAlign w:val="subscript"/>
        </w:rPr>
        <w:t>i</w:t>
      </w:r>
      <w:r>
        <w:rPr>
          <w:sz w:val="24"/>
        </w:rPr>
        <w:t>—采用估算模式计算出的第i个污染物的最大地面浓度，mg/m</w:t>
      </w:r>
      <w:r>
        <w:rPr>
          <w:sz w:val="24"/>
          <w:vertAlign w:val="superscript"/>
        </w:rPr>
        <w:t>3</w:t>
      </w:r>
      <w:r>
        <w:rPr>
          <w:sz w:val="24"/>
        </w:rPr>
        <w:t>；</w:t>
      </w:r>
    </w:p>
    <w:p>
      <w:pPr>
        <w:spacing w:line="460" w:lineRule="exact"/>
        <w:ind w:firstLine="480" w:firstLineChars="200"/>
        <w:rPr>
          <w:sz w:val="24"/>
        </w:rPr>
      </w:pPr>
      <w:r>
        <w:rPr>
          <w:sz w:val="24"/>
        </w:rPr>
        <w:t xml:space="preserve">      </w:t>
      </w:r>
      <w:r>
        <w:rPr>
          <w:i/>
          <w:sz w:val="24"/>
        </w:rPr>
        <w:t>C</w:t>
      </w:r>
      <w:r>
        <w:rPr>
          <w:i/>
          <w:sz w:val="24"/>
          <w:vertAlign w:val="subscript"/>
        </w:rPr>
        <w:t>oi</w:t>
      </w:r>
      <w:r>
        <w:rPr>
          <w:sz w:val="24"/>
        </w:rPr>
        <w:t>—第i个污染物的环境空气质量标准，mg/m</w:t>
      </w:r>
      <w:r>
        <w:rPr>
          <w:sz w:val="24"/>
          <w:vertAlign w:val="superscript"/>
        </w:rPr>
        <w:t>3</w:t>
      </w:r>
      <w:r>
        <w:rPr>
          <w:sz w:val="24"/>
        </w:rPr>
        <w:t>；一般选用GB3095-1996中1小时平均取样时间的二级标准浓度限值。</w:t>
      </w:r>
    </w:p>
    <w:p>
      <w:pPr>
        <w:spacing w:line="460" w:lineRule="exact"/>
        <w:ind w:firstLine="480" w:firstLineChars="200"/>
        <w:rPr>
          <w:sz w:val="24"/>
        </w:rPr>
      </w:pPr>
      <w:r>
        <w:rPr>
          <w:rFonts w:hint="eastAsia"/>
          <w:sz w:val="24"/>
        </w:rPr>
        <w:t>根据</w:t>
      </w:r>
      <w:r>
        <w:rPr>
          <w:sz w:val="24"/>
        </w:rPr>
        <w:t>《环境影响评价技术导则</w:t>
      </w:r>
      <w:r>
        <w:rPr>
          <w:rFonts w:hint="eastAsia"/>
          <w:sz w:val="24"/>
        </w:rPr>
        <w:t xml:space="preserve"> </w:t>
      </w:r>
      <w:r>
        <w:rPr>
          <w:sz w:val="24"/>
        </w:rPr>
        <w:t>大气环境》（HJ2.2-20</w:t>
      </w:r>
      <w:r>
        <w:rPr>
          <w:rFonts w:hint="eastAsia"/>
          <w:sz w:val="24"/>
        </w:rPr>
        <w:t>1</w:t>
      </w:r>
      <w:r>
        <w:rPr>
          <w:sz w:val="24"/>
        </w:rPr>
        <w:t>8）</w:t>
      </w:r>
      <w:r>
        <w:rPr>
          <w:rFonts w:hint="eastAsia"/>
          <w:sz w:val="24"/>
        </w:rPr>
        <w:t>，</w:t>
      </w:r>
      <w:r>
        <w:rPr>
          <w:sz w:val="24"/>
        </w:rPr>
        <w:t>评价工作等级按表</w:t>
      </w:r>
      <w:r>
        <w:rPr>
          <w:rFonts w:hint="eastAsia"/>
          <w:sz w:val="24"/>
        </w:rPr>
        <w:t>2.5-1</w:t>
      </w:r>
      <w:r>
        <w:rPr>
          <w:sz w:val="24"/>
        </w:rPr>
        <w:t>进行划分，如污染物数i大于1，取P值中最大者（Pmax）。</w:t>
      </w:r>
    </w:p>
    <w:p>
      <w:pPr>
        <w:autoSpaceDE w:val="0"/>
        <w:autoSpaceDN w:val="0"/>
        <w:ind w:firstLine="420" w:firstLineChars="200"/>
        <w:rPr>
          <w:rFonts w:eastAsia="黑体"/>
          <w:szCs w:val="21"/>
        </w:rPr>
      </w:pP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5</w:t>
      </w:r>
      <w:r>
        <w:rPr>
          <w:rFonts w:eastAsia="黑体"/>
          <w:szCs w:val="21"/>
        </w:rPr>
        <w:t>-1                       评价工作等级</w:t>
      </w:r>
    </w:p>
    <w:tbl>
      <w:tblPr>
        <w:tblStyle w:val="59"/>
        <w:tblW w:w="8514"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274"/>
        <w:gridCol w:w="6240"/>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74" w:type="dxa"/>
            <w:vAlign w:val="center"/>
          </w:tcPr>
          <w:p>
            <w:pPr>
              <w:adjustRightInd w:val="0"/>
              <w:snapToGrid w:val="0"/>
              <w:jc w:val="center"/>
              <w:rPr>
                <w:szCs w:val="21"/>
              </w:rPr>
            </w:pPr>
            <w:r>
              <w:rPr>
                <w:szCs w:val="21"/>
              </w:rPr>
              <w:t>评价工作等级</w:t>
            </w:r>
          </w:p>
        </w:tc>
        <w:tc>
          <w:tcPr>
            <w:tcW w:w="6240" w:type="dxa"/>
            <w:vAlign w:val="center"/>
          </w:tcPr>
          <w:p>
            <w:pPr>
              <w:adjustRightInd w:val="0"/>
              <w:snapToGrid w:val="0"/>
              <w:jc w:val="center"/>
              <w:rPr>
                <w:szCs w:val="21"/>
              </w:rPr>
            </w:pPr>
            <w:r>
              <w:rPr>
                <w:szCs w:val="21"/>
              </w:rPr>
              <w:t>评价工作分级判据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74" w:type="dxa"/>
            <w:vAlign w:val="center"/>
          </w:tcPr>
          <w:p>
            <w:pPr>
              <w:adjustRightInd w:val="0"/>
              <w:snapToGrid w:val="0"/>
              <w:jc w:val="center"/>
              <w:rPr>
                <w:szCs w:val="21"/>
              </w:rPr>
            </w:pPr>
            <w:r>
              <w:rPr>
                <w:szCs w:val="21"/>
              </w:rPr>
              <w:t>一级</w:t>
            </w:r>
          </w:p>
        </w:tc>
        <w:tc>
          <w:tcPr>
            <w:tcW w:w="6240" w:type="dxa"/>
            <w:vAlign w:val="center"/>
          </w:tcPr>
          <w:p>
            <w:pPr>
              <w:adjustRightInd w:val="0"/>
              <w:snapToGrid w:val="0"/>
              <w:jc w:val="center"/>
              <w:rPr>
                <w:szCs w:val="21"/>
              </w:rPr>
            </w:pPr>
            <w:r>
              <w:rPr>
                <w:szCs w:val="21"/>
              </w:rPr>
              <w:t>Pmax≥10%</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74" w:type="dxa"/>
            <w:vAlign w:val="center"/>
          </w:tcPr>
          <w:p>
            <w:pPr>
              <w:adjustRightInd w:val="0"/>
              <w:snapToGrid w:val="0"/>
              <w:jc w:val="center"/>
              <w:rPr>
                <w:szCs w:val="21"/>
              </w:rPr>
            </w:pPr>
            <w:r>
              <w:rPr>
                <w:szCs w:val="21"/>
              </w:rPr>
              <w:t>二级</w:t>
            </w:r>
          </w:p>
        </w:tc>
        <w:tc>
          <w:tcPr>
            <w:tcW w:w="6240" w:type="dxa"/>
            <w:vAlign w:val="center"/>
          </w:tcPr>
          <w:p>
            <w:pPr>
              <w:adjustRightInd w:val="0"/>
              <w:snapToGrid w:val="0"/>
              <w:jc w:val="center"/>
              <w:rPr>
                <w:szCs w:val="21"/>
              </w:rPr>
            </w:pPr>
            <w:r>
              <w:rPr>
                <w:szCs w:val="21"/>
              </w:rPr>
              <w:t>1%≤Pmax&lt;10%</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74" w:type="dxa"/>
            <w:vAlign w:val="center"/>
          </w:tcPr>
          <w:p>
            <w:pPr>
              <w:adjustRightInd w:val="0"/>
              <w:snapToGrid w:val="0"/>
              <w:jc w:val="center"/>
              <w:rPr>
                <w:szCs w:val="21"/>
              </w:rPr>
            </w:pPr>
            <w:r>
              <w:rPr>
                <w:szCs w:val="21"/>
              </w:rPr>
              <w:t>三级</w:t>
            </w:r>
          </w:p>
        </w:tc>
        <w:tc>
          <w:tcPr>
            <w:tcW w:w="6240" w:type="dxa"/>
            <w:vAlign w:val="center"/>
          </w:tcPr>
          <w:p>
            <w:pPr>
              <w:adjustRightInd w:val="0"/>
              <w:snapToGrid w:val="0"/>
              <w:jc w:val="center"/>
              <w:rPr>
                <w:szCs w:val="21"/>
              </w:rPr>
            </w:pPr>
            <w:r>
              <w:rPr>
                <w:szCs w:val="21"/>
              </w:rPr>
              <w:t>Pmax﹤1%</w:t>
            </w:r>
          </w:p>
        </w:tc>
      </w:tr>
    </w:tbl>
    <w:p>
      <w:pPr>
        <w:spacing w:line="460" w:lineRule="exact"/>
        <w:ind w:firstLine="480" w:firstLineChars="200"/>
        <w:rPr>
          <w:sz w:val="24"/>
        </w:rPr>
      </w:pPr>
      <w:r>
        <w:rPr>
          <w:rFonts w:hint="eastAsia"/>
          <w:sz w:val="24"/>
        </w:rPr>
        <w:t>（2）判别估算过程</w:t>
      </w:r>
    </w:p>
    <w:p>
      <w:pPr>
        <w:spacing w:line="460" w:lineRule="exact"/>
        <w:ind w:firstLine="480" w:firstLineChars="200"/>
        <w:rPr>
          <w:sz w:val="24"/>
        </w:rPr>
      </w:pPr>
      <w:r>
        <w:rPr>
          <w:rFonts w:hint="eastAsia"/>
          <w:sz w:val="24"/>
        </w:rPr>
        <w:t>本次评价预测采用《环境影响评价技术导则</w:t>
      </w:r>
      <w:r>
        <w:rPr>
          <w:sz w:val="24"/>
        </w:rPr>
        <w:t xml:space="preserve"> </w:t>
      </w:r>
      <w:r>
        <w:rPr>
          <w:rFonts w:hint="eastAsia"/>
          <w:sz w:val="24"/>
        </w:rPr>
        <w:t>大气环境》（</w:t>
      </w:r>
      <w:r>
        <w:rPr>
          <w:sz w:val="24"/>
        </w:rPr>
        <w:t>HJ2.2-2018</w:t>
      </w:r>
      <w:r>
        <w:rPr>
          <w:rFonts w:hint="eastAsia"/>
          <w:sz w:val="24"/>
        </w:rPr>
        <w:t>）推荐的</w:t>
      </w:r>
      <w:r>
        <w:rPr>
          <w:sz w:val="24"/>
        </w:rPr>
        <w:t>AERSCREEN</w:t>
      </w:r>
      <w:r>
        <w:rPr>
          <w:rFonts w:hint="eastAsia"/>
          <w:sz w:val="24"/>
        </w:rPr>
        <w:t>估算模式，估算污染物的最大落地浓度和距离，估算模型参数见表2.5-2。</w:t>
      </w:r>
    </w:p>
    <w:p>
      <w:pPr>
        <w:autoSpaceDE w:val="0"/>
        <w:autoSpaceDN w:val="0"/>
        <w:ind w:firstLine="420" w:firstLineChars="200"/>
        <w:rPr>
          <w:rFonts w:eastAsia="黑体"/>
          <w:szCs w:val="21"/>
        </w:rPr>
      </w:pPr>
      <w:r>
        <w:rPr>
          <w:rFonts w:hint="eastAsia" w:eastAsia="黑体"/>
          <w:szCs w:val="21"/>
        </w:rPr>
        <w:t>表2.5-2</w:t>
      </w:r>
      <w:r>
        <w:rPr>
          <w:rFonts w:eastAsia="黑体"/>
          <w:szCs w:val="21"/>
        </w:rPr>
        <w:t xml:space="preserve">                    </w:t>
      </w:r>
      <w:r>
        <w:rPr>
          <w:rFonts w:hint="eastAsia" w:eastAsia="黑体"/>
          <w:szCs w:val="21"/>
        </w:rPr>
        <w:t>估算模型参数表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409"/>
        <w:gridCol w:w="3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参数</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城市/农村选项</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城市/农村</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人口数（城市选项时）</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最高环境温度/℃</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最低环境温度/℃</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土地利用类型</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区域湿度条件</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干燥气候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是否考虑地形</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考虑地形</w:t>
            </w:r>
          </w:p>
        </w:tc>
        <w:tc>
          <w:tcPr>
            <w:tcW w:w="3792" w:type="dxa"/>
            <w:vAlign w:val="center"/>
          </w:tcPr>
          <w:p>
            <w:pPr>
              <w:pStyle w:val="293"/>
              <w:adjustRightInd w:val="0"/>
              <w:snapToGrid w:val="0"/>
              <w:spacing w:before="0" w:after="0"/>
              <w:ind w:left="0" w:right="0"/>
              <w:rPr>
                <w:color w:val="auto"/>
                <w:kern w:val="0"/>
                <w:sz w:val="21"/>
                <w:szCs w:val="21"/>
              </w:rPr>
            </w:pPr>
            <w:r>
              <w:rPr>
                <w:color w:val="auto"/>
                <w:kern w:val="0"/>
                <w:sz w:val="21"/>
                <w:szCs w:val="21"/>
              </w:rPr>
              <w:t></w:t>
            </w:r>
            <w:r>
              <w:rPr>
                <w:rFonts w:hint="eastAsia" w:ascii="MS Mincho" w:hAnsi="MS Mincho" w:eastAsia="MS Mincho" w:cs="MS Mincho"/>
                <w:color w:val="auto"/>
                <w:kern w:val="0"/>
                <w:sz w:val="21"/>
                <w:szCs w:val="21"/>
              </w:rPr>
              <w:t>☑</w:t>
            </w:r>
            <w:r>
              <w:rPr>
                <w:rFonts w:hint="eastAsia"/>
                <w:color w:val="auto"/>
                <w:kern w:val="0"/>
                <w:sz w:val="21"/>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地形数据分辨率</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是否考虑岸线熏烟</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考虑岸线熏烟</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 xml:space="preserve">  □是  </w:t>
            </w:r>
            <w:r>
              <w:rPr>
                <w:rFonts w:hint="eastAsia" w:ascii="MS Mincho" w:hAnsi="MS Mincho" w:eastAsia="MS Mincho" w:cs="MS Mincho"/>
                <w:color w:val="auto"/>
                <w:kern w:val="0"/>
                <w:sz w:val="21"/>
                <w:szCs w:val="21"/>
              </w:rPr>
              <w:t>☑</w:t>
            </w:r>
            <w:r>
              <w:rPr>
                <w:rFonts w:hint="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岸线距离/m</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岸线方向/°</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spacing w:line="460" w:lineRule="exact"/>
        <w:ind w:firstLine="480" w:firstLineChars="200"/>
        <w:rPr>
          <w:sz w:val="24"/>
        </w:rPr>
      </w:pPr>
      <w:r>
        <w:rPr>
          <w:rFonts w:hint="eastAsia"/>
          <w:sz w:val="24"/>
        </w:rPr>
        <w:t>本项目运营期废气主要以非甲烷总烃为污染物，因此本次评价以此确定评价等级，具体源强见表2.5-3</w:t>
      </w:r>
      <w:r>
        <w:rPr>
          <w:rFonts w:hint="eastAsia"/>
        </w:rPr>
        <w:t>～表2</w:t>
      </w:r>
      <w:r>
        <w:rPr>
          <w:rFonts w:hint="eastAsia"/>
          <w:sz w:val="24"/>
        </w:rPr>
        <w:t>.5-6。</w:t>
      </w:r>
    </w:p>
    <w:p>
      <w:pPr>
        <w:pStyle w:val="632"/>
        <w:spacing w:line="240" w:lineRule="auto"/>
        <w:ind w:firstLine="420"/>
        <w:rPr>
          <w:kern w:val="28"/>
        </w:rPr>
      </w:pPr>
      <w:r>
        <w:rPr>
          <w:rFonts w:hint="eastAsia" w:eastAsia="黑体"/>
        </w:rPr>
        <w:t>表2.5</w:t>
      </w:r>
      <w:r>
        <w:rPr>
          <w:rFonts w:eastAsia="黑体"/>
        </w:rPr>
        <w:t xml:space="preserve">-3     </w:t>
      </w:r>
      <w:r>
        <w:rPr>
          <w:rFonts w:hint="eastAsia" w:eastAsia="黑体"/>
        </w:rPr>
        <w:t>废旧滴灌带造粒及滴灌带生产有组织</w:t>
      </w:r>
      <w:r>
        <w:rPr>
          <w:rFonts w:eastAsia="黑体"/>
        </w:rPr>
        <w:t>有机废气</w:t>
      </w:r>
      <w:r>
        <w:rPr>
          <w:rFonts w:hint="eastAsia" w:eastAsia="黑体"/>
        </w:rPr>
        <w:t>污染源一览表（点源）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废旧滴灌带造粒及滴灌带生产有机废气排气筒（</w:t>
            </w:r>
            <w:r>
              <w:rPr>
                <w:color w:val="auto"/>
                <w:kern w:val="0"/>
                <w:sz w:val="21"/>
                <w:szCs w:val="21"/>
              </w:rPr>
              <w:t>DA001</w:t>
            </w: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525704.316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4896926.614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排气筒出口内径</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w:t>
            </w:r>
            <w:r>
              <w:rPr>
                <w:rFonts w:hint="eastAsia"/>
                <w:color w:val="auto"/>
                <w:kern w:val="0"/>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烟气流量</w:t>
            </w:r>
            <w:r>
              <w:rPr>
                <w:color w:val="auto"/>
                <w:kern w:val="0"/>
                <w:sz w:val="21"/>
                <w:szCs w:val="21"/>
              </w:rPr>
              <w:t>/</w:t>
            </w:r>
            <w:r>
              <w:rPr>
                <w:rFonts w:hint="eastAsia"/>
                <w:color w:val="auto"/>
                <w:kern w:val="0"/>
                <w:sz w:val="21"/>
                <w:szCs w:val="21"/>
              </w:rPr>
              <w:t>（</w:t>
            </w:r>
            <w:r>
              <w:rPr>
                <w:color w:val="auto"/>
                <w:kern w:val="0"/>
                <w:sz w:val="21"/>
                <w:szCs w:val="21"/>
              </w:rPr>
              <w:t>m</w:t>
            </w:r>
            <w:r>
              <w:rPr>
                <w:color w:val="auto"/>
                <w:kern w:val="0"/>
                <w:sz w:val="21"/>
                <w:szCs w:val="21"/>
                <w:vertAlign w:val="superscript"/>
              </w:rPr>
              <w:t>3</w:t>
            </w:r>
            <w:r>
              <w:rPr>
                <w:color w:val="auto"/>
                <w:kern w:val="0"/>
                <w:sz w:val="21"/>
                <w:szCs w:val="21"/>
              </w:rPr>
              <w:t>/h</w:t>
            </w:r>
            <w:r>
              <w:rPr>
                <w:rFonts w:hint="eastAsia"/>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烟气温度</w:t>
            </w:r>
            <w:r>
              <w:rPr>
                <w:color w:val="auto"/>
                <w:kern w:val="0"/>
                <w:sz w:val="21"/>
                <w:szCs w:val="21"/>
              </w:rPr>
              <w:t>/</w:t>
            </w:r>
            <w:r>
              <w:rPr>
                <w:rFonts w:hint="eastAsia" w:ascii="宋体" w:hAnsi="宋体" w:cs="宋体"/>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kern w:val="28"/>
        </w:rPr>
      </w:pPr>
      <w:r>
        <w:rPr>
          <w:rFonts w:hint="eastAsia" w:eastAsia="黑体"/>
        </w:rPr>
        <w:t>表2.5</w:t>
      </w:r>
      <w:r>
        <w:rPr>
          <w:rFonts w:eastAsia="黑体"/>
        </w:rPr>
        <w:t>-</w:t>
      </w:r>
      <w:r>
        <w:rPr>
          <w:rFonts w:hint="eastAsia" w:eastAsia="黑体"/>
        </w:rPr>
        <w:t>4</w:t>
      </w:r>
      <w:r>
        <w:rPr>
          <w:rFonts w:eastAsia="黑体"/>
        </w:rPr>
        <w:t xml:space="preserve">     </w:t>
      </w:r>
      <w:r>
        <w:rPr>
          <w:rFonts w:hint="eastAsia" w:eastAsia="黑体"/>
        </w:rPr>
        <w:t>废旧塑料膜造粒及</w:t>
      </w:r>
      <w:r>
        <w:rPr>
          <w:rFonts w:eastAsia="黑体"/>
        </w:rPr>
        <w:t>PE管生产</w:t>
      </w:r>
      <w:r>
        <w:rPr>
          <w:rFonts w:hint="eastAsia" w:eastAsia="黑体"/>
        </w:rPr>
        <w:t>有组织</w:t>
      </w:r>
      <w:r>
        <w:rPr>
          <w:rFonts w:eastAsia="黑体"/>
        </w:rPr>
        <w:t>有机废气</w:t>
      </w:r>
      <w:r>
        <w:rPr>
          <w:rFonts w:hint="eastAsia" w:eastAsia="黑体"/>
        </w:rPr>
        <w:t>污染源一览表（点源）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废旧塑料膜造粒及PE管生产有机废气排气筒（</w:t>
            </w:r>
            <w:r>
              <w:rPr>
                <w:color w:val="auto"/>
                <w:kern w:val="0"/>
                <w:sz w:val="21"/>
                <w:szCs w:val="21"/>
              </w:rPr>
              <w:t>DA00</w:t>
            </w:r>
            <w:r>
              <w:rPr>
                <w:rFonts w:hint="eastAsia"/>
                <w:color w:val="auto"/>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525727.091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4896964.540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排气筒出口内径</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烟气流量</w:t>
            </w:r>
            <w:r>
              <w:rPr>
                <w:color w:val="auto"/>
                <w:kern w:val="0"/>
                <w:sz w:val="21"/>
                <w:szCs w:val="21"/>
              </w:rPr>
              <w:t>/</w:t>
            </w:r>
            <w:r>
              <w:rPr>
                <w:rFonts w:hint="eastAsia"/>
                <w:color w:val="auto"/>
                <w:kern w:val="0"/>
                <w:sz w:val="21"/>
                <w:szCs w:val="21"/>
              </w:rPr>
              <w:t>（</w:t>
            </w:r>
            <w:r>
              <w:rPr>
                <w:color w:val="auto"/>
                <w:kern w:val="0"/>
                <w:sz w:val="21"/>
                <w:szCs w:val="21"/>
              </w:rPr>
              <w:t>m</w:t>
            </w:r>
            <w:r>
              <w:rPr>
                <w:color w:val="auto"/>
                <w:kern w:val="0"/>
                <w:sz w:val="21"/>
                <w:szCs w:val="21"/>
                <w:vertAlign w:val="superscript"/>
              </w:rPr>
              <w:t>3</w:t>
            </w:r>
            <w:r>
              <w:rPr>
                <w:color w:val="auto"/>
                <w:kern w:val="0"/>
                <w:sz w:val="21"/>
                <w:szCs w:val="21"/>
              </w:rPr>
              <w:t>/h</w:t>
            </w:r>
            <w:r>
              <w:rPr>
                <w:rFonts w:hint="eastAsia"/>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烟气温度</w:t>
            </w:r>
            <w:r>
              <w:rPr>
                <w:color w:val="auto"/>
                <w:kern w:val="0"/>
                <w:sz w:val="21"/>
                <w:szCs w:val="21"/>
              </w:rPr>
              <w:t>/</w:t>
            </w:r>
            <w:r>
              <w:rPr>
                <w:rFonts w:hint="eastAsia" w:ascii="宋体" w:hAnsi="宋体" w:cs="宋体"/>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表2.5</w:t>
      </w:r>
      <w:r>
        <w:rPr>
          <w:rFonts w:eastAsia="黑体"/>
        </w:rPr>
        <w:t>-</w:t>
      </w:r>
      <w:r>
        <w:rPr>
          <w:rFonts w:hint="eastAsia" w:eastAsia="黑体"/>
        </w:rPr>
        <w:t>5</w:t>
      </w:r>
      <w:r>
        <w:rPr>
          <w:rFonts w:eastAsia="黑体"/>
        </w:rPr>
        <w:t xml:space="preserve">   </w:t>
      </w:r>
      <w:r>
        <w:rPr>
          <w:rFonts w:hint="eastAsia" w:eastAsia="黑体"/>
        </w:rPr>
        <w:t>废旧滴灌带造粒及滴灌带生产车间无组织废气污染源一览表（面源）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525694.052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4896921.807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面源长度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面源宽度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面源有效排放高度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w:t>
            </w:r>
            <w:r>
              <w:rPr>
                <w:rFonts w:hint="eastAsia"/>
                <w:color w:val="auto"/>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与正北方向夹角</w:t>
            </w:r>
            <w:r>
              <w:rPr>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表2.5</w:t>
      </w:r>
      <w:r>
        <w:rPr>
          <w:rFonts w:eastAsia="黑体"/>
        </w:rPr>
        <w:t>-</w:t>
      </w:r>
      <w:r>
        <w:rPr>
          <w:rFonts w:hint="eastAsia" w:eastAsia="黑体"/>
        </w:rPr>
        <w:t>6</w:t>
      </w:r>
      <w:r>
        <w:rPr>
          <w:rFonts w:eastAsia="黑体"/>
        </w:rPr>
        <w:t xml:space="preserve">    </w:t>
      </w:r>
      <w:r>
        <w:rPr>
          <w:rFonts w:hint="eastAsia" w:eastAsia="黑体"/>
        </w:rPr>
        <w:t>废旧塑料膜造粒及及PE管生产车间无组织废气污染源一览表（面源）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废旧塑料膜造粒及及PE管生产车间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525726.315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4896943.682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面源长度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面源宽度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面源有效排放高度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w:t>
            </w:r>
            <w:r>
              <w:rPr>
                <w:rFonts w:hint="eastAsia"/>
                <w:color w:val="auto"/>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与正北方向夹角</w:t>
            </w:r>
            <w:r>
              <w:rPr>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w:t>
            </w:r>
            <w:r>
              <w:rPr>
                <w:rFonts w:hint="eastAsia"/>
                <w:color w:val="auto"/>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spacing w:line="460" w:lineRule="exact"/>
        <w:ind w:firstLine="480" w:firstLineChars="200"/>
        <w:rPr>
          <w:sz w:val="24"/>
        </w:rPr>
      </w:pPr>
      <w:r>
        <w:rPr>
          <w:rFonts w:hint="eastAsia"/>
          <w:sz w:val="24"/>
        </w:rPr>
        <w:t>采用导则推荐估算模型对项目废气进行估算，</w:t>
      </w:r>
      <w:r>
        <w:rPr>
          <w:sz w:val="24"/>
        </w:rPr>
        <w:t>各废气污染物</w:t>
      </w:r>
      <w:r>
        <w:rPr>
          <w:rFonts w:hint="eastAsia"/>
          <w:sz w:val="24"/>
        </w:rPr>
        <w:t>估算结果</w:t>
      </w:r>
      <w:r>
        <w:rPr>
          <w:sz w:val="24"/>
        </w:rPr>
        <w:t>最大地面浓度占标率Pmax计算结果见表</w:t>
      </w:r>
      <w:r>
        <w:rPr>
          <w:rFonts w:hint="eastAsia"/>
          <w:sz w:val="24"/>
        </w:rPr>
        <w:t>2.5</w:t>
      </w:r>
      <w:r>
        <w:rPr>
          <w:sz w:val="24"/>
        </w:rPr>
        <w:t>-</w:t>
      </w:r>
      <w:r>
        <w:rPr>
          <w:rFonts w:hint="eastAsia"/>
          <w:sz w:val="24"/>
        </w:rPr>
        <w:t>7</w:t>
      </w:r>
      <w:r>
        <w:rPr>
          <w:sz w:val="24"/>
        </w:rPr>
        <w:t>。</w:t>
      </w:r>
    </w:p>
    <w:p>
      <w:pPr>
        <w:pStyle w:val="632"/>
        <w:spacing w:line="240" w:lineRule="auto"/>
        <w:ind w:firstLine="420"/>
        <w:rPr>
          <w:rFonts w:eastAsia="黑体"/>
        </w:rPr>
      </w:pPr>
      <w:r>
        <w:rPr>
          <w:rFonts w:hint="eastAsia" w:eastAsia="黑体"/>
        </w:rPr>
        <w:t>表2</w:t>
      </w:r>
      <w:r>
        <w:rPr>
          <w:rFonts w:eastAsia="黑体"/>
        </w:rPr>
        <w:t>.5-</w:t>
      </w:r>
      <w:r>
        <w:rPr>
          <w:rFonts w:hint="eastAsia" w:eastAsia="黑体"/>
        </w:rPr>
        <w:t>7</w:t>
      </w:r>
      <w:r>
        <w:rPr>
          <w:rFonts w:eastAsia="黑体"/>
        </w:rPr>
        <w:t xml:space="preserve">                  </w:t>
      </w:r>
      <w:r>
        <w:rPr>
          <w:rFonts w:hint="eastAsia" w:eastAsia="黑体"/>
        </w:rPr>
        <w:t>项目大气污染物估算结果</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1701"/>
        <w:gridCol w:w="1134"/>
        <w:gridCol w:w="13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参数名称</w:t>
            </w:r>
          </w:p>
        </w:tc>
        <w:tc>
          <w:tcPr>
            <w:tcW w:w="1701"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最大落地浓度</w:t>
            </w:r>
          </w:p>
        </w:tc>
        <w:tc>
          <w:tcPr>
            <w:tcW w:w="1134" w:type="dxa"/>
            <w:vAlign w:val="center"/>
          </w:tcPr>
          <w:p>
            <w:pPr>
              <w:pStyle w:val="30"/>
              <w:adjustRightInd w:val="0"/>
              <w:snapToGrid w:val="0"/>
              <w:spacing w:line="240" w:lineRule="auto"/>
              <w:jc w:val="center"/>
              <w:rPr>
                <w:rFonts w:ascii="Times New Roman" w:hAnsi="Times New Roman" w:cs="Times New Roman"/>
                <w:kern w:val="2"/>
                <w:sz w:val="21"/>
              </w:rPr>
            </w:pPr>
            <w:r>
              <w:rPr>
                <w:rFonts w:ascii="Times New Roman" w:hAnsi="Times New Roman" w:cs="Times New Roman"/>
                <w:kern w:val="0"/>
                <w:sz w:val="21"/>
              </w:rPr>
              <w:t>Pmax</w:t>
            </w:r>
          </w:p>
        </w:tc>
        <w:tc>
          <w:tcPr>
            <w:tcW w:w="1382"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最大落地点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单位</w:t>
            </w:r>
          </w:p>
        </w:tc>
        <w:tc>
          <w:tcPr>
            <w:tcW w:w="1701" w:type="dxa"/>
            <w:vAlign w:val="center"/>
          </w:tcPr>
          <w:p>
            <w:pPr>
              <w:pStyle w:val="30"/>
              <w:adjustRightInd w:val="0"/>
              <w:snapToGrid w:val="0"/>
              <w:spacing w:line="240" w:lineRule="auto"/>
              <w:jc w:val="center"/>
              <w:rPr>
                <w:rFonts w:ascii="Times New Roman" w:hAnsi="Times New Roman" w:cs="Times New Roman"/>
                <w:kern w:val="2"/>
                <w:sz w:val="21"/>
                <w:vertAlign w:val="superscript"/>
              </w:rPr>
            </w:pPr>
            <w:r>
              <w:rPr>
                <w:rFonts w:ascii="Times New Roman" w:hAnsi="Times New Roman" w:cs="Times New Roman"/>
                <w:kern w:val="0"/>
                <w:sz w:val="21"/>
              </w:rPr>
              <w:t>mg/m</w:t>
            </w:r>
            <w:r>
              <w:rPr>
                <w:rFonts w:ascii="Times New Roman" w:hAnsi="Times New Roman" w:cs="Times New Roman"/>
                <w:kern w:val="0"/>
                <w:sz w:val="21"/>
                <w:vertAlign w:val="superscript"/>
              </w:rPr>
              <w:t>3</w:t>
            </w:r>
          </w:p>
        </w:tc>
        <w:tc>
          <w:tcPr>
            <w:tcW w:w="1134" w:type="dxa"/>
            <w:vAlign w:val="center"/>
          </w:tcPr>
          <w:p>
            <w:pPr>
              <w:pStyle w:val="30"/>
              <w:adjustRightInd w:val="0"/>
              <w:snapToGrid w:val="0"/>
              <w:spacing w:line="240" w:lineRule="auto"/>
              <w:jc w:val="center"/>
              <w:rPr>
                <w:rFonts w:ascii="Times New Roman" w:hAnsi="Times New Roman" w:cs="Times New Roman"/>
                <w:kern w:val="2"/>
                <w:sz w:val="21"/>
              </w:rPr>
            </w:pPr>
            <w:r>
              <w:rPr>
                <w:rFonts w:ascii="Times New Roman" w:hAnsi="Times New Roman" w:cs="Times New Roman"/>
                <w:kern w:val="0"/>
                <w:sz w:val="21"/>
              </w:rPr>
              <w:t>%</w:t>
            </w:r>
          </w:p>
        </w:tc>
        <w:tc>
          <w:tcPr>
            <w:tcW w:w="1382" w:type="dxa"/>
            <w:vAlign w:val="center"/>
          </w:tcPr>
          <w:p>
            <w:pPr>
              <w:pStyle w:val="30"/>
              <w:adjustRightInd w:val="0"/>
              <w:snapToGrid w:val="0"/>
              <w:spacing w:line="240" w:lineRule="auto"/>
              <w:jc w:val="center"/>
              <w:rPr>
                <w:rFonts w:ascii="Times New Roman" w:hAnsi="Times New Roman" w:cs="Times New Roman"/>
                <w:kern w:val="2"/>
                <w:sz w:val="21"/>
              </w:rPr>
            </w:pPr>
            <w:r>
              <w:rPr>
                <w:rFonts w:ascii="Times New Roman" w:hAnsi="Times New Roman" w:cs="Times New Roman"/>
                <w:kern w:val="0"/>
                <w:sz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废旧滴灌带造粒及滴灌带生产有机废气排气筒（DA001）非甲烷总烃</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8.37E-02</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4.19</w:t>
            </w:r>
          </w:p>
        </w:tc>
        <w:tc>
          <w:tcPr>
            <w:tcW w:w="1382"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2"/>
                <w:sz w:val="21"/>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废旧塑料膜造粒及PE管生产有机废气排气筒（DA002）非甲烷总烃</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4.73E-02</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2.36</w:t>
            </w:r>
          </w:p>
        </w:tc>
        <w:tc>
          <w:tcPr>
            <w:tcW w:w="1382"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2"/>
                <w:sz w:val="21"/>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0"/>
                <w:sz w:val="21"/>
              </w:rPr>
            </w:pPr>
            <w:r>
              <w:rPr>
                <w:rFonts w:hint="eastAsia" w:ascii="Times New Roman" w:hAnsi="Times New Roman" w:cs="Times New Roman"/>
                <w:kern w:val="0"/>
                <w:sz w:val="21"/>
              </w:rPr>
              <w:t>废旧滴灌带造粒及滴灌带生产车间无组织非甲烷总烃</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9.57E-02</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4.79</w:t>
            </w:r>
          </w:p>
        </w:tc>
        <w:tc>
          <w:tcPr>
            <w:tcW w:w="1382" w:type="dxa"/>
            <w:vAlign w:val="center"/>
          </w:tcPr>
          <w:p>
            <w:pPr>
              <w:pStyle w:val="30"/>
              <w:adjustRightInd w:val="0"/>
              <w:snapToGrid w:val="0"/>
              <w:spacing w:line="240" w:lineRule="auto"/>
              <w:jc w:val="center"/>
              <w:rPr>
                <w:rFonts w:ascii="Times New Roman" w:hAnsi="Times New Roman" w:cs="Times New Roman"/>
                <w:kern w:val="0"/>
                <w:sz w:val="21"/>
              </w:rPr>
            </w:pPr>
            <w:r>
              <w:rPr>
                <w:rFonts w:hint="eastAsia" w:ascii="Times New Roman" w:hAnsi="Times New Roman" w:cs="Times New Roman"/>
                <w:kern w:val="0"/>
                <w:sz w:val="21"/>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9"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0"/>
                <w:sz w:val="21"/>
              </w:rPr>
              <w:t>废旧塑料膜造粒及及PE管生产车间无组织非甲烷总烃</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5.16E-02</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2.58</w:t>
            </w:r>
          </w:p>
        </w:tc>
        <w:tc>
          <w:tcPr>
            <w:tcW w:w="1382" w:type="dxa"/>
            <w:vAlign w:val="center"/>
          </w:tcPr>
          <w:p>
            <w:pPr>
              <w:pStyle w:val="30"/>
              <w:adjustRightInd w:val="0"/>
              <w:snapToGrid w:val="0"/>
              <w:spacing w:line="240" w:lineRule="auto"/>
              <w:jc w:val="center"/>
              <w:rPr>
                <w:rFonts w:ascii="Times New Roman" w:hAnsi="Times New Roman" w:cs="Times New Roman"/>
                <w:kern w:val="2"/>
                <w:sz w:val="21"/>
              </w:rPr>
            </w:pPr>
            <w:r>
              <w:rPr>
                <w:rFonts w:hint="eastAsia" w:ascii="Times New Roman" w:hAnsi="Times New Roman" w:cs="Times New Roman"/>
                <w:kern w:val="2"/>
                <w:sz w:val="21"/>
              </w:rPr>
              <w:t>70</w:t>
            </w:r>
          </w:p>
        </w:tc>
      </w:tr>
    </w:tbl>
    <w:p>
      <w:pPr>
        <w:spacing w:line="460" w:lineRule="exact"/>
        <w:ind w:firstLine="480" w:firstLineChars="200"/>
        <w:rPr>
          <w:sz w:val="24"/>
        </w:rPr>
      </w:pPr>
      <w:r>
        <w:rPr>
          <w:rFonts w:hint="eastAsia"/>
          <w:sz w:val="24"/>
        </w:rPr>
        <w:t>（3）</w:t>
      </w:r>
      <w:r>
        <w:rPr>
          <w:sz w:val="24"/>
        </w:rPr>
        <w:t>确定评价等级</w:t>
      </w:r>
    </w:p>
    <w:p>
      <w:pPr>
        <w:spacing w:line="460" w:lineRule="exact"/>
        <w:ind w:firstLine="480" w:firstLineChars="200"/>
        <w:rPr>
          <w:sz w:val="24"/>
        </w:rPr>
      </w:pPr>
      <w:r>
        <w:rPr>
          <w:sz w:val="24"/>
        </w:rPr>
        <w:t>根据表</w:t>
      </w:r>
      <w:r>
        <w:rPr>
          <w:rFonts w:hint="eastAsia"/>
          <w:sz w:val="24"/>
        </w:rPr>
        <w:t>2.5-7</w:t>
      </w:r>
      <w:r>
        <w:rPr>
          <w:sz w:val="24"/>
        </w:rPr>
        <w:t>估算结果表明，本项目所有污染物最大占标率为：</w:t>
      </w:r>
      <w:r>
        <w:rPr>
          <w:rFonts w:hint="eastAsia"/>
          <w:sz w:val="24"/>
        </w:rPr>
        <w:t>4.79</w:t>
      </w:r>
      <w:r>
        <w:rPr>
          <w:sz w:val="24"/>
        </w:rPr>
        <w:t>%。</w:t>
      </w:r>
      <w:r>
        <w:rPr>
          <w:rFonts w:hint="eastAsia"/>
          <w:sz w:val="24"/>
        </w:rPr>
        <w:t>由于</w:t>
      </w:r>
      <w:r>
        <w:rPr>
          <w:sz w:val="24"/>
        </w:rPr>
        <w:t>所有污染物的最大占标率Pmax＜10%，确定大气环境评价等级为二级。</w:t>
      </w:r>
    </w:p>
    <w:p>
      <w:pPr>
        <w:spacing w:line="460" w:lineRule="exact"/>
        <w:ind w:firstLine="480" w:firstLineChars="200"/>
        <w:rPr>
          <w:sz w:val="24"/>
        </w:rPr>
      </w:pPr>
      <w:r>
        <w:rPr>
          <w:rFonts w:hint="eastAsia"/>
          <w:sz w:val="24"/>
        </w:rPr>
        <w:t>2、</w:t>
      </w:r>
      <w:r>
        <w:rPr>
          <w:sz w:val="24"/>
        </w:rPr>
        <w:t>地表水评价等级</w:t>
      </w:r>
    </w:p>
    <w:p>
      <w:pPr>
        <w:overflowPunct w:val="0"/>
        <w:spacing w:line="460" w:lineRule="exact"/>
        <w:ind w:firstLine="480" w:firstLineChars="200"/>
        <w:rPr>
          <w:sz w:val="24"/>
        </w:rPr>
      </w:pPr>
      <w:r>
        <w:rPr>
          <w:rFonts w:hint="eastAsia"/>
          <w:sz w:val="24"/>
        </w:rPr>
        <w:t>根据《环境影响评价技术导则</w:t>
      </w:r>
      <w:r>
        <w:rPr>
          <w:sz w:val="24"/>
        </w:rPr>
        <w:t xml:space="preserve"> </w:t>
      </w:r>
      <w:r>
        <w:rPr>
          <w:rFonts w:hint="eastAsia"/>
          <w:sz w:val="24"/>
        </w:rPr>
        <w:t>地表水环境》（</w:t>
      </w:r>
      <w:r>
        <w:rPr>
          <w:sz w:val="24"/>
        </w:rPr>
        <w:t>HJ2.3-2018</w:t>
      </w:r>
      <w:r>
        <w:rPr>
          <w:rFonts w:hint="eastAsia"/>
          <w:sz w:val="24"/>
        </w:rPr>
        <w:t>）中地表水环境影响评价工作等级分级判据主要按照影响类型、排放方式、排放量或影响情况、受纳水体环境质量现状、水环境保护目标等综合确定。</w:t>
      </w:r>
    </w:p>
    <w:p>
      <w:pPr>
        <w:overflowPunct w:val="0"/>
        <w:spacing w:line="460" w:lineRule="exact"/>
        <w:ind w:firstLine="480" w:firstLineChars="200"/>
        <w:rPr>
          <w:sz w:val="24"/>
        </w:rPr>
      </w:pPr>
      <w:r>
        <w:rPr>
          <w:rFonts w:hint="eastAsia"/>
          <w:sz w:val="24"/>
        </w:rPr>
        <w:t>本项目职工生活污水经设置的防渗化粪池暂存后定期拉运处置，生产废水经设置的废水处理设施处置后回用，不排放，不与地表水体发生水力联系。因此判定本项目地表水环境影响评价工作等级为三级B，可不必进行地表水环境影响预测，只需按照环境影响报告书的有关规定，简要说明所排放的污染物类型和数量、给排水状况、排水去向等，并进行一些简单的环境影响分析。</w:t>
      </w:r>
    </w:p>
    <w:p>
      <w:pPr>
        <w:spacing w:line="460" w:lineRule="exact"/>
        <w:ind w:firstLine="480" w:firstLineChars="200"/>
        <w:rPr>
          <w:sz w:val="24"/>
        </w:rPr>
      </w:pPr>
      <w:r>
        <w:rPr>
          <w:rFonts w:hint="eastAsia"/>
          <w:sz w:val="24"/>
        </w:rPr>
        <w:t>3、</w:t>
      </w:r>
      <w:r>
        <w:rPr>
          <w:sz w:val="24"/>
        </w:rPr>
        <w:t>地下水评价等级</w:t>
      </w:r>
    </w:p>
    <w:p>
      <w:pPr>
        <w:spacing w:line="460" w:lineRule="exact"/>
        <w:ind w:firstLine="480" w:firstLineChars="200"/>
        <w:rPr>
          <w:sz w:val="24"/>
        </w:rPr>
      </w:pPr>
      <w:r>
        <w:rPr>
          <w:sz w:val="24"/>
        </w:rPr>
        <w:t>根据《环境影响评价技术导则</w:t>
      </w:r>
      <w:r>
        <w:rPr>
          <w:rFonts w:hint="eastAsia"/>
          <w:sz w:val="24"/>
        </w:rPr>
        <w:t xml:space="preserve"> </w:t>
      </w:r>
      <w:r>
        <w:rPr>
          <w:sz w:val="24"/>
        </w:rPr>
        <w:t>地下水环境》（HJ610-2016）中对项目地下水等级进行判定。</w:t>
      </w:r>
    </w:p>
    <w:p>
      <w:pPr>
        <w:spacing w:line="460" w:lineRule="exact"/>
        <w:ind w:firstLine="480" w:firstLineChars="200"/>
        <w:rPr>
          <w:sz w:val="24"/>
        </w:rPr>
      </w:pPr>
      <w:r>
        <w:rPr>
          <w:sz w:val="24"/>
        </w:rPr>
        <w:t>（1）项目地下水敏感程度判定</w:t>
      </w:r>
    </w:p>
    <w:p>
      <w:pPr>
        <w:spacing w:line="460" w:lineRule="exact"/>
        <w:ind w:firstLine="480" w:firstLineChars="200"/>
        <w:rPr>
          <w:sz w:val="24"/>
        </w:rPr>
      </w:pPr>
      <w:r>
        <w:rPr>
          <w:sz w:val="24"/>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本项目地下水环境为不敏感。</w:t>
      </w:r>
    </w:p>
    <w:p>
      <w:pPr>
        <w:spacing w:line="460" w:lineRule="exact"/>
        <w:ind w:firstLine="480" w:firstLineChars="200"/>
        <w:rPr>
          <w:sz w:val="24"/>
        </w:rPr>
      </w:pPr>
      <w:r>
        <w:rPr>
          <w:sz w:val="24"/>
        </w:rPr>
        <w:t>（2）地下水环境影响评价行业分类</w:t>
      </w:r>
    </w:p>
    <w:p>
      <w:pPr>
        <w:pStyle w:val="590"/>
        <w:spacing w:line="460" w:lineRule="exact"/>
        <w:jc w:val="both"/>
        <w:rPr>
          <w:rFonts w:ascii="Times New Roman"/>
          <w:sz w:val="24"/>
        </w:rPr>
      </w:pPr>
      <w:r>
        <w:rPr>
          <w:rFonts w:ascii="Times New Roman"/>
          <w:sz w:val="24"/>
        </w:rPr>
        <w:t>根据《环境影响评价技术导则</w:t>
      </w:r>
      <w:r>
        <w:rPr>
          <w:rFonts w:hint="eastAsia" w:ascii="Times New Roman"/>
          <w:sz w:val="24"/>
        </w:rPr>
        <w:t xml:space="preserve"> </w:t>
      </w:r>
      <w:r>
        <w:rPr>
          <w:rFonts w:ascii="Times New Roman"/>
          <w:sz w:val="24"/>
        </w:rPr>
        <w:t>地下水环境》（HJ610-2016）附录A地下水环境影响评价行业分类表，本项目属</w:t>
      </w:r>
      <w:r>
        <w:rPr>
          <w:rFonts w:ascii="Times New Roman"/>
          <w:sz w:val="24"/>
          <w:szCs w:val="24"/>
        </w:rPr>
        <w:t>于“</w:t>
      </w:r>
      <w:r>
        <w:rPr>
          <w:rFonts w:hint="eastAsia" w:ascii="Times New Roman"/>
          <w:sz w:val="24"/>
          <w:szCs w:val="24"/>
        </w:rPr>
        <w:t>U城镇基础设施及房地产155</w:t>
      </w:r>
      <w:r>
        <w:rPr>
          <w:rFonts w:ascii="Times New Roman"/>
          <w:sz w:val="24"/>
          <w:szCs w:val="24"/>
        </w:rPr>
        <w:t>、</w:t>
      </w:r>
      <w:r>
        <w:rPr>
          <w:rFonts w:hint="eastAsia" w:ascii="Times New Roman"/>
          <w:sz w:val="24"/>
          <w:szCs w:val="24"/>
        </w:rPr>
        <w:t>废旧资源（含生物质）加工、再生利用</w:t>
      </w:r>
      <w:r>
        <w:rPr>
          <w:rFonts w:ascii="Times New Roman"/>
          <w:sz w:val="24"/>
          <w:szCs w:val="24"/>
        </w:rPr>
        <w:t>”，属于</w:t>
      </w:r>
      <w:r>
        <w:rPr>
          <w:sz w:val="24"/>
          <w:szCs w:val="24"/>
        </w:rPr>
        <w:t>Ⅲ</w:t>
      </w:r>
      <w:r>
        <w:rPr>
          <w:rFonts w:ascii="Times New Roman"/>
          <w:sz w:val="24"/>
          <w:szCs w:val="24"/>
        </w:rPr>
        <w:t>类项目。</w:t>
      </w:r>
    </w:p>
    <w:p>
      <w:pPr>
        <w:pStyle w:val="590"/>
        <w:spacing w:line="460" w:lineRule="exact"/>
        <w:jc w:val="both"/>
        <w:rPr>
          <w:rFonts w:ascii="Times New Roman"/>
          <w:sz w:val="24"/>
          <w:szCs w:val="24"/>
        </w:rPr>
      </w:pPr>
      <w:r>
        <w:rPr>
          <w:rFonts w:ascii="Times New Roman"/>
          <w:sz w:val="24"/>
          <w:szCs w:val="24"/>
        </w:rPr>
        <w:t>（3）评价工作等级判定</w:t>
      </w:r>
    </w:p>
    <w:p>
      <w:pPr>
        <w:pStyle w:val="590"/>
        <w:spacing w:line="460" w:lineRule="exact"/>
        <w:jc w:val="both"/>
        <w:rPr>
          <w:rFonts w:ascii="Times New Roman"/>
          <w:sz w:val="24"/>
          <w:szCs w:val="24"/>
        </w:rPr>
      </w:pPr>
      <w:r>
        <w:rPr>
          <w:rFonts w:ascii="Times New Roman"/>
          <w:sz w:val="24"/>
          <w:szCs w:val="24"/>
        </w:rPr>
        <w:t>按照《环境影响评价技术导则</w:t>
      </w:r>
      <w:r>
        <w:rPr>
          <w:rFonts w:hint="eastAsia" w:ascii="Times New Roman"/>
          <w:sz w:val="24"/>
          <w:szCs w:val="24"/>
        </w:rPr>
        <w:t xml:space="preserve"> </w:t>
      </w:r>
      <w:r>
        <w:rPr>
          <w:rFonts w:ascii="Times New Roman"/>
          <w:sz w:val="24"/>
          <w:szCs w:val="24"/>
        </w:rPr>
        <w:t>地下水环境》（HJ610-2016）中评价工作等级分级表等级划分的方法进行确定，其判据详见表</w:t>
      </w:r>
      <w:r>
        <w:rPr>
          <w:rFonts w:hint="eastAsia" w:ascii="Times New Roman"/>
          <w:sz w:val="24"/>
          <w:szCs w:val="24"/>
        </w:rPr>
        <w:t>2</w:t>
      </w:r>
      <w:r>
        <w:rPr>
          <w:rFonts w:ascii="Times New Roman"/>
          <w:sz w:val="24"/>
          <w:szCs w:val="24"/>
        </w:rPr>
        <w:t>.</w:t>
      </w:r>
      <w:r>
        <w:rPr>
          <w:rFonts w:hint="eastAsia" w:ascii="Times New Roman"/>
          <w:sz w:val="24"/>
          <w:szCs w:val="24"/>
        </w:rPr>
        <w:t>5</w:t>
      </w:r>
      <w:r>
        <w:rPr>
          <w:rFonts w:ascii="Times New Roman"/>
          <w:sz w:val="24"/>
          <w:szCs w:val="24"/>
        </w:rPr>
        <w:t>-</w:t>
      </w:r>
      <w:r>
        <w:rPr>
          <w:rFonts w:hint="eastAsia" w:ascii="Times New Roman"/>
          <w:sz w:val="24"/>
          <w:szCs w:val="24"/>
        </w:rPr>
        <w:t>8</w:t>
      </w:r>
      <w:r>
        <w:rPr>
          <w:rFonts w:ascii="Times New Roman"/>
          <w:sz w:val="24"/>
          <w:szCs w:val="24"/>
        </w:rPr>
        <w:t>。</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5</w:t>
      </w:r>
      <w:r>
        <w:rPr>
          <w:rFonts w:eastAsia="黑体"/>
          <w:szCs w:val="21"/>
        </w:rPr>
        <w:t>-</w:t>
      </w:r>
      <w:r>
        <w:rPr>
          <w:rFonts w:hint="eastAsia" w:eastAsia="黑体"/>
          <w:szCs w:val="21"/>
        </w:rPr>
        <w:t>8</w:t>
      </w:r>
      <w:r>
        <w:rPr>
          <w:rFonts w:eastAsia="黑体"/>
          <w:szCs w:val="21"/>
        </w:rPr>
        <w:t xml:space="preserve">                  地下水环境评价工作等级判据</w:t>
      </w:r>
    </w:p>
    <w:tbl>
      <w:tblPr>
        <w:tblStyle w:val="59"/>
        <w:tblW w:w="907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66"/>
        <w:gridCol w:w="2170"/>
        <w:gridCol w:w="2170"/>
        <w:gridCol w:w="2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566" w:type="dxa"/>
            <w:tcBorders>
              <w:top w:val="single" w:color="000000" w:sz="12" w:space="0"/>
              <w:left w:val="nil"/>
              <w:tl2br w:val="single" w:color="000000" w:sz="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项目类别</w:t>
            </w:r>
          </w:p>
          <w:p>
            <w:pPr>
              <w:pStyle w:val="330"/>
              <w:widowControl w:val="0"/>
              <w:adjustRightInd w:val="0"/>
              <w:snapToGrid w:val="0"/>
              <w:spacing w:before="0" w:after="0"/>
              <w:jc w:val="both"/>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环境敏感程度</w:t>
            </w:r>
          </w:p>
        </w:tc>
        <w:tc>
          <w:tcPr>
            <w:tcW w:w="2170" w:type="dxa"/>
            <w:tcBorders>
              <w:top w:val="single" w:color="000000" w:sz="1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Ansi="Times New Roman" w:eastAsia="宋体" w:cs="Times New Roman"/>
                <w:bCs/>
                <w:color w:val="auto"/>
                <w:sz w:val="21"/>
                <w:szCs w:val="21"/>
              </w:rPr>
              <w:t>Ⅰ</w:t>
            </w:r>
            <w:r>
              <w:rPr>
                <w:rFonts w:ascii="Times New Roman" w:hAnsi="Times New Roman" w:eastAsia="宋体" w:cs="Times New Roman"/>
                <w:bCs/>
                <w:color w:val="auto"/>
                <w:sz w:val="21"/>
                <w:szCs w:val="21"/>
              </w:rPr>
              <w:t>类</w:t>
            </w:r>
          </w:p>
        </w:tc>
        <w:tc>
          <w:tcPr>
            <w:tcW w:w="2170" w:type="dxa"/>
            <w:tcBorders>
              <w:top w:val="single" w:color="000000" w:sz="1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Ansi="Times New Roman" w:eastAsia="宋体" w:cs="Times New Roman"/>
                <w:bCs/>
                <w:color w:val="auto"/>
                <w:sz w:val="21"/>
                <w:szCs w:val="21"/>
              </w:rPr>
              <w:t>Ⅱ</w:t>
            </w:r>
            <w:r>
              <w:rPr>
                <w:rFonts w:ascii="Times New Roman" w:hAnsi="Times New Roman" w:eastAsia="宋体" w:cs="Times New Roman"/>
                <w:bCs/>
                <w:color w:val="auto"/>
                <w:sz w:val="21"/>
                <w:szCs w:val="21"/>
              </w:rPr>
              <w:t>类</w:t>
            </w:r>
          </w:p>
        </w:tc>
        <w:tc>
          <w:tcPr>
            <w:tcW w:w="2170" w:type="dxa"/>
            <w:tcBorders>
              <w:top w:val="single" w:color="000000" w:sz="12" w:space="0"/>
              <w:righ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Ansi="Times New Roman" w:eastAsia="宋体" w:cs="Times New Roman"/>
                <w:bCs/>
                <w:color w:val="auto"/>
                <w:sz w:val="21"/>
                <w:szCs w:val="21"/>
              </w:rPr>
              <w:t>Ⅲ</w:t>
            </w:r>
            <w:r>
              <w:rPr>
                <w:rFonts w:ascii="Times New Roman" w:hAnsi="Times New Roman" w:eastAsia="宋体" w:cs="Times New Roman"/>
                <w:bCs/>
                <w:color w:val="auto"/>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566" w:type="dxa"/>
            <w:tcBorders>
              <w:lef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敏感</w:t>
            </w:r>
          </w:p>
        </w:tc>
        <w:tc>
          <w:tcPr>
            <w:tcW w:w="2170" w:type="dxa"/>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w:t>
            </w:r>
          </w:p>
        </w:tc>
        <w:tc>
          <w:tcPr>
            <w:tcW w:w="2170" w:type="dxa"/>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w:t>
            </w:r>
          </w:p>
        </w:tc>
        <w:tc>
          <w:tcPr>
            <w:tcW w:w="2170" w:type="dxa"/>
            <w:tcBorders>
              <w:righ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566" w:type="dxa"/>
            <w:tcBorders>
              <w:lef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较敏感</w:t>
            </w:r>
          </w:p>
        </w:tc>
        <w:tc>
          <w:tcPr>
            <w:tcW w:w="2170" w:type="dxa"/>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w:t>
            </w:r>
          </w:p>
        </w:tc>
        <w:tc>
          <w:tcPr>
            <w:tcW w:w="2170" w:type="dxa"/>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w:t>
            </w:r>
          </w:p>
        </w:tc>
        <w:tc>
          <w:tcPr>
            <w:tcW w:w="2170" w:type="dxa"/>
            <w:tcBorders>
              <w:righ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566" w:type="dxa"/>
            <w:tcBorders>
              <w:left w:val="nil"/>
              <w:bottom w:val="single" w:color="000000" w:sz="1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不敏感</w:t>
            </w:r>
          </w:p>
        </w:tc>
        <w:tc>
          <w:tcPr>
            <w:tcW w:w="2170" w:type="dxa"/>
            <w:tcBorders>
              <w:bottom w:val="single" w:color="000000" w:sz="1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w:t>
            </w:r>
          </w:p>
        </w:tc>
        <w:tc>
          <w:tcPr>
            <w:tcW w:w="2170" w:type="dxa"/>
            <w:tcBorders>
              <w:bottom w:val="single" w:color="000000" w:sz="12"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w:t>
            </w:r>
          </w:p>
        </w:tc>
        <w:tc>
          <w:tcPr>
            <w:tcW w:w="2170" w:type="dxa"/>
            <w:tcBorders>
              <w:bottom w:val="single" w:color="000000" w:sz="12" w:space="0"/>
              <w:righ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w:t>
            </w:r>
          </w:p>
        </w:tc>
      </w:tr>
    </w:tbl>
    <w:p>
      <w:pPr>
        <w:pStyle w:val="590"/>
        <w:spacing w:line="460" w:lineRule="exact"/>
        <w:jc w:val="both"/>
        <w:rPr>
          <w:rFonts w:ascii="Times New Roman"/>
          <w:sz w:val="24"/>
          <w:szCs w:val="24"/>
        </w:rPr>
      </w:pPr>
      <w:r>
        <w:rPr>
          <w:rFonts w:ascii="Times New Roman"/>
          <w:sz w:val="24"/>
          <w:szCs w:val="24"/>
        </w:rPr>
        <w:t>结合工程污染特征及周边地下水文地质特点，项目所在区域地下水环境敏感程度属于不敏感，综合判定本工程地下水评价等级为三级。</w:t>
      </w:r>
    </w:p>
    <w:p>
      <w:pPr>
        <w:spacing w:line="460" w:lineRule="exact"/>
        <w:ind w:firstLine="480" w:firstLineChars="200"/>
        <w:rPr>
          <w:sz w:val="24"/>
        </w:rPr>
      </w:pPr>
      <w:r>
        <w:rPr>
          <w:rFonts w:hint="eastAsia"/>
          <w:sz w:val="24"/>
        </w:rPr>
        <w:t>4、土壤环境评价等级</w:t>
      </w:r>
    </w:p>
    <w:p>
      <w:pPr>
        <w:pStyle w:val="590"/>
        <w:spacing w:line="460" w:lineRule="exact"/>
        <w:jc w:val="both"/>
        <w:rPr>
          <w:rFonts w:ascii="Times New Roman"/>
          <w:sz w:val="24"/>
          <w:szCs w:val="24"/>
        </w:rPr>
      </w:pPr>
      <w:r>
        <w:rPr>
          <w:rFonts w:hint="eastAsia" w:ascii="Times New Roman"/>
          <w:sz w:val="24"/>
          <w:szCs w:val="24"/>
        </w:rPr>
        <w:t>本项目属于废旧资源加工、再生利用及塑料制品制造，根据《环境影响评价技术导则 土壤环境（试行）》（HJ964-2018）中污染影响型项目评价等级划分要求，具体见表2.5-9、表2.5-10。</w:t>
      </w:r>
    </w:p>
    <w:p>
      <w:pPr>
        <w:pStyle w:val="590"/>
        <w:spacing w:line="460" w:lineRule="exact"/>
        <w:jc w:val="both"/>
        <w:rPr>
          <w:rFonts w:ascii="Times New Roman"/>
          <w:sz w:val="24"/>
          <w:szCs w:val="24"/>
        </w:rPr>
      </w:pPr>
      <w:r>
        <w:rPr>
          <w:rFonts w:hint="eastAsia" w:ascii="Times New Roman"/>
          <w:sz w:val="24"/>
          <w:szCs w:val="24"/>
        </w:rPr>
        <w:t>将建设项目占地规模分为大型（≥50hm</w:t>
      </w:r>
      <w:r>
        <w:rPr>
          <w:rFonts w:hint="eastAsia" w:ascii="Times New Roman"/>
          <w:sz w:val="24"/>
          <w:szCs w:val="24"/>
          <w:vertAlign w:val="superscript"/>
        </w:rPr>
        <w:t>2</w:t>
      </w:r>
      <w:r>
        <w:rPr>
          <w:rFonts w:hint="eastAsia" w:ascii="Times New Roman"/>
          <w:sz w:val="24"/>
          <w:szCs w:val="24"/>
        </w:rPr>
        <w:t>）、中型</w:t>
      </w:r>
      <w:r>
        <w:rPr>
          <w:rFonts w:ascii="Times New Roman"/>
          <w:sz w:val="24"/>
          <w:szCs w:val="24"/>
        </w:rPr>
        <w:t>（5</w:t>
      </w:r>
      <w:r>
        <w:rPr>
          <w:rFonts w:ascii="Times New Roman" w:hAnsi="宋体"/>
          <w:sz w:val="24"/>
          <w:szCs w:val="24"/>
        </w:rPr>
        <w:t>～</w:t>
      </w:r>
      <w:r>
        <w:rPr>
          <w:rFonts w:ascii="Times New Roman"/>
          <w:sz w:val="24"/>
          <w:szCs w:val="24"/>
        </w:rPr>
        <w:t>50</w:t>
      </w:r>
      <w:r>
        <w:rPr>
          <w:rFonts w:hint="eastAsia" w:ascii="Times New Roman"/>
          <w:sz w:val="24"/>
          <w:szCs w:val="24"/>
        </w:rPr>
        <w:t>hm</w:t>
      </w:r>
      <w:r>
        <w:rPr>
          <w:rFonts w:hint="eastAsia" w:ascii="Times New Roman"/>
          <w:sz w:val="24"/>
          <w:szCs w:val="24"/>
          <w:vertAlign w:val="superscript"/>
        </w:rPr>
        <w:t>2</w:t>
      </w:r>
      <w:r>
        <w:rPr>
          <w:rFonts w:ascii="Times New Roman"/>
          <w:sz w:val="24"/>
          <w:szCs w:val="24"/>
        </w:rPr>
        <w:t>）</w:t>
      </w:r>
      <w:r>
        <w:rPr>
          <w:rFonts w:hint="eastAsia" w:ascii="Times New Roman"/>
          <w:sz w:val="24"/>
          <w:szCs w:val="24"/>
        </w:rPr>
        <w:t>、小型（≤5hm</w:t>
      </w:r>
      <w:r>
        <w:rPr>
          <w:rFonts w:hint="eastAsia" w:ascii="Times New Roman"/>
          <w:sz w:val="24"/>
          <w:szCs w:val="24"/>
          <w:vertAlign w:val="superscript"/>
        </w:rPr>
        <w:t>2</w:t>
      </w:r>
      <w:r>
        <w:rPr>
          <w:rFonts w:hint="eastAsia" w:ascii="Times New Roman"/>
          <w:sz w:val="24"/>
          <w:szCs w:val="24"/>
        </w:rPr>
        <w:t>），建设项目占地主要为永久占地。</w:t>
      </w:r>
    </w:p>
    <w:p>
      <w:pPr>
        <w:autoSpaceDE w:val="0"/>
        <w:autoSpaceDN w:val="0"/>
        <w:ind w:firstLine="420" w:firstLineChars="200"/>
        <w:rPr>
          <w:rFonts w:eastAsia="黑体"/>
          <w:szCs w:val="21"/>
        </w:rPr>
      </w:pPr>
      <w:r>
        <w:rPr>
          <w:rFonts w:hint="eastAsia" w:eastAsia="黑体"/>
          <w:szCs w:val="21"/>
        </w:rPr>
        <w:t>表2.5-9                     污染影响型敏感程度分级表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3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敏感程度</w:t>
            </w:r>
          </w:p>
        </w:tc>
        <w:tc>
          <w:tcPr>
            <w:tcW w:w="733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敏感</w:t>
            </w:r>
          </w:p>
        </w:tc>
        <w:tc>
          <w:tcPr>
            <w:tcW w:w="733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建设项目周边存在耕地、园地、牧草地、饮用水源地或居民区、学校、医院、疗养院、养老院等土壤环境敏感目标的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较敏感</w:t>
            </w:r>
          </w:p>
        </w:tc>
        <w:tc>
          <w:tcPr>
            <w:tcW w:w="733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不敏感</w:t>
            </w:r>
          </w:p>
        </w:tc>
        <w:tc>
          <w:tcPr>
            <w:tcW w:w="733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其他情况</w:t>
            </w:r>
          </w:p>
        </w:tc>
      </w:tr>
    </w:tbl>
    <w:p>
      <w:pPr>
        <w:autoSpaceDE w:val="0"/>
        <w:autoSpaceDN w:val="0"/>
        <w:ind w:firstLine="420" w:firstLineChars="200"/>
        <w:rPr>
          <w:rFonts w:eastAsia="黑体"/>
          <w:szCs w:val="21"/>
        </w:rPr>
      </w:pPr>
    </w:p>
    <w:p>
      <w:pPr>
        <w:autoSpaceDE w:val="0"/>
        <w:autoSpaceDN w:val="0"/>
        <w:ind w:firstLine="420" w:firstLineChars="200"/>
        <w:rPr>
          <w:rFonts w:eastAsia="黑体"/>
          <w:szCs w:val="21"/>
        </w:rPr>
      </w:pPr>
    </w:p>
    <w:p>
      <w:pPr>
        <w:autoSpaceDE w:val="0"/>
        <w:autoSpaceDN w:val="0"/>
        <w:ind w:firstLine="420" w:firstLineChars="200"/>
        <w:rPr>
          <w:rFonts w:eastAsia="黑体"/>
          <w:szCs w:val="21"/>
        </w:rPr>
      </w:pPr>
    </w:p>
    <w:p>
      <w:pPr>
        <w:autoSpaceDE w:val="0"/>
        <w:autoSpaceDN w:val="0"/>
        <w:ind w:firstLine="420" w:firstLineChars="200"/>
        <w:rPr>
          <w:rFonts w:eastAsia="黑体"/>
          <w:szCs w:val="21"/>
        </w:rPr>
      </w:pPr>
    </w:p>
    <w:p>
      <w:pPr>
        <w:autoSpaceDE w:val="0"/>
        <w:autoSpaceDN w:val="0"/>
        <w:ind w:firstLine="420" w:firstLineChars="200"/>
        <w:rPr>
          <w:rFonts w:eastAsia="黑体"/>
          <w:szCs w:val="21"/>
        </w:rPr>
      </w:pPr>
    </w:p>
    <w:p>
      <w:pPr>
        <w:autoSpaceDE w:val="0"/>
        <w:autoSpaceDN w:val="0"/>
        <w:ind w:firstLine="420" w:firstLineChars="200"/>
        <w:rPr>
          <w:rFonts w:eastAsia="黑体"/>
          <w:szCs w:val="21"/>
        </w:rPr>
      </w:pPr>
      <w:r>
        <w:rPr>
          <w:rFonts w:hint="eastAsia" w:eastAsia="黑体"/>
          <w:szCs w:val="21"/>
        </w:rPr>
        <w:t>表2.5-10                 污染影响型评价工作等级划分表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815"/>
        <w:gridCol w:w="815"/>
        <w:gridCol w:w="816"/>
        <w:gridCol w:w="815"/>
        <w:gridCol w:w="815"/>
        <w:gridCol w:w="816"/>
        <w:gridCol w:w="815"/>
        <w:gridCol w:w="815"/>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restart"/>
            <w:vAlign w:val="center"/>
          </w:tcPr>
          <w:p>
            <w:pPr>
              <w:pStyle w:val="330"/>
              <w:widowControl w:val="0"/>
              <w:adjustRightInd w:val="0"/>
              <w:snapToGrid w:val="0"/>
              <w:spacing w:before="0" w:after="0"/>
              <w:jc w:val="right"/>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评价等级</w:t>
            </w:r>
          </w:p>
        </w:tc>
        <w:tc>
          <w:tcPr>
            <w:tcW w:w="2446" w:type="dxa"/>
            <w:gridSpan w:val="3"/>
            <w:vAlign w:val="center"/>
          </w:tcPr>
          <w:p>
            <w:pPr>
              <w:pStyle w:val="330"/>
              <w:widowControl w:val="0"/>
              <w:adjustRightInd w:val="0"/>
              <w:snapToGrid w:val="0"/>
              <w:spacing w:before="0" w:after="0"/>
              <w:rPr>
                <w:rFonts w:eastAsia="Times New Roman"/>
                <w:color w:val="auto"/>
                <w:kern w:val="0"/>
                <w:sz w:val="21"/>
                <w:szCs w:val="21"/>
              </w:rPr>
            </w:pPr>
            <w:r>
              <w:rPr>
                <w:rFonts w:eastAsia="Times New Roman"/>
                <w:bCs/>
                <w:color w:val="auto"/>
                <w:kern w:val="0"/>
                <w:sz w:val="21"/>
                <w:szCs w:val="21"/>
              </w:rPr>
              <w:t>Ⅰ类</w:t>
            </w:r>
          </w:p>
        </w:tc>
        <w:tc>
          <w:tcPr>
            <w:tcW w:w="2446" w:type="dxa"/>
            <w:gridSpan w:val="3"/>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Ansi="Times New Roman" w:eastAsia="宋体" w:cs="Times New Roman"/>
                <w:bCs/>
                <w:color w:val="auto"/>
                <w:kern w:val="0"/>
                <w:sz w:val="21"/>
                <w:szCs w:val="21"/>
              </w:rPr>
              <w:t>Ⅱ</w:t>
            </w:r>
            <w:r>
              <w:rPr>
                <w:rFonts w:ascii="Times New Roman" w:hAnsi="Times New Roman" w:eastAsia="宋体" w:cs="Times New Roman"/>
                <w:bCs/>
                <w:color w:val="auto"/>
                <w:kern w:val="0"/>
                <w:sz w:val="21"/>
                <w:szCs w:val="21"/>
              </w:rPr>
              <w:t>类</w:t>
            </w:r>
          </w:p>
        </w:tc>
        <w:tc>
          <w:tcPr>
            <w:tcW w:w="2446" w:type="dxa"/>
            <w:gridSpan w:val="3"/>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Ansi="Times New Roman" w:eastAsia="宋体" w:cs="Times New Roman"/>
                <w:bCs/>
                <w:color w:val="auto"/>
                <w:kern w:val="0"/>
                <w:sz w:val="21"/>
                <w:szCs w:val="21"/>
              </w:rPr>
              <w:t>Ⅲ</w:t>
            </w:r>
            <w:r>
              <w:rPr>
                <w:rFonts w:ascii="Times New Roman" w:hAnsi="Times New Roman" w:eastAsia="宋体" w:cs="Times New Roman"/>
                <w:bCs/>
                <w:color w:val="auto"/>
                <w:kern w:val="0"/>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中</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小</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中</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小</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中</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敏感</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较敏感</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不敏感</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一级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二级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三级</w:t>
            </w:r>
          </w:p>
        </w:tc>
        <w:tc>
          <w:tcPr>
            <w:tcW w:w="815"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w:t>
            </w:r>
          </w:p>
        </w:tc>
        <w:tc>
          <w:tcPr>
            <w:tcW w:w="816" w:type="dxa"/>
            <w:vAlign w:val="center"/>
          </w:tcPr>
          <w:p>
            <w:pPr>
              <w:pStyle w:val="330"/>
              <w:widowControl w:val="0"/>
              <w:adjustRightInd w:val="0"/>
              <w:snapToGrid w:val="0"/>
              <w:spacing w:before="0" w:after="0"/>
              <w:rPr>
                <w:rFonts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7" w:type="dxa"/>
            <w:gridSpan w:val="10"/>
            <w:vAlign w:val="center"/>
          </w:tcPr>
          <w:p>
            <w:pPr>
              <w:pStyle w:val="330"/>
              <w:widowControl w:val="0"/>
              <w:adjustRightInd w:val="0"/>
              <w:snapToGrid w:val="0"/>
              <w:spacing w:before="0" w:after="0"/>
              <w:jc w:val="left"/>
              <w:rPr>
                <w:rFonts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注：“-”表示可不开展土壤环境影响评价工作。</w:t>
            </w:r>
          </w:p>
        </w:tc>
      </w:tr>
    </w:tbl>
    <w:p>
      <w:pPr>
        <w:pStyle w:val="590"/>
        <w:spacing w:line="460" w:lineRule="exact"/>
        <w:jc w:val="both"/>
        <w:rPr>
          <w:rFonts w:ascii="Times New Roman"/>
          <w:sz w:val="24"/>
          <w:szCs w:val="24"/>
        </w:rPr>
      </w:pPr>
      <w:r>
        <w:rPr>
          <w:rFonts w:hint="eastAsia" w:ascii="Times New Roman"/>
          <w:sz w:val="24"/>
          <w:szCs w:val="24"/>
        </w:rPr>
        <w:t>根据《环境影响评价技术导则 土壤环境（试行）》（HJ964-2018）附录A 土壤环境影响评价项目类别，本项目属于</w:t>
      </w:r>
      <w:r>
        <w:rPr>
          <w:rFonts w:hint="eastAsia" w:hAnsi="宋体" w:cs="宋体"/>
          <w:bCs/>
          <w:sz w:val="24"/>
          <w:szCs w:val="24"/>
        </w:rPr>
        <w:t>Ⅲ</w:t>
      </w:r>
      <w:r>
        <w:rPr>
          <w:rFonts w:ascii="Times New Roman"/>
          <w:bCs/>
          <w:sz w:val="24"/>
          <w:szCs w:val="24"/>
        </w:rPr>
        <w:t>类</w:t>
      </w:r>
      <w:r>
        <w:rPr>
          <w:rFonts w:hint="eastAsia" w:ascii="Times New Roman"/>
          <w:bCs/>
          <w:sz w:val="24"/>
          <w:szCs w:val="24"/>
        </w:rPr>
        <w:t>建设项目，项目总占地面积为1.8696hm</w:t>
      </w:r>
      <w:r>
        <w:rPr>
          <w:rFonts w:hint="eastAsia" w:ascii="Times New Roman"/>
          <w:bCs/>
          <w:sz w:val="24"/>
          <w:szCs w:val="24"/>
          <w:vertAlign w:val="superscript"/>
        </w:rPr>
        <w:t>2</w:t>
      </w:r>
      <w:r>
        <w:rPr>
          <w:rFonts w:hint="eastAsia" w:ascii="Times New Roman"/>
          <w:bCs/>
          <w:sz w:val="24"/>
          <w:szCs w:val="24"/>
        </w:rPr>
        <w:t>，占地类型为小型，建设项目周边存在耕地，环境敏感程度为敏感，因此根据表2.5-10，本项目土壤环境评价等级为三级。</w:t>
      </w:r>
    </w:p>
    <w:p>
      <w:pPr>
        <w:spacing w:line="460" w:lineRule="exact"/>
        <w:ind w:firstLine="480" w:firstLineChars="200"/>
        <w:rPr>
          <w:sz w:val="24"/>
        </w:rPr>
      </w:pPr>
      <w:r>
        <w:rPr>
          <w:rFonts w:hint="eastAsia"/>
          <w:sz w:val="24"/>
        </w:rPr>
        <w:t>5、</w:t>
      </w:r>
      <w:r>
        <w:rPr>
          <w:sz w:val="24"/>
        </w:rPr>
        <w:t>声环境</w:t>
      </w:r>
      <w:r>
        <w:rPr>
          <w:rFonts w:hint="eastAsia"/>
          <w:sz w:val="24"/>
        </w:rPr>
        <w:t>评价等级</w:t>
      </w:r>
    </w:p>
    <w:p>
      <w:pPr>
        <w:autoSpaceDE w:val="0"/>
        <w:autoSpaceDN w:val="0"/>
        <w:spacing w:line="460" w:lineRule="exact"/>
        <w:ind w:firstLine="480" w:firstLineChars="200"/>
        <w:rPr>
          <w:sz w:val="24"/>
        </w:rPr>
      </w:pPr>
      <w:r>
        <w:rPr>
          <w:rFonts w:hint="eastAsia"/>
          <w:sz w:val="24"/>
        </w:rPr>
        <w:t>根据《声环境质量标准》（</w:t>
      </w:r>
      <w:r>
        <w:rPr>
          <w:sz w:val="24"/>
        </w:rPr>
        <w:t>GB3096-2008</w:t>
      </w:r>
      <w:r>
        <w:rPr>
          <w:rFonts w:hint="eastAsia"/>
          <w:sz w:val="24"/>
        </w:rPr>
        <w:t>）和《环境影响评价技术导则</w:t>
      </w:r>
      <w:r>
        <w:rPr>
          <w:sz w:val="24"/>
        </w:rPr>
        <w:t xml:space="preserve"> </w:t>
      </w:r>
      <w:r>
        <w:rPr>
          <w:rFonts w:hint="eastAsia"/>
          <w:sz w:val="24"/>
        </w:rPr>
        <w:t>声环境》（</w:t>
      </w:r>
      <w:r>
        <w:rPr>
          <w:sz w:val="24"/>
        </w:rPr>
        <w:t>HJ 2.4-2021</w:t>
      </w:r>
      <w:r>
        <w:rPr>
          <w:rFonts w:hint="eastAsia"/>
          <w:sz w:val="24"/>
        </w:rPr>
        <w:t>）中相关规定，声环境评价等级的划分依据包括建设项目所在区域的声环境功能区类别，项目建设前后所在区域的声环境质量变化程度，建设项目受影响人口数量多少。具体声环境评价工作等级分级见表2</w:t>
      </w:r>
      <w:r>
        <w:rPr>
          <w:sz w:val="24"/>
        </w:rPr>
        <w:t>.5-1</w:t>
      </w:r>
      <w:r>
        <w:rPr>
          <w:rFonts w:hint="eastAsia"/>
          <w:sz w:val="24"/>
        </w:rPr>
        <w:t>1。</w:t>
      </w:r>
    </w:p>
    <w:p>
      <w:pPr>
        <w:autoSpaceDE w:val="0"/>
        <w:autoSpaceDN w:val="0"/>
        <w:ind w:firstLine="420" w:firstLineChars="200"/>
        <w:rPr>
          <w:rFonts w:eastAsia="黑体"/>
          <w:szCs w:val="21"/>
        </w:rPr>
      </w:pPr>
      <w:r>
        <w:rPr>
          <w:rFonts w:hint="eastAsia" w:eastAsia="黑体"/>
          <w:szCs w:val="21"/>
        </w:rPr>
        <w:t>表2</w:t>
      </w:r>
      <w:r>
        <w:rPr>
          <w:rFonts w:eastAsia="黑体"/>
          <w:szCs w:val="21"/>
        </w:rPr>
        <w:t>.5-1</w:t>
      </w:r>
      <w:r>
        <w:rPr>
          <w:rFonts w:hint="eastAsia" w:eastAsia="黑体"/>
          <w:szCs w:val="21"/>
        </w:rPr>
        <w:t>1</w:t>
      </w:r>
      <w:r>
        <w:rPr>
          <w:rFonts w:eastAsia="黑体"/>
          <w:szCs w:val="21"/>
        </w:rPr>
        <w:t xml:space="preserve">                </w:t>
      </w:r>
      <w:r>
        <w:rPr>
          <w:rFonts w:hint="eastAsia" w:eastAsia="黑体"/>
          <w:szCs w:val="21"/>
        </w:rPr>
        <w:t>声环境评价工作等级划分表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3" w:type="pct"/>
            <w:tcBorders>
              <w:top w:val="single" w:color="auto" w:sz="12" w:space="0"/>
              <w:left w:val="nil"/>
              <w:bottom w:val="single" w:color="auto" w:sz="4" w:space="0"/>
              <w:right w:val="single" w:color="auto" w:sz="4"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评价等级</w:t>
            </w:r>
          </w:p>
        </w:tc>
        <w:tc>
          <w:tcPr>
            <w:tcW w:w="4347" w:type="pct"/>
            <w:tcBorders>
              <w:top w:val="single" w:color="auto" w:sz="12" w:space="0"/>
              <w:left w:val="single" w:color="auto" w:sz="4" w:space="0"/>
              <w:bottom w:val="single" w:color="auto" w:sz="4" w:space="0"/>
              <w:right w:val="nil"/>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分级依据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3" w:type="pct"/>
            <w:tcBorders>
              <w:top w:val="single" w:color="auto" w:sz="4" w:space="0"/>
              <w:left w:val="nil"/>
              <w:bottom w:val="single" w:color="auto" w:sz="4" w:space="0"/>
              <w:right w:val="single" w:color="auto" w:sz="4"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一级</w:t>
            </w:r>
          </w:p>
        </w:tc>
        <w:tc>
          <w:tcPr>
            <w:tcW w:w="4347" w:type="pct"/>
            <w:tcBorders>
              <w:top w:val="single" w:color="auto" w:sz="4" w:space="0"/>
              <w:left w:val="single" w:color="auto" w:sz="4" w:space="0"/>
              <w:bottom w:val="single" w:color="auto" w:sz="4" w:space="0"/>
              <w:right w:val="nil"/>
            </w:tcBorders>
            <w:vAlign w:val="center"/>
          </w:tcPr>
          <w:p>
            <w:r>
              <w:rPr>
                <w:rFonts w:hint="eastAsia"/>
              </w:rPr>
              <w:t>评价范围内有适用于GB3096的0类声环境功能区域，以及对噪声有特别限制要求的保护区等敏感目标，或建设项目建设前后评价范围内敏感目标噪声级增高量达5dB（A）以上（不含5 dB（A）），或受影响人口数量显著增多时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3" w:type="pct"/>
            <w:tcBorders>
              <w:top w:val="single" w:color="auto" w:sz="4" w:space="0"/>
              <w:left w:val="nil"/>
              <w:bottom w:val="single" w:color="auto" w:sz="4" w:space="0"/>
              <w:right w:val="single" w:color="auto" w:sz="4"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二级</w:t>
            </w:r>
          </w:p>
        </w:tc>
        <w:tc>
          <w:tcPr>
            <w:tcW w:w="4347" w:type="pct"/>
            <w:tcBorders>
              <w:top w:val="single" w:color="auto" w:sz="4" w:space="0"/>
              <w:left w:val="single" w:color="auto" w:sz="4" w:space="0"/>
              <w:bottom w:val="single" w:color="auto" w:sz="4" w:space="0"/>
              <w:right w:val="nil"/>
            </w:tcBorders>
            <w:vAlign w:val="center"/>
          </w:tcPr>
          <w:p>
            <w:r>
              <w:rPr>
                <w:rFonts w:hint="eastAsia"/>
              </w:rPr>
              <w:t>建设项目所处的声环境功能区为GB3096规定的1类、2类地区，或建设项目建设前后评价范围内敏感目标噪声级增高量达3dB（A）~5dB（A）（含5dB（A）），或受噪声影响人口数量增加较多时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3" w:type="pct"/>
            <w:tcBorders>
              <w:top w:val="single" w:color="auto" w:sz="4" w:space="0"/>
              <w:left w:val="nil"/>
              <w:bottom w:val="single" w:color="auto" w:sz="12" w:space="0"/>
              <w:right w:val="single" w:color="auto" w:sz="4" w:space="0"/>
            </w:tcBorders>
            <w:vAlign w:val="center"/>
          </w:tcPr>
          <w:p>
            <w:pPr>
              <w:pStyle w:val="330"/>
              <w:widowControl w:val="0"/>
              <w:adjustRightInd w:val="0"/>
              <w:snapToGrid w:val="0"/>
              <w:spacing w:before="0" w:after="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三级</w:t>
            </w:r>
          </w:p>
        </w:tc>
        <w:tc>
          <w:tcPr>
            <w:tcW w:w="4347" w:type="pct"/>
            <w:tcBorders>
              <w:top w:val="single" w:color="auto" w:sz="4" w:space="0"/>
              <w:left w:val="single" w:color="auto" w:sz="4" w:space="0"/>
              <w:bottom w:val="single" w:color="auto" w:sz="12" w:space="0"/>
              <w:right w:val="nil"/>
            </w:tcBorders>
            <w:vAlign w:val="center"/>
          </w:tcPr>
          <w:p>
            <w:r>
              <w:rPr>
                <w:rFonts w:hint="eastAsia"/>
              </w:rPr>
              <w:t>建设项目所处的声环境功能区为GB3096规定的3类、4类地区，或建设项目建设前后评价范围内敏感目标噪声级增高量在3dB（A）以下（3dB（A）），且受影响人口数量人口变化不大时</w:t>
            </w:r>
          </w:p>
        </w:tc>
      </w:tr>
    </w:tbl>
    <w:p>
      <w:pPr>
        <w:autoSpaceDE w:val="0"/>
        <w:autoSpaceDN w:val="0"/>
        <w:spacing w:line="460" w:lineRule="exact"/>
        <w:ind w:firstLine="480" w:firstLineChars="200"/>
        <w:rPr>
          <w:sz w:val="24"/>
        </w:rPr>
      </w:pPr>
      <w:r>
        <w:rPr>
          <w:rFonts w:hint="eastAsia"/>
          <w:sz w:val="24"/>
        </w:rPr>
        <w:t>本项目位于昌吉国家农业科技园区示范区昌吉市昊慧盛塑料制品厂区内，属于《声环境质量标准》（</w:t>
      </w:r>
      <w:r>
        <w:rPr>
          <w:sz w:val="24"/>
        </w:rPr>
        <w:t>GB3096-2008</w:t>
      </w:r>
      <w:r>
        <w:rPr>
          <w:rFonts w:hint="eastAsia"/>
          <w:sz w:val="24"/>
        </w:rPr>
        <w:t>）规定的3类声环境功能区。项目建设前后区域噪声级增高量在</w:t>
      </w:r>
      <w:r>
        <w:rPr>
          <w:sz w:val="24"/>
        </w:rPr>
        <w:t>3dB</w:t>
      </w:r>
      <w:r>
        <w:rPr>
          <w:rFonts w:hint="eastAsia"/>
          <w:sz w:val="24"/>
        </w:rPr>
        <w:t>（</w:t>
      </w:r>
      <w:r>
        <w:rPr>
          <w:sz w:val="24"/>
        </w:rPr>
        <w:t>A</w:t>
      </w:r>
      <w:r>
        <w:rPr>
          <w:rFonts w:hint="eastAsia"/>
          <w:sz w:val="24"/>
        </w:rPr>
        <w:t>）以下，受影响人口数量变化不大。根据上表分析，确定声环境评价工作等级为三级。</w:t>
      </w:r>
    </w:p>
    <w:p>
      <w:pPr>
        <w:spacing w:line="460" w:lineRule="exact"/>
        <w:ind w:firstLine="480" w:firstLineChars="200"/>
        <w:rPr>
          <w:sz w:val="24"/>
        </w:rPr>
      </w:pPr>
      <w:r>
        <w:rPr>
          <w:rFonts w:hint="eastAsia"/>
          <w:sz w:val="24"/>
        </w:rPr>
        <w:t>6、环境</w:t>
      </w:r>
      <w:r>
        <w:rPr>
          <w:sz w:val="24"/>
        </w:rPr>
        <w:t>风险评价</w:t>
      </w:r>
      <w:r>
        <w:rPr>
          <w:rFonts w:hint="eastAsia"/>
          <w:sz w:val="24"/>
        </w:rPr>
        <w:t>等级</w:t>
      </w:r>
    </w:p>
    <w:p>
      <w:pPr>
        <w:pStyle w:val="590"/>
        <w:spacing w:line="460" w:lineRule="exact"/>
        <w:jc w:val="both"/>
        <w:rPr>
          <w:rFonts w:ascii="Times New Roman"/>
          <w:bCs/>
          <w:sz w:val="24"/>
          <w:szCs w:val="24"/>
        </w:rPr>
      </w:pPr>
      <w:r>
        <w:rPr>
          <w:rFonts w:hint="eastAsia" w:ascii="Times New Roman"/>
          <w:bCs/>
          <w:sz w:val="24"/>
          <w:szCs w:val="24"/>
        </w:rPr>
        <w:t>根据《建设项目环境风险评价技术导则》（</w:t>
      </w:r>
      <w:r>
        <w:rPr>
          <w:rFonts w:ascii="Times New Roman"/>
          <w:bCs/>
          <w:sz w:val="24"/>
          <w:szCs w:val="24"/>
        </w:rPr>
        <w:t>HJ169-2018</w:t>
      </w:r>
      <w:r>
        <w:rPr>
          <w:rFonts w:hint="eastAsia" w:ascii="Times New Roman"/>
          <w:bCs/>
          <w:sz w:val="24"/>
          <w:szCs w:val="24"/>
        </w:rPr>
        <w:t>）和《危险化学品重大危险源辨识》（</w:t>
      </w:r>
      <w:r>
        <w:rPr>
          <w:rFonts w:ascii="Times New Roman"/>
          <w:bCs/>
          <w:sz w:val="24"/>
          <w:szCs w:val="24"/>
        </w:rPr>
        <w:t>GB18218-2018</w:t>
      </w:r>
      <w:r>
        <w:rPr>
          <w:rFonts w:hint="eastAsia" w:ascii="Times New Roman"/>
          <w:bCs/>
          <w:sz w:val="24"/>
          <w:szCs w:val="24"/>
        </w:rPr>
        <w:t>），危险化学品重大危险源是指</w:t>
      </w:r>
      <w:r>
        <w:rPr>
          <w:rFonts w:ascii="Times New Roman"/>
          <w:bCs/>
          <w:sz w:val="24"/>
          <w:szCs w:val="24"/>
        </w:rPr>
        <w:t>“</w:t>
      </w:r>
      <w:r>
        <w:rPr>
          <w:rFonts w:hint="eastAsia" w:ascii="Times New Roman"/>
          <w:bCs/>
          <w:sz w:val="24"/>
          <w:szCs w:val="24"/>
        </w:rPr>
        <w:t>长期地或临时地生产、加工、搬运、使用或储存危险化学品，且危险化学品的数量等于或超过临界量的单元</w:t>
      </w:r>
      <w:r>
        <w:rPr>
          <w:rFonts w:ascii="Times New Roman"/>
          <w:bCs/>
          <w:sz w:val="24"/>
          <w:szCs w:val="24"/>
        </w:rPr>
        <w:t>”</w:t>
      </w:r>
      <w:r>
        <w:rPr>
          <w:rFonts w:hint="eastAsia" w:ascii="Times New Roman"/>
          <w:bCs/>
          <w:sz w:val="24"/>
          <w:szCs w:val="24"/>
        </w:rPr>
        <w:t>。计算所涉及的每种危险物质在厂界内的最大存在总量与其在附录</w:t>
      </w:r>
      <w:r>
        <w:rPr>
          <w:rFonts w:ascii="Times New Roman"/>
          <w:bCs/>
          <w:sz w:val="24"/>
          <w:szCs w:val="24"/>
        </w:rPr>
        <w:t>B</w:t>
      </w:r>
      <w:r>
        <w:rPr>
          <w:rFonts w:hint="eastAsia" w:ascii="Times New Roman"/>
          <w:bCs/>
          <w:sz w:val="24"/>
          <w:szCs w:val="24"/>
        </w:rPr>
        <w:t>中对应临界量的比值</w:t>
      </w:r>
      <w:r>
        <w:rPr>
          <w:rFonts w:ascii="Times New Roman"/>
          <w:bCs/>
          <w:sz w:val="24"/>
          <w:szCs w:val="24"/>
        </w:rPr>
        <w:t>Q</w:t>
      </w:r>
      <w:r>
        <w:rPr>
          <w:rFonts w:hint="eastAsia" w:ascii="Times New Roman"/>
          <w:bCs/>
          <w:sz w:val="24"/>
          <w:szCs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pPr>
        <w:pStyle w:val="590"/>
        <w:spacing w:line="460" w:lineRule="exact"/>
        <w:jc w:val="both"/>
        <w:rPr>
          <w:rFonts w:ascii="Times New Roman"/>
          <w:bCs/>
          <w:sz w:val="24"/>
          <w:szCs w:val="24"/>
        </w:rPr>
      </w:pPr>
      <w:r>
        <w:rPr>
          <w:rFonts w:hint="eastAsia" w:hAnsi="宋体" w:cs="宋体"/>
          <w:bCs/>
          <w:sz w:val="24"/>
          <w:szCs w:val="24"/>
        </w:rPr>
        <w:t>①</w:t>
      </w:r>
      <w:r>
        <w:rPr>
          <w:rFonts w:hint="eastAsia" w:ascii="Times New Roman"/>
          <w:bCs/>
          <w:sz w:val="24"/>
          <w:szCs w:val="24"/>
        </w:rPr>
        <w:t>当只涉及一种危险物质时，计算该物质的总量与其临界量比值，即为</w:t>
      </w:r>
      <w:r>
        <w:rPr>
          <w:rFonts w:ascii="Times New Roman"/>
          <w:bCs/>
          <w:sz w:val="24"/>
          <w:szCs w:val="24"/>
        </w:rPr>
        <w:t>Q</w:t>
      </w:r>
      <w:r>
        <w:rPr>
          <w:rFonts w:hint="eastAsia" w:ascii="Times New Roman"/>
          <w:bCs/>
          <w:sz w:val="24"/>
          <w:szCs w:val="24"/>
        </w:rPr>
        <w:t>；</w:t>
      </w:r>
    </w:p>
    <w:p>
      <w:pPr>
        <w:pStyle w:val="590"/>
        <w:spacing w:line="460" w:lineRule="exact"/>
        <w:jc w:val="both"/>
        <w:rPr>
          <w:rFonts w:ascii="Times New Roman"/>
          <w:bCs/>
          <w:sz w:val="24"/>
          <w:szCs w:val="24"/>
        </w:rPr>
      </w:pPr>
      <w:r>
        <w:rPr>
          <w:rFonts w:hint="eastAsia" w:hAnsi="宋体" w:cs="宋体"/>
          <w:bCs/>
          <w:sz w:val="24"/>
          <w:szCs w:val="24"/>
        </w:rPr>
        <w:t>②</w:t>
      </w:r>
      <w:r>
        <w:rPr>
          <w:rFonts w:hint="eastAsia" w:ascii="Times New Roman"/>
          <w:bCs/>
          <w:sz w:val="24"/>
          <w:szCs w:val="24"/>
        </w:rPr>
        <w:t>当存在多种危险物质时，则按下式计算物质总量与其临界量比值（</w:t>
      </w:r>
      <w:r>
        <w:rPr>
          <w:rFonts w:ascii="Times New Roman"/>
          <w:bCs/>
          <w:sz w:val="24"/>
          <w:szCs w:val="24"/>
        </w:rPr>
        <w:t>Q</w:t>
      </w:r>
      <w:r>
        <w:rPr>
          <w:rFonts w:hint="eastAsia" w:ascii="Times New Roman"/>
          <w:bCs/>
          <w:sz w:val="24"/>
          <w:szCs w:val="24"/>
        </w:rPr>
        <w:t>）：</w:t>
      </w:r>
    </w:p>
    <w:p>
      <w:pPr>
        <w:pStyle w:val="590"/>
        <w:spacing w:line="240" w:lineRule="auto"/>
        <w:rPr>
          <w:rFonts w:ascii="Times New Roman"/>
          <w:bCs/>
          <w:i/>
          <w:sz w:val="24"/>
        </w:rPr>
      </w:pPr>
      <m:oMathPara>
        <m:oMath>
          <m:r>
            <m:rPr/>
            <w:rPr>
              <w:rFonts w:ascii="Cambria Math" w:hAnsi="Cambria Math"/>
              <w:sz w:val="24"/>
            </w:rPr>
            <m:t>Q=</m:t>
          </m:r>
          <m:f>
            <m:fPr>
              <m:ctrlPr>
                <w:rPr>
                  <w:rFonts w:ascii="Cambria Math" w:hAnsi="Cambria Math"/>
                  <w:bCs/>
                  <w:i/>
                  <w:sz w:val="24"/>
                  <w:szCs w:val="24"/>
                </w:rPr>
              </m:ctrlPr>
            </m:fPr>
            <m:num>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1</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1</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rPr>
            <m:t>+</m:t>
          </m:r>
          <m:f>
            <m:fPr>
              <m:ctrlPr>
                <w:rPr>
                  <w:rFonts w:ascii="Cambria Math" w:hAnsi="Cambria Math"/>
                  <w:bCs/>
                  <w:i/>
                  <w:sz w:val="24"/>
                  <w:szCs w:val="24"/>
                </w:rPr>
              </m:ctrlPr>
            </m:fPr>
            <m:num>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2</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2</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rPr>
            <m:t>+⋯+</m:t>
          </m:r>
          <m:f>
            <m:fPr>
              <m:ctrlPr>
                <w:rPr>
                  <w:rFonts w:ascii="Cambria Math" w:hAnsi="Cambria Math"/>
                  <w:bCs/>
                  <w:i/>
                  <w:sz w:val="24"/>
                  <w:szCs w:val="24"/>
                </w:rPr>
              </m:ctrlPr>
            </m:fPr>
            <m:num>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n</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bCs/>
                      <w:i/>
                      <w:sz w:val="24"/>
                      <w:szCs w:val="24"/>
                    </w:rPr>
                  </m:ctrlPr>
                </m:sSubPr>
                <m:e>
                  <m:r>
                    <m:rPr/>
                    <w:rPr>
                      <w:rFonts w:ascii="Cambria Math" w:hAnsi="Cambria Math"/>
                      <w:sz w:val="24"/>
                    </w:rPr>
                    <m:t>Q</m:t>
                  </m:r>
                  <m:ctrlPr>
                    <w:rPr>
                      <w:rFonts w:ascii="Cambria Math" w:hAnsi="Cambria Math"/>
                      <w:i/>
                      <w:sz w:val="24"/>
                      <w:szCs w:val="24"/>
                    </w:rPr>
                  </m:ctrlPr>
                </m:e>
                <m:sub>
                  <m:r>
                    <m:rPr/>
                    <w:rPr>
                      <w:rFonts w:ascii="Cambria Math" w:hAnsi="Cambria Math"/>
                      <w:sz w:val="24"/>
                    </w:rPr>
                    <m:t>n</m:t>
                  </m:r>
                  <m:ctrlPr>
                    <w:rPr>
                      <w:rFonts w:ascii="Cambria Math" w:hAnsi="Cambria Math"/>
                      <w:i/>
                      <w:sz w:val="24"/>
                      <w:szCs w:val="24"/>
                    </w:rPr>
                  </m:ctrlPr>
                </m:sub>
              </m:sSub>
              <m:ctrlPr>
                <w:rPr>
                  <w:rFonts w:ascii="Cambria Math" w:hAnsi="Cambria Math"/>
                  <w:i/>
                  <w:sz w:val="24"/>
                  <w:szCs w:val="24"/>
                </w:rPr>
              </m:ctrlPr>
            </m:den>
          </m:f>
        </m:oMath>
      </m:oMathPara>
    </w:p>
    <w:p>
      <w:pPr>
        <w:pStyle w:val="590"/>
        <w:spacing w:line="460" w:lineRule="exact"/>
        <w:rPr>
          <w:rFonts w:ascii="Times New Roman"/>
          <w:bCs/>
          <w:sz w:val="24"/>
        </w:rPr>
      </w:pPr>
      <w:r>
        <w:rPr>
          <w:rFonts w:hint="eastAsia" w:ascii="Times New Roman"/>
          <w:bCs/>
          <w:sz w:val="24"/>
        </w:rPr>
        <w:t>式中：</w:t>
      </w:r>
      <w:r>
        <w:rPr>
          <w:rFonts w:ascii="Times New Roman"/>
          <w:bCs/>
          <w:i/>
          <w:iCs/>
          <w:sz w:val="24"/>
        </w:rPr>
        <w:t>q</w:t>
      </w:r>
      <w:r>
        <w:rPr>
          <w:rFonts w:ascii="Times New Roman"/>
          <w:bCs/>
          <w:i/>
          <w:iCs/>
          <w:sz w:val="24"/>
          <w:vertAlign w:val="subscript"/>
        </w:rPr>
        <w:t>1</w:t>
      </w:r>
      <w:r>
        <w:rPr>
          <w:rFonts w:hint="eastAsia" w:ascii="Times New Roman"/>
          <w:bCs/>
          <w:sz w:val="24"/>
        </w:rPr>
        <w:t>，</w:t>
      </w:r>
      <w:r>
        <w:rPr>
          <w:rFonts w:ascii="Times New Roman"/>
          <w:bCs/>
          <w:i/>
          <w:iCs/>
          <w:sz w:val="24"/>
        </w:rPr>
        <w:t>q</w:t>
      </w:r>
      <w:r>
        <w:rPr>
          <w:rFonts w:ascii="Times New Roman"/>
          <w:bCs/>
          <w:i/>
          <w:iCs/>
          <w:sz w:val="24"/>
          <w:vertAlign w:val="subscript"/>
        </w:rPr>
        <w:t>2</w:t>
      </w:r>
      <w:r>
        <w:rPr>
          <w:rFonts w:hint="eastAsia" w:ascii="Times New Roman"/>
          <w:bCs/>
          <w:sz w:val="24"/>
        </w:rPr>
        <w:t>，</w:t>
      </w:r>
      <w:r>
        <w:rPr>
          <w:rFonts w:ascii="Times New Roman"/>
          <w:bCs/>
          <w:sz w:val="24"/>
        </w:rPr>
        <w:t>...</w:t>
      </w:r>
      <w:r>
        <w:rPr>
          <w:rFonts w:hint="eastAsia" w:ascii="Times New Roman"/>
          <w:bCs/>
          <w:sz w:val="24"/>
        </w:rPr>
        <w:t>，</w:t>
      </w:r>
      <w:r>
        <w:rPr>
          <w:rFonts w:ascii="Times New Roman"/>
          <w:bCs/>
          <w:i/>
          <w:iCs/>
          <w:sz w:val="24"/>
        </w:rPr>
        <w:t>q</w:t>
      </w:r>
      <w:r>
        <w:rPr>
          <w:rFonts w:ascii="Times New Roman"/>
          <w:bCs/>
          <w:i/>
          <w:iCs/>
          <w:sz w:val="24"/>
          <w:vertAlign w:val="subscript"/>
        </w:rPr>
        <w:t>n</w:t>
      </w:r>
      <w:r>
        <w:rPr>
          <w:rFonts w:ascii="Times New Roman"/>
          <w:bCs/>
          <w:sz w:val="24"/>
        </w:rPr>
        <w:t>——</w:t>
      </w:r>
      <w:r>
        <w:rPr>
          <w:rFonts w:hint="eastAsia" w:ascii="Times New Roman"/>
          <w:bCs/>
          <w:sz w:val="24"/>
        </w:rPr>
        <w:t>每种危险物质的最大总存在量，</w:t>
      </w:r>
      <w:r>
        <w:rPr>
          <w:rFonts w:ascii="Times New Roman"/>
          <w:bCs/>
          <w:sz w:val="24"/>
        </w:rPr>
        <w:t>t</w:t>
      </w:r>
      <w:r>
        <w:rPr>
          <w:rFonts w:hint="eastAsia" w:ascii="Times New Roman"/>
          <w:bCs/>
          <w:sz w:val="24"/>
        </w:rPr>
        <w:t>；</w:t>
      </w:r>
    </w:p>
    <w:p>
      <w:pPr>
        <w:pStyle w:val="590"/>
        <w:spacing w:line="460" w:lineRule="exact"/>
        <w:rPr>
          <w:rFonts w:ascii="Times New Roman"/>
          <w:bCs/>
          <w:sz w:val="24"/>
        </w:rPr>
      </w:pPr>
      <w:r>
        <w:rPr>
          <w:rFonts w:ascii="Times New Roman"/>
          <w:bCs/>
          <w:i/>
          <w:iCs/>
          <w:sz w:val="24"/>
        </w:rPr>
        <w:t xml:space="preserve">      Q</w:t>
      </w:r>
      <w:r>
        <w:rPr>
          <w:rFonts w:ascii="Times New Roman"/>
          <w:bCs/>
          <w:i/>
          <w:iCs/>
          <w:sz w:val="24"/>
          <w:vertAlign w:val="subscript"/>
        </w:rPr>
        <w:t>1</w:t>
      </w:r>
      <w:r>
        <w:rPr>
          <w:rFonts w:hint="eastAsia" w:ascii="Times New Roman"/>
          <w:bCs/>
          <w:sz w:val="24"/>
        </w:rPr>
        <w:t>，</w:t>
      </w:r>
      <w:r>
        <w:rPr>
          <w:rFonts w:ascii="Times New Roman"/>
          <w:bCs/>
          <w:i/>
          <w:iCs/>
          <w:sz w:val="24"/>
        </w:rPr>
        <w:t>Q</w:t>
      </w:r>
      <w:r>
        <w:rPr>
          <w:rFonts w:ascii="Times New Roman"/>
          <w:bCs/>
          <w:i/>
          <w:iCs/>
          <w:sz w:val="24"/>
          <w:vertAlign w:val="subscript"/>
        </w:rPr>
        <w:t>2</w:t>
      </w:r>
      <w:r>
        <w:rPr>
          <w:rFonts w:hint="eastAsia" w:ascii="Times New Roman"/>
          <w:bCs/>
          <w:sz w:val="24"/>
        </w:rPr>
        <w:t>，</w:t>
      </w:r>
      <w:r>
        <w:rPr>
          <w:rFonts w:ascii="Times New Roman"/>
          <w:bCs/>
          <w:sz w:val="24"/>
        </w:rPr>
        <w:t>...</w:t>
      </w:r>
      <w:r>
        <w:rPr>
          <w:rFonts w:hint="eastAsia" w:ascii="Times New Roman"/>
          <w:bCs/>
          <w:sz w:val="24"/>
        </w:rPr>
        <w:t>，</w:t>
      </w:r>
      <w:r>
        <w:rPr>
          <w:rFonts w:ascii="Times New Roman"/>
          <w:bCs/>
          <w:i/>
          <w:iCs/>
          <w:sz w:val="24"/>
        </w:rPr>
        <w:t>Q</w:t>
      </w:r>
      <w:r>
        <w:rPr>
          <w:rFonts w:ascii="Times New Roman"/>
          <w:bCs/>
          <w:i/>
          <w:iCs/>
          <w:sz w:val="24"/>
          <w:vertAlign w:val="subscript"/>
        </w:rPr>
        <w:t>n</w:t>
      </w:r>
      <w:r>
        <w:rPr>
          <w:rFonts w:ascii="Times New Roman"/>
          <w:bCs/>
          <w:sz w:val="24"/>
        </w:rPr>
        <w:t>——</w:t>
      </w:r>
      <w:r>
        <w:rPr>
          <w:rFonts w:hint="eastAsia" w:ascii="Times New Roman"/>
          <w:bCs/>
          <w:sz w:val="24"/>
        </w:rPr>
        <w:t>每种危险物质的临界量，</w:t>
      </w:r>
      <w:r>
        <w:rPr>
          <w:rFonts w:ascii="Times New Roman"/>
          <w:bCs/>
          <w:sz w:val="24"/>
        </w:rPr>
        <w:t>t</w:t>
      </w:r>
      <w:r>
        <w:rPr>
          <w:rFonts w:hint="eastAsia" w:ascii="Times New Roman"/>
          <w:bCs/>
          <w:sz w:val="24"/>
        </w:rPr>
        <w:t>；</w:t>
      </w:r>
    </w:p>
    <w:p>
      <w:pPr>
        <w:pStyle w:val="590"/>
        <w:spacing w:line="460" w:lineRule="exact"/>
        <w:rPr>
          <w:rFonts w:ascii="Times New Roman"/>
          <w:bCs/>
          <w:sz w:val="24"/>
        </w:rPr>
      </w:pPr>
      <w:r>
        <w:rPr>
          <w:rFonts w:ascii="Times New Roman"/>
          <w:bCs/>
          <w:sz w:val="24"/>
        </w:rPr>
        <w:t xml:space="preserve">     </w:t>
      </w:r>
      <w:r>
        <w:rPr>
          <w:rFonts w:hint="eastAsia" w:ascii="Times New Roman"/>
          <w:bCs/>
          <w:sz w:val="24"/>
        </w:rPr>
        <w:t>当</w:t>
      </w:r>
      <w:r>
        <w:rPr>
          <w:rFonts w:ascii="Times New Roman"/>
          <w:bCs/>
          <w:i/>
          <w:iCs/>
          <w:sz w:val="24"/>
        </w:rPr>
        <w:t>Q</w:t>
      </w:r>
      <w:r>
        <w:rPr>
          <w:rFonts w:hint="eastAsia" w:ascii="Times New Roman"/>
          <w:bCs/>
          <w:sz w:val="24"/>
        </w:rPr>
        <w:t>＜</w:t>
      </w:r>
      <w:r>
        <w:rPr>
          <w:rFonts w:ascii="Times New Roman"/>
          <w:bCs/>
          <w:sz w:val="24"/>
        </w:rPr>
        <w:t>1</w:t>
      </w:r>
      <w:r>
        <w:rPr>
          <w:rFonts w:hint="eastAsia" w:ascii="Times New Roman"/>
          <w:bCs/>
          <w:sz w:val="24"/>
        </w:rPr>
        <w:t>时，该项目环境风险潜势为</w:t>
      </w:r>
      <w:r>
        <w:rPr>
          <w:rFonts w:hint="eastAsia" w:hAnsi="宋体" w:cs="宋体"/>
          <w:bCs/>
          <w:sz w:val="24"/>
        </w:rPr>
        <w:t>Ⅰ</w:t>
      </w:r>
      <w:r>
        <w:rPr>
          <w:rFonts w:hint="eastAsia" w:ascii="Times New Roman"/>
          <w:bCs/>
          <w:sz w:val="24"/>
        </w:rPr>
        <w:t>；</w:t>
      </w:r>
    </w:p>
    <w:p>
      <w:pPr>
        <w:pStyle w:val="590"/>
        <w:spacing w:line="460" w:lineRule="exact"/>
        <w:rPr>
          <w:rFonts w:ascii="Times New Roman"/>
          <w:bCs/>
          <w:sz w:val="24"/>
        </w:rPr>
      </w:pPr>
      <w:r>
        <w:rPr>
          <w:rFonts w:ascii="Times New Roman"/>
          <w:bCs/>
          <w:sz w:val="24"/>
        </w:rPr>
        <w:t xml:space="preserve">     </w:t>
      </w:r>
      <w:r>
        <w:rPr>
          <w:rFonts w:hint="eastAsia" w:ascii="Times New Roman"/>
          <w:bCs/>
          <w:sz w:val="24"/>
        </w:rPr>
        <w:t>当</w:t>
      </w:r>
      <w:r>
        <w:rPr>
          <w:rFonts w:ascii="Times New Roman"/>
          <w:bCs/>
          <w:i/>
          <w:iCs/>
          <w:sz w:val="24"/>
        </w:rPr>
        <w:t>Q</w:t>
      </w:r>
      <w:r>
        <w:rPr>
          <w:rFonts w:ascii="Times New Roman"/>
          <w:bCs/>
          <w:sz w:val="24"/>
        </w:rPr>
        <w:t>≥1</w:t>
      </w:r>
      <w:r>
        <w:rPr>
          <w:rFonts w:hint="eastAsia" w:ascii="Times New Roman"/>
          <w:bCs/>
          <w:sz w:val="24"/>
        </w:rPr>
        <w:t>时，将</w:t>
      </w:r>
      <w:r>
        <w:rPr>
          <w:rFonts w:ascii="Times New Roman"/>
          <w:bCs/>
          <w:i/>
          <w:iCs/>
          <w:sz w:val="24"/>
        </w:rPr>
        <w:t>Q</w:t>
      </w:r>
      <w:r>
        <w:rPr>
          <w:rFonts w:ascii="Times New Roman"/>
          <w:bCs/>
          <w:sz w:val="24"/>
        </w:rPr>
        <w:t xml:space="preserve"> </w:t>
      </w:r>
      <w:r>
        <w:rPr>
          <w:rFonts w:hint="eastAsia" w:ascii="Times New Roman"/>
          <w:bCs/>
          <w:sz w:val="24"/>
        </w:rPr>
        <w:t>值划分为：（</w:t>
      </w:r>
      <w:r>
        <w:rPr>
          <w:rFonts w:ascii="Times New Roman"/>
          <w:bCs/>
          <w:sz w:val="24"/>
        </w:rPr>
        <w:t>1</w:t>
      </w:r>
      <w:r>
        <w:rPr>
          <w:rFonts w:hint="eastAsia" w:ascii="Times New Roman"/>
          <w:bCs/>
          <w:sz w:val="24"/>
        </w:rPr>
        <w:t>）</w:t>
      </w:r>
      <w:r>
        <w:rPr>
          <w:rFonts w:ascii="Times New Roman"/>
          <w:bCs/>
          <w:sz w:val="24"/>
        </w:rPr>
        <w:t>1≤Q</w:t>
      </w:r>
      <w:r>
        <w:rPr>
          <w:rFonts w:hint="eastAsia" w:ascii="Times New Roman"/>
          <w:bCs/>
          <w:sz w:val="24"/>
        </w:rPr>
        <w:t>＜</w:t>
      </w:r>
      <w:r>
        <w:rPr>
          <w:rFonts w:ascii="Times New Roman"/>
          <w:bCs/>
          <w:sz w:val="24"/>
        </w:rPr>
        <w:t>10</w:t>
      </w:r>
      <w:r>
        <w:rPr>
          <w:rFonts w:hint="eastAsia" w:ascii="Times New Roman"/>
          <w:bCs/>
          <w:sz w:val="24"/>
        </w:rPr>
        <w:t>；（</w:t>
      </w:r>
      <w:r>
        <w:rPr>
          <w:rFonts w:ascii="Times New Roman"/>
          <w:bCs/>
          <w:sz w:val="24"/>
        </w:rPr>
        <w:t>2</w:t>
      </w:r>
      <w:r>
        <w:rPr>
          <w:rFonts w:hint="eastAsia" w:ascii="Times New Roman"/>
          <w:bCs/>
          <w:sz w:val="24"/>
        </w:rPr>
        <w:t>）</w:t>
      </w:r>
      <w:r>
        <w:rPr>
          <w:rFonts w:ascii="Times New Roman"/>
          <w:bCs/>
          <w:sz w:val="24"/>
        </w:rPr>
        <w:t>10≤Q</w:t>
      </w:r>
      <w:r>
        <w:rPr>
          <w:rFonts w:hint="eastAsia" w:ascii="Times New Roman"/>
          <w:bCs/>
          <w:sz w:val="24"/>
        </w:rPr>
        <w:t>＜</w:t>
      </w:r>
      <w:r>
        <w:rPr>
          <w:rFonts w:ascii="Times New Roman"/>
          <w:bCs/>
          <w:sz w:val="24"/>
        </w:rPr>
        <w:t>100</w:t>
      </w:r>
      <w:r>
        <w:rPr>
          <w:rFonts w:hint="eastAsia" w:ascii="Times New Roman"/>
          <w:bCs/>
          <w:sz w:val="24"/>
        </w:rPr>
        <w:t>；（</w:t>
      </w:r>
      <w:r>
        <w:rPr>
          <w:rFonts w:ascii="Times New Roman"/>
          <w:bCs/>
          <w:sz w:val="24"/>
        </w:rPr>
        <w:t>3</w:t>
      </w:r>
      <w:r>
        <w:rPr>
          <w:rFonts w:hint="eastAsia" w:ascii="Times New Roman"/>
          <w:bCs/>
          <w:sz w:val="24"/>
        </w:rPr>
        <w:t>）</w:t>
      </w:r>
      <w:r>
        <w:rPr>
          <w:rFonts w:ascii="Times New Roman"/>
          <w:bCs/>
          <w:i/>
          <w:iCs/>
          <w:sz w:val="24"/>
        </w:rPr>
        <w:t>Q</w:t>
      </w:r>
      <w:r>
        <w:rPr>
          <w:rFonts w:ascii="Times New Roman"/>
          <w:bCs/>
          <w:sz w:val="24"/>
        </w:rPr>
        <w:t>≥100</w:t>
      </w:r>
      <w:r>
        <w:rPr>
          <w:rFonts w:hint="eastAsia" w:ascii="Times New Roman"/>
          <w:bCs/>
          <w:sz w:val="24"/>
        </w:rPr>
        <w:t>。</w:t>
      </w:r>
    </w:p>
    <w:p>
      <w:pPr>
        <w:pStyle w:val="590"/>
        <w:spacing w:line="460" w:lineRule="exact"/>
        <w:jc w:val="both"/>
        <w:rPr>
          <w:rFonts w:ascii="Times New Roman"/>
          <w:bCs/>
          <w:sz w:val="24"/>
          <w:szCs w:val="24"/>
        </w:rPr>
      </w:pPr>
      <w:r>
        <w:rPr>
          <w:rFonts w:hint="eastAsia" w:ascii="Times New Roman"/>
          <w:bCs/>
          <w:sz w:val="24"/>
          <w:szCs w:val="24"/>
        </w:rPr>
        <w:t>根据《建设项目环境风险评价技术导则》（</w:t>
      </w:r>
      <w:r>
        <w:rPr>
          <w:rFonts w:ascii="Times New Roman"/>
          <w:bCs/>
          <w:sz w:val="24"/>
          <w:szCs w:val="24"/>
        </w:rPr>
        <w:t>HJ169-2018</w:t>
      </w:r>
      <w:r>
        <w:rPr>
          <w:rFonts w:hint="eastAsia" w:ascii="Times New Roman"/>
          <w:bCs/>
          <w:sz w:val="24"/>
          <w:szCs w:val="24"/>
        </w:rPr>
        <w:t>）可知，环境风险评价工作等级划分为一级、二级、三级、简单分析。根据建设项目涉及的风险物质及工艺系统潜在危险性和所在地的环境敏感性确定环境风险潜势，按照表2</w:t>
      </w:r>
      <w:r>
        <w:rPr>
          <w:rFonts w:ascii="Times New Roman"/>
          <w:bCs/>
          <w:sz w:val="24"/>
          <w:szCs w:val="24"/>
        </w:rPr>
        <w:t>.5-1</w:t>
      </w:r>
      <w:r>
        <w:rPr>
          <w:rFonts w:hint="eastAsia" w:ascii="Times New Roman"/>
          <w:bCs/>
          <w:sz w:val="24"/>
          <w:szCs w:val="24"/>
        </w:rPr>
        <w:t>2确定评价工作等级。风险潜势为Ⅳ及以上，进行一级评价；风险潜势为Ⅲ，进行二级评价；风险潜势为Ⅱ，进行三级评价；风险潜势为Ⅰ，可开展简单分析。</w:t>
      </w:r>
    </w:p>
    <w:p>
      <w:pPr>
        <w:pStyle w:val="632"/>
        <w:spacing w:line="240" w:lineRule="auto"/>
        <w:ind w:firstLine="420"/>
        <w:rPr>
          <w:rFonts w:eastAsia="黑体"/>
        </w:rPr>
      </w:pPr>
      <w:r>
        <w:rPr>
          <w:rFonts w:hint="eastAsia" w:eastAsia="黑体"/>
        </w:rPr>
        <w:t>表2.5-12                 评价工作等级划分表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环境风险潜势</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Ⅳ、Ⅳ+</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Ⅲ</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Ⅱ</w:t>
            </w:r>
          </w:p>
        </w:tc>
        <w:tc>
          <w:tcPr>
            <w:tcW w:w="168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评价工作等级</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一</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二</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三</w:t>
            </w:r>
          </w:p>
        </w:tc>
        <w:tc>
          <w:tcPr>
            <w:tcW w:w="1688" w:type="dxa"/>
            <w:vAlign w:val="center"/>
          </w:tcPr>
          <w:p>
            <w:pPr>
              <w:pStyle w:val="293"/>
              <w:adjustRightInd w:val="0"/>
              <w:snapToGrid w:val="0"/>
              <w:spacing w:before="0" w:after="0"/>
              <w:ind w:left="0" w:right="0"/>
              <w:rPr>
                <w:color w:val="auto"/>
                <w:kern w:val="0"/>
                <w:sz w:val="21"/>
                <w:szCs w:val="21"/>
                <w:vertAlign w:val="superscript"/>
              </w:rPr>
            </w:pPr>
            <w:r>
              <w:rPr>
                <w:rFonts w:hint="eastAsia"/>
                <w:color w:val="auto"/>
                <w:kern w:val="0"/>
                <w:sz w:val="21"/>
                <w:szCs w:val="21"/>
              </w:rPr>
              <w:t>简单分析</w:t>
            </w:r>
            <w:r>
              <w:rPr>
                <w:rFonts w:hint="eastAsia"/>
                <w:color w:val="auto"/>
                <w:kern w:val="0"/>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5"/>
            <w:vAlign w:val="center"/>
          </w:tcPr>
          <w:p>
            <w:pPr>
              <w:pStyle w:val="293"/>
              <w:adjustRightInd w:val="0"/>
              <w:snapToGrid w:val="0"/>
              <w:spacing w:before="0" w:after="0"/>
              <w:ind w:left="0" w:right="0"/>
              <w:rPr>
                <w:color w:val="auto"/>
                <w:kern w:val="0"/>
                <w:sz w:val="21"/>
                <w:szCs w:val="21"/>
              </w:rPr>
            </w:pPr>
            <w:r>
              <w:rPr>
                <w:color w:val="auto"/>
                <w:kern w:val="0"/>
                <w:sz w:val="21"/>
                <w:szCs w:val="21"/>
              </w:rPr>
              <w:t>a是相对于详细评价工作内容而言，在描述危险物质、环境影响途径、环境危害后果、风险防范措施等方面给出定性的说明。</w:t>
            </w:r>
          </w:p>
        </w:tc>
      </w:tr>
    </w:tbl>
    <w:p>
      <w:pPr>
        <w:pStyle w:val="590"/>
        <w:spacing w:line="460" w:lineRule="exact"/>
        <w:jc w:val="both"/>
        <w:rPr>
          <w:rFonts w:ascii="Times New Roman"/>
          <w:bCs/>
          <w:sz w:val="24"/>
          <w:szCs w:val="24"/>
        </w:rPr>
      </w:pPr>
      <w:r>
        <w:rPr>
          <w:rFonts w:hint="eastAsia" w:ascii="Times New Roman"/>
          <w:bCs/>
          <w:sz w:val="24"/>
          <w:szCs w:val="24"/>
        </w:rPr>
        <w:t>（1）物质风险识别</w:t>
      </w:r>
    </w:p>
    <w:p>
      <w:pPr>
        <w:spacing w:line="460" w:lineRule="exact"/>
        <w:ind w:firstLine="480" w:firstLineChars="200"/>
        <w:rPr>
          <w:rFonts w:eastAsiaTheme="minorEastAsia"/>
          <w:sz w:val="24"/>
        </w:rPr>
      </w:pPr>
      <w:r>
        <w:rPr>
          <w:rFonts w:hint="eastAsia" w:eastAsiaTheme="minorEastAsia"/>
          <w:sz w:val="24"/>
        </w:rPr>
        <w:t>本项目原辅材料为废旧塑料膜、废旧滴灌带、新购聚乙烯颗粒、色母粒、抗老化剂等，中间产品为再生聚乙烯颗粒料，产品为滴灌带、PE管，均为塑料制品，项目生产过程不涉及《建设项目环境风险评价技术导则》（</w:t>
      </w:r>
      <w:r>
        <w:rPr>
          <w:rFonts w:eastAsiaTheme="minorEastAsia"/>
          <w:sz w:val="24"/>
        </w:rPr>
        <w:t>HJ169-2018</w:t>
      </w:r>
      <w:r>
        <w:rPr>
          <w:rFonts w:hint="eastAsia" w:eastAsiaTheme="minorEastAsia"/>
          <w:sz w:val="24"/>
        </w:rPr>
        <w:t>）附录</w:t>
      </w:r>
      <w:r>
        <w:rPr>
          <w:rFonts w:eastAsiaTheme="minorEastAsia"/>
          <w:sz w:val="24"/>
        </w:rPr>
        <w:t>B</w:t>
      </w:r>
      <w:r>
        <w:rPr>
          <w:rFonts w:hint="eastAsia" w:eastAsiaTheme="minorEastAsia"/>
          <w:sz w:val="24"/>
        </w:rPr>
        <w:t>中的危险物质。主要危险物质为废润滑油，属于油类物质，危险物质储存量与临界量比值见表2</w:t>
      </w:r>
      <w:r>
        <w:rPr>
          <w:rFonts w:eastAsiaTheme="minorEastAsia"/>
          <w:sz w:val="24"/>
        </w:rPr>
        <w:t>.5-1</w:t>
      </w:r>
      <w:r>
        <w:rPr>
          <w:rFonts w:hint="eastAsia" w:eastAsiaTheme="minorEastAsia"/>
          <w:sz w:val="24"/>
        </w:rPr>
        <w:t>3。</w:t>
      </w:r>
    </w:p>
    <w:p>
      <w:pPr>
        <w:pStyle w:val="632"/>
        <w:spacing w:line="240" w:lineRule="auto"/>
        <w:ind w:firstLine="420"/>
        <w:rPr>
          <w:rFonts w:eastAsia="黑体"/>
        </w:rPr>
      </w:pPr>
      <w:r>
        <w:rPr>
          <w:rFonts w:hint="eastAsia" w:eastAsia="黑体"/>
        </w:rPr>
        <w:t>表2</w:t>
      </w:r>
      <w:r>
        <w:rPr>
          <w:rFonts w:eastAsia="黑体"/>
        </w:rPr>
        <w:t>.5-1</w:t>
      </w:r>
      <w:r>
        <w:rPr>
          <w:rFonts w:hint="eastAsia" w:eastAsia="黑体"/>
        </w:rPr>
        <w:t>3</w:t>
      </w:r>
      <w:r>
        <w:rPr>
          <w:rFonts w:eastAsia="黑体"/>
        </w:rPr>
        <w:t xml:space="preserve">          </w:t>
      </w:r>
      <w:r>
        <w:rPr>
          <w:rFonts w:hint="eastAsia" w:eastAsia="黑体"/>
        </w:rPr>
        <w:t>本项目危险物质存在量与临界量比值一览表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693"/>
        <w:gridCol w:w="1736"/>
        <w:gridCol w:w="1562"/>
        <w:gridCol w:w="1552"/>
        <w:gridCol w:w="16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0" w:type="pct"/>
            <w:tcBorders>
              <w:top w:val="single" w:color="auto" w:sz="12" w:space="0"/>
              <w:left w:val="nil"/>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物质名称</w:t>
            </w:r>
          </w:p>
        </w:tc>
        <w:tc>
          <w:tcPr>
            <w:tcW w:w="1056" w:type="pct"/>
            <w:tcBorders>
              <w:top w:val="single" w:color="auto" w:sz="12"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临界量（</w:t>
            </w:r>
            <w:r>
              <w:rPr>
                <w:color w:val="auto"/>
                <w:sz w:val="21"/>
                <w:szCs w:val="21"/>
              </w:rPr>
              <w:t>Qi</w:t>
            </w:r>
            <w:r>
              <w:rPr>
                <w:rFonts w:hint="eastAsia"/>
                <w:color w:val="auto"/>
                <w:sz w:val="21"/>
                <w:szCs w:val="21"/>
              </w:rPr>
              <w:t>）</w:t>
            </w:r>
            <w:r>
              <w:rPr>
                <w:color w:val="auto"/>
                <w:sz w:val="21"/>
                <w:szCs w:val="21"/>
              </w:rPr>
              <w:t xml:space="preserve"> </w:t>
            </w:r>
          </w:p>
        </w:tc>
        <w:tc>
          <w:tcPr>
            <w:tcW w:w="950" w:type="pct"/>
            <w:tcBorders>
              <w:top w:val="single" w:color="auto" w:sz="12"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存在量（</w:t>
            </w:r>
            <w:r>
              <w:rPr>
                <w:color w:val="auto"/>
                <w:sz w:val="21"/>
                <w:szCs w:val="21"/>
              </w:rPr>
              <w:t>qi</w:t>
            </w:r>
            <w:r>
              <w:rPr>
                <w:rFonts w:hint="eastAsia"/>
                <w:color w:val="auto"/>
                <w:sz w:val="21"/>
                <w:szCs w:val="21"/>
              </w:rPr>
              <w:t>）</w:t>
            </w:r>
          </w:p>
        </w:tc>
        <w:tc>
          <w:tcPr>
            <w:tcW w:w="944" w:type="pct"/>
            <w:tcBorders>
              <w:top w:val="single" w:color="auto" w:sz="12"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qi/Qi</w:t>
            </w:r>
          </w:p>
        </w:tc>
        <w:tc>
          <w:tcPr>
            <w:tcW w:w="1020" w:type="pct"/>
            <w:tcBorders>
              <w:top w:val="single" w:color="auto" w:sz="12" w:space="0"/>
              <w:left w:val="single" w:color="auto" w:sz="6" w:space="0"/>
              <w:bottom w:val="single" w:color="auto" w:sz="6" w:space="0"/>
              <w:right w:val="nil"/>
            </w:tcBorders>
            <w:vAlign w:val="center"/>
          </w:tcPr>
          <w:p>
            <w:pPr>
              <w:pStyle w:val="293"/>
              <w:adjustRightInd w:val="0"/>
              <w:snapToGrid w:val="0"/>
              <w:spacing w:before="0" w:after="0"/>
              <w:ind w:left="0" w:right="0"/>
              <w:rPr>
                <w:color w:val="auto"/>
                <w:sz w:val="21"/>
                <w:szCs w:val="21"/>
              </w:rPr>
            </w:pPr>
            <w:r>
              <w:rPr>
                <w:rFonts w:hint="eastAsia"/>
                <w:color w:val="auto"/>
                <w:sz w:val="21"/>
                <w:szCs w:val="21"/>
              </w:rPr>
              <w:t>是否构成重</w:t>
            </w:r>
          </w:p>
          <w:p>
            <w:pPr>
              <w:pStyle w:val="293"/>
              <w:adjustRightInd w:val="0"/>
              <w:snapToGrid w:val="0"/>
              <w:spacing w:before="0" w:after="0"/>
              <w:ind w:left="0" w:right="0"/>
              <w:rPr>
                <w:color w:val="auto"/>
                <w:kern w:val="0"/>
                <w:sz w:val="21"/>
                <w:szCs w:val="21"/>
              </w:rPr>
            </w:pPr>
            <w:r>
              <w:rPr>
                <w:rFonts w:hint="eastAsia"/>
                <w:color w:val="auto"/>
                <w:sz w:val="21"/>
                <w:szCs w:val="21"/>
              </w:rPr>
              <w:t>大危险源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0" w:type="pct"/>
            <w:tcBorders>
              <w:top w:val="single" w:color="auto" w:sz="6" w:space="0"/>
              <w:left w:val="nil"/>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废润滑油</w:t>
            </w:r>
          </w:p>
        </w:tc>
        <w:tc>
          <w:tcPr>
            <w:tcW w:w="1056" w:type="pct"/>
            <w:tcBorders>
              <w:top w:val="single" w:color="auto" w:sz="6"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2500t</w:t>
            </w:r>
          </w:p>
        </w:tc>
        <w:tc>
          <w:tcPr>
            <w:tcW w:w="950" w:type="pct"/>
            <w:tcBorders>
              <w:top w:val="single" w:color="auto" w:sz="6"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0.6t</w:t>
            </w:r>
          </w:p>
        </w:tc>
        <w:tc>
          <w:tcPr>
            <w:tcW w:w="944" w:type="pct"/>
            <w:tcBorders>
              <w:top w:val="single" w:color="auto" w:sz="6" w:space="0"/>
              <w:left w:val="single" w:color="auto" w:sz="6" w:space="0"/>
              <w:bottom w:val="single" w:color="auto" w:sz="6"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0.00024</w:t>
            </w:r>
          </w:p>
        </w:tc>
        <w:tc>
          <w:tcPr>
            <w:tcW w:w="1020" w:type="pct"/>
            <w:vMerge w:val="restart"/>
            <w:tcBorders>
              <w:top w:val="single" w:color="auto" w:sz="6" w:space="0"/>
              <w:left w:val="single" w:color="auto" w:sz="6" w:space="0"/>
              <w:bottom w:val="single" w:color="auto" w:sz="12"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0" w:type="pct"/>
            <w:tcBorders>
              <w:top w:val="single" w:color="auto" w:sz="6" w:space="0"/>
              <w:left w:val="nil"/>
              <w:bottom w:val="single" w:color="auto" w:sz="12" w:space="0"/>
              <w:right w:val="single" w:color="auto" w:sz="6" w:space="0"/>
            </w:tcBorders>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w:t>
            </w:r>
            <w:r>
              <w:rPr>
                <w:color w:val="auto"/>
                <w:sz w:val="21"/>
                <w:szCs w:val="21"/>
              </w:rPr>
              <w:t>qi/Qi</w:t>
            </w:r>
            <w:r>
              <w:rPr>
                <w:rFonts w:hint="eastAsia"/>
                <w:color w:val="auto"/>
                <w:sz w:val="21"/>
                <w:szCs w:val="21"/>
              </w:rPr>
              <w:t>）</w:t>
            </w:r>
          </w:p>
        </w:tc>
        <w:tc>
          <w:tcPr>
            <w:tcW w:w="1056" w:type="pct"/>
            <w:tcBorders>
              <w:top w:val="single" w:color="auto" w:sz="6" w:space="0"/>
              <w:left w:val="single" w:color="auto" w:sz="6" w:space="0"/>
              <w:bottom w:val="single" w:color="auto" w:sz="12"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w:t>
            </w:r>
          </w:p>
        </w:tc>
        <w:tc>
          <w:tcPr>
            <w:tcW w:w="950" w:type="pct"/>
            <w:tcBorders>
              <w:top w:val="single" w:color="auto" w:sz="6" w:space="0"/>
              <w:left w:val="single" w:color="auto" w:sz="6" w:space="0"/>
              <w:bottom w:val="single" w:color="auto" w:sz="12"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w:t>
            </w:r>
          </w:p>
        </w:tc>
        <w:tc>
          <w:tcPr>
            <w:tcW w:w="944" w:type="pct"/>
            <w:tcBorders>
              <w:top w:val="single" w:color="auto" w:sz="6" w:space="0"/>
              <w:left w:val="single" w:color="auto" w:sz="6" w:space="0"/>
              <w:bottom w:val="single" w:color="auto" w:sz="12" w:space="0"/>
              <w:right w:val="single" w:color="auto" w:sz="6" w:space="0"/>
            </w:tcBorders>
            <w:vAlign w:val="center"/>
          </w:tcPr>
          <w:p>
            <w:pPr>
              <w:pStyle w:val="293"/>
              <w:adjustRightInd w:val="0"/>
              <w:snapToGrid w:val="0"/>
              <w:spacing w:before="0" w:after="0"/>
              <w:ind w:left="0" w:right="0"/>
              <w:rPr>
                <w:color w:val="auto"/>
                <w:kern w:val="0"/>
                <w:sz w:val="21"/>
                <w:szCs w:val="21"/>
              </w:rPr>
            </w:pPr>
            <w:r>
              <w:rPr>
                <w:color w:val="auto"/>
                <w:sz w:val="21"/>
                <w:szCs w:val="21"/>
              </w:rPr>
              <w:t>0.00024</w:t>
            </w:r>
          </w:p>
        </w:tc>
        <w:tc>
          <w:tcPr>
            <w:tcW w:w="0" w:type="auto"/>
            <w:vMerge w:val="continue"/>
            <w:tcBorders>
              <w:top w:val="single" w:color="auto" w:sz="6" w:space="0"/>
              <w:left w:val="single" w:color="auto" w:sz="6" w:space="0"/>
              <w:bottom w:val="single" w:color="auto" w:sz="12" w:space="0"/>
              <w:right w:val="nil"/>
            </w:tcBorders>
            <w:vAlign w:val="center"/>
          </w:tcPr>
          <w:p>
            <w:pPr>
              <w:widowControl/>
              <w:jc w:val="left"/>
              <w:rPr>
                <w:kern w:val="0"/>
                <w:szCs w:val="21"/>
              </w:rPr>
            </w:pPr>
          </w:p>
        </w:tc>
      </w:tr>
    </w:tbl>
    <w:p>
      <w:pPr>
        <w:autoSpaceDE w:val="0"/>
        <w:autoSpaceDN w:val="0"/>
        <w:spacing w:line="460" w:lineRule="exact"/>
        <w:ind w:firstLine="480" w:firstLineChars="200"/>
        <w:rPr>
          <w:sz w:val="24"/>
        </w:rPr>
      </w:pPr>
      <w:r>
        <w:rPr>
          <w:rFonts w:hint="eastAsia"/>
          <w:sz w:val="24"/>
        </w:rPr>
        <w:t>（2）环境风险评价等级</w:t>
      </w:r>
    </w:p>
    <w:p>
      <w:pPr>
        <w:spacing w:line="460" w:lineRule="exact"/>
        <w:ind w:firstLine="480" w:firstLineChars="200"/>
        <w:rPr>
          <w:rFonts w:eastAsiaTheme="minorEastAsia"/>
          <w:sz w:val="24"/>
        </w:rPr>
      </w:pPr>
      <w:r>
        <w:rPr>
          <w:rFonts w:hint="eastAsia" w:eastAsiaTheme="minorEastAsia"/>
          <w:sz w:val="24"/>
        </w:rPr>
        <w:t>根据表2</w:t>
      </w:r>
      <w:r>
        <w:rPr>
          <w:rFonts w:eastAsiaTheme="minorEastAsia"/>
          <w:sz w:val="24"/>
        </w:rPr>
        <w:t>.5-1</w:t>
      </w:r>
      <w:r>
        <w:rPr>
          <w:rFonts w:hint="eastAsia" w:eastAsiaTheme="minorEastAsia"/>
          <w:sz w:val="24"/>
        </w:rPr>
        <w:t>3，本项目风险物质</w:t>
      </w:r>
      <w:r>
        <w:rPr>
          <w:rFonts w:eastAsiaTheme="minorEastAsia"/>
          <w:sz w:val="24"/>
        </w:rPr>
        <w:t>Q</w:t>
      </w:r>
      <w:r>
        <w:rPr>
          <w:rFonts w:hint="eastAsia" w:eastAsiaTheme="minorEastAsia"/>
          <w:sz w:val="24"/>
        </w:rPr>
        <w:t>值为</w:t>
      </w:r>
      <w:r>
        <w:rPr>
          <w:rFonts w:eastAsiaTheme="minorEastAsia"/>
          <w:sz w:val="24"/>
        </w:rPr>
        <w:t>0.00024</w:t>
      </w:r>
      <w:r>
        <w:rPr>
          <w:rFonts w:hint="eastAsia" w:eastAsiaTheme="minorEastAsia"/>
          <w:sz w:val="24"/>
        </w:rPr>
        <w:t>＜</w:t>
      </w:r>
      <w:r>
        <w:rPr>
          <w:rFonts w:eastAsiaTheme="minorEastAsia"/>
          <w:sz w:val="24"/>
        </w:rPr>
        <w:t>1</w:t>
      </w:r>
      <w:r>
        <w:rPr>
          <w:rFonts w:hint="eastAsia" w:eastAsiaTheme="minorEastAsia"/>
          <w:sz w:val="24"/>
        </w:rPr>
        <w:t>，因此风险潜势为Ⅰ，依据表2</w:t>
      </w:r>
      <w:r>
        <w:rPr>
          <w:rFonts w:eastAsiaTheme="minorEastAsia"/>
          <w:sz w:val="24"/>
        </w:rPr>
        <w:t>.5-1</w:t>
      </w:r>
      <w:r>
        <w:rPr>
          <w:rFonts w:hint="eastAsia" w:eastAsiaTheme="minorEastAsia"/>
          <w:sz w:val="24"/>
        </w:rPr>
        <w:t>2，可知，本项目环境风险评价等级为简单分析。</w:t>
      </w:r>
    </w:p>
    <w:p>
      <w:pPr>
        <w:spacing w:line="460" w:lineRule="exact"/>
        <w:ind w:firstLine="480" w:firstLineChars="200"/>
        <w:rPr>
          <w:rFonts w:eastAsiaTheme="minorEastAsia"/>
          <w:sz w:val="24"/>
        </w:rPr>
      </w:pPr>
      <w:r>
        <w:rPr>
          <w:rFonts w:eastAsiaTheme="minorEastAsia"/>
          <w:sz w:val="24"/>
        </w:rPr>
        <w:t xml:space="preserve"> 7</w:t>
      </w:r>
      <w:r>
        <w:rPr>
          <w:rFonts w:hint="eastAsia" w:eastAsiaTheme="minorEastAsia"/>
          <w:sz w:val="24"/>
        </w:rPr>
        <w:t>、生态环境</w:t>
      </w:r>
    </w:p>
    <w:p>
      <w:pPr>
        <w:spacing w:line="460" w:lineRule="exact"/>
        <w:ind w:firstLine="480" w:firstLineChars="200"/>
        <w:rPr>
          <w:rFonts w:eastAsiaTheme="minorEastAsia"/>
          <w:sz w:val="24"/>
        </w:rPr>
      </w:pPr>
      <w:r>
        <w:rPr>
          <w:rFonts w:hint="eastAsia" w:eastAsiaTheme="minorEastAsia"/>
          <w:sz w:val="24"/>
        </w:rPr>
        <w:t>本项目建设地点位于昌吉国家农业科技园区示范区昌吉市昊慧盛塑料制品厂区内，项目属于扩建项目，不新增占地，根据《环境影响评价技术导则 生态环境》（HJ</w:t>
      </w:r>
      <w:r>
        <w:rPr>
          <w:rFonts w:eastAsiaTheme="minorEastAsia"/>
          <w:sz w:val="24"/>
        </w:rPr>
        <w:t xml:space="preserve"> </w:t>
      </w:r>
      <w:r>
        <w:rPr>
          <w:rFonts w:hint="eastAsia" w:eastAsiaTheme="minorEastAsia"/>
          <w:sz w:val="24"/>
        </w:rPr>
        <w:t>19-20</w:t>
      </w:r>
      <w:r>
        <w:rPr>
          <w:rFonts w:eastAsiaTheme="minorEastAsia"/>
          <w:sz w:val="24"/>
        </w:rPr>
        <w:t>22</w:t>
      </w:r>
      <w:r>
        <w:rPr>
          <w:rFonts w:hint="eastAsia" w:eastAsiaTheme="minorEastAsia"/>
          <w:sz w:val="24"/>
        </w:rPr>
        <w:t>）中“6.1.8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规定，本项目生态环境评价不设置评价等级，只进行生态影响简单分析即可。</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2</w:t>
      </w:r>
      <w:r>
        <w:rPr>
          <w:rFonts w:ascii="Times New Roman"/>
          <w:spacing w:val="12"/>
          <w:w w:val="95"/>
          <w:kern w:val="0"/>
          <w:szCs w:val="26"/>
        </w:rPr>
        <w:t>.</w:t>
      </w:r>
      <w:r>
        <w:rPr>
          <w:rFonts w:hint="eastAsia" w:ascii="Times New Roman"/>
          <w:spacing w:val="12"/>
          <w:w w:val="95"/>
          <w:kern w:val="0"/>
          <w:szCs w:val="26"/>
        </w:rPr>
        <w:t>5</w:t>
      </w:r>
      <w:r>
        <w:rPr>
          <w:rFonts w:ascii="Times New Roman"/>
          <w:spacing w:val="12"/>
          <w:w w:val="95"/>
          <w:kern w:val="0"/>
          <w:szCs w:val="26"/>
        </w:rPr>
        <w:t>.2 评价范围</w:t>
      </w:r>
    </w:p>
    <w:p>
      <w:pPr>
        <w:autoSpaceDE w:val="0"/>
        <w:autoSpaceDN w:val="0"/>
        <w:spacing w:line="460" w:lineRule="exact"/>
        <w:ind w:firstLine="480" w:firstLineChars="200"/>
        <w:rPr>
          <w:sz w:val="24"/>
        </w:rPr>
      </w:pPr>
      <w:r>
        <w:rPr>
          <w:rFonts w:hint="eastAsia"/>
          <w:sz w:val="24"/>
        </w:rPr>
        <w:t>1、</w:t>
      </w:r>
      <w:r>
        <w:rPr>
          <w:sz w:val="24"/>
        </w:rPr>
        <w:t>环境空气</w:t>
      </w:r>
    </w:p>
    <w:p>
      <w:pPr>
        <w:autoSpaceDE w:val="0"/>
        <w:autoSpaceDN w:val="0"/>
        <w:spacing w:line="460" w:lineRule="exact"/>
        <w:ind w:firstLine="480" w:firstLineChars="200"/>
        <w:rPr>
          <w:sz w:val="24"/>
        </w:rPr>
      </w:pPr>
      <w:r>
        <w:rPr>
          <w:rFonts w:hint="eastAsia"/>
          <w:sz w:val="24"/>
        </w:rPr>
        <w:t>按照《环境影响评价技术导则</w:t>
      </w:r>
      <w:r>
        <w:rPr>
          <w:sz w:val="24"/>
        </w:rPr>
        <w:t xml:space="preserve"> </w:t>
      </w:r>
      <w:r>
        <w:rPr>
          <w:rFonts w:hint="eastAsia"/>
          <w:sz w:val="24"/>
        </w:rPr>
        <w:t>大气环境》（</w:t>
      </w:r>
      <w:r>
        <w:rPr>
          <w:sz w:val="24"/>
        </w:rPr>
        <w:t>HJ2.2-2018</w:t>
      </w:r>
      <w:r>
        <w:rPr>
          <w:rFonts w:hint="eastAsia"/>
          <w:sz w:val="24"/>
        </w:rPr>
        <w:t>），二级评价项目大气环境影响范围边长取</w:t>
      </w:r>
      <w:r>
        <w:rPr>
          <w:sz w:val="24"/>
        </w:rPr>
        <w:t>5km</w:t>
      </w:r>
      <w:r>
        <w:rPr>
          <w:rFonts w:hint="eastAsia"/>
          <w:sz w:val="24"/>
        </w:rPr>
        <w:t>。故确定本项目评价范围为以项目厂区为中心，边长为</w:t>
      </w:r>
      <w:r>
        <w:rPr>
          <w:sz w:val="24"/>
        </w:rPr>
        <w:t>5km×5km</w:t>
      </w:r>
      <w:r>
        <w:rPr>
          <w:rFonts w:hint="eastAsia"/>
          <w:sz w:val="24"/>
        </w:rPr>
        <w:t>的矩形区域。</w:t>
      </w:r>
    </w:p>
    <w:p>
      <w:pPr>
        <w:spacing w:line="460" w:lineRule="exact"/>
        <w:ind w:firstLine="480" w:firstLineChars="200"/>
        <w:rPr>
          <w:sz w:val="24"/>
        </w:rPr>
      </w:pPr>
      <w:r>
        <w:rPr>
          <w:rFonts w:hint="eastAsia"/>
          <w:sz w:val="24"/>
        </w:rPr>
        <w:t>2、</w:t>
      </w:r>
      <w:r>
        <w:rPr>
          <w:sz w:val="24"/>
        </w:rPr>
        <w:t>水环境</w:t>
      </w:r>
    </w:p>
    <w:p>
      <w:pPr>
        <w:overflowPunct w:val="0"/>
        <w:spacing w:line="460" w:lineRule="exact"/>
        <w:ind w:firstLine="480" w:firstLineChars="200"/>
        <w:rPr>
          <w:sz w:val="24"/>
        </w:rPr>
      </w:pPr>
      <w:r>
        <w:rPr>
          <w:rFonts w:hint="eastAsia"/>
          <w:sz w:val="24"/>
        </w:rPr>
        <w:t>本次地下水评价范围以厂址为中心，向上游方向</w:t>
      </w:r>
      <w:r>
        <w:rPr>
          <w:sz w:val="24"/>
        </w:rPr>
        <w:t>500m</w:t>
      </w:r>
      <w:r>
        <w:rPr>
          <w:rFonts w:hint="eastAsia"/>
          <w:sz w:val="24"/>
        </w:rPr>
        <w:t>，东西两侧各</w:t>
      </w:r>
      <w:r>
        <w:rPr>
          <w:sz w:val="24"/>
        </w:rPr>
        <w:t>1000m</w:t>
      </w:r>
      <w:r>
        <w:rPr>
          <w:rFonts w:hint="eastAsia"/>
          <w:sz w:val="24"/>
        </w:rPr>
        <w:t>，下游方向</w:t>
      </w:r>
      <w:r>
        <w:rPr>
          <w:sz w:val="24"/>
        </w:rPr>
        <w:t>2.5km</w:t>
      </w:r>
      <w:r>
        <w:rPr>
          <w:rFonts w:hint="eastAsia"/>
          <w:sz w:val="24"/>
        </w:rPr>
        <w:t>的区域，总面积</w:t>
      </w:r>
      <w:r>
        <w:rPr>
          <w:sz w:val="24"/>
        </w:rPr>
        <w:t>6km</w:t>
      </w:r>
      <w:r>
        <w:rPr>
          <w:sz w:val="24"/>
          <w:vertAlign w:val="superscript"/>
        </w:rPr>
        <w:t>2</w:t>
      </w:r>
      <w:r>
        <w:rPr>
          <w:rFonts w:hint="eastAsia"/>
          <w:sz w:val="24"/>
        </w:rPr>
        <w:t>，包括地下水流向的上游、下游和侧向范围。</w:t>
      </w:r>
    </w:p>
    <w:p>
      <w:pPr>
        <w:spacing w:line="460" w:lineRule="exact"/>
        <w:ind w:firstLine="480" w:firstLineChars="200"/>
        <w:rPr>
          <w:sz w:val="24"/>
        </w:rPr>
      </w:pPr>
      <w:r>
        <w:rPr>
          <w:rFonts w:hint="eastAsia"/>
          <w:sz w:val="24"/>
        </w:rPr>
        <w:t>3、</w:t>
      </w:r>
      <w:r>
        <w:rPr>
          <w:sz w:val="24"/>
        </w:rPr>
        <w:t>声环境</w:t>
      </w:r>
    </w:p>
    <w:p>
      <w:pPr>
        <w:spacing w:line="460" w:lineRule="exact"/>
        <w:ind w:firstLine="480" w:firstLineChars="200"/>
        <w:rPr>
          <w:sz w:val="24"/>
        </w:rPr>
      </w:pPr>
      <w:r>
        <w:rPr>
          <w:sz w:val="24"/>
        </w:rPr>
        <w:t>项目噪声评价范围为厂界外</w:t>
      </w:r>
      <w:r>
        <w:rPr>
          <w:rFonts w:hint="eastAsia"/>
          <w:sz w:val="24"/>
        </w:rPr>
        <w:t>200</w:t>
      </w:r>
      <w:r>
        <w:rPr>
          <w:sz w:val="24"/>
        </w:rPr>
        <w:t>m范围以内区域。</w:t>
      </w:r>
    </w:p>
    <w:p>
      <w:pPr>
        <w:spacing w:line="460" w:lineRule="exact"/>
        <w:ind w:firstLine="480" w:firstLineChars="200"/>
        <w:rPr>
          <w:sz w:val="24"/>
        </w:rPr>
      </w:pPr>
      <w:r>
        <w:rPr>
          <w:rFonts w:hint="eastAsia"/>
          <w:sz w:val="24"/>
        </w:rPr>
        <w:t>4、土壤环境</w:t>
      </w:r>
    </w:p>
    <w:p>
      <w:pPr>
        <w:spacing w:line="460" w:lineRule="exact"/>
        <w:ind w:firstLine="480" w:firstLineChars="200"/>
        <w:rPr>
          <w:sz w:val="24"/>
        </w:rPr>
      </w:pPr>
      <w:r>
        <w:rPr>
          <w:rFonts w:hint="eastAsia"/>
          <w:sz w:val="24"/>
        </w:rPr>
        <w:t>本项目土壤评价等级为三级，根据《环境影响评价技术导则 土壤环境（试行）》（HJ964-2018），土壤环境评价范围取厂界外50m范围内区域。</w:t>
      </w:r>
    </w:p>
    <w:p>
      <w:pPr>
        <w:spacing w:line="460" w:lineRule="exact"/>
        <w:ind w:firstLine="480" w:firstLineChars="200"/>
        <w:rPr>
          <w:sz w:val="24"/>
        </w:rPr>
      </w:pPr>
      <w:r>
        <w:rPr>
          <w:sz w:val="24"/>
        </w:rPr>
        <w:t>本项目环境影响评价范围见表</w:t>
      </w:r>
      <w:r>
        <w:rPr>
          <w:rFonts w:hint="eastAsia"/>
          <w:sz w:val="24"/>
        </w:rPr>
        <w:t>2</w:t>
      </w:r>
      <w:r>
        <w:rPr>
          <w:sz w:val="24"/>
        </w:rPr>
        <w:t>.</w:t>
      </w:r>
      <w:r>
        <w:rPr>
          <w:rFonts w:hint="eastAsia"/>
          <w:sz w:val="24"/>
        </w:rPr>
        <w:t>5</w:t>
      </w:r>
      <w:r>
        <w:rPr>
          <w:sz w:val="24"/>
        </w:rPr>
        <w:t>-</w:t>
      </w:r>
      <w:r>
        <w:rPr>
          <w:rFonts w:hint="eastAsia"/>
          <w:sz w:val="24"/>
        </w:rPr>
        <w:t>1</w:t>
      </w:r>
      <w:r>
        <w:rPr>
          <w:sz w:val="24"/>
        </w:rPr>
        <w:t>5，评价范围图见图</w:t>
      </w:r>
      <w:r>
        <w:rPr>
          <w:rFonts w:hint="eastAsia"/>
          <w:sz w:val="24"/>
        </w:rPr>
        <w:t>2</w:t>
      </w:r>
      <w:r>
        <w:rPr>
          <w:sz w:val="24"/>
        </w:rPr>
        <w:t>.</w:t>
      </w:r>
      <w:r>
        <w:rPr>
          <w:rFonts w:hint="eastAsia"/>
          <w:sz w:val="24"/>
        </w:rPr>
        <w:t>5</w:t>
      </w:r>
      <w:r>
        <w:rPr>
          <w:sz w:val="24"/>
        </w:rPr>
        <w:t>-1。</w:t>
      </w:r>
    </w:p>
    <w:p>
      <w:pPr>
        <w:autoSpaceDE w:val="0"/>
        <w:autoSpaceDN w:val="0"/>
        <w:ind w:firstLine="420" w:firstLineChars="200"/>
        <w:rPr>
          <w:rFonts w:eastAsia="黑体"/>
          <w:szCs w:val="21"/>
        </w:rPr>
      </w:pPr>
      <w:r>
        <w:rPr>
          <w:rFonts w:eastAsia="黑体"/>
          <w:szCs w:val="21"/>
        </w:rPr>
        <w:t>表</w:t>
      </w:r>
      <w:r>
        <w:rPr>
          <w:rFonts w:hint="eastAsia" w:eastAsia="黑体"/>
          <w:szCs w:val="21"/>
        </w:rPr>
        <w:t>2</w:t>
      </w:r>
      <w:r>
        <w:rPr>
          <w:rFonts w:eastAsia="黑体"/>
          <w:szCs w:val="21"/>
        </w:rPr>
        <w:t>.</w:t>
      </w:r>
      <w:r>
        <w:rPr>
          <w:rFonts w:hint="eastAsia" w:eastAsia="黑体"/>
          <w:szCs w:val="21"/>
        </w:rPr>
        <w:t>5</w:t>
      </w:r>
      <w:r>
        <w:rPr>
          <w:rFonts w:eastAsia="黑体"/>
          <w:szCs w:val="21"/>
        </w:rPr>
        <w:t>-</w:t>
      </w:r>
      <w:r>
        <w:rPr>
          <w:rFonts w:hint="eastAsia" w:eastAsia="黑体"/>
          <w:szCs w:val="21"/>
        </w:rPr>
        <w:t>1</w:t>
      </w:r>
      <w:r>
        <w:rPr>
          <w:rFonts w:eastAsia="黑体"/>
          <w:szCs w:val="21"/>
        </w:rPr>
        <w:t>5                      评价范围一览表</w:t>
      </w:r>
    </w:p>
    <w:tbl>
      <w:tblPr>
        <w:tblStyle w:val="59"/>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0"/>
        <w:gridCol w:w="1138"/>
        <w:gridCol w:w="58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dxa"/>
            <w:vAlign w:val="center"/>
          </w:tcPr>
          <w:p>
            <w:pPr>
              <w:pStyle w:val="26"/>
              <w:ind w:left="0" w:right="0"/>
              <w:jc w:val="center"/>
              <w:rPr>
                <w:rFonts w:eastAsiaTheme="minorEastAsia"/>
                <w:sz w:val="21"/>
                <w:szCs w:val="21"/>
              </w:rPr>
            </w:pPr>
            <w:r>
              <w:rPr>
                <w:rFonts w:eastAsiaTheme="minorEastAsia"/>
                <w:sz w:val="21"/>
                <w:szCs w:val="21"/>
              </w:rPr>
              <w:t>环境要素</w:t>
            </w:r>
          </w:p>
        </w:tc>
        <w:tc>
          <w:tcPr>
            <w:tcW w:w="1138" w:type="dxa"/>
            <w:vAlign w:val="center"/>
          </w:tcPr>
          <w:p>
            <w:pPr>
              <w:pStyle w:val="26"/>
              <w:ind w:left="0" w:right="0"/>
              <w:jc w:val="center"/>
              <w:rPr>
                <w:rFonts w:eastAsiaTheme="minorEastAsia"/>
                <w:sz w:val="21"/>
                <w:szCs w:val="21"/>
              </w:rPr>
            </w:pPr>
            <w:r>
              <w:rPr>
                <w:rFonts w:eastAsiaTheme="minorEastAsia"/>
                <w:sz w:val="21"/>
                <w:szCs w:val="21"/>
              </w:rPr>
              <w:t>评价等级</w:t>
            </w:r>
          </w:p>
        </w:tc>
        <w:tc>
          <w:tcPr>
            <w:tcW w:w="5820" w:type="dxa"/>
            <w:vAlign w:val="center"/>
          </w:tcPr>
          <w:p>
            <w:pPr>
              <w:pStyle w:val="26"/>
              <w:ind w:left="0" w:right="0"/>
              <w:jc w:val="center"/>
              <w:rPr>
                <w:rFonts w:eastAsiaTheme="minorEastAsia"/>
                <w:sz w:val="21"/>
                <w:szCs w:val="21"/>
              </w:rPr>
            </w:pPr>
            <w:r>
              <w:rPr>
                <w:rFonts w:eastAsiaTheme="minorEastAsia"/>
                <w:sz w:val="21"/>
                <w:szCs w:val="21"/>
              </w:rPr>
              <w:t>评价范围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dxa"/>
            <w:vAlign w:val="center"/>
          </w:tcPr>
          <w:p>
            <w:pPr>
              <w:pStyle w:val="26"/>
              <w:ind w:left="0" w:right="0"/>
              <w:jc w:val="center"/>
              <w:rPr>
                <w:rFonts w:eastAsiaTheme="minorEastAsia"/>
                <w:sz w:val="21"/>
                <w:szCs w:val="21"/>
              </w:rPr>
            </w:pPr>
            <w:r>
              <w:rPr>
                <w:rFonts w:eastAsiaTheme="minorEastAsia"/>
                <w:sz w:val="21"/>
                <w:szCs w:val="21"/>
              </w:rPr>
              <w:t>环境空气</w:t>
            </w:r>
          </w:p>
        </w:tc>
        <w:tc>
          <w:tcPr>
            <w:tcW w:w="1138" w:type="dxa"/>
            <w:vAlign w:val="center"/>
          </w:tcPr>
          <w:p>
            <w:pPr>
              <w:pStyle w:val="26"/>
              <w:ind w:left="0" w:right="0"/>
              <w:jc w:val="center"/>
              <w:rPr>
                <w:rFonts w:eastAsiaTheme="minorEastAsia"/>
                <w:sz w:val="21"/>
                <w:szCs w:val="21"/>
              </w:rPr>
            </w:pPr>
            <w:r>
              <w:rPr>
                <w:rFonts w:hint="eastAsia" w:eastAsiaTheme="minorEastAsia"/>
                <w:sz w:val="21"/>
                <w:szCs w:val="21"/>
              </w:rPr>
              <w:t>二</w:t>
            </w:r>
            <w:r>
              <w:rPr>
                <w:rFonts w:eastAsiaTheme="minorEastAsia"/>
                <w:sz w:val="21"/>
                <w:szCs w:val="21"/>
              </w:rPr>
              <w:t>级</w:t>
            </w:r>
          </w:p>
        </w:tc>
        <w:tc>
          <w:tcPr>
            <w:tcW w:w="5820" w:type="dxa"/>
            <w:vAlign w:val="center"/>
          </w:tcPr>
          <w:p>
            <w:pPr>
              <w:pStyle w:val="26"/>
              <w:ind w:left="0" w:right="0"/>
              <w:jc w:val="center"/>
              <w:rPr>
                <w:rFonts w:eastAsiaTheme="minorEastAsia"/>
                <w:sz w:val="21"/>
                <w:szCs w:val="21"/>
              </w:rPr>
            </w:pPr>
            <w:r>
              <w:rPr>
                <w:rFonts w:hint="eastAsia" w:eastAsiaTheme="minorEastAsia"/>
                <w:sz w:val="21"/>
                <w:szCs w:val="21"/>
              </w:rPr>
              <w:t>以项目厂区为中心，边长为</w:t>
            </w:r>
            <w:r>
              <w:rPr>
                <w:rFonts w:eastAsiaTheme="minorEastAsia"/>
                <w:sz w:val="21"/>
                <w:szCs w:val="21"/>
              </w:rPr>
              <w:t>5km</w:t>
            </w:r>
            <w:r>
              <w:rPr>
                <w:rFonts w:hint="eastAsia" w:eastAsiaTheme="minorEastAsia"/>
                <w:sz w:val="21"/>
                <w:szCs w:val="21"/>
              </w:rPr>
              <w:t>×</w:t>
            </w:r>
            <w:r>
              <w:rPr>
                <w:rFonts w:eastAsiaTheme="minorEastAsia"/>
                <w:sz w:val="21"/>
                <w:szCs w:val="21"/>
              </w:rPr>
              <w:t>5km</w:t>
            </w:r>
            <w:r>
              <w:rPr>
                <w:rFonts w:hint="eastAsia" w:eastAsiaTheme="minorEastAsia"/>
                <w:sz w:val="21"/>
                <w:szCs w:val="21"/>
              </w:rPr>
              <w:t>的矩形区域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dxa"/>
            <w:vAlign w:val="center"/>
          </w:tcPr>
          <w:p>
            <w:pPr>
              <w:pStyle w:val="26"/>
              <w:ind w:left="0" w:right="0"/>
              <w:jc w:val="center"/>
              <w:rPr>
                <w:rFonts w:eastAsiaTheme="minorEastAsia"/>
                <w:sz w:val="21"/>
                <w:szCs w:val="21"/>
              </w:rPr>
            </w:pPr>
            <w:r>
              <w:rPr>
                <w:rFonts w:eastAsiaTheme="minorEastAsia"/>
                <w:sz w:val="21"/>
                <w:szCs w:val="21"/>
              </w:rPr>
              <w:t>声环境</w:t>
            </w:r>
          </w:p>
        </w:tc>
        <w:tc>
          <w:tcPr>
            <w:tcW w:w="1138" w:type="dxa"/>
            <w:vAlign w:val="center"/>
          </w:tcPr>
          <w:p>
            <w:pPr>
              <w:pStyle w:val="26"/>
              <w:ind w:left="0" w:right="0"/>
              <w:jc w:val="center"/>
              <w:rPr>
                <w:rFonts w:eastAsiaTheme="minorEastAsia"/>
                <w:sz w:val="21"/>
                <w:szCs w:val="21"/>
              </w:rPr>
            </w:pPr>
            <w:r>
              <w:rPr>
                <w:rFonts w:hint="eastAsia" w:eastAsiaTheme="minorEastAsia"/>
                <w:sz w:val="21"/>
                <w:szCs w:val="21"/>
              </w:rPr>
              <w:t>二</w:t>
            </w:r>
            <w:r>
              <w:rPr>
                <w:rFonts w:eastAsiaTheme="minorEastAsia"/>
                <w:sz w:val="21"/>
                <w:szCs w:val="21"/>
              </w:rPr>
              <w:t>级</w:t>
            </w:r>
          </w:p>
        </w:tc>
        <w:tc>
          <w:tcPr>
            <w:tcW w:w="5820" w:type="dxa"/>
            <w:vAlign w:val="center"/>
          </w:tcPr>
          <w:p>
            <w:pPr>
              <w:pStyle w:val="26"/>
              <w:ind w:left="0" w:right="0"/>
              <w:jc w:val="center"/>
              <w:rPr>
                <w:rFonts w:eastAsiaTheme="minorEastAsia"/>
                <w:sz w:val="21"/>
                <w:szCs w:val="21"/>
              </w:rPr>
            </w:pPr>
            <w:r>
              <w:rPr>
                <w:rFonts w:eastAsiaTheme="minorEastAsia"/>
                <w:sz w:val="21"/>
                <w:szCs w:val="21"/>
              </w:rPr>
              <w:t>厂界外</w:t>
            </w:r>
            <w:r>
              <w:rPr>
                <w:rFonts w:hint="eastAsia" w:eastAsiaTheme="minorEastAsia"/>
                <w:sz w:val="21"/>
                <w:szCs w:val="21"/>
              </w:rPr>
              <w:t>200</w:t>
            </w:r>
            <w:r>
              <w:rPr>
                <w:rFonts w:eastAsiaTheme="minorEastAsia"/>
                <w:sz w:val="21"/>
                <w:szCs w:val="21"/>
              </w:rPr>
              <w:t>m范围以内区域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dxa"/>
            <w:vAlign w:val="center"/>
          </w:tcPr>
          <w:p>
            <w:pPr>
              <w:pStyle w:val="26"/>
              <w:ind w:left="0" w:right="0"/>
              <w:jc w:val="center"/>
              <w:rPr>
                <w:rFonts w:eastAsiaTheme="minorEastAsia"/>
                <w:sz w:val="21"/>
                <w:szCs w:val="21"/>
              </w:rPr>
            </w:pPr>
            <w:r>
              <w:rPr>
                <w:rFonts w:eastAsiaTheme="minorEastAsia"/>
                <w:sz w:val="21"/>
                <w:szCs w:val="21"/>
              </w:rPr>
              <w:t>地下水环境</w:t>
            </w:r>
          </w:p>
        </w:tc>
        <w:tc>
          <w:tcPr>
            <w:tcW w:w="1138" w:type="dxa"/>
            <w:vAlign w:val="center"/>
          </w:tcPr>
          <w:p>
            <w:pPr>
              <w:pStyle w:val="26"/>
              <w:ind w:left="0" w:right="0"/>
              <w:jc w:val="center"/>
              <w:rPr>
                <w:rFonts w:eastAsiaTheme="minorEastAsia"/>
                <w:sz w:val="21"/>
                <w:szCs w:val="21"/>
              </w:rPr>
            </w:pPr>
            <w:r>
              <w:rPr>
                <w:rFonts w:eastAsiaTheme="minorEastAsia"/>
                <w:sz w:val="21"/>
                <w:szCs w:val="21"/>
              </w:rPr>
              <w:t>三级</w:t>
            </w:r>
          </w:p>
        </w:tc>
        <w:tc>
          <w:tcPr>
            <w:tcW w:w="5820" w:type="dxa"/>
            <w:vAlign w:val="center"/>
          </w:tcPr>
          <w:p>
            <w:pPr>
              <w:pStyle w:val="26"/>
              <w:ind w:left="0" w:right="0"/>
              <w:jc w:val="center"/>
              <w:rPr>
                <w:rFonts w:eastAsiaTheme="minorEastAsia"/>
                <w:sz w:val="21"/>
                <w:szCs w:val="21"/>
              </w:rPr>
            </w:pPr>
            <w:r>
              <w:rPr>
                <w:rFonts w:hint="eastAsia" w:eastAsiaTheme="minorEastAsia"/>
                <w:sz w:val="21"/>
                <w:szCs w:val="21"/>
              </w:rPr>
              <w:t>以厂址为中心，外扩</w:t>
            </w:r>
            <w:r>
              <w:rPr>
                <w:rFonts w:eastAsiaTheme="minorEastAsia"/>
                <w:sz w:val="21"/>
                <w:szCs w:val="21"/>
              </w:rPr>
              <w:t>6km</w:t>
            </w:r>
            <w:r>
              <w:rPr>
                <w:rFonts w:eastAsiaTheme="minorEastAsia"/>
                <w:sz w:val="21"/>
                <w:szCs w:val="21"/>
                <w:vertAlign w:val="superscript"/>
              </w:rPr>
              <w:t>2</w:t>
            </w:r>
            <w:r>
              <w:rPr>
                <w:rFonts w:hint="eastAsia" w:eastAsiaTheme="minorEastAsia"/>
                <w:sz w:val="21"/>
                <w:szCs w:val="21"/>
              </w:rPr>
              <w:t>的区域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dxa"/>
            <w:vAlign w:val="center"/>
          </w:tcPr>
          <w:p>
            <w:pPr>
              <w:pStyle w:val="26"/>
              <w:ind w:left="0" w:right="0"/>
              <w:jc w:val="center"/>
              <w:rPr>
                <w:rFonts w:eastAsiaTheme="minorEastAsia"/>
                <w:sz w:val="21"/>
                <w:szCs w:val="21"/>
              </w:rPr>
            </w:pPr>
            <w:r>
              <w:rPr>
                <w:rFonts w:hint="eastAsia" w:eastAsiaTheme="minorEastAsia"/>
                <w:sz w:val="21"/>
                <w:szCs w:val="21"/>
              </w:rPr>
              <w:t>土壤环境</w:t>
            </w:r>
          </w:p>
        </w:tc>
        <w:tc>
          <w:tcPr>
            <w:tcW w:w="1138" w:type="dxa"/>
            <w:vAlign w:val="center"/>
          </w:tcPr>
          <w:p>
            <w:pPr>
              <w:pStyle w:val="26"/>
              <w:ind w:left="0" w:right="0"/>
              <w:jc w:val="center"/>
              <w:rPr>
                <w:rFonts w:eastAsiaTheme="minorEastAsia"/>
                <w:sz w:val="21"/>
                <w:szCs w:val="21"/>
              </w:rPr>
            </w:pPr>
            <w:r>
              <w:rPr>
                <w:rFonts w:hint="eastAsia" w:eastAsiaTheme="minorEastAsia"/>
                <w:sz w:val="21"/>
                <w:szCs w:val="21"/>
              </w:rPr>
              <w:t>三级</w:t>
            </w:r>
          </w:p>
        </w:tc>
        <w:tc>
          <w:tcPr>
            <w:tcW w:w="5820" w:type="dxa"/>
            <w:vAlign w:val="center"/>
          </w:tcPr>
          <w:p>
            <w:pPr>
              <w:pStyle w:val="26"/>
              <w:ind w:left="0" w:right="0"/>
              <w:jc w:val="center"/>
              <w:rPr>
                <w:rFonts w:eastAsiaTheme="minorEastAsia"/>
                <w:sz w:val="21"/>
                <w:szCs w:val="21"/>
              </w:rPr>
            </w:pPr>
            <w:r>
              <w:rPr>
                <w:rFonts w:hint="eastAsia" w:eastAsiaTheme="minorEastAsia"/>
                <w:sz w:val="21"/>
                <w:szCs w:val="21"/>
              </w:rPr>
              <w:t>厂家外50m范围区域</w:t>
            </w:r>
          </w:p>
        </w:tc>
      </w:tr>
    </w:tbl>
    <w:p>
      <w:pPr>
        <w:pStyle w:val="4"/>
        <w:adjustRightInd w:val="0"/>
        <w:spacing w:before="120" w:after="120" w:line="460" w:lineRule="exact"/>
        <w:textAlignment w:val="baseline"/>
        <w:rPr>
          <w:rFonts w:ascii="Times New Roman" w:hAnsi="Times New Roman"/>
          <w:b w:val="0"/>
          <w:szCs w:val="28"/>
        </w:rPr>
      </w:pPr>
      <w:bookmarkStart w:id="72" w:name="_Toc165386214"/>
      <w:r>
        <w:rPr>
          <w:rFonts w:hint="eastAsia" w:ascii="Times New Roman" w:hAnsi="Times New Roman"/>
          <w:b w:val="0"/>
          <w:szCs w:val="28"/>
        </w:rPr>
        <w:t>2</w:t>
      </w:r>
      <w:r>
        <w:rPr>
          <w:rFonts w:ascii="Times New Roman" w:hAnsi="Times New Roman"/>
          <w:b w:val="0"/>
          <w:szCs w:val="28"/>
        </w:rPr>
        <w:t>.</w:t>
      </w:r>
      <w:bookmarkEnd w:id="58"/>
      <w:bookmarkEnd w:id="59"/>
      <w:bookmarkEnd w:id="60"/>
      <w:bookmarkEnd w:id="61"/>
      <w:bookmarkEnd w:id="62"/>
      <w:bookmarkStart w:id="73" w:name="_Toc188349436"/>
      <w:bookmarkStart w:id="74" w:name="_Toc327365464"/>
      <w:bookmarkStart w:id="75" w:name="_Toc149705133"/>
      <w:bookmarkStart w:id="76" w:name="_Toc7720"/>
      <w:bookmarkStart w:id="77" w:name="_Toc146967234"/>
      <w:r>
        <w:rPr>
          <w:rFonts w:hint="eastAsia" w:ascii="Times New Roman" w:hAnsi="Times New Roman"/>
          <w:b w:val="0"/>
          <w:szCs w:val="28"/>
        </w:rPr>
        <w:t xml:space="preserve">6 </w:t>
      </w:r>
      <w:r>
        <w:rPr>
          <w:rFonts w:ascii="Times New Roman" w:hAnsi="Times New Roman"/>
          <w:b w:val="0"/>
          <w:szCs w:val="28"/>
        </w:rPr>
        <w:t>环境保护目标</w:t>
      </w:r>
      <w:bookmarkEnd w:id="72"/>
      <w:bookmarkEnd w:id="73"/>
      <w:bookmarkEnd w:id="74"/>
      <w:bookmarkEnd w:id="75"/>
      <w:bookmarkEnd w:id="76"/>
      <w:bookmarkEnd w:id="77"/>
    </w:p>
    <w:p>
      <w:pPr>
        <w:topLinePunct/>
        <w:spacing w:line="460" w:lineRule="exact"/>
        <w:ind w:firstLine="480" w:firstLineChars="200"/>
        <w:rPr>
          <w:sz w:val="24"/>
        </w:rPr>
      </w:pPr>
      <w:bookmarkStart w:id="78" w:name="_Toc168317189"/>
      <w:bookmarkStart w:id="79" w:name="_Toc170970644"/>
      <w:bookmarkStart w:id="80" w:name="_Toc179522798"/>
      <w:bookmarkStart w:id="81" w:name="_Toc146967235"/>
      <w:bookmarkStart w:id="82" w:name="_Toc180891756"/>
      <w:bookmarkStart w:id="83" w:name="_Toc149680554"/>
      <w:bookmarkStart w:id="84" w:name="_Toc16222"/>
      <w:bookmarkStart w:id="85" w:name="_Toc149680791"/>
      <w:bookmarkStart w:id="86" w:name="_Toc153689543"/>
      <w:bookmarkStart w:id="87" w:name="_Toc172698646"/>
      <w:bookmarkStart w:id="88" w:name="_Toc327365465"/>
      <w:bookmarkStart w:id="89" w:name="_Toc170869048"/>
      <w:bookmarkStart w:id="90" w:name="_Toc179653257"/>
      <w:bookmarkStart w:id="91" w:name="_Toc149705134"/>
      <w:bookmarkStart w:id="92" w:name="_Toc187800017"/>
      <w:bookmarkStart w:id="93" w:name="_Toc188349437"/>
      <w:bookmarkStart w:id="94" w:name="_Toc164774368"/>
      <w:r>
        <w:rPr>
          <w:sz w:val="24"/>
        </w:rPr>
        <w:t>项目主要环境保护要素为大气环境、水环境和声环境</w:t>
      </w:r>
      <w:r>
        <w:rPr>
          <w:rFonts w:hint="eastAsia"/>
          <w:sz w:val="24"/>
        </w:rPr>
        <w:t>、生态环境</w:t>
      </w:r>
      <w:r>
        <w:rPr>
          <w:sz w:val="24"/>
        </w:rPr>
        <w:t>。</w:t>
      </w:r>
    </w:p>
    <w:p>
      <w:pPr>
        <w:topLinePunct/>
        <w:spacing w:line="460" w:lineRule="exact"/>
        <w:ind w:firstLine="480" w:firstLineChars="200"/>
        <w:rPr>
          <w:sz w:val="24"/>
        </w:rPr>
      </w:pPr>
      <w:r>
        <w:rPr>
          <w:rFonts w:hint="eastAsia"/>
          <w:sz w:val="24"/>
        </w:rPr>
        <w:t>1、</w:t>
      </w:r>
      <w:r>
        <w:rPr>
          <w:sz w:val="24"/>
        </w:rPr>
        <w:t>空气环境敏感目标</w:t>
      </w:r>
    </w:p>
    <w:p>
      <w:pPr>
        <w:topLinePunct/>
        <w:spacing w:line="460" w:lineRule="exact"/>
        <w:ind w:firstLine="480" w:firstLineChars="200"/>
        <w:rPr>
          <w:sz w:val="24"/>
        </w:rPr>
      </w:pPr>
      <w:r>
        <w:rPr>
          <w:sz w:val="24"/>
        </w:rPr>
        <w:t>项目位于</w:t>
      </w:r>
      <w:r>
        <w:rPr>
          <w:rFonts w:hint="eastAsia"/>
          <w:sz w:val="24"/>
          <w:lang w:bidi="en-US"/>
        </w:rPr>
        <w:t>昌吉国家农业科技园区示范区昌吉市昊慧盛塑料制品厂区内</w:t>
      </w:r>
      <w:r>
        <w:rPr>
          <w:sz w:val="24"/>
        </w:rPr>
        <w:t>，大气环境评价范围内无自然保护区、风景名胜区、文物古迹等环境敏感目标。</w:t>
      </w:r>
    </w:p>
    <w:p>
      <w:pPr>
        <w:topLinePunct/>
        <w:spacing w:line="460" w:lineRule="exact"/>
        <w:ind w:firstLine="480" w:firstLineChars="200"/>
        <w:rPr>
          <w:sz w:val="24"/>
        </w:rPr>
      </w:pPr>
      <w:r>
        <w:rPr>
          <w:rFonts w:hint="eastAsia"/>
          <w:sz w:val="24"/>
        </w:rPr>
        <w:t>项目建成后保护项目区所在的区域环境空气质量，保持在现有水平；不因该项目的建设而降低空气质量级别，使该区域环境空气质量仍能达到《环境空气质量标准》（</w:t>
      </w:r>
      <w:r>
        <w:rPr>
          <w:sz w:val="24"/>
        </w:rPr>
        <w:t>GB3095-2012</w:t>
      </w:r>
      <w:r>
        <w:rPr>
          <w:rFonts w:hint="eastAsia"/>
          <w:sz w:val="24"/>
        </w:rPr>
        <w:t>）二级标准；</w:t>
      </w:r>
    </w:p>
    <w:p>
      <w:pPr>
        <w:topLinePunct/>
        <w:spacing w:line="460" w:lineRule="exact"/>
        <w:ind w:firstLine="480" w:firstLineChars="200"/>
        <w:rPr>
          <w:sz w:val="24"/>
        </w:rPr>
      </w:pPr>
      <w:r>
        <w:rPr>
          <w:rFonts w:hint="eastAsia"/>
          <w:sz w:val="24"/>
        </w:rPr>
        <w:t>2、</w:t>
      </w:r>
      <w:r>
        <w:rPr>
          <w:sz w:val="24"/>
        </w:rPr>
        <w:t>水环境敏感目标</w:t>
      </w:r>
    </w:p>
    <w:p>
      <w:pPr>
        <w:topLinePunct/>
        <w:spacing w:line="460" w:lineRule="exact"/>
        <w:ind w:firstLine="480" w:firstLineChars="200"/>
        <w:rPr>
          <w:sz w:val="24"/>
        </w:rPr>
      </w:pPr>
      <w:r>
        <w:rPr>
          <w:sz w:val="24"/>
        </w:rPr>
        <w:t>评价范围内无地表水体，且项目与地表水体不发生水力联系，因此水环境保护目标仅为项目区地下水；地下水执行《地下水质量标准》（GB/T14848-2017）中的</w:t>
      </w:r>
      <w:r>
        <w:rPr>
          <w:rFonts w:ascii="宋体"/>
          <w:sz w:val="24"/>
        </w:rPr>
        <w:t>Ⅲ</w:t>
      </w:r>
      <w:r>
        <w:rPr>
          <w:sz w:val="24"/>
        </w:rPr>
        <w:t>类标准。</w:t>
      </w:r>
    </w:p>
    <w:p>
      <w:pPr>
        <w:topLinePunct/>
        <w:spacing w:line="460" w:lineRule="exact"/>
        <w:ind w:firstLine="480" w:firstLineChars="200"/>
        <w:rPr>
          <w:sz w:val="24"/>
        </w:rPr>
      </w:pPr>
      <w:r>
        <w:rPr>
          <w:rFonts w:hint="eastAsia"/>
          <w:sz w:val="24"/>
        </w:rPr>
        <w:t>3、</w:t>
      </w:r>
      <w:r>
        <w:rPr>
          <w:sz w:val="24"/>
        </w:rPr>
        <w:t>声环境敏感目标</w:t>
      </w:r>
    </w:p>
    <w:p>
      <w:pPr>
        <w:topLinePunct/>
        <w:spacing w:line="460" w:lineRule="exact"/>
        <w:ind w:firstLine="480" w:firstLineChars="200"/>
        <w:rPr>
          <w:sz w:val="24"/>
        </w:rPr>
      </w:pPr>
      <w:r>
        <w:rPr>
          <w:rFonts w:hint="eastAsia"/>
          <w:sz w:val="24"/>
        </w:rPr>
        <w:t>项目建成后，保证项目区满足《声环境质量标准》（</w:t>
      </w:r>
      <w:r>
        <w:rPr>
          <w:sz w:val="24"/>
        </w:rPr>
        <w:t>GB3096-2008</w:t>
      </w:r>
      <w:r>
        <w:rPr>
          <w:rFonts w:hint="eastAsia"/>
          <w:sz w:val="24"/>
        </w:rPr>
        <w:t>）3类声环境功能区环境噪声等效声级限值。</w:t>
      </w:r>
    </w:p>
    <w:p>
      <w:pPr>
        <w:topLinePunct/>
        <w:spacing w:line="460" w:lineRule="exact"/>
        <w:ind w:firstLine="480" w:firstLineChars="200"/>
        <w:rPr>
          <w:sz w:val="24"/>
        </w:rPr>
      </w:pPr>
      <w:r>
        <w:rPr>
          <w:sz w:val="24"/>
        </w:rPr>
        <w:t>4</w:t>
      </w:r>
      <w:r>
        <w:rPr>
          <w:rFonts w:hint="eastAsia"/>
          <w:sz w:val="24"/>
        </w:rPr>
        <w:t>、生态环境</w:t>
      </w:r>
    </w:p>
    <w:p>
      <w:pPr>
        <w:topLinePunct/>
        <w:spacing w:line="460" w:lineRule="exact"/>
        <w:ind w:firstLine="480" w:firstLineChars="200"/>
        <w:rPr>
          <w:sz w:val="24"/>
        </w:rPr>
      </w:pPr>
      <w:r>
        <w:rPr>
          <w:rFonts w:hint="eastAsia"/>
          <w:sz w:val="24"/>
        </w:rPr>
        <w:t>保护区域自然生态系统的稳定性不受破坏，保证开发后生态系统基本稳定并呈良性循环。</w:t>
      </w:r>
    </w:p>
    <w:p>
      <w:pPr>
        <w:topLinePunct/>
        <w:spacing w:line="460" w:lineRule="exact"/>
        <w:ind w:firstLine="480" w:firstLineChars="200"/>
        <w:rPr>
          <w:sz w:val="24"/>
        </w:rPr>
      </w:pPr>
      <w:r>
        <w:rPr>
          <w:rFonts w:hint="eastAsia"/>
          <w:sz w:val="24"/>
        </w:rPr>
        <w:t>5、土壤环境</w:t>
      </w:r>
    </w:p>
    <w:p>
      <w:pPr>
        <w:topLinePunct/>
        <w:spacing w:line="460" w:lineRule="exact"/>
        <w:ind w:firstLine="480" w:firstLineChars="200"/>
        <w:rPr>
          <w:sz w:val="24"/>
        </w:rPr>
      </w:pPr>
      <w:r>
        <w:rPr>
          <w:rFonts w:hint="eastAsia"/>
          <w:sz w:val="24"/>
        </w:rPr>
        <w:t>根据调查项目区土壤环境保护目标主要为项目四周耕地。</w:t>
      </w:r>
    </w:p>
    <w:p>
      <w:pPr>
        <w:topLinePunct/>
        <w:spacing w:line="460" w:lineRule="exact"/>
        <w:ind w:firstLine="480" w:firstLineChars="200"/>
        <w:rPr>
          <w:sz w:val="24"/>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pStyle w:val="3"/>
        <w:spacing w:before="100" w:beforeAutospacing="1" w:after="100" w:afterAutospacing="1" w:line="360" w:lineRule="auto"/>
        <w:jc w:val="center"/>
        <w:rPr>
          <w:bdr w:val="single" w:color="auto" w:sz="12" w:space="0"/>
        </w:rPr>
      </w:pPr>
      <w:r>
        <w:rPr>
          <w:bdr w:val="single" w:color="auto" w:sz="12" w:space="0"/>
        </w:rPr>
        <w:br w:type="column"/>
      </w:r>
      <w:bookmarkStart w:id="95" w:name="_Toc165386215"/>
      <w:bookmarkStart w:id="96" w:name="_Toc22071"/>
      <w:bookmarkStart w:id="97" w:name="_Toc327365466"/>
      <w:r>
        <w:rPr>
          <w:rFonts w:hint="eastAsia"/>
        </w:rPr>
        <w:t>3  现有工程概况</w:t>
      </w:r>
      <w:bookmarkEnd w:id="95"/>
    </w:p>
    <w:p>
      <w:pPr>
        <w:pStyle w:val="4"/>
        <w:adjustRightInd w:val="0"/>
        <w:spacing w:before="120" w:after="120" w:line="460" w:lineRule="exact"/>
        <w:textAlignment w:val="baseline"/>
        <w:rPr>
          <w:rFonts w:ascii="Times New Roman" w:hAnsi="Times New Roman"/>
          <w:b w:val="0"/>
          <w:szCs w:val="28"/>
        </w:rPr>
      </w:pPr>
      <w:bookmarkStart w:id="98" w:name="_Toc165386216"/>
      <w:r>
        <w:rPr>
          <w:rFonts w:hint="eastAsia" w:ascii="Times New Roman" w:hAnsi="Times New Roman"/>
          <w:b w:val="0"/>
          <w:szCs w:val="28"/>
        </w:rPr>
        <w:t>3.1 现有工程</w:t>
      </w:r>
      <w:r>
        <w:rPr>
          <w:rFonts w:ascii="Times New Roman" w:hAnsi="Times New Roman"/>
          <w:b w:val="0"/>
          <w:szCs w:val="28"/>
        </w:rPr>
        <w:t>基本</w:t>
      </w:r>
      <w:r>
        <w:rPr>
          <w:rFonts w:hint="eastAsia" w:ascii="Times New Roman" w:hAnsi="Times New Roman"/>
          <w:b w:val="0"/>
          <w:szCs w:val="28"/>
        </w:rPr>
        <w:t>概况</w:t>
      </w:r>
      <w:bookmarkEnd w:id="98"/>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3.1.1</w:t>
      </w:r>
      <w:r>
        <w:rPr>
          <w:rFonts w:ascii="Times New Roman"/>
          <w:spacing w:val="12"/>
          <w:w w:val="95"/>
          <w:kern w:val="0"/>
          <w:szCs w:val="26"/>
        </w:rPr>
        <w:t>现有工程</w:t>
      </w:r>
      <w:r>
        <w:rPr>
          <w:rFonts w:hint="eastAsia" w:ascii="Times New Roman"/>
          <w:spacing w:val="12"/>
          <w:w w:val="95"/>
          <w:kern w:val="0"/>
          <w:szCs w:val="26"/>
        </w:rPr>
        <w:t>基本</w:t>
      </w:r>
      <w:r>
        <w:rPr>
          <w:rFonts w:ascii="Times New Roman"/>
          <w:spacing w:val="12"/>
          <w:w w:val="95"/>
          <w:kern w:val="0"/>
          <w:szCs w:val="26"/>
        </w:rPr>
        <w:t>概</w:t>
      </w:r>
      <w:r>
        <w:rPr>
          <w:rFonts w:hint="eastAsia" w:ascii="Times New Roman"/>
          <w:spacing w:val="12"/>
          <w:w w:val="95"/>
          <w:kern w:val="0"/>
          <w:szCs w:val="26"/>
        </w:rPr>
        <w:t>况</w:t>
      </w:r>
    </w:p>
    <w:p>
      <w:pPr>
        <w:spacing w:line="460" w:lineRule="exact"/>
        <w:ind w:firstLine="480" w:firstLineChars="200"/>
        <w:rPr>
          <w:bCs/>
          <w:sz w:val="24"/>
          <w:lang w:bidi="en-US"/>
        </w:rPr>
      </w:pPr>
      <w:r>
        <w:rPr>
          <w:rFonts w:hint="eastAsia"/>
          <w:bCs/>
          <w:sz w:val="24"/>
          <w:lang w:bidi="en-US"/>
        </w:rPr>
        <w:t>昌吉市昊慧盛塑料制品厂位于</w:t>
      </w:r>
      <w:bookmarkStart w:id="99" w:name="_Hlk165297019"/>
      <w:r>
        <w:rPr>
          <w:rFonts w:hint="eastAsia"/>
          <w:bCs/>
          <w:sz w:val="24"/>
          <w:lang w:bidi="en-US"/>
        </w:rPr>
        <w:t>昌吉国家农业科技园区示范区</w:t>
      </w:r>
      <w:bookmarkEnd w:id="99"/>
      <w:r>
        <w:rPr>
          <w:rFonts w:hint="eastAsia"/>
          <w:bCs/>
          <w:sz w:val="24"/>
          <w:lang w:bidi="en-US"/>
        </w:rPr>
        <w:t>，地理坐标为：</w:t>
      </w:r>
      <w:r>
        <w:rPr>
          <w:bCs/>
          <w:sz w:val="24"/>
          <w:lang w:bidi="en-US"/>
        </w:rPr>
        <w:t>N</w:t>
      </w:r>
      <w:r>
        <w:rPr>
          <w:sz w:val="24"/>
        </w:rPr>
        <w:t xml:space="preserve"> </w:t>
      </w:r>
      <w:r>
        <w:t>44°13′30.76″</w:t>
      </w:r>
      <w:r>
        <w:rPr>
          <w:bCs/>
          <w:sz w:val="24"/>
          <w:lang w:bidi="en-US"/>
        </w:rPr>
        <w:t>，E</w:t>
      </w:r>
      <w:r>
        <w:rPr>
          <w:sz w:val="24"/>
        </w:rPr>
        <w:t xml:space="preserve"> </w:t>
      </w:r>
      <w:r>
        <w:rPr>
          <w:bCs/>
          <w:sz w:val="24"/>
          <w:lang w:bidi="en-US"/>
        </w:rPr>
        <w:t>87°19′19.55″</w:t>
      </w:r>
      <w:r>
        <w:rPr>
          <w:rFonts w:hint="eastAsia"/>
          <w:bCs/>
          <w:sz w:val="24"/>
          <w:lang w:bidi="en-US"/>
        </w:rPr>
        <w:t>。项目四周均为耕地。</w:t>
      </w:r>
    </w:p>
    <w:p>
      <w:pPr>
        <w:spacing w:line="460" w:lineRule="exact"/>
        <w:ind w:firstLine="480" w:firstLineChars="200"/>
        <w:rPr>
          <w:bCs/>
          <w:sz w:val="24"/>
          <w:lang w:bidi="en-US"/>
        </w:rPr>
      </w:pPr>
      <w:r>
        <w:rPr>
          <w:rFonts w:hint="eastAsia"/>
          <w:bCs/>
          <w:sz w:val="24"/>
          <w:lang w:bidi="en-US"/>
        </w:rPr>
        <w:t>昌吉市昊慧盛塑料制品厂委托新疆绿佳源环保科技有限公司于2019年6月编制完成了《昌吉市昊慧盛塑料制品厂地膜滴灌带及PE管材生产加工项目环境影响报告表》，项目于2019年8月1日取得昌吉国家农业科技园区规划建设环保局《关于《昌吉市昊慧盛塑料制品厂地膜滴灌带及PE管材生产加工项目环境影响报告表》的审批意见》（昌农科环函﹝2019﹞12号），项目在取得环评批复后于2019年10月开工建设，2022年10月建设完成，项目建设了4条滴灌带生产线、年产滴灌带1000t，3条PE管生产线、年产PE管800t，项目投入运营后于2023年5月组织了项目竣工环境保护验收工作，建设单位委托昌吉回族自治州新蓝天生态环境科学研究所编制了《昌吉市昊慧盛塑料制品厂地膜滴灌带及PE管材生产加工项目竣工环境保护验收监测报告表》。</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3.1.2现有工程建设内容</w:t>
      </w:r>
    </w:p>
    <w:p>
      <w:pPr>
        <w:spacing w:line="460" w:lineRule="exact"/>
        <w:ind w:firstLine="480" w:firstLineChars="200"/>
        <w:rPr>
          <w:bCs/>
          <w:sz w:val="24"/>
          <w:lang w:bidi="en-US"/>
        </w:rPr>
      </w:pPr>
      <w:r>
        <w:rPr>
          <w:rFonts w:hint="eastAsia"/>
          <w:bCs/>
          <w:sz w:val="24"/>
          <w:lang w:bidi="en-US"/>
        </w:rPr>
        <w:t>现有工程主要建设内容及实际建设情况见表3.1-1。</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表3.1-1                现有工程建设情况一览表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2977"/>
        <w:gridCol w:w="2410"/>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项目</w:t>
            </w:r>
          </w:p>
        </w:tc>
        <w:tc>
          <w:tcPr>
            <w:tcW w:w="1134" w:type="dxa"/>
            <w:vAlign w:val="center"/>
          </w:tcPr>
          <w:p>
            <w:pPr>
              <w:adjustRightInd w:val="0"/>
              <w:snapToGrid w:val="0"/>
              <w:jc w:val="center"/>
              <w:rPr>
                <w:bCs/>
                <w:kern w:val="0"/>
                <w:sz w:val="21"/>
                <w:szCs w:val="21"/>
              </w:rPr>
            </w:pPr>
            <w:r>
              <w:rPr>
                <w:rFonts w:hint="eastAsia"/>
                <w:bCs/>
                <w:kern w:val="0"/>
                <w:sz w:val="21"/>
                <w:szCs w:val="21"/>
              </w:rPr>
              <w:t>工程名称</w:t>
            </w:r>
          </w:p>
        </w:tc>
        <w:tc>
          <w:tcPr>
            <w:tcW w:w="2977" w:type="dxa"/>
            <w:vAlign w:val="center"/>
          </w:tcPr>
          <w:p>
            <w:pPr>
              <w:adjustRightInd w:val="0"/>
              <w:snapToGrid w:val="0"/>
              <w:jc w:val="center"/>
              <w:rPr>
                <w:bCs/>
                <w:kern w:val="0"/>
                <w:sz w:val="21"/>
                <w:szCs w:val="21"/>
              </w:rPr>
            </w:pPr>
            <w:r>
              <w:rPr>
                <w:rFonts w:hint="eastAsia"/>
                <w:bCs/>
                <w:kern w:val="0"/>
                <w:sz w:val="21"/>
                <w:szCs w:val="21"/>
              </w:rPr>
              <w:t>环评建设内容</w:t>
            </w:r>
          </w:p>
        </w:tc>
        <w:tc>
          <w:tcPr>
            <w:tcW w:w="2410" w:type="dxa"/>
            <w:vAlign w:val="center"/>
          </w:tcPr>
          <w:p>
            <w:pPr>
              <w:adjustRightInd w:val="0"/>
              <w:snapToGrid w:val="0"/>
              <w:jc w:val="center"/>
              <w:rPr>
                <w:bCs/>
                <w:kern w:val="0"/>
                <w:sz w:val="21"/>
                <w:szCs w:val="21"/>
              </w:rPr>
            </w:pPr>
            <w:r>
              <w:rPr>
                <w:rFonts w:hint="eastAsia"/>
                <w:bCs/>
                <w:kern w:val="0"/>
                <w:sz w:val="21"/>
                <w:szCs w:val="21"/>
              </w:rPr>
              <w:t>实际建设内容</w:t>
            </w:r>
          </w:p>
        </w:tc>
        <w:tc>
          <w:tcPr>
            <w:tcW w:w="1240" w:type="dxa"/>
            <w:vAlign w:val="center"/>
          </w:tcPr>
          <w:p>
            <w:pPr>
              <w:adjustRightInd w:val="0"/>
              <w:snapToGrid w:val="0"/>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adjustRightInd w:val="0"/>
              <w:snapToGrid w:val="0"/>
              <w:jc w:val="center"/>
              <w:rPr>
                <w:bCs/>
                <w:kern w:val="0"/>
                <w:sz w:val="21"/>
                <w:szCs w:val="21"/>
              </w:rPr>
            </w:pPr>
            <w:r>
              <w:rPr>
                <w:rFonts w:hint="eastAsia"/>
                <w:bCs/>
                <w:kern w:val="0"/>
                <w:sz w:val="21"/>
                <w:szCs w:val="21"/>
              </w:rPr>
              <w:t>主体工程</w:t>
            </w:r>
          </w:p>
        </w:tc>
        <w:tc>
          <w:tcPr>
            <w:tcW w:w="1134" w:type="dxa"/>
            <w:vAlign w:val="center"/>
          </w:tcPr>
          <w:p>
            <w:pPr>
              <w:adjustRightInd w:val="0"/>
              <w:snapToGrid w:val="0"/>
              <w:jc w:val="center"/>
              <w:rPr>
                <w:bCs/>
                <w:kern w:val="0"/>
                <w:sz w:val="21"/>
                <w:szCs w:val="21"/>
              </w:rPr>
            </w:pPr>
            <w:r>
              <w:rPr>
                <w:rFonts w:hint="eastAsia"/>
                <w:bCs/>
                <w:kern w:val="0"/>
                <w:sz w:val="21"/>
                <w:szCs w:val="21"/>
              </w:rPr>
              <w:t>PE 生产车间</w:t>
            </w:r>
          </w:p>
        </w:tc>
        <w:tc>
          <w:tcPr>
            <w:tcW w:w="2977" w:type="dxa"/>
            <w:vAlign w:val="center"/>
          </w:tcPr>
          <w:p>
            <w:pPr>
              <w:adjustRightInd w:val="0"/>
              <w:snapToGrid w:val="0"/>
              <w:jc w:val="center"/>
              <w:rPr>
                <w:bCs/>
                <w:kern w:val="0"/>
                <w:sz w:val="21"/>
                <w:szCs w:val="21"/>
              </w:rPr>
            </w:pPr>
            <w:r>
              <w:rPr>
                <w:rFonts w:hint="eastAsia"/>
                <w:bCs/>
                <w:kern w:val="0"/>
                <w:sz w:val="21"/>
                <w:szCs w:val="21"/>
              </w:rPr>
              <w:t>建设PE生产车间1栋，建筑面积450m</w:t>
            </w:r>
            <w:r>
              <w:rPr>
                <w:rFonts w:hint="eastAsia"/>
                <w:bCs/>
                <w:kern w:val="0"/>
                <w:sz w:val="21"/>
                <w:szCs w:val="21"/>
                <w:vertAlign w:val="superscript"/>
              </w:rPr>
              <w:t>2</w:t>
            </w:r>
            <w:r>
              <w:rPr>
                <w:rFonts w:hint="eastAsia"/>
                <w:bCs/>
                <w:kern w:val="0"/>
                <w:sz w:val="21"/>
                <w:szCs w:val="21"/>
              </w:rPr>
              <w:t>，内设3条PE管生产线</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滴灌带生产车间</w:t>
            </w:r>
          </w:p>
        </w:tc>
        <w:tc>
          <w:tcPr>
            <w:tcW w:w="2977" w:type="dxa"/>
            <w:vAlign w:val="center"/>
          </w:tcPr>
          <w:p>
            <w:pPr>
              <w:adjustRightInd w:val="0"/>
              <w:snapToGrid w:val="0"/>
              <w:jc w:val="center"/>
              <w:rPr>
                <w:bCs/>
                <w:kern w:val="0"/>
                <w:sz w:val="21"/>
                <w:szCs w:val="21"/>
              </w:rPr>
            </w:pPr>
            <w:r>
              <w:rPr>
                <w:rFonts w:hint="eastAsia"/>
                <w:bCs/>
                <w:kern w:val="0"/>
                <w:sz w:val="21"/>
                <w:szCs w:val="21"/>
              </w:rPr>
              <w:t>建设滴灌带生产车间1座，占地面积600m</w:t>
            </w:r>
            <w:r>
              <w:rPr>
                <w:rFonts w:hint="eastAsia"/>
                <w:bCs/>
                <w:kern w:val="0"/>
                <w:sz w:val="21"/>
                <w:szCs w:val="21"/>
                <w:vertAlign w:val="superscript"/>
              </w:rPr>
              <w:t>2</w:t>
            </w:r>
            <w:r>
              <w:rPr>
                <w:bCs/>
                <w:kern w:val="0"/>
                <w:sz w:val="21"/>
                <w:szCs w:val="21"/>
              </w:rPr>
              <w:t xml:space="preserve"> </w:t>
            </w:r>
            <w:r>
              <w:rPr>
                <w:rFonts w:hint="eastAsia"/>
                <w:bCs/>
                <w:kern w:val="0"/>
                <w:sz w:val="21"/>
                <w:szCs w:val="21"/>
              </w:rPr>
              <w:t>，内设4条滴灌带生产线</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adjustRightInd w:val="0"/>
              <w:snapToGrid w:val="0"/>
              <w:jc w:val="center"/>
              <w:rPr>
                <w:bCs/>
                <w:kern w:val="0"/>
                <w:sz w:val="21"/>
                <w:szCs w:val="21"/>
              </w:rPr>
            </w:pPr>
            <w:r>
              <w:rPr>
                <w:rFonts w:hint="eastAsia"/>
                <w:bCs/>
                <w:kern w:val="0"/>
                <w:sz w:val="21"/>
                <w:szCs w:val="21"/>
              </w:rPr>
              <w:t>辅助工程</w:t>
            </w:r>
          </w:p>
        </w:tc>
        <w:tc>
          <w:tcPr>
            <w:tcW w:w="1134" w:type="dxa"/>
            <w:vAlign w:val="center"/>
          </w:tcPr>
          <w:p>
            <w:pPr>
              <w:adjustRightInd w:val="0"/>
              <w:snapToGrid w:val="0"/>
              <w:jc w:val="center"/>
              <w:rPr>
                <w:bCs/>
                <w:kern w:val="0"/>
                <w:sz w:val="21"/>
                <w:szCs w:val="21"/>
              </w:rPr>
            </w:pPr>
            <w:r>
              <w:rPr>
                <w:rFonts w:hint="eastAsia"/>
                <w:bCs/>
                <w:kern w:val="0"/>
                <w:sz w:val="21"/>
                <w:szCs w:val="21"/>
              </w:rPr>
              <w:t>仓库</w:t>
            </w:r>
          </w:p>
        </w:tc>
        <w:tc>
          <w:tcPr>
            <w:tcW w:w="2977" w:type="dxa"/>
            <w:vAlign w:val="center"/>
          </w:tcPr>
          <w:p>
            <w:pPr>
              <w:adjustRightInd w:val="0"/>
              <w:snapToGrid w:val="0"/>
              <w:jc w:val="center"/>
              <w:rPr>
                <w:bCs/>
                <w:kern w:val="0"/>
                <w:sz w:val="21"/>
                <w:szCs w:val="21"/>
              </w:rPr>
            </w:pPr>
            <w:r>
              <w:rPr>
                <w:rFonts w:hint="eastAsia"/>
                <w:bCs/>
                <w:kern w:val="0"/>
                <w:sz w:val="21"/>
                <w:szCs w:val="21"/>
              </w:rPr>
              <w:t>建设仓库1栋，建筑面积为200m</w:t>
            </w:r>
            <w:r>
              <w:rPr>
                <w:rFonts w:hint="eastAsia"/>
                <w:bCs/>
                <w:kern w:val="0"/>
                <w:sz w:val="21"/>
                <w:szCs w:val="21"/>
                <w:vertAlign w:val="superscript"/>
              </w:rPr>
              <w:t>2</w:t>
            </w:r>
            <w:r>
              <w:rPr>
                <w:bCs/>
                <w:kern w:val="0"/>
                <w:sz w:val="21"/>
                <w:szCs w:val="21"/>
              </w:rPr>
              <w:t xml:space="preserve"> </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宿舍</w:t>
            </w:r>
          </w:p>
        </w:tc>
        <w:tc>
          <w:tcPr>
            <w:tcW w:w="2977" w:type="dxa"/>
            <w:vAlign w:val="center"/>
          </w:tcPr>
          <w:p>
            <w:pPr>
              <w:adjustRightInd w:val="0"/>
              <w:snapToGrid w:val="0"/>
              <w:jc w:val="center"/>
              <w:rPr>
                <w:bCs/>
                <w:kern w:val="0"/>
                <w:sz w:val="21"/>
                <w:szCs w:val="21"/>
              </w:rPr>
            </w:pPr>
            <w:r>
              <w:rPr>
                <w:rFonts w:hint="eastAsia"/>
                <w:bCs/>
                <w:kern w:val="0"/>
                <w:sz w:val="21"/>
                <w:szCs w:val="21"/>
              </w:rPr>
              <w:t>建设宿舍1栋，建筑面积为400m</w:t>
            </w:r>
            <w:r>
              <w:rPr>
                <w:rFonts w:hint="eastAsia"/>
                <w:bCs/>
                <w:kern w:val="0"/>
                <w:sz w:val="21"/>
                <w:szCs w:val="21"/>
                <w:vertAlign w:val="superscript"/>
              </w:rPr>
              <w:t>2</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食堂</w:t>
            </w:r>
          </w:p>
        </w:tc>
        <w:tc>
          <w:tcPr>
            <w:tcW w:w="2977" w:type="dxa"/>
            <w:vAlign w:val="center"/>
          </w:tcPr>
          <w:p>
            <w:pPr>
              <w:adjustRightInd w:val="0"/>
              <w:snapToGrid w:val="0"/>
              <w:jc w:val="center"/>
              <w:rPr>
                <w:bCs/>
                <w:kern w:val="0"/>
                <w:sz w:val="21"/>
                <w:szCs w:val="21"/>
              </w:rPr>
            </w:pPr>
            <w:r>
              <w:rPr>
                <w:rFonts w:hint="eastAsia"/>
                <w:bCs/>
                <w:kern w:val="0"/>
                <w:sz w:val="21"/>
                <w:szCs w:val="21"/>
              </w:rPr>
              <w:t>建设食堂1栋，建筑面积为100m</w:t>
            </w:r>
            <w:r>
              <w:rPr>
                <w:rFonts w:hint="eastAsia"/>
                <w:bCs/>
                <w:kern w:val="0"/>
                <w:sz w:val="21"/>
                <w:szCs w:val="21"/>
                <w:vertAlign w:val="superscript"/>
              </w:rPr>
              <w:t>2</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循环水池</w:t>
            </w:r>
          </w:p>
        </w:tc>
        <w:tc>
          <w:tcPr>
            <w:tcW w:w="2977" w:type="dxa"/>
            <w:vAlign w:val="center"/>
          </w:tcPr>
          <w:p>
            <w:pPr>
              <w:adjustRightInd w:val="0"/>
              <w:snapToGrid w:val="0"/>
              <w:jc w:val="center"/>
              <w:rPr>
                <w:bCs/>
                <w:kern w:val="0"/>
                <w:sz w:val="21"/>
                <w:szCs w:val="21"/>
                <w:vertAlign w:val="superscript"/>
              </w:rPr>
            </w:pPr>
            <w:r>
              <w:rPr>
                <w:rFonts w:hint="eastAsia"/>
                <w:bCs/>
                <w:kern w:val="0"/>
                <w:sz w:val="21"/>
                <w:szCs w:val="21"/>
              </w:rPr>
              <w:t>建设循环水池1个，容积30m</w:t>
            </w:r>
            <w:r>
              <w:rPr>
                <w:rFonts w:hint="eastAsia"/>
                <w:bCs/>
                <w:kern w:val="0"/>
                <w:sz w:val="21"/>
                <w:szCs w:val="21"/>
                <w:vertAlign w:val="superscript"/>
              </w:rPr>
              <w:t>3</w:t>
            </w:r>
          </w:p>
        </w:tc>
        <w:tc>
          <w:tcPr>
            <w:tcW w:w="2410" w:type="dxa"/>
            <w:vAlign w:val="center"/>
          </w:tcPr>
          <w:p>
            <w:pPr>
              <w:adjustRightInd w:val="0"/>
              <w:snapToGrid w:val="0"/>
              <w:jc w:val="center"/>
              <w:rPr>
                <w:bCs/>
                <w:kern w:val="0"/>
                <w:sz w:val="21"/>
                <w:szCs w:val="21"/>
              </w:rPr>
            </w:pPr>
            <w:r>
              <w:rPr>
                <w:rFonts w:hint="eastAsia"/>
                <w:bCs/>
                <w:kern w:val="0"/>
                <w:sz w:val="21"/>
                <w:szCs w:val="21"/>
              </w:rPr>
              <w:t>与环评一致</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adjustRightInd w:val="0"/>
              <w:snapToGrid w:val="0"/>
              <w:jc w:val="center"/>
              <w:rPr>
                <w:bCs/>
                <w:kern w:val="0"/>
                <w:sz w:val="21"/>
                <w:szCs w:val="21"/>
              </w:rPr>
            </w:pPr>
            <w:r>
              <w:rPr>
                <w:rFonts w:hint="eastAsia"/>
                <w:bCs/>
                <w:kern w:val="0"/>
                <w:sz w:val="21"/>
                <w:szCs w:val="21"/>
              </w:rPr>
              <w:t>公用工程</w:t>
            </w:r>
          </w:p>
        </w:tc>
        <w:tc>
          <w:tcPr>
            <w:tcW w:w="1134" w:type="dxa"/>
            <w:vAlign w:val="center"/>
          </w:tcPr>
          <w:p>
            <w:pPr>
              <w:adjustRightInd w:val="0"/>
              <w:snapToGrid w:val="0"/>
              <w:jc w:val="center"/>
              <w:rPr>
                <w:bCs/>
                <w:kern w:val="0"/>
                <w:sz w:val="21"/>
                <w:szCs w:val="21"/>
              </w:rPr>
            </w:pPr>
            <w:r>
              <w:rPr>
                <w:rFonts w:hint="eastAsia"/>
                <w:bCs/>
                <w:kern w:val="0"/>
                <w:sz w:val="21"/>
                <w:szCs w:val="21"/>
              </w:rPr>
              <w:t>给水</w:t>
            </w:r>
          </w:p>
        </w:tc>
        <w:tc>
          <w:tcPr>
            <w:tcW w:w="2977" w:type="dxa"/>
            <w:vAlign w:val="center"/>
          </w:tcPr>
          <w:p>
            <w:pPr>
              <w:adjustRightInd w:val="0"/>
              <w:snapToGrid w:val="0"/>
              <w:jc w:val="center"/>
              <w:rPr>
                <w:bCs/>
                <w:kern w:val="0"/>
                <w:sz w:val="21"/>
                <w:szCs w:val="21"/>
              </w:rPr>
            </w:pPr>
            <w:r>
              <w:rPr>
                <w:rFonts w:hint="eastAsia"/>
                <w:bCs/>
                <w:kern w:val="0"/>
                <w:sz w:val="21"/>
                <w:szCs w:val="21"/>
              </w:rPr>
              <w:t>由园区市政供水系统供给</w:t>
            </w:r>
          </w:p>
        </w:tc>
        <w:tc>
          <w:tcPr>
            <w:tcW w:w="2410" w:type="dxa"/>
            <w:vAlign w:val="center"/>
          </w:tcPr>
          <w:p>
            <w:pPr>
              <w:adjustRightInd w:val="0"/>
              <w:snapToGrid w:val="0"/>
              <w:jc w:val="center"/>
              <w:rPr>
                <w:bCs/>
                <w:kern w:val="0"/>
                <w:sz w:val="21"/>
                <w:szCs w:val="21"/>
              </w:rPr>
            </w:pPr>
            <w:r>
              <w:rPr>
                <w:rFonts w:hint="eastAsia"/>
                <w:bCs/>
                <w:kern w:val="0"/>
                <w:sz w:val="21"/>
                <w:szCs w:val="21"/>
              </w:rPr>
              <w:t>由园区水井供给</w:t>
            </w:r>
          </w:p>
        </w:tc>
        <w:tc>
          <w:tcPr>
            <w:tcW w:w="1240" w:type="dxa"/>
            <w:vAlign w:val="center"/>
          </w:tcPr>
          <w:p>
            <w:pPr>
              <w:adjustRightInd w:val="0"/>
              <w:snapToGrid w:val="0"/>
              <w:jc w:val="center"/>
              <w:rPr>
                <w:bCs/>
                <w:kern w:val="0"/>
                <w:sz w:val="21"/>
                <w:szCs w:val="21"/>
              </w:rPr>
            </w:pPr>
            <w:r>
              <w:rPr>
                <w:rFonts w:hint="eastAsia"/>
                <w:bCs/>
                <w:kern w:val="0"/>
                <w:sz w:val="21"/>
                <w:szCs w:val="21"/>
              </w:rPr>
              <w:t>农业园用水均取自水井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排水</w:t>
            </w:r>
          </w:p>
        </w:tc>
        <w:tc>
          <w:tcPr>
            <w:tcW w:w="2977" w:type="dxa"/>
            <w:vAlign w:val="center"/>
          </w:tcPr>
          <w:p>
            <w:pPr>
              <w:adjustRightInd w:val="0"/>
              <w:snapToGrid w:val="0"/>
              <w:jc w:val="center"/>
              <w:rPr>
                <w:bCs/>
                <w:kern w:val="0"/>
                <w:sz w:val="21"/>
                <w:szCs w:val="21"/>
              </w:rPr>
            </w:pPr>
            <w:r>
              <w:rPr>
                <w:rFonts w:hint="eastAsia"/>
                <w:bCs/>
                <w:kern w:val="0"/>
                <w:sz w:val="21"/>
                <w:szCs w:val="21"/>
              </w:rPr>
              <w:t>经地埋式污水处理站处置后冬储夏灌</w:t>
            </w:r>
          </w:p>
        </w:tc>
        <w:tc>
          <w:tcPr>
            <w:tcW w:w="2410" w:type="dxa"/>
            <w:vAlign w:val="center"/>
          </w:tcPr>
          <w:p>
            <w:pPr>
              <w:adjustRightInd w:val="0"/>
              <w:snapToGrid w:val="0"/>
              <w:jc w:val="center"/>
              <w:rPr>
                <w:bCs/>
                <w:kern w:val="0"/>
                <w:sz w:val="21"/>
                <w:szCs w:val="21"/>
              </w:rPr>
            </w:pPr>
            <w:r>
              <w:rPr>
                <w:rFonts w:hint="eastAsia"/>
                <w:bCs/>
                <w:kern w:val="0"/>
                <w:sz w:val="21"/>
                <w:szCs w:val="21"/>
              </w:rPr>
              <w:t>经防渗收集池收集后定期拉运至污水处理厂</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供暖</w:t>
            </w:r>
          </w:p>
        </w:tc>
        <w:tc>
          <w:tcPr>
            <w:tcW w:w="2977" w:type="dxa"/>
            <w:vAlign w:val="center"/>
          </w:tcPr>
          <w:p>
            <w:pPr>
              <w:adjustRightInd w:val="0"/>
              <w:snapToGrid w:val="0"/>
              <w:jc w:val="center"/>
              <w:rPr>
                <w:bCs/>
                <w:kern w:val="0"/>
                <w:sz w:val="21"/>
                <w:szCs w:val="21"/>
              </w:rPr>
            </w:pPr>
            <w:r>
              <w:rPr>
                <w:rFonts w:hint="eastAsia"/>
                <w:bCs/>
                <w:kern w:val="0"/>
                <w:sz w:val="21"/>
                <w:szCs w:val="21"/>
              </w:rPr>
              <w:t>电采暖</w:t>
            </w:r>
          </w:p>
        </w:tc>
        <w:tc>
          <w:tcPr>
            <w:tcW w:w="2410" w:type="dxa"/>
            <w:vAlign w:val="center"/>
          </w:tcPr>
          <w:p>
            <w:pPr>
              <w:adjustRightInd w:val="0"/>
              <w:snapToGrid w:val="0"/>
              <w:jc w:val="center"/>
              <w:rPr>
                <w:bCs/>
                <w:kern w:val="0"/>
                <w:sz w:val="21"/>
                <w:szCs w:val="21"/>
              </w:rPr>
            </w:pPr>
            <w:r>
              <w:rPr>
                <w:rFonts w:hint="eastAsia"/>
                <w:bCs/>
                <w:kern w:val="0"/>
                <w:sz w:val="21"/>
                <w:szCs w:val="21"/>
              </w:rPr>
              <w:t>电采暖</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供电</w:t>
            </w:r>
          </w:p>
        </w:tc>
        <w:tc>
          <w:tcPr>
            <w:tcW w:w="2977" w:type="dxa"/>
            <w:vAlign w:val="center"/>
          </w:tcPr>
          <w:p>
            <w:pPr>
              <w:adjustRightInd w:val="0"/>
              <w:snapToGrid w:val="0"/>
              <w:jc w:val="center"/>
              <w:rPr>
                <w:bCs/>
                <w:kern w:val="0"/>
                <w:sz w:val="21"/>
                <w:szCs w:val="21"/>
              </w:rPr>
            </w:pPr>
            <w:r>
              <w:rPr>
                <w:rFonts w:hint="eastAsia"/>
                <w:bCs/>
                <w:kern w:val="0"/>
                <w:sz w:val="21"/>
                <w:szCs w:val="21"/>
              </w:rPr>
              <w:t>市政电网接入</w:t>
            </w:r>
          </w:p>
        </w:tc>
        <w:tc>
          <w:tcPr>
            <w:tcW w:w="2410" w:type="dxa"/>
            <w:vAlign w:val="center"/>
          </w:tcPr>
          <w:p>
            <w:pPr>
              <w:adjustRightInd w:val="0"/>
              <w:snapToGrid w:val="0"/>
              <w:jc w:val="center"/>
              <w:rPr>
                <w:bCs/>
                <w:kern w:val="0"/>
                <w:sz w:val="21"/>
                <w:szCs w:val="21"/>
              </w:rPr>
            </w:pPr>
            <w:r>
              <w:rPr>
                <w:rFonts w:hint="eastAsia"/>
                <w:bCs/>
                <w:kern w:val="0"/>
                <w:sz w:val="21"/>
                <w:szCs w:val="21"/>
              </w:rPr>
              <w:t>市政电网接入</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adjustRightInd w:val="0"/>
              <w:snapToGrid w:val="0"/>
              <w:jc w:val="center"/>
              <w:rPr>
                <w:bCs/>
                <w:kern w:val="0"/>
                <w:sz w:val="21"/>
                <w:szCs w:val="21"/>
              </w:rPr>
            </w:pPr>
            <w:r>
              <w:rPr>
                <w:rFonts w:hint="eastAsia"/>
                <w:bCs/>
                <w:kern w:val="0"/>
                <w:sz w:val="21"/>
                <w:szCs w:val="21"/>
              </w:rPr>
              <w:t>环保工程</w:t>
            </w:r>
          </w:p>
        </w:tc>
        <w:tc>
          <w:tcPr>
            <w:tcW w:w="1134" w:type="dxa"/>
            <w:vAlign w:val="center"/>
          </w:tcPr>
          <w:p>
            <w:pPr>
              <w:adjustRightInd w:val="0"/>
              <w:snapToGrid w:val="0"/>
              <w:jc w:val="center"/>
              <w:rPr>
                <w:bCs/>
                <w:kern w:val="0"/>
                <w:sz w:val="21"/>
                <w:szCs w:val="21"/>
              </w:rPr>
            </w:pPr>
            <w:r>
              <w:rPr>
                <w:rFonts w:hint="eastAsia"/>
                <w:bCs/>
                <w:kern w:val="0"/>
                <w:sz w:val="21"/>
                <w:szCs w:val="21"/>
              </w:rPr>
              <w:t>废气治理</w:t>
            </w:r>
          </w:p>
        </w:tc>
        <w:tc>
          <w:tcPr>
            <w:tcW w:w="2977" w:type="dxa"/>
            <w:vAlign w:val="center"/>
          </w:tcPr>
          <w:p>
            <w:pPr>
              <w:adjustRightInd w:val="0"/>
              <w:snapToGrid w:val="0"/>
              <w:jc w:val="center"/>
              <w:rPr>
                <w:bCs/>
                <w:kern w:val="0"/>
                <w:sz w:val="21"/>
                <w:szCs w:val="21"/>
              </w:rPr>
            </w:pPr>
            <w:r>
              <w:rPr>
                <w:rFonts w:hint="eastAsia"/>
                <w:bCs/>
                <w:kern w:val="0"/>
                <w:sz w:val="21"/>
                <w:szCs w:val="21"/>
              </w:rPr>
              <w:t>集气罩+UV光氧催化+低温等离子设备+15m排气筒</w:t>
            </w:r>
          </w:p>
        </w:tc>
        <w:tc>
          <w:tcPr>
            <w:tcW w:w="2410" w:type="dxa"/>
            <w:vAlign w:val="center"/>
          </w:tcPr>
          <w:p>
            <w:pPr>
              <w:adjustRightInd w:val="0"/>
              <w:snapToGrid w:val="0"/>
              <w:jc w:val="center"/>
              <w:rPr>
                <w:bCs/>
                <w:kern w:val="0"/>
                <w:sz w:val="21"/>
                <w:szCs w:val="21"/>
              </w:rPr>
            </w:pPr>
            <w:r>
              <w:rPr>
                <w:rFonts w:hint="eastAsia"/>
                <w:bCs/>
                <w:kern w:val="0"/>
                <w:sz w:val="21"/>
                <w:szCs w:val="21"/>
              </w:rPr>
              <w:t>设置集气罩+UV光氧催化+活性炭吸附+15m排气筒（DA001）</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Merge w:val="restart"/>
            <w:vAlign w:val="center"/>
          </w:tcPr>
          <w:p>
            <w:pPr>
              <w:adjustRightInd w:val="0"/>
              <w:snapToGrid w:val="0"/>
              <w:jc w:val="center"/>
              <w:rPr>
                <w:bCs/>
                <w:kern w:val="0"/>
                <w:sz w:val="21"/>
                <w:szCs w:val="21"/>
              </w:rPr>
            </w:pPr>
            <w:r>
              <w:rPr>
                <w:rFonts w:hint="eastAsia"/>
                <w:bCs/>
                <w:kern w:val="0"/>
                <w:sz w:val="21"/>
                <w:szCs w:val="21"/>
              </w:rPr>
              <w:t>废水治理</w:t>
            </w:r>
          </w:p>
        </w:tc>
        <w:tc>
          <w:tcPr>
            <w:tcW w:w="2977" w:type="dxa"/>
            <w:vAlign w:val="center"/>
          </w:tcPr>
          <w:p>
            <w:pPr>
              <w:adjustRightInd w:val="0"/>
              <w:snapToGrid w:val="0"/>
              <w:jc w:val="center"/>
              <w:rPr>
                <w:bCs/>
                <w:kern w:val="0"/>
                <w:sz w:val="21"/>
                <w:szCs w:val="21"/>
              </w:rPr>
            </w:pPr>
            <w:r>
              <w:rPr>
                <w:rFonts w:hint="eastAsia"/>
                <w:bCs/>
                <w:kern w:val="0"/>
                <w:sz w:val="21"/>
                <w:szCs w:val="21"/>
              </w:rPr>
              <w:t>生产废水循环使用</w:t>
            </w:r>
          </w:p>
        </w:tc>
        <w:tc>
          <w:tcPr>
            <w:tcW w:w="2410" w:type="dxa"/>
            <w:vAlign w:val="center"/>
          </w:tcPr>
          <w:p>
            <w:pPr>
              <w:adjustRightInd w:val="0"/>
              <w:snapToGrid w:val="0"/>
              <w:jc w:val="center"/>
              <w:rPr>
                <w:bCs/>
                <w:kern w:val="0"/>
                <w:sz w:val="21"/>
                <w:szCs w:val="21"/>
              </w:rPr>
            </w:pPr>
            <w:r>
              <w:rPr>
                <w:rFonts w:hint="eastAsia"/>
                <w:bCs/>
                <w:kern w:val="0"/>
                <w:sz w:val="21"/>
                <w:szCs w:val="21"/>
              </w:rPr>
              <w:t>清洗废水循环使用</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Merge w:val="continue"/>
            <w:vAlign w:val="center"/>
          </w:tcPr>
          <w:p>
            <w:pPr>
              <w:adjustRightInd w:val="0"/>
              <w:snapToGrid w:val="0"/>
              <w:jc w:val="center"/>
              <w:rPr>
                <w:bCs/>
                <w:kern w:val="0"/>
                <w:sz w:val="21"/>
                <w:szCs w:val="21"/>
              </w:rPr>
            </w:pPr>
          </w:p>
        </w:tc>
        <w:tc>
          <w:tcPr>
            <w:tcW w:w="2977" w:type="dxa"/>
            <w:vAlign w:val="center"/>
          </w:tcPr>
          <w:p>
            <w:pPr>
              <w:adjustRightInd w:val="0"/>
              <w:snapToGrid w:val="0"/>
              <w:jc w:val="center"/>
              <w:rPr>
                <w:bCs/>
                <w:kern w:val="0"/>
                <w:sz w:val="21"/>
                <w:szCs w:val="21"/>
              </w:rPr>
            </w:pPr>
            <w:r>
              <w:rPr>
                <w:rFonts w:hint="eastAsia"/>
                <w:bCs/>
                <w:kern w:val="0"/>
                <w:sz w:val="21"/>
                <w:szCs w:val="21"/>
              </w:rPr>
              <w:t>办公生活污水经地埋式污水处理设施处理后循环使用</w:t>
            </w:r>
          </w:p>
        </w:tc>
        <w:tc>
          <w:tcPr>
            <w:tcW w:w="2410" w:type="dxa"/>
            <w:vAlign w:val="center"/>
          </w:tcPr>
          <w:p>
            <w:pPr>
              <w:adjustRightInd w:val="0"/>
              <w:snapToGrid w:val="0"/>
              <w:jc w:val="center"/>
              <w:rPr>
                <w:bCs/>
                <w:kern w:val="0"/>
                <w:sz w:val="21"/>
                <w:szCs w:val="21"/>
              </w:rPr>
            </w:pPr>
            <w:r>
              <w:rPr>
                <w:rFonts w:hint="eastAsia"/>
                <w:bCs/>
                <w:kern w:val="0"/>
                <w:sz w:val="21"/>
                <w:szCs w:val="21"/>
              </w:rPr>
              <w:t>经防渗收集池收集后定期拉运至污水处理厂</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噪声污染治理</w:t>
            </w:r>
          </w:p>
        </w:tc>
        <w:tc>
          <w:tcPr>
            <w:tcW w:w="2977" w:type="dxa"/>
            <w:vAlign w:val="center"/>
          </w:tcPr>
          <w:p>
            <w:pPr>
              <w:adjustRightInd w:val="0"/>
              <w:snapToGrid w:val="0"/>
              <w:jc w:val="center"/>
              <w:rPr>
                <w:bCs/>
                <w:kern w:val="0"/>
                <w:sz w:val="21"/>
                <w:szCs w:val="21"/>
              </w:rPr>
            </w:pPr>
            <w:r>
              <w:rPr>
                <w:rFonts w:hint="eastAsia"/>
                <w:bCs/>
                <w:kern w:val="0"/>
                <w:sz w:val="21"/>
                <w:szCs w:val="21"/>
              </w:rPr>
              <w:t>设备减振、安装隔声门窗</w:t>
            </w:r>
          </w:p>
        </w:tc>
        <w:tc>
          <w:tcPr>
            <w:tcW w:w="2410" w:type="dxa"/>
            <w:vAlign w:val="center"/>
          </w:tcPr>
          <w:p>
            <w:pPr>
              <w:adjustRightInd w:val="0"/>
              <w:snapToGrid w:val="0"/>
              <w:jc w:val="center"/>
              <w:rPr>
                <w:bCs/>
                <w:kern w:val="0"/>
                <w:sz w:val="21"/>
                <w:szCs w:val="21"/>
              </w:rPr>
            </w:pPr>
            <w:r>
              <w:rPr>
                <w:rFonts w:hint="eastAsia"/>
                <w:bCs/>
                <w:kern w:val="0"/>
                <w:sz w:val="21"/>
                <w:szCs w:val="21"/>
              </w:rPr>
              <w:t>设备减振、车间墙体隔音</w:t>
            </w:r>
          </w:p>
        </w:tc>
        <w:tc>
          <w:tcPr>
            <w:tcW w:w="1240"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adjustRightInd w:val="0"/>
              <w:snapToGrid w:val="0"/>
              <w:jc w:val="center"/>
              <w:rPr>
                <w:bCs/>
                <w:kern w:val="0"/>
                <w:sz w:val="21"/>
                <w:szCs w:val="21"/>
              </w:rPr>
            </w:pPr>
          </w:p>
        </w:tc>
        <w:tc>
          <w:tcPr>
            <w:tcW w:w="1134" w:type="dxa"/>
            <w:vAlign w:val="center"/>
          </w:tcPr>
          <w:p>
            <w:pPr>
              <w:adjustRightInd w:val="0"/>
              <w:snapToGrid w:val="0"/>
              <w:jc w:val="center"/>
              <w:rPr>
                <w:bCs/>
                <w:kern w:val="0"/>
                <w:sz w:val="21"/>
                <w:szCs w:val="21"/>
              </w:rPr>
            </w:pPr>
            <w:r>
              <w:rPr>
                <w:rFonts w:hint="eastAsia"/>
                <w:bCs/>
                <w:kern w:val="0"/>
                <w:sz w:val="21"/>
                <w:szCs w:val="21"/>
              </w:rPr>
              <w:t>固体废物处置</w:t>
            </w:r>
          </w:p>
        </w:tc>
        <w:tc>
          <w:tcPr>
            <w:tcW w:w="2977" w:type="dxa"/>
            <w:vAlign w:val="center"/>
          </w:tcPr>
          <w:p>
            <w:pPr>
              <w:adjustRightInd w:val="0"/>
              <w:snapToGrid w:val="0"/>
              <w:jc w:val="center"/>
              <w:rPr>
                <w:bCs/>
                <w:kern w:val="0"/>
                <w:sz w:val="21"/>
                <w:szCs w:val="21"/>
              </w:rPr>
            </w:pPr>
            <w:r>
              <w:rPr>
                <w:rFonts w:hint="eastAsia"/>
                <w:bCs/>
                <w:kern w:val="0"/>
                <w:sz w:val="21"/>
                <w:szCs w:val="21"/>
              </w:rPr>
              <w:t>由环卫部门处理</w:t>
            </w:r>
          </w:p>
        </w:tc>
        <w:tc>
          <w:tcPr>
            <w:tcW w:w="2410" w:type="dxa"/>
            <w:vAlign w:val="center"/>
          </w:tcPr>
          <w:p>
            <w:pPr>
              <w:adjustRightInd w:val="0"/>
              <w:snapToGrid w:val="0"/>
              <w:jc w:val="center"/>
              <w:rPr>
                <w:bCs/>
                <w:kern w:val="0"/>
                <w:sz w:val="21"/>
                <w:szCs w:val="21"/>
              </w:rPr>
            </w:pPr>
            <w:r>
              <w:rPr>
                <w:rFonts w:hint="eastAsia"/>
                <w:bCs/>
                <w:kern w:val="0"/>
                <w:sz w:val="21"/>
                <w:szCs w:val="21"/>
              </w:rPr>
              <w:t>环评一致</w:t>
            </w:r>
          </w:p>
        </w:tc>
        <w:tc>
          <w:tcPr>
            <w:tcW w:w="1240" w:type="dxa"/>
            <w:vAlign w:val="center"/>
          </w:tcPr>
          <w:p>
            <w:pPr>
              <w:adjustRightInd w:val="0"/>
              <w:snapToGrid w:val="0"/>
              <w:jc w:val="center"/>
              <w:rPr>
                <w:bCs/>
                <w:kern w:val="0"/>
                <w:sz w:val="21"/>
                <w:szCs w:val="21"/>
              </w:rPr>
            </w:pP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3.1.3现有工程主要原辅料</w:t>
      </w:r>
    </w:p>
    <w:p>
      <w:pPr>
        <w:spacing w:line="460" w:lineRule="exact"/>
        <w:ind w:firstLine="480" w:firstLineChars="200"/>
        <w:rPr>
          <w:bCs/>
          <w:sz w:val="24"/>
          <w:lang w:bidi="en-US"/>
        </w:rPr>
      </w:pPr>
      <w:r>
        <w:rPr>
          <w:rFonts w:hint="eastAsia"/>
          <w:bCs/>
          <w:sz w:val="24"/>
          <w:lang w:bidi="en-US"/>
        </w:rPr>
        <w:t>现有工程主要原辅料用量情况详见表3.1-2。</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表3.1-2                现有工程原辅料用量一览表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2109"/>
        <w:gridCol w:w="2109"/>
        <w:gridCol w:w="2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Align w:val="center"/>
          </w:tcPr>
          <w:p>
            <w:pPr>
              <w:adjustRightInd w:val="0"/>
              <w:snapToGrid w:val="0"/>
              <w:jc w:val="center"/>
              <w:rPr>
                <w:bCs/>
                <w:kern w:val="0"/>
                <w:sz w:val="21"/>
                <w:szCs w:val="21"/>
              </w:rPr>
            </w:pPr>
            <w:r>
              <w:rPr>
                <w:rFonts w:hint="eastAsia"/>
                <w:bCs/>
                <w:kern w:val="0"/>
                <w:sz w:val="21"/>
                <w:szCs w:val="21"/>
              </w:rPr>
              <w:t>项目</w:t>
            </w:r>
          </w:p>
        </w:tc>
        <w:tc>
          <w:tcPr>
            <w:tcW w:w="2109" w:type="dxa"/>
            <w:vAlign w:val="center"/>
          </w:tcPr>
          <w:p>
            <w:pPr>
              <w:adjustRightInd w:val="0"/>
              <w:snapToGrid w:val="0"/>
              <w:jc w:val="center"/>
              <w:rPr>
                <w:bCs/>
                <w:kern w:val="0"/>
                <w:sz w:val="21"/>
                <w:szCs w:val="21"/>
              </w:rPr>
            </w:pPr>
            <w:r>
              <w:rPr>
                <w:rFonts w:hint="eastAsia"/>
                <w:bCs/>
                <w:kern w:val="0"/>
                <w:sz w:val="21"/>
                <w:szCs w:val="21"/>
              </w:rPr>
              <w:t>名称</w:t>
            </w:r>
          </w:p>
        </w:tc>
        <w:tc>
          <w:tcPr>
            <w:tcW w:w="2109" w:type="dxa"/>
            <w:vAlign w:val="center"/>
          </w:tcPr>
          <w:p>
            <w:pPr>
              <w:adjustRightInd w:val="0"/>
              <w:snapToGrid w:val="0"/>
              <w:jc w:val="center"/>
              <w:rPr>
                <w:bCs/>
                <w:kern w:val="0"/>
                <w:sz w:val="21"/>
                <w:szCs w:val="21"/>
              </w:rPr>
            </w:pPr>
            <w:r>
              <w:rPr>
                <w:rFonts w:hint="eastAsia"/>
                <w:bCs/>
                <w:kern w:val="0"/>
                <w:sz w:val="21"/>
                <w:szCs w:val="21"/>
              </w:rPr>
              <w:t>单位</w:t>
            </w:r>
          </w:p>
        </w:tc>
        <w:tc>
          <w:tcPr>
            <w:tcW w:w="2109" w:type="dxa"/>
            <w:vAlign w:val="center"/>
          </w:tcPr>
          <w:p>
            <w:pPr>
              <w:adjustRightInd w:val="0"/>
              <w:snapToGrid w:val="0"/>
              <w:jc w:val="center"/>
              <w:rPr>
                <w:bCs/>
                <w:kern w:val="0"/>
                <w:sz w:val="21"/>
                <w:szCs w:val="21"/>
              </w:rPr>
            </w:pPr>
            <w:r>
              <w:rPr>
                <w:rFonts w:hint="eastAsia"/>
                <w:bCs/>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Align w:val="center"/>
          </w:tcPr>
          <w:p>
            <w:pPr>
              <w:adjustRightInd w:val="0"/>
              <w:snapToGrid w:val="0"/>
              <w:jc w:val="center"/>
              <w:rPr>
                <w:bCs/>
                <w:kern w:val="0"/>
                <w:sz w:val="21"/>
                <w:szCs w:val="21"/>
              </w:rPr>
            </w:pPr>
            <w:r>
              <w:rPr>
                <w:bCs/>
                <w:kern w:val="0"/>
                <w:sz w:val="21"/>
                <w:szCs w:val="21"/>
              </w:rPr>
              <w:t>原料</w:t>
            </w:r>
          </w:p>
        </w:tc>
        <w:tc>
          <w:tcPr>
            <w:tcW w:w="2109" w:type="dxa"/>
            <w:vAlign w:val="center"/>
          </w:tcPr>
          <w:p>
            <w:pPr>
              <w:adjustRightInd w:val="0"/>
              <w:snapToGrid w:val="0"/>
              <w:jc w:val="center"/>
              <w:rPr>
                <w:bCs/>
                <w:kern w:val="0"/>
                <w:sz w:val="21"/>
                <w:szCs w:val="21"/>
              </w:rPr>
            </w:pPr>
            <w:r>
              <w:rPr>
                <w:bCs/>
                <w:kern w:val="0"/>
                <w:sz w:val="21"/>
                <w:szCs w:val="21"/>
              </w:rPr>
              <w:t>聚乙烯颗粒料</w:t>
            </w:r>
          </w:p>
        </w:tc>
        <w:tc>
          <w:tcPr>
            <w:tcW w:w="2109" w:type="dxa"/>
            <w:vAlign w:val="center"/>
          </w:tcPr>
          <w:p>
            <w:pPr>
              <w:adjustRightInd w:val="0"/>
              <w:snapToGrid w:val="0"/>
              <w:jc w:val="center"/>
              <w:rPr>
                <w:bCs/>
                <w:kern w:val="0"/>
                <w:sz w:val="21"/>
                <w:szCs w:val="21"/>
              </w:rPr>
            </w:pPr>
            <w:r>
              <w:rPr>
                <w:bCs/>
                <w:kern w:val="0"/>
                <w:sz w:val="21"/>
                <w:szCs w:val="21"/>
              </w:rPr>
              <w:t>t/a</w:t>
            </w:r>
          </w:p>
        </w:tc>
        <w:tc>
          <w:tcPr>
            <w:tcW w:w="2109" w:type="dxa"/>
            <w:vAlign w:val="center"/>
          </w:tcPr>
          <w:p>
            <w:pPr>
              <w:adjustRightInd w:val="0"/>
              <w:snapToGrid w:val="0"/>
              <w:jc w:val="center"/>
              <w:rPr>
                <w:bCs/>
                <w:kern w:val="0"/>
                <w:sz w:val="21"/>
                <w:szCs w:val="21"/>
              </w:rPr>
            </w:pPr>
            <w:r>
              <w:rPr>
                <w:rFonts w:hint="eastAsia"/>
                <w:bCs/>
                <w:kern w:val="0"/>
                <w:sz w:val="21"/>
                <w:szCs w:val="21"/>
              </w:rPr>
              <w:t>1799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Merge w:val="restart"/>
            <w:vAlign w:val="center"/>
          </w:tcPr>
          <w:p>
            <w:pPr>
              <w:adjustRightInd w:val="0"/>
              <w:snapToGrid w:val="0"/>
              <w:jc w:val="center"/>
              <w:rPr>
                <w:bCs/>
                <w:kern w:val="0"/>
                <w:sz w:val="21"/>
                <w:szCs w:val="21"/>
              </w:rPr>
            </w:pPr>
            <w:r>
              <w:rPr>
                <w:bCs/>
                <w:kern w:val="0"/>
                <w:sz w:val="21"/>
                <w:szCs w:val="21"/>
              </w:rPr>
              <w:t>辅料</w:t>
            </w:r>
          </w:p>
        </w:tc>
        <w:tc>
          <w:tcPr>
            <w:tcW w:w="2109" w:type="dxa"/>
            <w:vAlign w:val="center"/>
          </w:tcPr>
          <w:p>
            <w:pPr>
              <w:adjustRightInd w:val="0"/>
              <w:snapToGrid w:val="0"/>
              <w:jc w:val="center"/>
              <w:rPr>
                <w:bCs/>
                <w:kern w:val="0"/>
                <w:sz w:val="21"/>
                <w:szCs w:val="21"/>
              </w:rPr>
            </w:pPr>
            <w:r>
              <w:rPr>
                <w:bCs/>
                <w:kern w:val="0"/>
                <w:sz w:val="21"/>
                <w:szCs w:val="21"/>
              </w:rPr>
              <w:t>抗老化剂</w:t>
            </w:r>
          </w:p>
        </w:tc>
        <w:tc>
          <w:tcPr>
            <w:tcW w:w="2109" w:type="dxa"/>
            <w:vAlign w:val="center"/>
          </w:tcPr>
          <w:p>
            <w:pPr>
              <w:adjustRightInd w:val="0"/>
              <w:snapToGrid w:val="0"/>
              <w:jc w:val="center"/>
              <w:rPr>
                <w:bCs/>
                <w:kern w:val="0"/>
                <w:sz w:val="21"/>
                <w:szCs w:val="21"/>
              </w:rPr>
            </w:pPr>
            <w:r>
              <w:rPr>
                <w:bCs/>
                <w:kern w:val="0"/>
                <w:sz w:val="21"/>
                <w:szCs w:val="21"/>
              </w:rPr>
              <w:t>t/a</w:t>
            </w:r>
          </w:p>
        </w:tc>
        <w:tc>
          <w:tcPr>
            <w:tcW w:w="2109" w:type="dxa"/>
            <w:vAlign w:val="center"/>
          </w:tcPr>
          <w:p>
            <w:pPr>
              <w:adjustRightInd w:val="0"/>
              <w:snapToGrid w:val="0"/>
              <w:jc w:val="center"/>
              <w:rPr>
                <w:bCs/>
                <w:kern w:val="0"/>
                <w:sz w:val="21"/>
                <w:szCs w:val="21"/>
              </w:rPr>
            </w:pPr>
            <w:r>
              <w:rPr>
                <w:rFonts w:hint="eastAsia"/>
                <w:bCs/>
                <w:kern w:val="0"/>
                <w:sz w:val="21"/>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Merge w:val="continue"/>
            <w:vAlign w:val="center"/>
          </w:tcPr>
          <w:p>
            <w:pPr>
              <w:adjustRightInd w:val="0"/>
              <w:snapToGrid w:val="0"/>
              <w:jc w:val="center"/>
              <w:rPr>
                <w:bCs/>
                <w:kern w:val="0"/>
                <w:sz w:val="21"/>
                <w:szCs w:val="21"/>
              </w:rPr>
            </w:pPr>
          </w:p>
        </w:tc>
        <w:tc>
          <w:tcPr>
            <w:tcW w:w="2109" w:type="dxa"/>
            <w:vAlign w:val="center"/>
          </w:tcPr>
          <w:p>
            <w:pPr>
              <w:adjustRightInd w:val="0"/>
              <w:snapToGrid w:val="0"/>
              <w:jc w:val="center"/>
              <w:rPr>
                <w:bCs/>
                <w:kern w:val="0"/>
                <w:sz w:val="21"/>
                <w:szCs w:val="21"/>
              </w:rPr>
            </w:pPr>
            <w:r>
              <w:rPr>
                <w:rFonts w:hint="eastAsia"/>
                <w:bCs/>
                <w:kern w:val="0"/>
                <w:sz w:val="21"/>
                <w:szCs w:val="21"/>
              </w:rPr>
              <w:t>黑色母</w:t>
            </w:r>
          </w:p>
        </w:tc>
        <w:tc>
          <w:tcPr>
            <w:tcW w:w="2109" w:type="dxa"/>
            <w:vAlign w:val="center"/>
          </w:tcPr>
          <w:p>
            <w:pPr>
              <w:adjustRightInd w:val="0"/>
              <w:snapToGrid w:val="0"/>
              <w:jc w:val="center"/>
              <w:rPr>
                <w:bCs/>
                <w:kern w:val="0"/>
                <w:sz w:val="21"/>
                <w:szCs w:val="21"/>
              </w:rPr>
            </w:pPr>
            <w:r>
              <w:rPr>
                <w:rFonts w:hint="eastAsia"/>
                <w:bCs/>
                <w:kern w:val="0"/>
                <w:sz w:val="21"/>
                <w:szCs w:val="21"/>
              </w:rPr>
              <w:t>t/a</w:t>
            </w:r>
          </w:p>
        </w:tc>
        <w:tc>
          <w:tcPr>
            <w:tcW w:w="2109" w:type="dxa"/>
            <w:vAlign w:val="center"/>
          </w:tcPr>
          <w:p>
            <w:pPr>
              <w:adjustRightInd w:val="0"/>
              <w:snapToGrid w:val="0"/>
              <w:jc w:val="center"/>
              <w:rPr>
                <w:bCs/>
                <w:kern w:val="0"/>
                <w:sz w:val="21"/>
                <w:szCs w:val="21"/>
              </w:rPr>
            </w:pPr>
            <w:r>
              <w:rPr>
                <w:rFonts w:hint="eastAsia"/>
                <w:bCs/>
                <w:kern w:val="0"/>
                <w:sz w:val="21"/>
                <w:szCs w:val="21"/>
              </w:rPr>
              <w:t>25</w:t>
            </w: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3.1.4现有</w:t>
      </w:r>
      <w:r>
        <w:rPr>
          <w:rFonts w:ascii="Times New Roman"/>
          <w:spacing w:val="12"/>
          <w:w w:val="95"/>
          <w:kern w:val="0"/>
          <w:szCs w:val="26"/>
        </w:rPr>
        <w:t>工程产品方案</w:t>
      </w:r>
    </w:p>
    <w:p>
      <w:pPr>
        <w:spacing w:line="460" w:lineRule="exact"/>
        <w:ind w:firstLine="480" w:firstLineChars="200"/>
        <w:rPr>
          <w:bCs/>
          <w:sz w:val="24"/>
          <w:lang w:bidi="en-US"/>
        </w:rPr>
      </w:pPr>
      <w:r>
        <w:rPr>
          <w:rFonts w:hint="eastAsia"/>
          <w:bCs/>
          <w:sz w:val="24"/>
          <w:lang w:bidi="en-US"/>
        </w:rPr>
        <w:t>现有</w:t>
      </w:r>
      <w:r>
        <w:rPr>
          <w:bCs/>
          <w:sz w:val="24"/>
          <w:lang w:bidi="en-US"/>
        </w:rPr>
        <w:t>工程产品方案见表</w:t>
      </w:r>
      <w:r>
        <w:rPr>
          <w:rFonts w:hint="eastAsia"/>
          <w:bCs/>
          <w:sz w:val="24"/>
          <w:lang w:bidi="en-US"/>
        </w:rPr>
        <w:t>3.1-3。</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 xml:space="preserve">表3.1-3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 xml:space="preserve"> 现有</w:t>
      </w:r>
      <w:r>
        <w:rPr>
          <w:rFonts w:ascii="Times New Roman" w:hAnsi="Times New Roman" w:eastAsia="黑体" w:cs="Times New Roman"/>
          <w:sz w:val="21"/>
          <w:lang w:bidi="en-US"/>
        </w:rPr>
        <w:t>工程产品方案一览表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1275"/>
        <w:gridCol w:w="3828"/>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1560" w:type="dxa"/>
            <w:vAlign w:val="center"/>
          </w:tcPr>
          <w:p>
            <w:pPr>
              <w:adjustRightInd w:val="0"/>
              <w:snapToGrid w:val="0"/>
              <w:jc w:val="center"/>
              <w:rPr>
                <w:bCs/>
                <w:kern w:val="0"/>
                <w:sz w:val="21"/>
                <w:szCs w:val="21"/>
              </w:rPr>
            </w:pPr>
            <w:r>
              <w:rPr>
                <w:rFonts w:hint="eastAsia"/>
                <w:bCs/>
                <w:kern w:val="0"/>
                <w:sz w:val="21"/>
                <w:szCs w:val="21"/>
              </w:rPr>
              <w:t>产品</w:t>
            </w:r>
            <w:r>
              <w:rPr>
                <w:bCs/>
                <w:kern w:val="0"/>
                <w:sz w:val="21"/>
                <w:szCs w:val="21"/>
              </w:rPr>
              <w:t>名称</w:t>
            </w:r>
          </w:p>
        </w:tc>
        <w:tc>
          <w:tcPr>
            <w:tcW w:w="1275" w:type="dxa"/>
            <w:vAlign w:val="center"/>
          </w:tcPr>
          <w:p>
            <w:pPr>
              <w:adjustRightInd w:val="0"/>
              <w:snapToGrid w:val="0"/>
              <w:jc w:val="center"/>
              <w:rPr>
                <w:bCs/>
                <w:kern w:val="0"/>
                <w:sz w:val="21"/>
                <w:szCs w:val="21"/>
              </w:rPr>
            </w:pPr>
            <w:r>
              <w:rPr>
                <w:rFonts w:hint="eastAsia"/>
                <w:bCs/>
                <w:kern w:val="0"/>
                <w:sz w:val="21"/>
                <w:szCs w:val="21"/>
              </w:rPr>
              <w:t>数量</w:t>
            </w:r>
            <w:r>
              <w:rPr>
                <w:bCs/>
                <w:kern w:val="0"/>
                <w:sz w:val="21"/>
                <w:szCs w:val="21"/>
              </w:rPr>
              <w:t>（t/a）</w:t>
            </w:r>
          </w:p>
        </w:tc>
        <w:tc>
          <w:tcPr>
            <w:tcW w:w="3828" w:type="dxa"/>
            <w:vAlign w:val="center"/>
          </w:tcPr>
          <w:p>
            <w:pPr>
              <w:adjustRightInd w:val="0"/>
              <w:snapToGrid w:val="0"/>
              <w:jc w:val="center"/>
              <w:rPr>
                <w:bCs/>
                <w:kern w:val="0"/>
                <w:sz w:val="21"/>
                <w:szCs w:val="21"/>
              </w:rPr>
            </w:pPr>
            <w:r>
              <w:rPr>
                <w:rFonts w:hint="eastAsia"/>
                <w:bCs/>
                <w:kern w:val="0"/>
                <w:sz w:val="21"/>
                <w:szCs w:val="21"/>
              </w:rPr>
              <w:t>规格</w:t>
            </w:r>
            <w:r>
              <w:rPr>
                <w:bCs/>
                <w:kern w:val="0"/>
                <w:sz w:val="21"/>
                <w:szCs w:val="21"/>
              </w:rPr>
              <w:t>型号</w:t>
            </w:r>
          </w:p>
        </w:tc>
        <w:tc>
          <w:tcPr>
            <w:tcW w:w="1098" w:type="dxa"/>
            <w:vAlign w:val="center"/>
          </w:tcPr>
          <w:p>
            <w:pPr>
              <w:adjustRightInd w:val="0"/>
              <w:snapToGrid w:val="0"/>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1560" w:type="dxa"/>
            <w:vAlign w:val="center"/>
          </w:tcPr>
          <w:p>
            <w:pPr>
              <w:adjustRightInd w:val="0"/>
              <w:snapToGrid w:val="0"/>
              <w:jc w:val="center"/>
              <w:rPr>
                <w:bCs/>
                <w:kern w:val="0"/>
                <w:sz w:val="21"/>
                <w:szCs w:val="21"/>
              </w:rPr>
            </w:pPr>
            <w:r>
              <w:rPr>
                <w:rFonts w:hint="eastAsia"/>
                <w:bCs/>
                <w:kern w:val="0"/>
                <w:sz w:val="21"/>
                <w:szCs w:val="21"/>
              </w:rPr>
              <w:t>滴灌带</w:t>
            </w:r>
          </w:p>
        </w:tc>
        <w:tc>
          <w:tcPr>
            <w:tcW w:w="1275" w:type="dxa"/>
            <w:vAlign w:val="center"/>
          </w:tcPr>
          <w:p>
            <w:pPr>
              <w:adjustRightInd w:val="0"/>
              <w:snapToGrid w:val="0"/>
              <w:jc w:val="center"/>
              <w:rPr>
                <w:bCs/>
                <w:kern w:val="0"/>
                <w:sz w:val="21"/>
                <w:szCs w:val="21"/>
              </w:rPr>
            </w:pPr>
            <w:r>
              <w:rPr>
                <w:rFonts w:hint="eastAsia"/>
                <w:bCs/>
                <w:kern w:val="0"/>
                <w:sz w:val="21"/>
                <w:szCs w:val="21"/>
              </w:rPr>
              <w:t>1000</w:t>
            </w:r>
          </w:p>
        </w:tc>
        <w:tc>
          <w:tcPr>
            <w:tcW w:w="3828" w:type="dxa"/>
            <w:vAlign w:val="center"/>
          </w:tcPr>
          <w:p>
            <w:pPr>
              <w:adjustRightInd w:val="0"/>
              <w:snapToGrid w:val="0"/>
              <w:jc w:val="center"/>
              <w:rPr>
                <w:bCs/>
                <w:kern w:val="0"/>
                <w:sz w:val="21"/>
                <w:szCs w:val="21"/>
              </w:rPr>
            </w:pPr>
            <w:r>
              <w:rPr>
                <w:rFonts w:hint="eastAsia"/>
                <w:bCs/>
                <w:kern w:val="0"/>
                <w:sz w:val="21"/>
                <w:szCs w:val="21"/>
              </w:rPr>
              <w:t>/</w:t>
            </w:r>
          </w:p>
        </w:tc>
        <w:tc>
          <w:tcPr>
            <w:tcW w:w="1098"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1560" w:type="dxa"/>
            <w:vAlign w:val="center"/>
          </w:tcPr>
          <w:p>
            <w:pPr>
              <w:adjustRightInd w:val="0"/>
              <w:snapToGrid w:val="0"/>
              <w:jc w:val="center"/>
              <w:rPr>
                <w:bCs/>
                <w:kern w:val="0"/>
                <w:sz w:val="21"/>
                <w:szCs w:val="21"/>
              </w:rPr>
            </w:pPr>
            <w:r>
              <w:rPr>
                <w:rFonts w:hint="eastAsia"/>
                <w:bCs/>
                <w:kern w:val="0"/>
                <w:sz w:val="21"/>
                <w:szCs w:val="21"/>
              </w:rPr>
              <w:t>PE管</w:t>
            </w:r>
          </w:p>
        </w:tc>
        <w:tc>
          <w:tcPr>
            <w:tcW w:w="1275" w:type="dxa"/>
            <w:vAlign w:val="center"/>
          </w:tcPr>
          <w:p>
            <w:pPr>
              <w:adjustRightInd w:val="0"/>
              <w:snapToGrid w:val="0"/>
              <w:jc w:val="center"/>
              <w:rPr>
                <w:bCs/>
                <w:kern w:val="0"/>
                <w:sz w:val="21"/>
                <w:szCs w:val="21"/>
              </w:rPr>
            </w:pPr>
            <w:r>
              <w:rPr>
                <w:rFonts w:hint="eastAsia"/>
                <w:bCs/>
                <w:kern w:val="0"/>
                <w:sz w:val="21"/>
                <w:szCs w:val="21"/>
              </w:rPr>
              <w:t>800</w:t>
            </w:r>
          </w:p>
        </w:tc>
        <w:tc>
          <w:tcPr>
            <w:tcW w:w="3828" w:type="dxa"/>
            <w:vAlign w:val="center"/>
          </w:tcPr>
          <w:p>
            <w:pPr>
              <w:adjustRightInd w:val="0"/>
              <w:snapToGrid w:val="0"/>
              <w:jc w:val="center"/>
              <w:rPr>
                <w:bCs/>
                <w:kern w:val="0"/>
                <w:sz w:val="21"/>
                <w:szCs w:val="21"/>
              </w:rPr>
            </w:pPr>
            <w:r>
              <w:rPr>
                <w:rFonts w:hint="eastAsia"/>
                <w:bCs/>
                <w:kern w:val="0"/>
                <w:sz w:val="21"/>
                <w:szCs w:val="21"/>
              </w:rPr>
              <w:t>直径63mm～400mm</w:t>
            </w:r>
          </w:p>
        </w:tc>
        <w:tc>
          <w:tcPr>
            <w:tcW w:w="1098" w:type="dxa"/>
            <w:vAlign w:val="center"/>
          </w:tcPr>
          <w:p>
            <w:pPr>
              <w:adjustRightInd w:val="0"/>
              <w:snapToGrid w:val="0"/>
              <w:jc w:val="center"/>
              <w:rPr>
                <w:bCs/>
                <w:kern w:val="0"/>
                <w:sz w:val="21"/>
                <w:szCs w:val="21"/>
              </w:rPr>
            </w:pP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3.1.5现有工程主要设备</w:t>
      </w:r>
    </w:p>
    <w:p>
      <w:pPr>
        <w:spacing w:line="460" w:lineRule="exact"/>
        <w:ind w:firstLine="480" w:firstLineChars="200"/>
        <w:rPr>
          <w:bCs/>
          <w:sz w:val="24"/>
          <w:lang w:bidi="en-US"/>
        </w:rPr>
      </w:pPr>
      <w:r>
        <w:rPr>
          <w:rFonts w:hint="eastAsia"/>
          <w:bCs/>
          <w:sz w:val="24"/>
          <w:lang w:bidi="en-US"/>
        </w:rPr>
        <w:t>现有工程主要设备见表3.1-</w:t>
      </w:r>
      <w:r>
        <w:rPr>
          <w:bCs/>
          <w:sz w:val="24"/>
          <w:lang w:bidi="en-US"/>
        </w:rPr>
        <w:t>4</w:t>
      </w:r>
      <w:r>
        <w:rPr>
          <w:rFonts w:hint="eastAsia"/>
          <w:bCs/>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表3.1-</w:t>
      </w:r>
      <w:r>
        <w:rPr>
          <w:rFonts w:ascii="Times New Roman" w:hAnsi="Times New Roman" w:eastAsia="黑体" w:cs="Times New Roman"/>
          <w:sz w:val="21"/>
          <w:lang w:bidi="en-US"/>
        </w:rPr>
        <w:t>4</w:t>
      </w:r>
      <w:r>
        <w:rPr>
          <w:rFonts w:hint="eastAsia" w:ascii="Times New Roman" w:hAnsi="Times New Roman" w:eastAsia="黑体" w:cs="Times New Roman"/>
          <w:sz w:val="21"/>
          <w:lang w:bidi="en-US"/>
        </w:rPr>
        <w:t xml:space="preserve">               原有项目设备一览表</w:t>
      </w:r>
    </w:p>
    <w:tbl>
      <w:tblPr>
        <w:tblStyle w:val="60"/>
        <w:tblW w:w="86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678"/>
        <w:gridCol w:w="992"/>
        <w:gridCol w:w="1984"/>
        <w:gridCol w:w="2268"/>
        <w:gridCol w:w="1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1678" w:type="dxa"/>
            <w:vAlign w:val="center"/>
          </w:tcPr>
          <w:p>
            <w:pPr>
              <w:adjustRightInd w:val="0"/>
              <w:snapToGrid w:val="0"/>
              <w:jc w:val="center"/>
              <w:rPr>
                <w:bCs/>
                <w:kern w:val="0"/>
                <w:sz w:val="21"/>
                <w:szCs w:val="21"/>
              </w:rPr>
            </w:pPr>
            <w:r>
              <w:rPr>
                <w:rFonts w:hint="eastAsia"/>
                <w:bCs/>
                <w:kern w:val="0"/>
                <w:sz w:val="21"/>
                <w:szCs w:val="21"/>
              </w:rPr>
              <w:t>设备名称</w:t>
            </w:r>
          </w:p>
        </w:tc>
        <w:tc>
          <w:tcPr>
            <w:tcW w:w="992" w:type="dxa"/>
            <w:vAlign w:val="center"/>
          </w:tcPr>
          <w:p>
            <w:pPr>
              <w:adjustRightInd w:val="0"/>
              <w:snapToGrid w:val="0"/>
              <w:jc w:val="center"/>
              <w:rPr>
                <w:bCs/>
                <w:kern w:val="0"/>
                <w:sz w:val="21"/>
                <w:szCs w:val="21"/>
              </w:rPr>
            </w:pPr>
            <w:r>
              <w:rPr>
                <w:rFonts w:hint="eastAsia"/>
                <w:bCs/>
                <w:kern w:val="0"/>
                <w:sz w:val="21"/>
                <w:szCs w:val="21"/>
              </w:rPr>
              <w:t>单位</w:t>
            </w:r>
          </w:p>
        </w:tc>
        <w:tc>
          <w:tcPr>
            <w:tcW w:w="1984" w:type="dxa"/>
            <w:vAlign w:val="center"/>
          </w:tcPr>
          <w:p>
            <w:pPr>
              <w:adjustRightInd w:val="0"/>
              <w:snapToGrid w:val="0"/>
              <w:jc w:val="center"/>
              <w:rPr>
                <w:bCs/>
                <w:kern w:val="0"/>
                <w:sz w:val="21"/>
                <w:szCs w:val="21"/>
              </w:rPr>
            </w:pPr>
            <w:r>
              <w:rPr>
                <w:rFonts w:hint="eastAsia"/>
                <w:bCs/>
                <w:kern w:val="0"/>
                <w:sz w:val="21"/>
                <w:szCs w:val="21"/>
              </w:rPr>
              <w:t>原环评数量</w:t>
            </w:r>
          </w:p>
        </w:tc>
        <w:tc>
          <w:tcPr>
            <w:tcW w:w="2268" w:type="dxa"/>
            <w:vAlign w:val="center"/>
          </w:tcPr>
          <w:p>
            <w:pPr>
              <w:adjustRightInd w:val="0"/>
              <w:snapToGrid w:val="0"/>
              <w:jc w:val="center"/>
              <w:rPr>
                <w:bCs/>
                <w:kern w:val="0"/>
                <w:sz w:val="21"/>
                <w:szCs w:val="21"/>
              </w:rPr>
            </w:pPr>
            <w:r>
              <w:rPr>
                <w:rFonts w:hint="eastAsia"/>
                <w:bCs/>
                <w:kern w:val="0"/>
                <w:sz w:val="21"/>
                <w:szCs w:val="21"/>
              </w:rPr>
              <w:t>实际建设数量</w:t>
            </w:r>
          </w:p>
        </w:tc>
        <w:tc>
          <w:tcPr>
            <w:tcW w:w="1075" w:type="dxa"/>
            <w:vAlign w:val="center"/>
          </w:tcPr>
          <w:p>
            <w:pPr>
              <w:adjustRightInd w:val="0"/>
              <w:snapToGrid w:val="0"/>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1678" w:type="dxa"/>
            <w:vAlign w:val="center"/>
          </w:tcPr>
          <w:p>
            <w:pPr>
              <w:adjustRightInd w:val="0"/>
              <w:snapToGrid w:val="0"/>
              <w:jc w:val="center"/>
              <w:rPr>
                <w:bCs/>
                <w:kern w:val="0"/>
                <w:sz w:val="21"/>
                <w:szCs w:val="21"/>
              </w:rPr>
            </w:pPr>
            <w:r>
              <w:rPr>
                <w:rFonts w:hint="eastAsia"/>
                <w:bCs/>
                <w:kern w:val="0"/>
                <w:sz w:val="21"/>
                <w:szCs w:val="21"/>
              </w:rPr>
              <w:t>PE大管机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2</w:t>
            </w:r>
          </w:p>
        </w:tc>
        <w:tc>
          <w:tcPr>
            <w:tcW w:w="2268" w:type="dxa"/>
            <w:vAlign w:val="center"/>
          </w:tcPr>
          <w:p>
            <w:pPr>
              <w:adjustRightInd w:val="0"/>
              <w:snapToGrid w:val="0"/>
              <w:jc w:val="center"/>
              <w:rPr>
                <w:bCs/>
                <w:kern w:val="0"/>
                <w:sz w:val="21"/>
                <w:szCs w:val="21"/>
              </w:rPr>
            </w:pPr>
            <w:r>
              <w:rPr>
                <w:rFonts w:hint="eastAsia"/>
                <w:bCs/>
                <w:kern w:val="0"/>
                <w:sz w:val="21"/>
                <w:szCs w:val="21"/>
              </w:rPr>
              <w:t>2</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1678" w:type="dxa"/>
            <w:vAlign w:val="center"/>
          </w:tcPr>
          <w:p>
            <w:pPr>
              <w:adjustRightInd w:val="0"/>
              <w:snapToGrid w:val="0"/>
              <w:jc w:val="center"/>
              <w:rPr>
                <w:bCs/>
                <w:kern w:val="0"/>
                <w:sz w:val="21"/>
                <w:szCs w:val="21"/>
              </w:rPr>
            </w:pPr>
            <w:r>
              <w:rPr>
                <w:rFonts w:hint="eastAsia"/>
                <w:bCs/>
                <w:kern w:val="0"/>
                <w:sz w:val="21"/>
                <w:szCs w:val="21"/>
              </w:rPr>
              <w:t>PE小管机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1</w:t>
            </w:r>
          </w:p>
        </w:tc>
        <w:tc>
          <w:tcPr>
            <w:tcW w:w="2268" w:type="dxa"/>
            <w:vAlign w:val="center"/>
          </w:tcPr>
          <w:p>
            <w:pPr>
              <w:adjustRightInd w:val="0"/>
              <w:snapToGrid w:val="0"/>
              <w:jc w:val="center"/>
              <w:rPr>
                <w:bCs/>
                <w:kern w:val="0"/>
                <w:sz w:val="21"/>
                <w:szCs w:val="21"/>
              </w:rPr>
            </w:pPr>
            <w:r>
              <w:rPr>
                <w:rFonts w:hint="eastAsia"/>
                <w:bCs/>
                <w:kern w:val="0"/>
                <w:sz w:val="21"/>
                <w:szCs w:val="21"/>
              </w:rPr>
              <w:t>1</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3</w:t>
            </w:r>
          </w:p>
        </w:tc>
        <w:tc>
          <w:tcPr>
            <w:tcW w:w="1678" w:type="dxa"/>
            <w:vAlign w:val="center"/>
          </w:tcPr>
          <w:p>
            <w:pPr>
              <w:adjustRightInd w:val="0"/>
              <w:snapToGrid w:val="0"/>
              <w:jc w:val="center"/>
              <w:rPr>
                <w:bCs/>
                <w:kern w:val="0"/>
                <w:sz w:val="21"/>
                <w:szCs w:val="21"/>
              </w:rPr>
            </w:pPr>
            <w:r>
              <w:rPr>
                <w:rFonts w:hint="eastAsia"/>
                <w:bCs/>
                <w:kern w:val="0"/>
                <w:sz w:val="21"/>
                <w:szCs w:val="21"/>
              </w:rPr>
              <w:t>滴灌带成型机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4</w:t>
            </w:r>
          </w:p>
        </w:tc>
        <w:tc>
          <w:tcPr>
            <w:tcW w:w="2268" w:type="dxa"/>
            <w:vAlign w:val="center"/>
          </w:tcPr>
          <w:p>
            <w:pPr>
              <w:adjustRightInd w:val="0"/>
              <w:snapToGrid w:val="0"/>
              <w:jc w:val="center"/>
              <w:rPr>
                <w:bCs/>
                <w:kern w:val="0"/>
                <w:sz w:val="21"/>
                <w:szCs w:val="21"/>
              </w:rPr>
            </w:pPr>
            <w:r>
              <w:rPr>
                <w:rFonts w:hint="eastAsia"/>
                <w:bCs/>
                <w:kern w:val="0"/>
                <w:sz w:val="21"/>
                <w:szCs w:val="21"/>
              </w:rPr>
              <w:t>4</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4</w:t>
            </w:r>
          </w:p>
        </w:tc>
        <w:tc>
          <w:tcPr>
            <w:tcW w:w="1678" w:type="dxa"/>
            <w:vAlign w:val="center"/>
          </w:tcPr>
          <w:p>
            <w:pPr>
              <w:adjustRightInd w:val="0"/>
              <w:snapToGrid w:val="0"/>
              <w:jc w:val="center"/>
              <w:rPr>
                <w:bCs/>
                <w:kern w:val="0"/>
                <w:sz w:val="21"/>
                <w:szCs w:val="21"/>
              </w:rPr>
            </w:pPr>
            <w:r>
              <w:rPr>
                <w:rFonts w:hint="eastAsia"/>
                <w:bCs/>
                <w:kern w:val="0"/>
                <w:sz w:val="21"/>
                <w:szCs w:val="21"/>
              </w:rPr>
              <w:t>剪切机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7</w:t>
            </w:r>
          </w:p>
        </w:tc>
        <w:tc>
          <w:tcPr>
            <w:tcW w:w="2268" w:type="dxa"/>
            <w:vAlign w:val="center"/>
          </w:tcPr>
          <w:p>
            <w:pPr>
              <w:adjustRightInd w:val="0"/>
              <w:snapToGrid w:val="0"/>
              <w:jc w:val="center"/>
              <w:rPr>
                <w:bCs/>
                <w:kern w:val="0"/>
                <w:sz w:val="21"/>
                <w:szCs w:val="21"/>
              </w:rPr>
            </w:pPr>
            <w:r>
              <w:rPr>
                <w:rFonts w:hint="eastAsia"/>
                <w:bCs/>
                <w:kern w:val="0"/>
                <w:sz w:val="21"/>
                <w:szCs w:val="21"/>
              </w:rPr>
              <w:t>7</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5</w:t>
            </w:r>
          </w:p>
        </w:tc>
        <w:tc>
          <w:tcPr>
            <w:tcW w:w="1678" w:type="dxa"/>
            <w:vAlign w:val="center"/>
          </w:tcPr>
          <w:p>
            <w:pPr>
              <w:adjustRightInd w:val="0"/>
              <w:snapToGrid w:val="0"/>
              <w:jc w:val="center"/>
              <w:rPr>
                <w:bCs/>
                <w:kern w:val="0"/>
                <w:sz w:val="21"/>
                <w:szCs w:val="21"/>
              </w:rPr>
            </w:pPr>
            <w:r>
              <w:rPr>
                <w:rFonts w:hint="eastAsia"/>
                <w:bCs/>
                <w:kern w:val="0"/>
                <w:sz w:val="21"/>
                <w:szCs w:val="21"/>
              </w:rPr>
              <w:t>压力测试台</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7</w:t>
            </w:r>
          </w:p>
        </w:tc>
        <w:tc>
          <w:tcPr>
            <w:tcW w:w="2268" w:type="dxa"/>
            <w:vAlign w:val="center"/>
          </w:tcPr>
          <w:p>
            <w:pPr>
              <w:adjustRightInd w:val="0"/>
              <w:snapToGrid w:val="0"/>
              <w:jc w:val="center"/>
              <w:rPr>
                <w:bCs/>
                <w:kern w:val="0"/>
                <w:sz w:val="21"/>
                <w:szCs w:val="21"/>
              </w:rPr>
            </w:pPr>
            <w:r>
              <w:rPr>
                <w:rFonts w:hint="eastAsia"/>
                <w:bCs/>
                <w:kern w:val="0"/>
                <w:sz w:val="21"/>
                <w:szCs w:val="21"/>
              </w:rPr>
              <w:t>7</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6</w:t>
            </w:r>
          </w:p>
        </w:tc>
        <w:tc>
          <w:tcPr>
            <w:tcW w:w="1678" w:type="dxa"/>
            <w:vAlign w:val="center"/>
          </w:tcPr>
          <w:p>
            <w:pPr>
              <w:adjustRightInd w:val="0"/>
              <w:snapToGrid w:val="0"/>
              <w:jc w:val="center"/>
              <w:rPr>
                <w:bCs/>
                <w:kern w:val="0"/>
                <w:sz w:val="21"/>
                <w:szCs w:val="21"/>
              </w:rPr>
            </w:pPr>
            <w:r>
              <w:rPr>
                <w:rFonts w:hint="eastAsia"/>
                <w:bCs/>
                <w:kern w:val="0"/>
                <w:sz w:val="21"/>
                <w:szCs w:val="21"/>
              </w:rPr>
              <w:t>和料搅拌机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4</w:t>
            </w:r>
          </w:p>
        </w:tc>
        <w:tc>
          <w:tcPr>
            <w:tcW w:w="2268" w:type="dxa"/>
            <w:vAlign w:val="center"/>
          </w:tcPr>
          <w:p>
            <w:pPr>
              <w:adjustRightInd w:val="0"/>
              <w:snapToGrid w:val="0"/>
              <w:jc w:val="center"/>
              <w:rPr>
                <w:bCs/>
                <w:kern w:val="0"/>
                <w:sz w:val="21"/>
                <w:szCs w:val="21"/>
              </w:rPr>
            </w:pPr>
            <w:r>
              <w:rPr>
                <w:rFonts w:hint="eastAsia"/>
                <w:bCs/>
                <w:kern w:val="0"/>
                <w:sz w:val="21"/>
                <w:szCs w:val="21"/>
              </w:rPr>
              <w:t>4</w:t>
            </w:r>
          </w:p>
        </w:tc>
        <w:tc>
          <w:tcPr>
            <w:tcW w:w="1075"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7</w:t>
            </w:r>
          </w:p>
        </w:tc>
        <w:tc>
          <w:tcPr>
            <w:tcW w:w="1678" w:type="dxa"/>
            <w:vAlign w:val="center"/>
          </w:tcPr>
          <w:p>
            <w:pPr>
              <w:adjustRightInd w:val="0"/>
              <w:snapToGrid w:val="0"/>
              <w:jc w:val="center"/>
              <w:rPr>
                <w:bCs/>
                <w:kern w:val="0"/>
                <w:sz w:val="21"/>
                <w:szCs w:val="21"/>
              </w:rPr>
            </w:pPr>
            <w:r>
              <w:rPr>
                <w:rFonts w:hint="eastAsia"/>
                <w:bCs/>
                <w:kern w:val="0"/>
                <w:sz w:val="21"/>
                <w:szCs w:val="21"/>
              </w:rPr>
              <w:t>牵引机</w:t>
            </w:r>
          </w:p>
        </w:tc>
        <w:tc>
          <w:tcPr>
            <w:tcW w:w="992" w:type="dxa"/>
            <w:vAlign w:val="center"/>
          </w:tcPr>
          <w:p>
            <w:pPr>
              <w:adjustRightInd w:val="0"/>
              <w:snapToGrid w:val="0"/>
              <w:jc w:val="center"/>
              <w:rPr>
                <w:bCs/>
                <w:kern w:val="0"/>
                <w:sz w:val="21"/>
                <w:szCs w:val="21"/>
              </w:rPr>
            </w:pPr>
            <w:r>
              <w:rPr>
                <w:rFonts w:hint="eastAsia"/>
                <w:bCs/>
                <w:kern w:val="0"/>
                <w:sz w:val="21"/>
                <w:szCs w:val="21"/>
              </w:rPr>
              <w:t>台</w:t>
            </w:r>
          </w:p>
        </w:tc>
        <w:tc>
          <w:tcPr>
            <w:tcW w:w="1984" w:type="dxa"/>
            <w:vAlign w:val="center"/>
          </w:tcPr>
          <w:p>
            <w:pPr>
              <w:adjustRightInd w:val="0"/>
              <w:snapToGrid w:val="0"/>
              <w:jc w:val="center"/>
              <w:rPr>
                <w:bCs/>
                <w:kern w:val="0"/>
                <w:sz w:val="21"/>
                <w:szCs w:val="21"/>
              </w:rPr>
            </w:pPr>
            <w:r>
              <w:rPr>
                <w:rFonts w:hint="eastAsia"/>
                <w:bCs/>
                <w:kern w:val="0"/>
                <w:sz w:val="21"/>
                <w:szCs w:val="21"/>
              </w:rPr>
              <w:t>1</w:t>
            </w:r>
          </w:p>
        </w:tc>
        <w:tc>
          <w:tcPr>
            <w:tcW w:w="2268" w:type="dxa"/>
            <w:vAlign w:val="center"/>
          </w:tcPr>
          <w:p>
            <w:pPr>
              <w:adjustRightInd w:val="0"/>
              <w:snapToGrid w:val="0"/>
              <w:jc w:val="center"/>
              <w:rPr>
                <w:bCs/>
                <w:kern w:val="0"/>
                <w:sz w:val="21"/>
                <w:szCs w:val="21"/>
              </w:rPr>
            </w:pPr>
            <w:r>
              <w:rPr>
                <w:rFonts w:hint="eastAsia"/>
                <w:bCs/>
                <w:kern w:val="0"/>
                <w:sz w:val="21"/>
                <w:szCs w:val="21"/>
              </w:rPr>
              <w:t>1</w:t>
            </w:r>
          </w:p>
        </w:tc>
        <w:tc>
          <w:tcPr>
            <w:tcW w:w="1075" w:type="dxa"/>
            <w:vAlign w:val="center"/>
          </w:tcPr>
          <w:p>
            <w:pPr>
              <w:adjustRightInd w:val="0"/>
              <w:snapToGrid w:val="0"/>
              <w:jc w:val="center"/>
              <w:rPr>
                <w:bCs/>
                <w:kern w:val="0"/>
                <w:sz w:val="21"/>
                <w:szCs w:val="21"/>
              </w:rPr>
            </w:pPr>
          </w:p>
        </w:tc>
      </w:tr>
    </w:tbl>
    <w:p>
      <w:pPr>
        <w:pStyle w:val="4"/>
        <w:adjustRightInd w:val="0"/>
        <w:spacing w:before="120" w:after="120" w:line="460" w:lineRule="exact"/>
        <w:textAlignment w:val="baseline"/>
        <w:rPr>
          <w:rFonts w:ascii="Times New Roman" w:hAnsi="Times New Roman"/>
          <w:b w:val="0"/>
          <w:szCs w:val="28"/>
        </w:rPr>
      </w:pPr>
      <w:bookmarkStart w:id="100" w:name="_Toc165386217"/>
      <w:r>
        <w:rPr>
          <w:rFonts w:hint="eastAsia" w:ascii="Times New Roman" w:hAnsi="Times New Roman"/>
          <w:b w:val="0"/>
          <w:szCs w:val="28"/>
        </w:rPr>
        <w:t>3.2 现有工程环保手续履行情况</w:t>
      </w:r>
      <w:bookmarkEnd w:id="100"/>
    </w:p>
    <w:p>
      <w:pPr>
        <w:spacing w:line="460" w:lineRule="exact"/>
        <w:ind w:firstLine="480" w:firstLineChars="200"/>
        <w:rPr>
          <w:bCs/>
          <w:sz w:val="24"/>
          <w:lang w:bidi="en-US"/>
        </w:rPr>
      </w:pPr>
      <w:r>
        <w:rPr>
          <w:rFonts w:hint="eastAsia"/>
          <w:bCs/>
          <w:sz w:val="24"/>
          <w:lang w:bidi="en-US"/>
        </w:rPr>
        <w:t>昌吉市昊慧盛塑料制品厂委托新疆绿佳源环保科技有限公司于2019年6月编制完成了《昌吉市昊慧盛塑料制品厂地膜滴灌带及PE管材生产加工项目环境影响报告表》，项目于2019年8月1日取得昌吉国家农业科技园区规划建设环保局《关于《昌吉市昊慧盛塑料制品厂地膜滴灌带及PE管材生产加工项目环境影响报告表》的审批意见》（昌农科环函﹝2019﹞12号），项目在取得环评批复后于2019年10月开工建设，2022年10月建设完成，项目建设了4条滴灌带生产线、年产滴灌带1000t，3条PE管生产线、年产PE管800t，项目投入运营后于2023年5月组织了项目竣工环境保护验收工作，建设单位委托昌吉回族自治州新蓝天生态环境科学研究所编制了《昌吉市昊慧盛塑料制品厂地膜滴灌带及PE管材生产加工项目竣工环境保护验收监测报告表》。</w:t>
      </w:r>
    </w:p>
    <w:p>
      <w:pPr>
        <w:spacing w:line="460" w:lineRule="exact"/>
        <w:ind w:firstLine="480" w:firstLineChars="200"/>
        <w:rPr>
          <w:bCs/>
          <w:sz w:val="24"/>
          <w:lang w:bidi="en-US"/>
        </w:rPr>
      </w:pPr>
      <w:r>
        <w:rPr>
          <w:rFonts w:hint="eastAsia"/>
          <w:bCs/>
          <w:sz w:val="24"/>
          <w:lang w:bidi="en-US"/>
        </w:rPr>
        <w:t>项目于2023年5月6日完成固定污染源排污登记，登记编号：92652300MA795HWK9B001Y。</w:t>
      </w:r>
    </w:p>
    <w:p>
      <w:pPr>
        <w:spacing w:line="460" w:lineRule="exact"/>
        <w:ind w:firstLine="480" w:firstLineChars="200"/>
        <w:rPr>
          <w:bCs/>
          <w:sz w:val="24"/>
          <w:lang w:bidi="en-US"/>
        </w:rPr>
      </w:pPr>
      <w:r>
        <w:rPr>
          <w:rFonts w:hint="eastAsia"/>
          <w:bCs/>
          <w:sz w:val="24"/>
          <w:lang w:bidi="en-US"/>
        </w:rPr>
        <w:t>现有工程</w:t>
      </w:r>
      <w:r>
        <w:rPr>
          <w:bCs/>
          <w:sz w:val="24"/>
          <w:lang w:bidi="en-US"/>
        </w:rPr>
        <w:t>环保手续</w:t>
      </w:r>
      <w:r>
        <w:rPr>
          <w:rFonts w:hint="eastAsia"/>
          <w:bCs/>
          <w:sz w:val="24"/>
          <w:lang w:bidi="en-US"/>
        </w:rPr>
        <w:t>开展情况详见表3.2</w:t>
      </w:r>
      <w:r>
        <w:rPr>
          <w:bCs/>
          <w:sz w:val="24"/>
          <w:lang w:bidi="en-US"/>
        </w:rPr>
        <w:t>-1</w:t>
      </w:r>
      <w:r>
        <w:rPr>
          <w:rFonts w:hint="eastAsia"/>
          <w:bCs/>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表3.2-</w:t>
      </w:r>
      <w:r>
        <w:rPr>
          <w:rFonts w:ascii="Times New Roman" w:hAnsi="Times New Roman" w:eastAsia="黑体" w:cs="Times New Roman"/>
          <w:sz w:val="21"/>
          <w:lang w:bidi="en-US"/>
        </w:rPr>
        <w:t>1</w:t>
      </w:r>
      <w:r>
        <w:rPr>
          <w:rFonts w:hint="eastAsia" w:ascii="Times New Roman" w:hAnsi="Times New Roman" w:eastAsia="黑体" w:cs="Times New Roman"/>
          <w:sz w:val="21"/>
          <w:lang w:bidi="en-US"/>
        </w:rPr>
        <w:t xml:space="preserve">             现有工程环保手续履行情况一览表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1843"/>
        <w:gridCol w:w="3402"/>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9" w:type="dxa"/>
            <w:vAlign w:val="center"/>
          </w:tcPr>
          <w:p>
            <w:pPr>
              <w:adjustRightInd w:val="0"/>
              <w:snapToGrid w:val="0"/>
              <w:jc w:val="center"/>
              <w:rPr>
                <w:bCs/>
                <w:kern w:val="0"/>
                <w:sz w:val="21"/>
                <w:szCs w:val="21"/>
              </w:rPr>
            </w:pPr>
            <w:r>
              <w:rPr>
                <w:rFonts w:hint="eastAsia"/>
                <w:bCs/>
                <w:kern w:val="0"/>
                <w:sz w:val="21"/>
                <w:szCs w:val="21"/>
              </w:rPr>
              <w:t>现有</w:t>
            </w:r>
            <w:r>
              <w:rPr>
                <w:bCs/>
                <w:kern w:val="0"/>
                <w:sz w:val="21"/>
                <w:szCs w:val="21"/>
              </w:rPr>
              <w:t>工程名称</w:t>
            </w:r>
          </w:p>
        </w:tc>
        <w:tc>
          <w:tcPr>
            <w:tcW w:w="1843" w:type="dxa"/>
            <w:vAlign w:val="center"/>
          </w:tcPr>
          <w:p>
            <w:pPr>
              <w:adjustRightInd w:val="0"/>
              <w:snapToGrid w:val="0"/>
              <w:jc w:val="center"/>
              <w:rPr>
                <w:bCs/>
                <w:kern w:val="0"/>
                <w:sz w:val="21"/>
                <w:szCs w:val="21"/>
              </w:rPr>
            </w:pPr>
            <w:r>
              <w:rPr>
                <w:rFonts w:hint="eastAsia"/>
                <w:bCs/>
                <w:kern w:val="0"/>
                <w:sz w:val="21"/>
                <w:szCs w:val="21"/>
              </w:rPr>
              <w:t>环保手续</w:t>
            </w:r>
            <w:r>
              <w:rPr>
                <w:bCs/>
                <w:kern w:val="0"/>
                <w:sz w:val="21"/>
                <w:szCs w:val="21"/>
              </w:rPr>
              <w:t>名称</w:t>
            </w:r>
          </w:p>
        </w:tc>
        <w:tc>
          <w:tcPr>
            <w:tcW w:w="3402" w:type="dxa"/>
            <w:vAlign w:val="center"/>
          </w:tcPr>
          <w:p>
            <w:pPr>
              <w:adjustRightInd w:val="0"/>
              <w:snapToGrid w:val="0"/>
              <w:jc w:val="center"/>
              <w:rPr>
                <w:bCs/>
                <w:kern w:val="0"/>
                <w:sz w:val="21"/>
                <w:szCs w:val="21"/>
              </w:rPr>
            </w:pPr>
            <w:r>
              <w:rPr>
                <w:rFonts w:hint="eastAsia"/>
                <w:bCs/>
                <w:kern w:val="0"/>
                <w:sz w:val="21"/>
                <w:szCs w:val="21"/>
              </w:rPr>
              <w:t>批文</w:t>
            </w:r>
            <w:r>
              <w:rPr>
                <w:bCs/>
                <w:kern w:val="0"/>
                <w:sz w:val="21"/>
                <w:szCs w:val="21"/>
              </w:rPr>
              <w:t>文号</w:t>
            </w:r>
            <w:r>
              <w:rPr>
                <w:rFonts w:hint="eastAsia"/>
                <w:bCs/>
                <w:kern w:val="0"/>
                <w:sz w:val="21"/>
                <w:szCs w:val="21"/>
              </w:rPr>
              <w:t>/日期</w:t>
            </w:r>
          </w:p>
        </w:tc>
        <w:tc>
          <w:tcPr>
            <w:tcW w:w="1188" w:type="dxa"/>
            <w:vAlign w:val="center"/>
          </w:tcPr>
          <w:p>
            <w:pPr>
              <w:adjustRightInd w:val="0"/>
              <w:snapToGrid w:val="0"/>
              <w:jc w:val="center"/>
              <w:rPr>
                <w:bCs/>
                <w:kern w:val="0"/>
                <w:sz w:val="21"/>
                <w:szCs w:val="21"/>
              </w:rPr>
            </w:pPr>
            <w:r>
              <w:rPr>
                <w:rFonts w:hint="eastAsia"/>
                <w:bCs/>
                <w:kern w:val="0"/>
                <w:sz w:val="21"/>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9" w:type="dxa"/>
            <w:vMerge w:val="restart"/>
            <w:vAlign w:val="center"/>
          </w:tcPr>
          <w:p>
            <w:pPr>
              <w:adjustRightInd w:val="0"/>
              <w:snapToGrid w:val="0"/>
              <w:jc w:val="center"/>
              <w:rPr>
                <w:bCs/>
                <w:kern w:val="0"/>
                <w:sz w:val="21"/>
                <w:szCs w:val="21"/>
              </w:rPr>
            </w:pPr>
            <w:r>
              <w:rPr>
                <w:rFonts w:hint="eastAsia"/>
                <w:bCs/>
                <w:kern w:val="0"/>
                <w:sz w:val="21"/>
                <w:szCs w:val="21"/>
              </w:rPr>
              <w:t>昌吉市昊慧盛塑料制品厂地膜滴灌带及PE管材生产加工项目</w:t>
            </w:r>
          </w:p>
        </w:tc>
        <w:tc>
          <w:tcPr>
            <w:tcW w:w="1843" w:type="dxa"/>
            <w:vAlign w:val="center"/>
          </w:tcPr>
          <w:p>
            <w:pPr>
              <w:adjustRightInd w:val="0"/>
              <w:snapToGrid w:val="0"/>
              <w:jc w:val="center"/>
              <w:rPr>
                <w:bCs/>
                <w:kern w:val="0"/>
                <w:sz w:val="21"/>
                <w:szCs w:val="21"/>
              </w:rPr>
            </w:pPr>
            <w:r>
              <w:rPr>
                <w:rFonts w:hint="eastAsia"/>
                <w:bCs/>
                <w:kern w:val="0"/>
                <w:sz w:val="21"/>
                <w:szCs w:val="21"/>
              </w:rPr>
              <w:t>环境</w:t>
            </w:r>
            <w:r>
              <w:rPr>
                <w:bCs/>
                <w:kern w:val="0"/>
                <w:sz w:val="21"/>
                <w:szCs w:val="21"/>
              </w:rPr>
              <w:t>影响报告表</w:t>
            </w:r>
          </w:p>
        </w:tc>
        <w:tc>
          <w:tcPr>
            <w:tcW w:w="3402" w:type="dxa"/>
            <w:vAlign w:val="center"/>
          </w:tcPr>
          <w:p>
            <w:pPr>
              <w:adjustRightInd w:val="0"/>
              <w:snapToGrid w:val="0"/>
              <w:jc w:val="center"/>
              <w:rPr>
                <w:bCs/>
                <w:kern w:val="0"/>
                <w:sz w:val="21"/>
                <w:szCs w:val="21"/>
              </w:rPr>
            </w:pPr>
            <w:r>
              <w:rPr>
                <w:rFonts w:hint="eastAsia"/>
                <w:bCs/>
                <w:kern w:val="0"/>
                <w:sz w:val="21"/>
                <w:szCs w:val="21"/>
              </w:rPr>
              <w:t>昌农科环函﹝2019﹞12号</w:t>
            </w:r>
          </w:p>
          <w:p>
            <w:pPr>
              <w:adjustRightInd w:val="0"/>
              <w:snapToGrid w:val="0"/>
              <w:jc w:val="center"/>
              <w:rPr>
                <w:bCs/>
                <w:kern w:val="0"/>
                <w:sz w:val="21"/>
                <w:szCs w:val="21"/>
              </w:rPr>
            </w:pPr>
            <w:r>
              <w:rPr>
                <w:rFonts w:hint="eastAsia"/>
                <w:bCs/>
                <w:kern w:val="0"/>
                <w:sz w:val="21"/>
                <w:szCs w:val="21"/>
              </w:rPr>
              <w:t>2019年8月1日</w:t>
            </w:r>
          </w:p>
        </w:tc>
        <w:tc>
          <w:tcPr>
            <w:tcW w:w="1188" w:type="dxa"/>
            <w:vMerge w:val="restart"/>
            <w:vAlign w:val="center"/>
          </w:tcPr>
          <w:p>
            <w:pPr>
              <w:adjustRightInd w:val="0"/>
              <w:snapToGrid w:val="0"/>
              <w:jc w:val="center"/>
              <w:rPr>
                <w:bCs/>
                <w:kern w:val="0"/>
                <w:sz w:val="21"/>
                <w:szCs w:val="21"/>
              </w:rPr>
            </w:pPr>
            <w:r>
              <w:rPr>
                <w:rFonts w:hint="eastAsia"/>
                <w:bCs/>
                <w:kern w:val="0"/>
                <w:sz w:val="21"/>
                <w:szCs w:val="21"/>
              </w:rPr>
              <w:t>正常运营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9" w:type="dxa"/>
            <w:vMerge w:val="continue"/>
            <w:vAlign w:val="center"/>
          </w:tcPr>
          <w:p>
            <w:pPr>
              <w:adjustRightInd w:val="0"/>
              <w:snapToGrid w:val="0"/>
              <w:jc w:val="center"/>
              <w:rPr>
                <w:bCs/>
                <w:kern w:val="0"/>
                <w:sz w:val="21"/>
                <w:szCs w:val="21"/>
              </w:rPr>
            </w:pPr>
          </w:p>
        </w:tc>
        <w:tc>
          <w:tcPr>
            <w:tcW w:w="1843" w:type="dxa"/>
            <w:vAlign w:val="center"/>
          </w:tcPr>
          <w:p>
            <w:pPr>
              <w:adjustRightInd w:val="0"/>
              <w:snapToGrid w:val="0"/>
              <w:jc w:val="center"/>
              <w:rPr>
                <w:bCs/>
                <w:kern w:val="0"/>
                <w:sz w:val="21"/>
                <w:szCs w:val="21"/>
              </w:rPr>
            </w:pPr>
            <w:r>
              <w:rPr>
                <w:rFonts w:hint="eastAsia"/>
                <w:bCs/>
                <w:kern w:val="0"/>
                <w:sz w:val="21"/>
                <w:szCs w:val="21"/>
              </w:rPr>
              <w:t>竣工</w:t>
            </w:r>
            <w:r>
              <w:rPr>
                <w:bCs/>
                <w:kern w:val="0"/>
                <w:sz w:val="21"/>
                <w:szCs w:val="21"/>
              </w:rPr>
              <w:t>环境保护验收报告</w:t>
            </w:r>
          </w:p>
        </w:tc>
        <w:tc>
          <w:tcPr>
            <w:tcW w:w="3402" w:type="dxa"/>
            <w:vAlign w:val="center"/>
          </w:tcPr>
          <w:p>
            <w:pPr>
              <w:adjustRightInd w:val="0"/>
              <w:snapToGrid w:val="0"/>
              <w:jc w:val="center"/>
              <w:rPr>
                <w:bCs/>
                <w:kern w:val="0"/>
                <w:sz w:val="21"/>
                <w:szCs w:val="21"/>
              </w:rPr>
            </w:pPr>
            <w:r>
              <w:rPr>
                <w:rFonts w:hint="eastAsia"/>
                <w:bCs/>
                <w:kern w:val="0"/>
                <w:sz w:val="21"/>
                <w:szCs w:val="21"/>
              </w:rPr>
              <w:t>于2023年5月</w:t>
            </w:r>
            <w:r>
              <w:rPr>
                <w:bCs/>
                <w:kern w:val="0"/>
                <w:sz w:val="21"/>
                <w:szCs w:val="21"/>
              </w:rPr>
              <w:t>通过自主验收</w:t>
            </w:r>
          </w:p>
        </w:tc>
        <w:tc>
          <w:tcPr>
            <w:tcW w:w="1188" w:type="dxa"/>
            <w:vMerge w:val="continue"/>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2" w:type="dxa"/>
            <w:gridSpan w:val="4"/>
            <w:vAlign w:val="center"/>
          </w:tcPr>
          <w:p>
            <w:pPr>
              <w:adjustRightInd w:val="0"/>
              <w:snapToGrid w:val="0"/>
              <w:jc w:val="center"/>
              <w:rPr>
                <w:bCs/>
                <w:kern w:val="0"/>
                <w:sz w:val="21"/>
                <w:szCs w:val="21"/>
              </w:rPr>
            </w:pPr>
            <w:r>
              <w:rPr>
                <w:rFonts w:hint="eastAsia"/>
                <w:bCs/>
                <w:kern w:val="0"/>
                <w:sz w:val="21"/>
                <w:szCs w:val="21"/>
              </w:rPr>
              <w:t>固定污染源排污登记编号</w:t>
            </w:r>
            <w:r>
              <w:rPr>
                <w:bCs/>
                <w:kern w:val="0"/>
                <w:sz w:val="21"/>
                <w:szCs w:val="21"/>
              </w:rPr>
              <w:t xml:space="preserve">：92652300MA795HWK9B001Y  </w:t>
            </w:r>
            <w:r>
              <w:rPr>
                <w:rFonts w:hint="eastAsia"/>
                <w:bCs/>
                <w:kern w:val="0"/>
                <w:sz w:val="21"/>
                <w:szCs w:val="21"/>
              </w:rPr>
              <w:t>登记日期：2023年5月6日</w:t>
            </w:r>
          </w:p>
        </w:tc>
      </w:tr>
    </w:tbl>
    <w:p>
      <w:pPr>
        <w:spacing w:line="460" w:lineRule="exact"/>
        <w:ind w:firstLine="480" w:firstLineChars="200"/>
        <w:rPr>
          <w:bCs/>
          <w:sz w:val="24"/>
          <w:lang w:bidi="en-US"/>
        </w:rPr>
      </w:pPr>
    </w:p>
    <w:p>
      <w:pPr>
        <w:pStyle w:val="4"/>
        <w:adjustRightInd w:val="0"/>
        <w:spacing w:before="120" w:after="120" w:line="460" w:lineRule="exact"/>
        <w:textAlignment w:val="baseline"/>
        <w:rPr>
          <w:rFonts w:ascii="Times New Roman" w:hAnsi="Times New Roman"/>
          <w:b w:val="0"/>
          <w:szCs w:val="28"/>
        </w:rPr>
      </w:pPr>
      <w:bookmarkStart w:id="101" w:name="_Toc165386218"/>
      <w:r>
        <w:rPr>
          <w:rFonts w:hint="eastAsia" w:ascii="Times New Roman" w:hAnsi="Times New Roman"/>
          <w:b w:val="0"/>
          <w:szCs w:val="28"/>
        </w:rPr>
        <w:t>3.3 现有工程污染物排放情况</w:t>
      </w:r>
      <w:bookmarkEnd w:id="101"/>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3.3.1大气污染物产生</w:t>
      </w:r>
      <w:r>
        <w:rPr>
          <w:rFonts w:ascii="Times New Roman"/>
          <w:spacing w:val="12"/>
          <w:w w:val="95"/>
          <w:kern w:val="0"/>
          <w:szCs w:val="26"/>
        </w:rPr>
        <w:t>及排放情况</w:t>
      </w:r>
    </w:p>
    <w:p>
      <w:pPr>
        <w:spacing w:line="460" w:lineRule="exact"/>
        <w:ind w:firstLine="480" w:firstLineChars="200"/>
        <w:rPr>
          <w:bCs/>
          <w:sz w:val="24"/>
          <w:lang w:bidi="en-US"/>
        </w:rPr>
      </w:pPr>
      <w:bookmarkStart w:id="102" w:name="_Hlk168302323"/>
      <w:r>
        <w:rPr>
          <w:rFonts w:hint="eastAsia"/>
          <w:bCs/>
          <w:sz w:val="24"/>
          <w:lang w:bidi="en-US"/>
        </w:rPr>
        <w:t>本项目现有工程大气污染物排放情况统计数据采用竣工环境保护验收监测报告表中数据（验收期间监测报告见附件）</w:t>
      </w:r>
      <w:r>
        <w:rPr>
          <w:bCs/>
          <w:sz w:val="24"/>
          <w:lang w:bidi="en-US"/>
        </w:rPr>
        <w:t>，</w:t>
      </w:r>
      <w:r>
        <w:rPr>
          <w:rFonts w:hint="eastAsia"/>
          <w:bCs/>
          <w:sz w:val="24"/>
          <w:lang w:bidi="en-US"/>
        </w:rPr>
        <w:t>有组织详见表3.3-1，无组织详见表3.3-2。</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 xml:space="preserve">表3.3-1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现有工程有组织大气污染物排放情况一览表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447"/>
        <w:gridCol w:w="1406"/>
        <w:gridCol w:w="1406"/>
        <w:gridCol w:w="426"/>
        <w:gridCol w:w="980"/>
        <w:gridCol w:w="863"/>
        <w:gridCol w:w="543"/>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检测项目</w:t>
            </w:r>
          </w:p>
        </w:tc>
        <w:tc>
          <w:tcPr>
            <w:tcW w:w="281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非甲烷总烃</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样品类型</w:t>
            </w:r>
          </w:p>
        </w:tc>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有组织废气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采样日期</w:t>
            </w:r>
          </w:p>
        </w:tc>
        <w:tc>
          <w:tcPr>
            <w:tcW w:w="281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2023年5月16日</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净化设施</w:t>
            </w:r>
          </w:p>
        </w:tc>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光氧催化+活性炭吸附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烟囱高度</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15m</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烟囱截面积</w:t>
            </w:r>
          </w:p>
        </w:tc>
        <w:tc>
          <w:tcPr>
            <w:tcW w:w="1406" w:type="dxa"/>
            <w:gridSpan w:val="2"/>
            <w:vAlign w:val="center"/>
          </w:tcPr>
          <w:p>
            <w:pPr>
              <w:adjustRightInd w:val="0"/>
              <w:snapToGrid w:val="0"/>
              <w:jc w:val="center"/>
              <w:rPr>
                <w:bCs/>
                <w:kern w:val="0"/>
                <w:sz w:val="21"/>
                <w:szCs w:val="21"/>
                <w:vertAlign w:val="superscript"/>
                <w:lang w:bidi="en-US"/>
              </w:rPr>
            </w:pPr>
            <w:r>
              <w:rPr>
                <w:rFonts w:hint="eastAsia"/>
                <w:bCs/>
                <w:kern w:val="0"/>
                <w:sz w:val="21"/>
                <w:szCs w:val="21"/>
                <w:lang w:bidi="en-US"/>
              </w:rPr>
              <w:t>0.13m</w:t>
            </w:r>
            <w:r>
              <w:rPr>
                <w:rFonts w:hint="eastAsia"/>
                <w:bCs/>
                <w:kern w:val="0"/>
                <w:sz w:val="21"/>
                <w:szCs w:val="21"/>
                <w:vertAlign w:val="superscript"/>
                <w:lang w:bidi="en-US"/>
              </w:rPr>
              <w:t>2</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运行负荷</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测点位置</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排口</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燃料类型</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基准氧含量</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p>
        </w:tc>
        <w:tc>
          <w:tcPr>
            <w:tcW w:w="7030" w:type="dxa"/>
            <w:gridSpan w:val="7"/>
            <w:vAlign w:val="center"/>
          </w:tcPr>
          <w:p>
            <w:pPr>
              <w:adjustRightInd w:val="0"/>
              <w:snapToGrid w:val="0"/>
              <w:jc w:val="center"/>
              <w:rPr>
                <w:bCs/>
                <w:kern w:val="0"/>
                <w:sz w:val="21"/>
                <w:szCs w:val="21"/>
                <w:lang w:bidi="en-US"/>
              </w:rPr>
            </w:pPr>
            <w:r>
              <w:rPr>
                <w:rFonts w:hint="eastAsia"/>
                <w:bCs/>
                <w:kern w:val="0"/>
                <w:sz w:val="21"/>
                <w:szCs w:val="21"/>
                <w:lang w:bidi="en-US"/>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样品编号</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YF-1-1-1</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YF-1-1-2</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烟气温度（℃）</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43.2</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44.1</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烟气流速（m/s）</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12.0</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12.1</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标干流量（m</w:t>
            </w:r>
            <w:r>
              <w:rPr>
                <w:rFonts w:hint="eastAsia"/>
                <w:bCs/>
                <w:kern w:val="0"/>
                <w:sz w:val="21"/>
                <w:szCs w:val="21"/>
                <w:vertAlign w:val="superscript"/>
                <w:lang w:bidi="en-US"/>
              </w:rPr>
              <w:t>3</w:t>
            </w:r>
            <w:r>
              <w:rPr>
                <w:rFonts w:hint="eastAsia"/>
                <w:bCs/>
                <w:kern w:val="0"/>
                <w:sz w:val="21"/>
                <w:szCs w:val="21"/>
                <w:lang w:bidi="en-US"/>
              </w:rPr>
              <w:t>/h）</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4260</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4280</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非甲烷总烃</w:t>
            </w: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实测浓度（mg/m</w:t>
            </w:r>
            <w:r>
              <w:rPr>
                <w:rFonts w:hint="eastAsia"/>
                <w:bCs/>
                <w:kern w:val="0"/>
                <w:sz w:val="21"/>
                <w:szCs w:val="21"/>
                <w:vertAlign w:val="superscript"/>
                <w:lang w:bidi="en-US"/>
              </w:rPr>
              <w:t>3</w:t>
            </w:r>
            <w:r>
              <w:rPr>
                <w:rFonts w:hint="eastAsia"/>
                <w:bCs/>
                <w:kern w:val="0"/>
                <w:sz w:val="21"/>
                <w:szCs w:val="21"/>
                <w:lang w:bidi="en-US"/>
              </w:rPr>
              <w:t>）</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0.29</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0.20</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平均值（mg/m</w:t>
            </w:r>
            <w:r>
              <w:rPr>
                <w:rFonts w:hint="eastAsia"/>
                <w:bCs/>
                <w:kern w:val="0"/>
                <w:sz w:val="21"/>
                <w:szCs w:val="21"/>
                <w:vertAlign w:val="superscript"/>
                <w:lang w:bidi="en-US"/>
              </w:rPr>
              <w:t>3</w:t>
            </w:r>
            <w:r>
              <w:rPr>
                <w:rFonts w:hint="eastAsia"/>
                <w:bCs/>
                <w:kern w:val="0"/>
                <w:sz w:val="21"/>
                <w:szCs w:val="21"/>
                <w:lang w:bidi="en-US"/>
              </w:rPr>
              <w:t>）</w:t>
            </w:r>
          </w:p>
        </w:tc>
        <w:tc>
          <w:tcPr>
            <w:tcW w:w="5624" w:type="dxa"/>
            <w:gridSpan w:val="6"/>
            <w:vAlign w:val="center"/>
          </w:tcPr>
          <w:p>
            <w:pPr>
              <w:adjustRightInd w:val="0"/>
              <w:snapToGrid w:val="0"/>
              <w:jc w:val="center"/>
              <w:rPr>
                <w:bCs/>
                <w:kern w:val="0"/>
                <w:sz w:val="21"/>
                <w:szCs w:val="21"/>
                <w:lang w:bidi="en-US"/>
              </w:rPr>
            </w:pPr>
            <w:r>
              <w:rPr>
                <w:rFonts w:hint="eastAsia"/>
                <w:bCs/>
                <w:kern w:val="0"/>
                <w:sz w:val="21"/>
                <w:szCs w:val="21"/>
                <w:lang w:bidi="en-US"/>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排放速率（kg/h）</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0.00124</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0.000856</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平均值（kg/h）</w:t>
            </w:r>
          </w:p>
        </w:tc>
        <w:tc>
          <w:tcPr>
            <w:tcW w:w="5624" w:type="dxa"/>
            <w:gridSpan w:val="6"/>
            <w:vAlign w:val="center"/>
          </w:tcPr>
          <w:p>
            <w:pPr>
              <w:adjustRightInd w:val="0"/>
              <w:snapToGrid w:val="0"/>
              <w:jc w:val="center"/>
              <w:rPr>
                <w:bCs/>
                <w:kern w:val="0"/>
                <w:sz w:val="21"/>
                <w:szCs w:val="21"/>
                <w:lang w:bidi="en-US"/>
              </w:rPr>
            </w:pPr>
            <w:r>
              <w:rPr>
                <w:rFonts w:hint="eastAsia"/>
                <w:bCs/>
                <w:kern w:val="0"/>
                <w:sz w:val="21"/>
                <w:szCs w:val="21"/>
                <w:lang w:bidi="en-US"/>
              </w:rPr>
              <w:t>0.00105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采样日期</w:t>
            </w:r>
          </w:p>
        </w:tc>
        <w:tc>
          <w:tcPr>
            <w:tcW w:w="281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2023年5月17日</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净化设施</w:t>
            </w:r>
          </w:p>
        </w:tc>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光氧催化+活性炭吸附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烟囱高度</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15m</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烟囱截面积</w:t>
            </w:r>
          </w:p>
        </w:tc>
        <w:tc>
          <w:tcPr>
            <w:tcW w:w="1406" w:type="dxa"/>
            <w:gridSpan w:val="2"/>
            <w:vAlign w:val="center"/>
          </w:tcPr>
          <w:p>
            <w:pPr>
              <w:adjustRightInd w:val="0"/>
              <w:snapToGrid w:val="0"/>
              <w:jc w:val="center"/>
              <w:rPr>
                <w:bCs/>
                <w:kern w:val="0"/>
                <w:sz w:val="21"/>
                <w:szCs w:val="21"/>
                <w:vertAlign w:val="superscript"/>
                <w:lang w:bidi="en-US"/>
              </w:rPr>
            </w:pPr>
            <w:r>
              <w:rPr>
                <w:rFonts w:hint="eastAsia"/>
                <w:bCs/>
                <w:kern w:val="0"/>
                <w:sz w:val="21"/>
                <w:szCs w:val="21"/>
                <w:lang w:bidi="en-US"/>
              </w:rPr>
              <w:t>0.13m</w:t>
            </w:r>
            <w:r>
              <w:rPr>
                <w:rFonts w:hint="eastAsia"/>
                <w:bCs/>
                <w:kern w:val="0"/>
                <w:sz w:val="21"/>
                <w:szCs w:val="21"/>
                <w:vertAlign w:val="superscript"/>
                <w:lang w:bidi="en-US"/>
              </w:rPr>
              <w:t>2</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运行负荷</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测点位置</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排口</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燃料类型</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w:t>
            </w:r>
          </w:p>
        </w:tc>
        <w:tc>
          <w:tcPr>
            <w:tcW w:w="1406"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基准氧含量</w:t>
            </w:r>
          </w:p>
        </w:tc>
        <w:tc>
          <w:tcPr>
            <w:tcW w:w="1406" w:type="dxa"/>
            <w:vAlign w:val="center"/>
          </w:tcPr>
          <w:p>
            <w:pPr>
              <w:adjustRightInd w:val="0"/>
              <w:snapToGrid w:val="0"/>
              <w:jc w:val="center"/>
              <w:rPr>
                <w:bCs/>
                <w:kern w:val="0"/>
                <w:sz w:val="21"/>
                <w:szCs w:val="21"/>
                <w:lang w:bidi="en-US"/>
              </w:rPr>
            </w:pPr>
            <w:r>
              <w:rPr>
                <w:rFonts w:hint="eastAsia"/>
                <w:bCs/>
                <w:kern w:val="0"/>
                <w:sz w:val="21"/>
                <w:szCs w:val="21"/>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vAlign w:val="center"/>
          </w:tcPr>
          <w:p>
            <w:pPr>
              <w:adjustRightInd w:val="0"/>
              <w:snapToGrid w:val="0"/>
              <w:jc w:val="center"/>
              <w:rPr>
                <w:bCs/>
                <w:kern w:val="0"/>
                <w:sz w:val="21"/>
                <w:szCs w:val="21"/>
                <w:lang w:bidi="en-US"/>
              </w:rPr>
            </w:pPr>
          </w:p>
        </w:tc>
        <w:tc>
          <w:tcPr>
            <w:tcW w:w="7030" w:type="dxa"/>
            <w:gridSpan w:val="7"/>
            <w:vAlign w:val="center"/>
          </w:tcPr>
          <w:p>
            <w:pPr>
              <w:adjustRightInd w:val="0"/>
              <w:snapToGrid w:val="0"/>
              <w:jc w:val="center"/>
              <w:rPr>
                <w:bCs/>
                <w:kern w:val="0"/>
                <w:sz w:val="21"/>
                <w:szCs w:val="21"/>
                <w:lang w:bidi="en-US"/>
              </w:rPr>
            </w:pPr>
            <w:r>
              <w:rPr>
                <w:rFonts w:hint="eastAsia"/>
                <w:bCs/>
                <w:kern w:val="0"/>
                <w:sz w:val="21"/>
                <w:szCs w:val="21"/>
                <w:lang w:bidi="en-US"/>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样品编号</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YF-1-2-1</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YF-1-2-2</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YF-1-2-3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烟气温度（℃）</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44.0</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43.5</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烟气流速（m/s）</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12.3</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11.7</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标干流量（m</w:t>
            </w:r>
            <w:r>
              <w:rPr>
                <w:rFonts w:hint="eastAsia"/>
                <w:bCs/>
                <w:kern w:val="0"/>
                <w:sz w:val="21"/>
                <w:szCs w:val="21"/>
                <w:vertAlign w:val="superscript"/>
                <w:lang w:bidi="en-US"/>
              </w:rPr>
              <w:t>3</w:t>
            </w:r>
            <w:r>
              <w:rPr>
                <w:rFonts w:hint="eastAsia"/>
                <w:bCs/>
                <w:kern w:val="0"/>
                <w:sz w:val="21"/>
                <w:szCs w:val="21"/>
                <w:lang w:bidi="en-US"/>
              </w:rPr>
              <w:t>/h）</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4298</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4111</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4143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非甲烷总烃</w:t>
            </w: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实测浓度（mg/m</w:t>
            </w:r>
            <w:r>
              <w:rPr>
                <w:rFonts w:hint="eastAsia"/>
                <w:bCs/>
                <w:kern w:val="0"/>
                <w:sz w:val="21"/>
                <w:szCs w:val="21"/>
                <w:vertAlign w:val="superscript"/>
                <w:lang w:bidi="en-US"/>
              </w:rPr>
              <w:t>3</w:t>
            </w:r>
            <w:r>
              <w:rPr>
                <w:rFonts w:hint="eastAsia"/>
                <w:bCs/>
                <w:kern w:val="0"/>
                <w:sz w:val="21"/>
                <w:szCs w:val="21"/>
                <w:lang w:bidi="en-US"/>
              </w:rPr>
              <w:t>）</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0.28</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0.26</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平均值（mg/m</w:t>
            </w:r>
            <w:r>
              <w:rPr>
                <w:rFonts w:hint="eastAsia"/>
                <w:bCs/>
                <w:kern w:val="0"/>
                <w:sz w:val="21"/>
                <w:szCs w:val="21"/>
                <w:vertAlign w:val="superscript"/>
                <w:lang w:bidi="en-US"/>
              </w:rPr>
              <w:t>3</w:t>
            </w:r>
            <w:r>
              <w:rPr>
                <w:rFonts w:hint="eastAsia"/>
                <w:bCs/>
                <w:kern w:val="0"/>
                <w:sz w:val="21"/>
                <w:szCs w:val="21"/>
                <w:lang w:bidi="en-US"/>
              </w:rPr>
              <w:t>）</w:t>
            </w:r>
          </w:p>
        </w:tc>
        <w:tc>
          <w:tcPr>
            <w:tcW w:w="5624" w:type="dxa"/>
            <w:gridSpan w:val="6"/>
            <w:vAlign w:val="center"/>
          </w:tcPr>
          <w:p>
            <w:pPr>
              <w:adjustRightInd w:val="0"/>
              <w:snapToGrid w:val="0"/>
              <w:jc w:val="center"/>
              <w:rPr>
                <w:bCs/>
                <w:kern w:val="0"/>
                <w:sz w:val="21"/>
                <w:szCs w:val="21"/>
                <w:lang w:bidi="en-US"/>
              </w:rPr>
            </w:pPr>
            <w:r>
              <w:rPr>
                <w:rFonts w:hint="eastAsia"/>
                <w:bCs/>
                <w:kern w:val="0"/>
                <w:sz w:val="21"/>
                <w:szCs w:val="21"/>
                <w:lang w:bidi="en-US"/>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排放速率（kg/h）</w:t>
            </w:r>
          </w:p>
        </w:tc>
        <w:tc>
          <w:tcPr>
            <w:tcW w:w="1832"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0.00120</w:t>
            </w:r>
          </w:p>
        </w:tc>
        <w:tc>
          <w:tcPr>
            <w:tcW w:w="184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0.00107</w:t>
            </w:r>
          </w:p>
        </w:tc>
        <w:tc>
          <w:tcPr>
            <w:tcW w:w="1949"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0.00124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adjustRightInd w:val="0"/>
              <w:snapToGrid w:val="0"/>
              <w:jc w:val="center"/>
              <w:rPr>
                <w:bCs/>
                <w:kern w:val="0"/>
                <w:sz w:val="21"/>
                <w:szCs w:val="21"/>
                <w:lang w:bidi="en-US"/>
              </w:rPr>
            </w:pPr>
          </w:p>
        </w:tc>
        <w:tc>
          <w:tcPr>
            <w:tcW w:w="185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平均值（kg/h）</w:t>
            </w:r>
          </w:p>
        </w:tc>
        <w:tc>
          <w:tcPr>
            <w:tcW w:w="5624" w:type="dxa"/>
            <w:gridSpan w:val="6"/>
            <w:vAlign w:val="center"/>
          </w:tcPr>
          <w:p>
            <w:pPr>
              <w:adjustRightInd w:val="0"/>
              <w:snapToGrid w:val="0"/>
              <w:jc w:val="center"/>
              <w:rPr>
                <w:bCs/>
                <w:kern w:val="0"/>
                <w:sz w:val="21"/>
                <w:szCs w:val="21"/>
                <w:lang w:bidi="en-US"/>
              </w:rPr>
            </w:pPr>
            <w:r>
              <w:rPr>
                <w:rFonts w:hint="eastAsia"/>
                <w:bCs/>
                <w:kern w:val="0"/>
                <w:sz w:val="21"/>
                <w:szCs w:val="21"/>
                <w:lang w:bidi="en-US"/>
              </w:rPr>
              <w:t>0.00117</w:t>
            </w:r>
          </w:p>
        </w:tc>
      </w:tr>
    </w:tbl>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表3.3-2            现有工程无组织非甲烷总烃排放情况一览表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056"/>
        <w:gridCol w:w="922"/>
        <w:gridCol w:w="922"/>
        <w:gridCol w:w="842"/>
        <w:gridCol w:w="922"/>
        <w:gridCol w:w="1752"/>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监测  点位</w:t>
            </w:r>
          </w:p>
        </w:tc>
        <w:tc>
          <w:tcPr>
            <w:tcW w:w="1056" w:type="dxa"/>
            <w:vAlign w:val="center"/>
          </w:tcPr>
          <w:p>
            <w:pPr>
              <w:adjustRightInd w:val="0"/>
              <w:snapToGrid w:val="0"/>
              <w:jc w:val="center"/>
              <w:rPr>
                <w:bCs/>
                <w:kern w:val="0"/>
                <w:sz w:val="21"/>
                <w:szCs w:val="21"/>
                <w:lang w:bidi="en-US"/>
              </w:rPr>
            </w:pPr>
            <w:r>
              <w:rPr>
                <w:rFonts w:hint="eastAsia"/>
                <w:bCs/>
                <w:kern w:val="0"/>
                <w:sz w:val="21"/>
                <w:szCs w:val="21"/>
                <w:lang w:bidi="en-US"/>
              </w:rPr>
              <w:t>采样日期</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第1次</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第2次</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第3次</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第4次</w:t>
            </w:r>
          </w:p>
        </w:tc>
        <w:tc>
          <w:tcPr>
            <w:tcW w:w="1752" w:type="dxa"/>
            <w:vAlign w:val="center"/>
          </w:tcPr>
          <w:p>
            <w:pPr>
              <w:adjustRightInd w:val="0"/>
              <w:snapToGrid w:val="0"/>
              <w:jc w:val="center"/>
              <w:rPr>
                <w:bCs/>
                <w:kern w:val="0"/>
                <w:sz w:val="21"/>
                <w:szCs w:val="21"/>
                <w:lang w:bidi="en-US"/>
              </w:rPr>
            </w:pPr>
            <w:r>
              <w:rPr>
                <w:rFonts w:hint="eastAsia"/>
                <w:bCs/>
                <w:kern w:val="0"/>
                <w:sz w:val="21"/>
                <w:szCs w:val="21"/>
                <w:lang w:bidi="en-US"/>
              </w:rPr>
              <w:t>标准限值（mg/m</w:t>
            </w:r>
            <w:r>
              <w:rPr>
                <w:rFonts w:hint="eastAsia"/>
                <w:bCs/>
                <w:kern w:val="0"/>
                <w:sz w:val="21"/>
                <w:szCs w:val="21"/>
                <w:vertAlign w:val="superscript"/>
                <w:lang w:bidi="en-US"/>
              </w:rPr>
              <w:t>3</w:t>
            </w:r>
            <w:r>
              <w:rPr>
                <w:rFonts w:hint="eastAsia"/>
                <w:bCs/>
                <w:kern w:val="0"/>
                <w:sz w:val="21"/>
                <w:szCs w:val="21"/>
                <w:lang w:bidi="en-US"/>
              </w:rPr>
              <w:t>）</w:t>
            </w: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厂界上风向1#</w:t>
            </w:r>
          </w:p>
        </w:tc>
        <w:tc>
          <w:tcPr>
            <w:tcW w:w="1056"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2023.5.16</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0.12</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0.15</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0.14</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0.15</w:t>
            </w:r>
          </w:p>
        </w:tc>
        <w:tc>
          <w:tcPr>
            <w:tcW w:w="1752"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4.0</w:t>
            </w: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厂界下风向2#</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0.19</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0.23</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0.18</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0.21</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厂界下风向3#</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0.22</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0.18</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0.14</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0.16</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厂界下风向4#</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0.19</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0.18</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0.23</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0.16</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厂房门口</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0.22</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0.26</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0.24</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0.18</w:t>
            </w:r>
          </w:p>
        </w:tc>
        <w:tc>
          <w:tcPr>
            <w:tcW w:w="1752" w:type="dxa"/>
            <w:vAlign w:val="center"/>
          </w:tcPr>
          <w:p>
            <w:pPr>
              <w:adjustRightInd w:val="0"/>
              <w:snapToGrid w:val="0"/>
              <w:jc w:val="center"/>
              <w:rPr>
                <w:bCs/>
                <w:kern w:val="0"/>
                <w:sz w:val="21"/>
                <w:szCs w:val="21"/>
                <w:lang w:bidi="en-US"/>
              </w:rPr>
            </w:pPr>
            <w:r>
              <w:rPr>
                <w:rFonts w:hint="eastAsia"/>
                <w:bCs/>
                <w:kern w:val="0"/>
                <w:sz w:val="21"/>
                <w:szCs w:val="21"/>
                <w:lang w:bidi="en-US"/>
              </w:rPr>
              <w:t>10</w:t>
            </w: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厂界上风向1#</w:t>
            </w:r>
          </w:p>
        </w:tc>
        <w:tc>
          <w:tcPr>
            <w:tcW w:w="1056"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2023.5.17</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0.14</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0.16</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0.10</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0.13</w:t>
            </w:r>
          </w:p>
        </w:tc>
        <w:tc>
          <w:tcPr>
            <w:tcW w:w="1752"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4.0</w:t>
            </w: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厂界下风向2#</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0.21</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0.19</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0.22</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0.25</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厂界下风向3#</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0.20</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0.23</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0.17</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0.25</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厂界下风向4#</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0.22</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0.21</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0.18</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0.23</w:t>
            </w:r>
          </w:p>
        </w:tc>
        <w:tc>
          <w:tcPr>
            <w:tcW w:w="1752" w:type="dxa"/>
            <w:vMerge w:val="continue"/>
            <w:vAlign w:val="center"/>
          </w:tcPr>
          <w:p>
            <w:pPr>
              <w:adjustRightInd w:val="0"/>
              <w:snapToGrid w:val="0"/>
              <w:jc w:val="center"/>
              <w:rPr>
                <w:bCs/>
                <w:kern w:val="0"/>
                <w:sz w:val="21"/>
                <w:szCs w:val="21"/>
                <w:lang w:bidi="en-US"/>
              </w:rPr>
            </w:pP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dxa"/>
            <w:vAlign w:val="center"/>
          </w:tcPr>
          <w:p>
            <w:pPr>
              <w:adjustRightInd w:val="0"/>
              <w:snapToGrid w:val="0"/>
              <w:jc w:val="center"/>
              <w:rPr>
                <w:bCs/>
                <w:kern w:val="0"/>
                <w:sz w:val="21"/>
                <w:szCs w:val="21"/>
                <w:lang w:bidi="en-US"/>
              </w:rPr>
            </w:pPr>
            <w:r>
              <w:rPr>
                <w:rFonts w:hint="eastAsia"/>
                <w:bCs/>
                <w:kern w:val="0"/>
                <w:sz w:val="21"/>
                <w:szCs w:val="21"/>
                <w:lang w:bidi="en-US"/>
              </w:rPr>
              <w:t>厂房门口</w:t>
            </w:r>
          </w:p>
        </w:tc>
        <w:tc>
          <w:tcPr>
            <w:tcW w:w="1056" w:type="dxa"/>
            <w:vMerge w:val="continue"/>
            <w:vAlign w:val="center"/>
          </w:tcPr>
          <w:p>
            <w:pPr>
              <w:adjustRightInd w:val="0"/>
              <w:snapToGrid w:val="0"/>
              <w:jc w:val="center"/>
              <w:rPr>
                <w:bCs/>
                <w:kern w:val="0"/>
                <w:sz w:val="21"/>
                <w:szCs w:val="21"/>
                <w:lang w:bidi="en-US"/>
              </w:rPr>
            </w:pP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0.26</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0.27</w:t>
            </w:r>
          </w:p>
        </w:tc>
        <w:tc>
          <w:tcPr>
            <w:tcW w:w="842" w:type="dxa"/>
            <w:vAlign w:val="center"/>
          </w:tcPr>
          <w:p>
            <w:pPr>
              <w:adjustRightInd w:val="0"/>
              <w:snapToGrid w:val="0"/>
              <w:jc w:val="center"/>
              <w:rPr>
                <w:bCs/>
                <w:kern w:val="0"/>
                <w:sz w:val="21"/>
                <w:szCs w:val="21"/>
                <w:lang w:bidi="en-US"/>
              </w:rPr>
            </w:pPr>
            <w:r>
              <w:rPr>
                <w:rFonts w:hint="eastAsia"/>
                <w:bCs/>
                <w:kern w:val="0"/>
                <w:sz w:val="21"/>
                <w:szCs w:val="21"/>
                <w:lang w:bidi="en-US"/>
              </w:rPr>
              <w:t>0.24</w:t>
            </w:r>
          </w:p>
        </w:tc>
        <w:tc>
          <w:tcPr>
            <w:tcW w:w="922" w:type="dxa"/>
            <w:vAlign w:val="center"/>
          </w:tcPr>
          <w:p>
            <w:pPr>
              <w:adjustRightInd w:val="0"/>
              <w:snapToGrid w:val="0"/>
              <w:jc w:val="center"/>
              <w:rPr>
                <w:bCs/>
                <w:kern w:val="0"/>
                <w:sz w:val="21"/>
                <w:szCs w:val="21"/>
                <w:lang w:bidi="en-US"/>
              </w:rPr>
            </w:pPr>
            <w:r>
              <w:rPr>
                <w:rFonts w:hint="eastAsia"/>
                <w:bCs/>
                <w:kern w:val="0"/>
                <w:sz w:val="21"/>
                <w:szCs w:val="21"/>
                <w:lang w:bidi="en-US"/>
              </w:rPr>
              <w:t>0.23</w:t>
            </w:r>
          </w:p>
        </w:tc>
        <w:tc>
          <w:tcPr>
            <w:tcW w:w="1752" w:type="dxa"/>
            <w:vAlign w:val="center"/>
          </w:tcPr>
          <w:p>
            <w:pPr>
              <w:adjustRightInd w:val="0"/>
              <w:snapToGrid w:val="0"/>
              <w:jc w:val="center"/>
              <w:rPr>
                <w:bCs/>
                <w:kern w:val="0"/>
                <w:sz w:val="21"/>
                <w:szCs w:val="21"/>
                <w:lang w:bidi="en-US"/>
              </w:rPr>
            </w:pPr>
            <w:r>
              <w:rPr>
                <w:rFonts w:hint="eastAsia"/>
                <w:bCs/>
                <w:kern w:val="0"/>
                <w:sz w:val="21"/>
                <w:szCs w:val="21"/>
                <w:lang w:bidi="en-US"/>
              </w:rPr>
              <w:t>10</w:t>
            </w:r>
          </w:p>
        </w:tc>
        <w:tc>
          <w:tcPr>
            <w:tcW w:w="1009"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bl>
    <w:p>
      <w:pPr>
        <w:spacing w:line="460" w:lineRule="exact"/>
        <w:ind w:firstLine="480" w:firstLineChars="200"/>
        <w:rPr>
          <w:bCs/>
          <w:sz w:val="24"/>
          <w:lang w:bidi="en-US"/>
        </w:rPr>
      </w:pPr>
      <w:r>
        <w:rPr>
          <w:rFonts w:hint="eastAsia"/>
          <w:bCs/>
          <w:sz w:val="24"/>
          <w:lang w:bidi="en-US"/>
        </w:rPr>
        <w:t>根据监测结果，各项污染物均能达标排放，有组织非甲烷总烃满足浓度《合成树脂工业污染物排放标准》（GB31572-2015）表5中浓度限值要求，厂界无组织非甲烷总烃满足《合成树脂工业污染物排放标准》（GB31572-2015）表9企业边界大气污染物浓度限值，验收监测期间有组织废气非甲烷总烃单位产品排放量为0.004kg/t-产品，小于《合成树脂工业污染物排放标准》（GB31572-2015）表5中单位产品非甲烷总烃排放量指标0.3kg/t-产品，厂区内无组织废气排放浓度满足《挥发性有机物无组织排放控制标准》附录A表A.1厂区内VOCs无组织排放限值。</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3.3.2废水产生及排放情况</w:t>
      </w:r>
    </w:p>
    <w:p>
      <w:pPr>
        <w:spacing w:line="460" w:lineRule="exact"/>
        <w:ind w:firstLine="480" w:firstLineChars="200"/>
        <w:rPr>
          <w:bCs/>
          <w:sz w:val="24"/>
          <w:lang w:bidi="en-US"/>
        </w:rPr>
      </w:pPr>
      <w:r>
        <w:rPr>
          <w:rFonts w:hint="eastAsia"/>
          <w:bCs/>
          <w:sz w:val="24"/>
          <w:lang w:bidi="en-US"/>
        </w:rPr>
        <w:t>项目滴灌带生产冷却循环水经循环水池冷却后循环使用不外排，项目产生生活污水144m</w:t>
      </w:r>
      <w:r>
        <w:rPr>
          <w:rFonts w:hint="eastAsia"/>
          <w:bCs/>
          <w:sz w:val="24"/>
          <w:vertAlign w:val="superscript"/>
          <w:lang w:bidi="en-US"/>
        </w:rPr>
        <w:t>3</w:t>
      </w:r>
      <w:r>
        <w:rPr>
          <w:rFonts w:hint="eastAsia"/>
          <w:bCs/>
          <w:sz w:val="24"/>
          <w:lang w:bidi="en-US"/>
        </w:rPr>
        <w:t>/a，全部排入化粪池收集后全部拉运至污水处理厂处置。</w:t>
      </w:r>
    </w:p>
    <w:bookmarkEnd w:id="102"/>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3.3.3噪声污染物排放情况</w:t>
      </w:r>
    </w:p>
    <w:p>
      <w:pPr>
        <w:spacing w:line="460" w:lineRule="exact"/>
        <w:ind w:firstLine="480" w:firstLineChars="200"/>
        <w:rPr>
          <w:bCs/>
          <w:sz w:val="24"/>
          <w:lang w:bidi="en-US"/>
        </w:rPr>
      </w:pPr>
      <w:r>
        <w:rPr>
          <w:rFonts w:hint="eastAsia"/>
          <w:bCs/>
          <w:sz w:val="24"/>
          <w:lang w:bidi="en-US"/>
        </w:rPr>
        <w:t>现有</w:t>
      </w:r>
      <w:r>
        <w:rPr>
          <w:bCs/>
          <w:sz w:val="24"/>
          <w:lang w:bidi="en-US"/>
        </w:rPr>
        <w:t>噪声达标性分析数据采用竣工环境保护验收数据，</w:t>
      </w:r>
      <w:r>
        <w:rPr>
          <w:rFonts w:hint="eastAsia"/>
          <w:bCs/>
          <w:sz w:val="24"/>
          <w:lang w:bidi="en-US"/>
        </w:rPr>
        <w:t>项目噪声污染物排放情况详见表3.3-3。</w:t>
      </w:r>
    </w:p>
    <w:p>
      <w:pPr>
        <w:pStyle w:val="499"/>
        <w:spacing w:line="240" w:lineRule="auto"/>
        <w:ind w:firstLine="420"/>
        <w:rPr>
          <w:bCs/>
          <w:lang w:bidi="en-US"/>
        </w:rPr>
      </w:pPr>
      <w:r>
        <w:rPr>
          <w:rFonts w:hint="eastAsia" w:ascii="Times New Roman" w:hAnsi="Times New Roman" w:eastAsia="黑体" w:cs="Times New Roman"/>
          <w:sz w:val="21"/>
          <w:lang w:bidi="en-US"/>
        </w:rPr>
        <w:t>表3.3-3                  噪声排放情况一览表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299"/>
        <w:gridCol w:w="979"/>
        <w:gridCol w:w="921"/>
        <w:gridCol w:w="1134"/>
        <w:gridCol w:w="880"/>
        <w:gridCol w:w="979"/>
        <w:gridCol w:w="1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监测时间</w:t>
            </w:r>
          </w:p>
        </w:tc>
        <w:tc>
          <w:tcPr>
            <w:tcW w:w="1299"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监测点位</w:t>
            </w:r>
          </w:p>
        </w:tc>
        <w:tc>
          <w:tcPr>
            <w:tcW w:w="3034"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昼间（dB（A））</w:t>
            </w:r>
          </w:p>
        </w:tc>
        <w:tc>
          <w:tcPr>
            <w:tcW w:w="2941" w:type="dxa"/>
            <w:gridSpan w:val="3"/>
            <w:vAlign w:val="center"/>
          </w:tcPr>
          <w:p>
            <w:pPr>
              <w:adjustRightInd w:val="0"/>
              <w:snapToGrid w:val="0"/>
              <w:jc w:val="center"/>
              <w:rPr>
                <w:bCs/>
                <w:kern w:val="0"/>
                <w:sz w:val="21"/>
                <w:szCs w:val="21"/>
                <w:lang w:bidi="en-US"/>
              </w:rPr>
            </w:pPr>
            <w:r>
              <w:rPr>
                <w:rFonts w:hint="eastAsia"/>
                <w:bCs/>
                <w:kern w:val="0"/>
                <w:sz w:val="21"/>
                <w:szCs w:val="21"/>
                <w:lang w:bidi="en-US"/>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Merge w:val="continue"/>
            <w:vAlign w:val="center"/>
          </w:tcPr>
          <w:p>
            <w:pPr>
              <w:adjustRightInd w:val="0"/>
              <w:snapToGrid w:val="0"/>
              <w:jc w:val="center"/>
              <w:rPr>
                <w:bCs/>
                <w:kern w:val="0"/>
                <w:sz w:val="21"/>
                <w:szCs w:val="21"/>
                <w:lang w:bidi="en-US"/>
              </w:rPr>
            </w:pP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监测值</w:t>
            </w:r>
          </w:p>
        </w:tc>
        <w:tc>
          <w:tcPr>
            <w:tcW w:w="921" w:type="dxa"/>
            <w:vAlign w:val="center"/>
          </w:tcPr>
          <w:p>
            <w:pPr>
              <w:adjustRightInd w:val="0"/>
              <w:snapToGrid w:val="0"/>
              <w:jc w:val="center"/>
              <w:rPr>
                <w:bCs/>
                <w:kern w:val="0"/>
                <w:sz w:val="21"/>
                <w:szCs w:val="21"/>
                <w:lang w:bidi="en-US"/>
              </w:rPr>
            </w:pPr>
            <w:r>
              <w:rPr>
                <w:rFonts w:hint="eastAsia"/>
                <w:bCs/>
                <w:kern w:val="0"/>
                <w:sz w:val="21"/>
                <w:szCs w:val="21"/>
                <w:lang w:bidi="en-US"/>
              </w:rPr>
              <w:t>标准值</w:t>
            </w: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达标情况</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监测值</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标准值</w:t>
            </w: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2023.5.16</w:t>
            </w: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厂界东侧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53.2</w:t>
            </w:r>
          </w:p>
        </w:tc>
        <w:tc>
          <w:tcPr>
            <w:tcW w:w="921"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65</w:t>
            </w: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39.9</w:t>
            </w:r>
          </w:p>
        </w:tc>
        <w:tc>
          <w:tcPr>
            <w:tcW w:w="979"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55</w:t>
            </w: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厂界南侧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50.4</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37.0</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厂界西侧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50.5</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38.6</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厂界北侧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48.9</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37.0</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2023.5.17</w:t>
            </w: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厂界东侧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50.2</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37.6</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厂界南侧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48.8</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36.6</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厂界西侧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50.5</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38.1</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2" w:type="dxa"/>
            <w:vMerge w:val="continue"/>
            <w:vAlign w:val="center"/>
          </w:tcPr>
          <w:p>
            <w:pPr>
              <w:adjustRightInd w:val="0"/>
              <w:snapToGrid w:val="0"/>
              <w:jc w:val="center"/>
              <w:rPr>
                <w:bCs/>
                <w:kern w:val="0"/>
                <w:sz w:val="21"/>
                <w:szCs w:val="21"/>
                <w:lang w:bidi="en-US"/>
              </w:rPr>
            </w:pPr>
          </w:p>
        </w:tc>
        <w:tc>
          <w:tcPr>
            <w:tcW w:w="1299" w:type="dxa"/>
            <w:vAlign w:val="center"/>
          </w:tcPr>
          <w:p>
            <w:pPr>
              <w:adjustRightInd w:val="0"/>
              <w:snapToGrid w:val="0"/>
              <w:jc w:val="center"/>
              <w:rPr>
                <w:bCs/>
                <w:kern w:val="0"/>
                <w:sz w:val="21"/>
                <w:szCs w:val="21"/>
                <w:lang w:bidi="en-US"/>
              </w:rPr>
            </w:pPr>
            <w:r>
              <w:rPr>
                <w:rFonts w:hint="eastAsia"/>
                <w:bCs/>
                <w:kern w:val="0"/>
                <w:sz w:val="21"/>
                <w:szCs w:val="21"/>
                <w:lang w:bidi="en-US"/>
              </w:rPr>
              <w:t>厂界北侧</w:t>
            </w:r>
          </w:p>
        </w:tc>
        <w:tc>
          <w:tcPr>
            <w:tcW w:w="979" w:type="dxa"/>
            <w:vAlign w:val="center"/>
          </w:tcPr>
          <w:p>
            <w:pPr>
              <w:adjustRightInd w:val="0"/>
              <w:snapToGrid w:val="0"/>
              <w:jc w:val="center"/>
              <w:rPr>
                <w:bCs/>
                <w:kern w:val="0"/>
                <w:sz w:val="21"/>
                <w:szCs w:val="21"/>
                <w:lang w:bidi="en-US"/>
              </w:rPr>
            </w:pPr>
            <w:r>
              <w:rPr>
                <w:rFonts w:hint="eastAsia"/>
                <w:bCs/>
                <w:kern w:val="0"/>
                <w:sz w:val="21"/>
                <w:szCs w:val="21"/>
                <w:lang w:bidi="en-US"/>
              </w:rPr>
              <w:t>52.1</w:t>
            </w:r>
          </w:p>
        </w:tc>
        <w:tc>
          <w:tcPr>
            <w:tcW w:w="921" w:type="dxa"/>
            <w:vMerge w:val="continue"/>
            <w:vAlign w:val="center"/>
          </w:tcPr>
          <w:p>
            <w:pPr>
              <w:adjustRightInd w:val="0"/>
              <w:snapToGrid w:val="0"/>
              <w:jc w:val="center"/>
              <w:rPr>
                <w:bCs/>
                <w:kern w:val="0"/>
                <w:sz w:val="21"/>
                <w:szCs w:val="21"/>
                <w:lang w:bidi="en-US"/>
              </w:rPr>
            </w:pPr>
          </w:p>
        </w:tc>
        <w:tc>
          <w:tcPr>
            <w:tcW w:w="1134"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c>
          <w:tcPr>
            <w:tcW w:w="880" w:type="dxa"/>
            <w:vAlign w:val="center"/>
          </w:tcPr>
          <w:p>
            <w:pPr>
              <w:adjustRightInd w:val="0"/>
              <w:snapToGrid w:val="0"/>
              <w:jc w:val="center"/>
              <w:rPr>
                <w:bCs/>
                <w:kern w:val="0"/>
                <w:sz w:val="21"/>
                <w:szCs w:val="21"/>
                <w:lang w:bidi="en-US"/>
              </w:rPr>
            </w:pPr>
            <w:r>
              <w:rPr>
                <w:rFonts w:hint="eastAsia"/>
                <w:bCs/>
                <w:kern w:val="0"/>
                <w:sz w:val="21"/>
                <w:szCs w:val="21"/>
                <w:lang w:bidi="en-US"/>
              </w:rPr>
              <w:t>37.0</w:t>
            </w:r>
          </w:p>
        </w:tc>
        <w:tc>
          <w:tcPr>
            <w:tcW w:w="979" w:type="dxa"/>
            <w:vMerge w:val="continue"/>
            <w:vAlign w:val="center"/>
          </w:tcPr>
          <w:p>
            <w:pPr>
              <w:adjustRightInd w:val="0"/>
              <w:snapToGrid w:val="0"/>
              <w:jc w:val="center"/>
              <w:rPr>
                <w:bCs/>
                <w:kern w:val="0"/>
                <w:sz w:val="21"/>
                <w:szCs w:val="21"/>
                <w:lang w:bidi="en-US"/>
              </w:rPr>
            </w:pPr>
          </w:p>
        </w:tc>
        <w:tc>
          <w:tcPr>
            <w:tcW w:w="1082" w:type="dxa"/>
            <w:vAlign w:val="center"/>
          </w:tcPr>
          <w:p>
            <w:pPr>
              <w:adjustRightInd w:val="0"/>
              <w:snapToGrid w:val="0"/>
              <w:jc w:val="center"/>
              <w:rPr>
                <w:bCs/>
                <w:kern w:val="0"/>
                <w:sz w:val="21"/>
                <w:szCs w:val="21"/>
                <w:lang w:bidi="en-US"/>
              </w:rPr>
            </w:pPr>
            <w:r>
              <w:rPr>
                <w:rFonts w:hint="eastAsia"/>
                <w:bCs/>
                <w:kern w:val="0"/>
                <w:sz w:val="21"/>
                <w:szCs w:val="21"/>
                <w:lang w:bidi="en-US"/>
              </w:rPr>
              <w:t>达标</w:t>
            </w:r>
          </w:p>
        </w:tc>
      </w:tr>
    </w:tbl>
    <w:p>
      <w:pPr>
        <w:spacing w:line="460" w:lineRule="exact"/>
        <w:ind w:firstLine="480" w:firstLineChars="200"/>
        <w:rPr>
          <w:bCs/>
          <w:sz w:val="24"/>
          <w:lang w:bidi="en-US"/>
        </w:rPr>
      </w:pPr>
      <w:r>
        <w:rPr>
          <w:rFonts w:hint="eastAsia"/>
          <w:bCs/>
          <w:sz w:val="24"/>
          <w:lang w:bidi="en-US"/>
        </w:rPr>
        <w:t>监测结果显示项目运营期厂界噪声均满足《工业企业厂界环境噪声排放标准》（GB12348-2008）3类标准要求。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3.3.4固体废物排放情况</w:t>
      </w:r>
    </w:p>
    <w:p>
      <w:pPr>
        <w:spacing w:line="460" w:lineRule="exact"/>
        <w:ind w:firstLine="480" w:firstLineChars="200"/>
        <w:rPr>
          <w:bCs/>
          <w:sz w:val="24"/>
          <w:lang w:bidi="en-US"/>
        </w:rPr>
      </w:pPr>
      <w:r>
        <w:rPr>
          <w:rFonts w:hint="eastAsia"/>
          <w:bCs/>
          <w:sz w:val="24"/>
          <w:lang w:bidi="en-US"/>
        </w:rPr>
        <w:t>项目运营期时间较短，无废弃UV灯管及废活性炭产生；产生生活垃圾1.8t/a，全部交由环卫部门处置，项目各类固废均得到合理处置。</w:t>
      </w:r>
    </w:p>
    <w:p>
      <w:pPr>
        <w:pStyle w:val="5"/>
        <w:numPr>
          <w:ilvl w:val="0"/>
          <w:numId w:val="0"/>
        </w:numPr>
        <w:adjustRightInd w:val="0"/>
        <w:spacing w:before="0" w:line="460" w:lineRule="exact"/>
        <w:ind w:left="113"/>
        <w:textAlignment w:val="baseline"/>
        <w:rPr>
          <w:bCs/>
          <w:lang w:bidi="en-US"/>
        </w:rPr>
      </w:pPr>
      <w:r>
        <w:rPr>
          <w:rFonts w:hint="eastAsia" w:ascii="Times New Roman"/>
          <w:spacing w:val="12"/>
          <w:w w:val="95"/>
          <w:kern w:val="0"/>
          <w:szCs w:val="26"/>
        </w:rPr>
        <w:t>3.3.5现有工程污染物排放情况</w:t>
      </w:r>
    </w:p>
    <w:p>
      <w:pPr>
        <w:spacing w:line="460" w:lineRule="exact"/>
        <w:ind w:firstLine="480" w:firstLineChars="200"/>
        <w:rPr>
          <w:bCs/>
          <w:sz w:val="24"/>
          <w:lang w:bidi="en-US"/>
        </w:rPr>
      </w:pPr>
      <w:bookmarkStart w:id="103" w:name="_Hlk168302411"/>
      <w:r>
        <w:rPr>
          <w:rFonts w:hint="eastAsia"/>
          <w:bCs/>
          <w:sz w:val="24"/>
          <w:lang w:bidi="en-US"/>
        </w:rPr>
        <w:t>现有工程污染物污染物排放量核算采用竣工环境保护验收监测报告中监测数据进行核算，由于部分固废在验收期间未产生，本次评价结合现场实际调查情况进行统计</w:t>
      </w:r>
      <w:r>
        <w:rPr>
          <w:bCs/>
          <w:sz w:val="24"/>
          <w:lang w:bidi="en-US"/>
        </w:rPr>
        <w:t>。</w:t>
      </w:r>
      <w:r>
        <w:rPr>
          <w:rFonts w:hint="eastAsia"/>
          <w:bCs/>
          <w:sz w:val="24"/>
          <w:lang w:bidi="en-US"/>
        </w:rPr>
        <w:t>现有工程污染物排放情况详见表3.3-4。</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表3.3-4              现有工程污染物排放情况一览表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134"/>
        <w:gridCol w:w="1949"/>
        <w:gridCol w:w="2093"/>
        <w:gridCol w:w="2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pPr>
              <w:adjustRightInd w:val="0"/>
              <w:snapToGrid w:val="0"/>
              <w:jc w:val="center"/>
              <w:rPr>
                <w:bCs/>
                <w:kern w:val="0"/>
                <w:sz w:val="21"/>
                <w:szCs w:val="21"/>
                <w:lang w:bidi="en-US"/>
              </w:rPr>
            </w:pPr>
            <w:r>
              <w:rPr>
                <w:rFonts w:hint="eastAsia"/>
                <w:bCs/>
                <w:kern w:val="0"/>
                <w:sz w:val="21"/>
                <w:szCs w:val="21"/>
                <w:lang w:bidi="en-US"/>
              </w:rPr>
              <w:t>类别</w:t>
            </w:r>
          </w:p>
        </w:tc>
        <w:tc>
          <w:tcPr>
            <w:tcW w:w="308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污染物</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排放量（t/a）</w:t>
            </w:r>
          </w:p>
        </w:tc>
        <w:tc>
          <w:tcPr>
            <w:tcW w:w="2094" w:type="dxa"/>
            <w:vAlign w:val="center"/>
          </w:tcPr>
          <w:p>
            <w:pPr>
              <w:adjustRightInd w:val="0"/>
              <w:snapToGrid w:val="0"/>
              <w:jc w:val="center"/>
              <w:rPr>
                <w:bCs/>
                <w:kern w:val="0"/>
                <w:sz w:val="21"/>
                <w:szCs w:val="21"/>
                <w:lang w:bidi="en-US"/>
              </w:rPr>
            </w:pPr>
            <w:r>
              <w:rPr>
                <w:rFonts w:hint="eastAsia"/>
                <w:bCs/>
                <w:kern w:val="0"/>
                <w:sz w:val="21"/>
                <w:szCs w:val="21"/>
                <w:lang w:bidi="en-U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pPr>
              <w:adjustRightInd w:val="0"/>
              <w:snapToGrid w:val="0"/>
              <w:jc w:val="center"/>
              <w:rPr>
                <w:bCs/>
                <w:kern w:val="0"/>
                <w:sz w:val="21"/>
                <w:szCs w:val="21"/>
                <w:lang w:bidi="en-US"/>
              </w:rPr>
            </w:pPr>
            <w:r>
              <w:rPr>
                <w:rFonts w:hint="eastAsia"/>
                <w:bCs/>
                <w:kern w:val="0"/>
                <w:sz w:val="21"/>
                <w:szCs w:val="21"/>
                <w:lang w:bidi="en-US"/>
              </w:rPr>
              <w:t>废气</w:t>
            </w:r>
          </w:p>
        </w:tc>
        <w:tc>
          <w:tcPr>
            <w:tcW w:w="308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非甲烷总烃</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0.007</w:t>
            </w:r>
          </w:p>
        </w:tc>
        <w:tc>
          <w:tcPr>
            <w:tcW w:w="2094"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pPr>
              <w:adjustRightInd w:val="0"/>
              <w:snapToGrid w:val="0"/>
              <w:jc w:val="center"/>
              <w:rPr>
                <w:bCs/>
                <w:kern w:val="0"/>
                <w:sz w:val="21"/>
                <w:szCs w:val="21"/>
                <w:lang w:bidi="en-US"/>
              </w:rPr>
            </w:pPr>
            <w:r>
              <w:rPr>
                <w:rFonts w:hint="eastAsia"/>
                <w:bCs/>
                <w:kern w:val="0"/>
                <w:sz w:val="21"/>
                <w:szCs w:val="21"/>
                <w:lang w:bidi="en-US"/>
              </w:rPr>
              <w:t>废水</w:t>
            </w:r>
          </w:p>
        </w:tc>
        <w:tc>
          <w:tcPr>
            <w:tcW w:w="308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生活污水</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144</w:t>
            </w:r>
          </w:p>
        </w:tc>
        <w:tc>
          <w:tcPr>
            <w:tcW w:w="2094"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固废</w:t>
            </w:r>
          </w:p>
        </w:tc>
        <w:tc>
          <w:tcPr>
            <w:tcW w:w="3083" w:type="dxa"/>
            <w:gridSpan w:val="2"/>
            <w:vAlign w:val="center"/>
          </w:tcPr>
          <w:p>
            <w:pPr>
              <w:adjustRightInd w:val="0"/>
              <w:snapToGrid w:val="0"/>
              <w:jc w:val="center"/>
              <w:rPr>
                <w:bCs/>
                <w:kern w:val="0"/>
                <w:sz w:val="21"/>
                <w:szCs w:val="21"/>
                <w:lang w:bidi="en-US"/>
              </w:rPr>
            </w:pPr>
            <w:r>
              <w:rPr>
                <w:rFonts w:hint="eastAsia"/>
                <w:bCs/>
                <w:kern w:val="0"/>
                <w:sz w:val="21"/>
                <w:szCs w:val="21"/>
                <w:lang w:bidi="en-US"/>
              </w:rPr>
              <w:t>生活垃圾</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1.8</w:t>
            </w:r>
          </w:p>
        </w:tc>
        <w:tc>
          <w:tcPr>
            <w:tcW w:w="2094"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Merge w:val="continue"/>
            <w:vAlign w:val="center"/>
          </w:tcPr>
          <w:p>
            <w:pPr>
              <w:adjustRightInd w:val="0"/>
              <w:snapToGrid w:val="0"/>
              <w:jc w:val="center"/>
              <w:rPr>
                <w:bCs/>
                <w:kern w:val="0"/>
                <w:sz w:val="21"/>
                <w:szCs w:val="21"/>
                <w:lang w:bidi="en-US"/>
              </w:rPr>
            </w:pPr>
          </w:p>
        </w:tc>
        <w:tc>
          <w:tcPr>
            <w:tcW w:w="1134" w:type="dxa"/>
            <w:vMerge w:val="restart"/>
            <w:vAlign w:val="center"/>
          </w:tcPr>
          <w:p>
            <w:pPr>
              <w:adjustRightInd w:val="0"/>
              <w:snapToGrid w:val="0"/>
              <w:jc w:val="center"/>
              <w:rPr>
                <w:bCs/>
                <w:kern w:val="0"/>
                <w:sz w:val="21"/>
                <w:szCs w:val="21"/>
                <w:lang w:bidi="en-US"/>
              </w:rPr>
            </w:pPr>
            <w:r>
              <w:rPr>
                <w:rFonts w:hint="eastAsia"/>
                <w:bCs/>
                <w:kern w:val="0"/>
                <w:sz w:val="21"/>
                <w:szCs w:val="21"/>
                <w:lang w:bidi="en-US"/>
              </w:rPr>
              <w:t>一般固体废物</w:t>
            </w:r>
          </w:p>
        </w:tc>
        <w:tc>
          <w:tcPr>
            <w:tcW w:w="1949" w:type="dxa"/>
            <w:vAlign w:val="center"/>
          </w:tcPr>
          <w:p>
            <w:pPr>
              <w:adjustRightInd w:val="0"/>
              <w:snapToGrid w:val="0"/>
              <w:jc w:val="center"/>
              <w:rPr>
                <w:bCs/>
                <w:kern w:val="0"/>
                <w:sz w:val="21"/>
                <w:szCs w:val="21"/>
                <w:lang w:bidi="en-US"/>
              </w:rPr>
            </w:pPr>
            <w:r>
              <w:rPr>
                <w:rFonts w:hint="eastAsia"/>
                <w:bCs/>
                <w:kern w:val="0"/>
                <w:sz w:val="21"/>
                <w:szCs w:val="21"/>
                <w:lang w:bidi="en-US"/>
              </w:rPr>
              <w:t>滴灌带不合格品</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2</w:t>
            </w:r>
          </w:p>
        </w:tc>
        <w:tc>
          <w:tcPr>
            <w:tcW w:w="2094"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Merge w:val="continue"/>
            <w:vAlign w:val="center"/>
          </w:tcPr>
          <w:p>
            <w:pPr>
              <w:adjustRightInd w:val="0"/>
              <w:snapToGrid w:val="0"/>
              <w:jc w:val="center"/>
              <w:rPr>
                <w:bCs/>
                <w:kern w:val="0"/>
                <w:sz w:val="21"/>
                <w:szCs w:val="21"/>
                <w:lang w:bidi="en-US"/>
              </w:rPr>
            </w:pPr>
          </w:p>
        </w:tc>
        <w:tc>
          <w:tcPr>
            <w:tcW w:w="1134" w:type="dxa"/>
            <w:vMerge w:val="continue"/>
            <w:vAlign w:val="center"/>
          </w:tcPr>
          <w:p>
            <w:pPr>
              <w:adjustRightInd w:val="0"/>
              <w:snapToGrid w:val="0"/>
              <w:jc w:val="center"/>
              <w:rPr>
                <w:bCs/>
                <w:kern w:val="0"/>
                <w:sz w:val="21"/>
                <w:szCs w:val="21"/>
                <w:lang w:bidi="en-US"/>
              </w:rPr>
            </w:pPr>
          </w:p>
        </w:tc>
        <w:tc>
          <w:tcPr>
            <w:tcW w:w="1949" w:type="dxa"/>
            <w:vAlign w:val="center"/>
          </w:tcPr>
          <w:p>
            <w:pPr>
              <w:adjustRightInd w:val="0"/>
              <w:snapToGrid w:val="0"/>
              <w:jc w:val="center"/>
              <w:rPr>
                <w:bCs/>
                <w:kern w:val="0"/>
                <w:sz w:val="21"/>
                <w:szCs w:val="21"/>
                <w:lang w:bidi="en-US"/>
              </w:rPr>
            </w:pPr>
            <w:r>
              <w:rPr>
                <w:rFonts w:hint="eastAsia"/>
                <w:bCs/>
                <w:kern w:val="0"/>
                <w:sz w:val="21"/>
                <w:szCs w:val="21"/>
                <w:lang w:bidi="en-US"/>
              </w:rPr>
              <w:t>PE管不合格品</w:t>
            </w:r>
          </w:p>
        </w:tc>
        <w:tc>
          <w:tcPr>
            <w:tcW w:w="2093" w:type="dxa"/>
            <w:vAlign w:val="center"/>
          </w:tcPr>
          <w:p>
            <w:pPr>
              <w:adjustRightInd w:val="0"/>
              <w:snapToGrid w:val="0"/>
              <w:jc w:val="center"/>
              <w:rPr>
                <w:bCs/>
                <w:kern w:val="0"/>
                <w:sz w:val="21"/>
                <w:szCs w:val="21"/>
                <w:lang w:bidi="en-US"/>
              </w:rPr>
            </w:pPr>
            <w:r>
              <w:rPr>
                <w:rFonts w:hint="eastAsia"/>
                <w:bCs/>
                <w:kern w:val="0"/>
                <w:sz w:val="21"/>
                <w:szCs w:val="21"/>
                <w:lang w:bidi="en-US"/>
              </w:rPr>
              <w:t>0.5</w:t>
            </w:r>
          </w:p>
        </w:tc>
        <w:tc>
          <w:tcPr>
            <w:tcW w:w="2094" w:type="dxa"/>
            <w:vAlign w:val="center"/>
          </w:tcPr>
          <w:p>
            <w:pPr>
              <w:adjustRightInd w:val="0"/>
              <w:snapToGrid w:val="0"/>
              <w:jc w:val="center"/>
              <w:rPr>
                <w:bCs/>
                <w:kern w:val="0"/>
                <w:sz w:val="21"/>
                <w:szCs w:val="21"/>
                <w:lang w:bidi="en-US"/>
              </w:rPr>
            </w:pPr>
          </w:p>
        </w:tc>
      </w:tr>
      <w:bookmarkEnd w:id="103"/>
    </w:tbl>
    <w:p>
      <w:pPr>
        <w:pStyle w:val="499"/>
        <w:spacing w:line="240" w:lineRule="auto"/>
        <w:ind w:firstLine="420"/>
        <w:rPr>
          <w:rFonts w:ascii="Times New Roman" w:hAnsi="Times New Roman" w:eastAsia="黑体" w:cs="Times New Roman"/>
          <w:sz w:val="21"/>
          <w:lang w:bidi="en-US"/>
        </w:rPr>
      </w:pPr>
    </w:p>
    <w:p>
      <w:pPr>
        <w:pStyle w:val="4"/>
        <w:adjustRightInd w:val="0"/>
        <w:spacing w:before="120" w:after="120" w:line="460" w:lineRule="exact"/>
        <w:textAlignment w:val="baseline"/>
        <w:rPr>
          <w:rFonts w:ascii="Times New Roman" w:hAnsi="Times New Roman"/>
          <w:b w:val="0"/>
          <w:szCs w:val="28"/>
        </w:rPr>
      </w:pPr>
      <w:bookmarkStart w:id="104" w:name="_Toc165386219"/>
      <w:r>
        <w:rPr>
          <w:rFonts w:hint="eastAsia" w:ascii="Times New Roman" w:hAnsi="Times New Roman"/>
          <w:b w:val="0"/>
          <w:szCs w:val="28"/>
        </w:rPr>
        <w:t>3.4 现有工程总量控制指标</w:t>
      </w:r>
      <w:bookmarkEnd w:id="104"/>
    </w:p>
    <w:p>
      <w:pPr>
        <w:spacing w:line="460" w:lineRule="exact"/>
        <w:ind w:firstLine="480" w:firstLineChars="200"/>
        <w:rPr>
          <w:bCs/>
          <w:sz w:val="24"/>
          <w:lang w:bidi="en-US"/>
        </w:rPr>
      </w:pPr>
      <w:bookmarkStart w:id="105" w:name="_Hlk168303043"/>
      <w:r>
        <w:rPr>
          <w:rFonts w:hint="eastAsia"/>
          <w:bCs/>
          <w:sz w:val="24"/>
          <w:lang w:bidi="en-US"/>
        </w:rPr>
        <w:t>根据《昌吉市昊慧盛塑料制品厂地膜滴灌带及PE管材生产加工项目环境影响报告表》及昌农科环函﹝2019﹞12号，</w:t>
      </w:r>
      <w:r>
        <w:rPr>
          <w:bCs/>
          <w:sz w:val="24"/>
          <w:lang w:bidi="en-US"/>
        </w:rPr>
        <w:t>现有工程总量控制指标</w:t>
      </w:r>
      <w:r>
        <w:rPr>
          <w:rFonts w:hint="eastAsia"/>
          <w:bCs/>
          <w:sz w:val="24"/>
          <w:lang w:bidi="en-US"/>
        </w:rPr>
        <w:t>为挥发性</w:t>
      </w:r>
      <w:r>
        <w:rPr>
          <w:bCs/>
          <w:sz w:val="24"/>
          <w:lang w:bidi="en-US"/>
        </w:rPr>
        <w:t>有机物</w:t>
      </w:r>
      <w:r>
        <w:rPr>
          <w:rFonts w:hint="eastAsia"/>
          <w:bCs/>
          <w:sz w:val="24"/>
          <w:lang w:bidi="en-US"/>
        </w:rPr>
        <w:t>1.31t/a。</w:t>
      </w:r>
      <w:bookmarkEnd w:id="105"/>
    </w:p>
    <w:p>
      <w:pPr>
        <w:pStyle w:val="4"/>
        <w:adjustRightInd w:val="0"/>
        <w:spacing w:before="120" w:after="120" w:line="460" w:lineRule="exact"/>
        <w:textAlignment w:val="baseline"/>
        <w:rPr>
          <w:rFonts w:ascii="Times New Roman" w:hAnsi="Times New Roman"/>
          <w:b w:val="0"/>
          <w:szCs w:val="28"/>
        </w:rPr>
      </w:pPr>
      <w:bookmarkStart w:id="106" w:name="_Toc165386220"/>
      <w:r>
        <w:rPr>
          <w:rFonts w:hint="eastAsia" w:ascii="Times New Roman" w:hAnsi="Times New Roman"/>
          <w:b w:val="0"/>
          <w:szCs w:val="28"/>
        </w:rPr>
        <w:t>3.5 现有工程存在的主要环境问题及整改措施</w:t>
      </w:r>
      <w:bookmarkEnd w:id="106"/>
    </w:p>
    <w:p>
      <w:pPr>
        <w:spacing w:line="460" w:lineRule="exact"/>
        <w:ind w:firstLine="480" w:firstLineChars="200"/>
        <w:rPr>
          <w:bCs/>
          <w:sz w:val="24"/>
          <w:lang w:bidi="en-US"/>
        </w:rPr>
      </w:pPr>
      <w:r>
        <w:rPr>
          <w:rFonts w:hint="eastAsia"/>
          <w:bCs/>
          <w:sz w:val="24"/>
          <w:lang w:bidi="en-US"/>
        </w:rPr>
        <w:t>现有</w:t>
      </w:r>
      <w:r>
        <w:rPr>
          <w:bCs/>
          <w:sz w:val="24"/>
          <w:lang w:bidi="en-US"/>
        </w:rPr>
        <w:t>工程</w:t>
      </w:r>
      <w:r>
        <w:rPr>
          <w:rFonts w:hint="eastAsia"/>
          <w:bCs/>
          <w:sz w:val="24"/>
          <w:lang w:bidi="en-US"/>
        </w:rPr>
        <w:t>环评批复落实情况进行</w:t>
      </w:r>
      <w:r>
        <w:rPr>
          <w:bCs/>
          <w:sz w:val="24"/>
          <w:lang w:bidi="en-US"/>
        </w:rPr>
        <w:t>统计。具体</w:t>
      </w:r>
      <w:r>
        <w:rPr>
          <w:rFonts w:hint="eastAsia"/>
          <w:bCs/>
          <w:sz w:val="24"/>
          <w:lang w:bidi="en-US"/>
        </w:rPr>
        <w:t>见表3.5-1。</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 xml:space="preserve">表3.5-1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现有工程环评批复落实情况一览表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261"/>
        <w:gridCol w:w="3827"/>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序号</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昌农科环函﹝2019﹞12号要求</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实际落实情况</w:t>
            </w:r>
          </w:p>
        </w:tc>
        <w:tc>
          <w:tcPr>
            <w:tcW w:w="673" w:type="dxa"/>
            <w:vAlign w:val="center"/>
          </w:tcPr>
          <w:p>
            <w:pPr>
              <w:adjustRightInd w:val="0"/>
              <w:snapToGrid w:val="0"/>
              <w:jc w:val="center"/>
              <w:rPr>
                <w:bCs/>
                <w:kern w:val="0"/>
                <w:sz w:val="21"/>
                <w:szCs w:val="21"/>
                <w:lang w:bidi="en-US"/>
              </w:rPr>
            </w:pPr>
            <w:r>
              <w:rPr>
                <w:rFonts w:hint="eastAsia"/>
                <w:bCs/>
                <w:kern w:val="0"/>
                <w:sz w:val="21"/>
                <w:szCs w:val="21"/>
                <w:lang w:bidi="en-U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1</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施工期应在施工现场周围设置围挡，对于易产生扬尘的物料应堆放在工棚内或采取遮盖措施，对施工场地、出入口路面硬化并洒水降尘，生活垃圾定期收集，做到日产日清</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根据调查，项目施工期落实了各项污染防治措施</w:t>
            </w:r>
          </w:p>
        </w:tc>
        <w:tc>
          <w:tcPr>
            <w:tcW w:w="673"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2</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运营期热熔工艺产生的非甲烷总烃集中收集后经UV光氧催化设备和低温等离子处理后由15m高排气筒高空排放，排放浓度满足《大气污染物综合排放标准》（GB16297-1996）表2中非甲烷总烃二级排放限值要求；厂区内VOCs无组织排放执行《挥发性有机物无组织排放控制标准》（GB37822-2019）表A.1特别排放限值要求</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项目滴灌带及PE管生产线设置有集气罩+UV光氧催化+活性炭吸附+15m高排气筒（DA001），根据竣工环境保护验收监测，有组织非甲烷总烃满足《合成树脂工业污染物排放标准》（GB31572-2015）表5中浓度限值要求，厂界无组织颗粒物满足《合成树脂工业污染物排放标准》（GB31572-2015）表9企业边界大气污染物浓度限值，厂区内无组织废气排放浓度满足《挥发性有机物无组织排放控制标准》附录A表A.1厂区内VOCs无组织排放限值。</w:t>
            </w:r>
          </w:p>
        </w:tc>
        <w:tc>
          <w:tcPr>
            <w:tcW w:w="673"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3</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生产废水循环使用不外排。生活污水经地埋式一体化污水处理设施处理后水质达到《污水综合排放标准》（GB8978-1996）二级标准要求后，冬季储存，夏季用于厂区绿化</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项目设置有一座防渗化粪池，收集后定期拉运至污水处理厂处置</w:t>
            </w:r>
          </w:p>
        </w:tc>
        <w:tc>
          <w:tcPr>
            <w:tcW w:w="673"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4</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选择低噪声设备，对噪声源设备采取安装隔声、减振措施，厂界噪声满足《工业企业厂界环境噪声排放标准》（GB12348-2008）3类标准的要求</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项目落实了噪声污染防治各项措施，竣工环境保护验收监测期间，厂界噪声均满足《工业企业厂界环境噪声排放标准》（GB12348-2008）3类标准要求</w:t>
            </w:r>
          </w:p>
        </w:tc>
        <w:tc>
          <w:tcPr>
            <w:tcW w:w="673"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lang w:bidi="en-US"/>
              </w:rPr>
            </w:pPr>
            <w:r>
              <w:rPr>
                <w:rFonts w:hint="eastAsia"/>
                <w:bCs/>
                <w:kern w:val="0"/>
                <w:sz w:val="21"/>
                <w:szCs w:val="21"/>
                <w:lang w:bidi="en-US"/>
              </w:rPr>
              <w:t>5</w:t>
            </w:r>
          </w:p>
        </w:tc>
        <w:tc>
          <w:tcPr>
            <w:tcW w:w="3261" w:type="dxa"/>
            <w:vAlign w:val="center"/>
          </w:tcPr>
          <w:p>
            <w:pPr>
              <w:adjustRightInd w:val="0"/>
              <w:snapToGrid w:val="0"/>
              <w:jc w:val="center"/>
              <w:rPr>
                <w:bCs/>
                <w:kern w:val="0"/>
                <w:sz w:val="21"/>
                <w:szCs w:val="21"/>
                <w:lang w:bidi="en-US"/>
              </w:rPr>
            </w:pPr>
            <w:r>
              <w:rPr>
                <w:rFonts w:hint="eastAsia"/>
                <w:bCs/>
                <w:kern w:val="0"/>
                <w:sz w:val="21"/>
                <w:szCs w:val="21"/>
                <w:lang w:bidi="en-US"/>
              </w:rPr>
              <w:t>边角料、不合格产品回收利用，生活垃圾集中收集后交由环卫部门收集后统一处理</w:t>
            </w:r>
          </w:p>
        </w:tc>
        <w:tc>
          <w:tcPr>
            <w:tcW w:w="3827" w:type="dxa"/>
            <w:vAlign w:val="center"/>
          </w:tcPr>
          <w:p>
            <w:pPr>
              <w:adjustRightInd w:val="0"/>
              <w:snapToGrid w:val="0"/>
              <w:jc w:val="center"/>
              <w:rPr>
                <w:bCs/>
                <w:kern w:val="0"/>
                <w:sz w:val="21"/>
                <w:szCs w:val="21"/>
                <w:lang w:bidi="en-US"/>
              </w:rPr>
            </w:pPr>
            <w:r>
              <w:rPr>
                <w:rFonts w:hint="eastAsia"/>
                <w:bCs/>
                <w:kern w:val="0"/>
                <w:sz w:val="21"/>
                <w:szCs w:val="21"/>
                <w:lang w:bidi="en-US"/>
              </w:rPr>
              <w:t>项目生活垃圾交由环卫部门处置</w:t>
            </w:r>
          </w:p>
        </w:tc>
        <w:tc>
          <w:tcPr>
            <w:tcW w:w="673" w:type="dxa"/>
            <w:vAlign w:val="center"/>
          </w:tcPr>
          <w:p>
            <w:pPr>
              <w:adjustRightInd w:val="0"/>
              <w:snapToGrid w:val="0"/>
              <w:jc w:val="center"/>
              <w:rPr>
                <w:bCs/>
                <w:kern w:val="0"/>
                <w:sz w:val="21"/>
                <w:szCs w:val="21"/>
                <w:lang w:bidi="en-US"/>
              </w:rPr>
            </w:pPr>
          </w:p>
        </w:tc>
      </w:tr>
    </w:tbl>
    <w:p>
      <w:pPr>
        <w:spacing w:line="460" w:lineRule="exact"/>
        <w:ind w:firstLine="480" w:firstLineChars="200"/>
        <w:rPr>
          <w:bCs/>
          <w:sz w:val="24"/>
          <w:lang w:bidi="en-US"/>
        </w:rPr>
      </w:pPr>
      <w:bookmarkStart w:id="107" w:name="_Hlk168303149"/>
      <w:r>
        <w:rPr>
          <w:rFonts w:hint="eastAsia"/>
          <w:bCs/>
          <w:sz w:val="24"/>
          <w:lang w:bidi="en-US"/>
        </w:rPr>
        <w:t>结合现场勘查及原环评及批复、验收报告等将现有工程存在的主要环境问题及整改措施归纳详见表3.5-2。</w:t>
      </w:r>
    </w:p>
    <w:p>
      <w:pPr>
        <w:pStyle w:val="499"/>
        <w:spacing w:line="240" w:lineRule="auto"/>
        <w:ind w:firstLine="420"/>
        <w:rPr>
          <w:bCs/>
          <w:lang w:bidi="en-US"/>
        </w:rPr>
      </w:pPr>
      <w:r>
        <w:rPr>
          <w:rFonts w:hint="eastAsia" w:ascii="Times New Roman" w:hAnsi="Times New Roman" w:eastAsia="黑体" w:cs="Times New Roman"/>
          <w:sz w:val="21"/>
          <w:lang w:bidi="en-US"/>
        </w:rPr>
        <w:t xml:space="preserve">表3.5-2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 xml:space="preserve"> 现有工程存在的主要环境问题及整改措施</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709"/>
        <w:gridCol w:w="2268"/>
        <w:gridCol w:w="2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Align w:val="center"/>
          </w:tcPr>
          <w:p>
            <w:pPr>
              <w:adjustRightInd w:val="0"/>
              <w:snapToGrid w:val="0"/>
              <w:jc w:val="center"/>
              <w:rPr>
                <w:bCs/>
                <w:kern w:val="0"/>
                <w:sz w:val="21"/>
                <w:szCs w:val="21"/>
                <w:lang w:bidi="en-US"/>
              </w:rPr>
            </w:pPr>
            <w:r>
              <w:rPr>
                <w:rFonts w:hint="eastAsia"/>
                <w:bCs/>
                <w:kern w:val="0"/>
                <w:sz w:val="21"/>
                <w:szCs w:val="21"/>
                <w:lang w:bidi="en-US"/>
              </w:rPr>
              <w:t>序号</w:t>
            </w:r>
          </w:p>
        </w:tc>
        <w:tc>
          <w:tcPr>
            <w:tcW w:w="2709" w:type="dxa"/>
            <w:vAlign w:val="center"/>
          </w:tcPr>
          <w:p>
            <w:pPr>
              <w:adjustRightInd w:val="0"/>
              <w:snapToGrid w:val="0"/>
              <w:jc w:val="center"/>
              <w:rPr>
                <w:bCs/>
                <w:kern w:val="0"/>
                <w:sz w:val="21"/>
                <w:szCs w:val="21"/>
                <w:lang w:bidi="en-US"/>
              </w:rPr>
            </w:pPr>
            <w:r>
              <w:rPr>
                <w:rFonts w:hint="eastAsia"/>
                <w:bCs/>
                <w:kern w:val="0"/>
                <w:sz w:val="21"/>
                <w:szCs w:val="21"/>
                <w:lang w:bidi="en-US"/>
              </w:rPr>
              <w:t>存在的主要环境问题</w:t>
            </w:r>
          </w:p>
        </w:tc>
        <w:tc>
          <w:tcPr>
            <w:tcW w:w="2268" w:type="dxa"/>
            <w:vAlign w:val="center"/>
          </w:tcPr>
          <w:p>
            <w:pPr>
              <w:adjustRightInd w:val="0"/>
              <w:snapToGrid w:val="0"/>
              <w:jc w:val="center"/>
              <w:rPr>
                <w:bCs/>
                <w:kern w:val="0"/>
                <w:sz w:val="21"/>
                <w:szCs w:val="21"/>
                <w:lang w:bidi="en-US"/>
              </w:rPr>
            </w:pPr>
            <w:r>
              <w:rPr>
                <w:rFonts w:hint="eastAsia"/>
                <w:bCs/>
                <w:kern w:val="0"/>
                <w:sz w:val="21"/>
                <w:szCs w:val="21"/>
                <w:lang w:bidi="en-US"/>
              </w:rPr>
              <w:t>整改措施</w:t>
            </w:r>
          </w:p>
        </w:tc>
        <w:tc>
          <w:tcPr>
            <w:tcW w:w="2799" w:type="dxa"/>
            <w:vAlign w:val="center"/>
          </w:tcPr>
          <w:p>
            <w:pPr>
              <w:adjustRightInd w:val="0"/>
              <w:snapToGrid w:val="0"/>
              <w:jc w:val="center"/>
              <w:rPr>
                <w:bCs/>
                <w:kern w:val="0"/>
                <w:sz w:val="21"/>
                <w:szCs w:val="21"/>
                <w:lang w:bidi="en-US"/>
              </w:rPr>
            </w:pPr>
            <w:r>
              <w:rPr>
                <w:rFonts w:hint="eastAsia"/>
                <w:bCs/>
                <w:kern w:val="0"/>
                <w:sz w:val="21"/>
                <w:szCs w:val="21"/>
                <w:lang w:bidi="en-U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Align w:val="center"/>
          </w:tcPr>
          <w:p>
            <w:pPr>
              <w:adjustRightInd w:val="0"/>
              <w:snapToGrid w:val="0"/>
              <w:jc w:val="center"/>
              <w:rPr>
                <w:bCs/>
                <w:kern w:val="0"/>
                <w:sz w:val="21"/>
                <w:szCs w:val="21"/>
                <w:lang w:bidi="en-US"/>
              </w:rPr>
            </w:pPr>
            <w:r>
              <w:rPr>
                <w:rFonts w:hint="eastAsia"/>
                <w:bCs/>
                <w:kern w:val="0"/>
                <w:sz w:val="21"/>
                <w:szCs w:val="21"/>
                <w:lang w:bidi="en-US"/>
              </w:rPr>
              <w:t>1</w:t>
            </w:r>
          </w:p>
        </w:tc>
        <w:tc>
          <w:tcPr>
            <w:tcW w:w="2709" w:type="dxa"/>
            <w:vAlign w:val="center"/>
          </w:tcPr>
          <w:p>
            <w:pPr>
              <w:adjustRightInd w:val="0"/>
              <w:snapToGrid w:val="0"/>
              <w:jc w:val="center"/>
              <w:rPr>
                <w:bCs/>
                <w:kern w:val="0"/>
                <w:sz w:val="21"/>
                <w:szCs w:val="21"/>
                <w:lang w:bidi="en-US"/>
              </w:rPr>
            </w:pPr>
            <w:r>
              <w:rPr>
                <w:rFonts w:hint="eastAsia"/>
                <w:bCs/>
                <w:kern w:val="0"/>
                <w:sz w:val="21"/>
                <w:szCs w:val="21"/>
                <w:lang w:bidi="en-US"/>
              </w:rPr>
              <w:t>项目厂区建设有2条造粒生产线未办理环评手续。根据调查核实，项目厂区已建2条废旧塑料造粒生产线于2020年6月建成，由于建成后企业发现与原环评批复不一致，即对2条废旧塑料造粒生产线进行了停建，对设备进行了封存，也一直未投入使用。</w:t>
            </w:r>
          </w:p>
        </w:tc>
        <w:tc>
          <w:tcPr>
            <w:tcW w:w="2268" w:type="dxa"/>
            <w:vAlign w:val="center"/>
          </w:tcPr>
          <w:p>
            <w:pPr>
              <w:adjustRightInd w:val="0"/>
              <w:snapToGrid w:val="0"/>
              <w:jc w:val="center"/>
              <w:rPr>
                <w:bCs/>
                <w:kern w:val="0"/>
                <w:sz w:val="21"/>
                <w:szCs w:val="21"/>
                <w:lang w:bidi="en-US"/>
              </w:rPr>
            </w:pPr>
            <w:r>
              <w:rPr>
                <w:rFonts w:hint="eastAsia"/>
                <w:bCs/>
                <w:kern w:val="0"/>
                <w:sz w:val="21"/>
                <w:szCs w:val="21"/>
                <w:lang w:bidi="en-US"/>
              </w:rPr>
              <w:t>本次环评将其纳入扩建内容内办理环评手续</w:t>
            </w:r>
          </w:p>
        </w:tc>
        <w:tc>
          <w:tcPr>
            <w:tcW w:w="2799" w:type="dxa"/>
            <w:vAlign w:val="center"/>
          </w:tcPr>
          <w:p>
            <w:pPr>
              <w:adjustRightInd w:val="0"/>
              <w:snapToGrid w:val="0"/>
              <w:jc w:val="center"/>
              <w:rPr>
                <w:bCs/>
                <w:kern w:val="0"/>
                <w:sz w:val="21"/>
                <w:szCs w:val="21"/>
                <w:lang w:bidi="en-US"/>
              </w:rPr>
            </w:pPr>
            <w:r>
              <w:rPr>
                <w:rFonts w:hint="eastAsia"/>
                <w:bCs/>
                <w:kern w:val="0"/>
                <w:sz w:val="21"/>
                <w:szCs w:val="21"/>
                <w:lang w:bidi="en-US"/>
              </w:rPr>
              <w:t>根据《关于建设项目“未批先建”违法行为法律适用问题的意见》（环政法函﹝2018〕31号）““未批先建”违法行为自建设行为终了之日起二年内未被发现的，环保部门应当遵守行政处罚法第二十九条的规定，不予行政处罚”，本项目建设终了至今满两年期限，因此未处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Align w:val="center"/>
          </w:tcPr>
          <w:p>
            <w:pPr>
              <w:adjustRightInd w:val="0"/>
              <w:snapToGrid w:val="0"/>
              <w:jc w:val="center"/>
              <w:rPr>
                <w:bCs/>
                <w:kern w:val="0"/>
                <w:sz w:val="21"/>
                <w:szCs w:val="21"/>
                <w:lang w:bidi="en-US"/>
              </w:rPr>
            </w:pPr>
            <w:r>
              <w:rPr>
                <w:rFonts w:hint="eastAsia"/>
                <w:bCs/>
                <w:kern w:val="0"/>
                <w:sz w:val="21"/>
                <w:szCs w:val="21"/>
                <w:lang w:bidi="en-US"/>
              </w:rPr>
              <w:t>2</w:t>
            </w:r>
          </w:p>
        </w:tc>
        <w:tc>
          <w:tcPr>
            <w:tcW w:w="2709" w:type="dxa"/>
            <w:vAlign w:val="center"/>
          </w:tcPr>
          <w:p>
            <w:pPr>
              <w:adjustRightInd w:val="0"/>
              <w:snapToGrid w:val="0"/>
              <w:jc w:val="center"/>
              <w:rPr>
                <w:bCs/>
                <w:kern w:val="0"/>
                <w:sz w:val="21"/>
                <w:szCs w:val="21"/>
                <w:lang w:bidi="en-US"/>
              </w:rPr>
            </w:pPr>
            <w:r>
              <w:rPr>
                <w:rFonts w:hint="eastAsia"/>
                <w:bCs/>
                <w:kern w:val="0"/>
                <w:sz w:val="21"/>
                <w:szCs w:val="21"/>
                <w:lang w:bidi="en-US"/>
              </w:rPr>
              <w:t>现有工程未建设危废暂存间</w:t>
            </w:r>
          </w:p>
        </w:tc>
        <w:tc>
          <w:tcPr>
            <w:tcW w:w="2268" w:type="dxa"/>
            <w:vAlign w:val="center"/>
          </w:tcPr>
          <w:p>
            <w:pPr>
              <w:adjustRightInd w:val="0"/>
              <w:snapToGrid w:val="0"/>
              <w:jc w:val="center"/>
              <w:rPr>
                <w:bCs/>
                <w:kern w:val="0"/>
                <w:sz w:val="21"/>
                <w:szCs w:val="21"/>
                <w:lang w:bidi="en-US"/>
              </w:rPr>
            </w:pPr>
            <w:r>
              <w:rPr>
                <w:rFonts w:hint="eastAsia"/>
                <w:bCs/>
                <w:kern w:val="0"/>
                <w:sz w:val="21"/>
                <w:szCs w:val="21"/>
                <w:lang w:bidi="en-US"/>
              </w:rPr>
              <w:t>本次环评要求企业进行整改，新建一座10m</w:t>
            </w:r>
            <w:r>
              <w:rPr>
                <w:rFonts w:hint="eastAsia"/>
                <w:bCs/>
                <w:kern w:val="0"/>
                <w:sz w:val="21"/>
                <w:szCs w:val="21"/>
                <w:vertAlign w:val="superscript"/>
                <w:lang w:bidi="en-US"/>
              </w:rPr>
              <w:t>2</w:t>
            </w:r>
            <w:r>
              <w:rPr>
                <w:rFonts w:hint="eastAsia"/>
                <w:bCs/>
                <w:kern w:val="0"/>
                <w:sz w:val="21"/>
                <w:szCs w:val="21"/>
                <w:lang w:bidi="en-US"/>
              </w:rPr>
              <w:t>危废暂存间</w:t>
            </w:r>
          </w:p>
        </w:tc>
        <w:tc>
          <w:tcPr>
            <w:tcW w:w="2799"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Align w:val="center"/>
          </w:tcPr>
          <w:p>
            <w:pPr>
              <w:adjustRightInd w:val="0"/>
              <w:snapToGrid w:val="0"/>
              <w:jc w:val="center"/>
              <w:rPr>
                <w:bCs/>
                <w:kern w:val="0"/>
                <w:sz w:val="21"/>
                <w:szCs w:val="21"/>
                <w:lang w:bidi="en-US"/>
              </w:rPr>
            </w:pPr>
            <w:r>
              <w:rPr>
                <w:rFonts w:hint="eastAsia"/>
                <w:bCs/>
                <w:kern w:val="0"/>
                <w:sz w:val="21"/>
                <w:szCs w:val="21"/>
                <w:lang w:bidi="en-US"/>
              </w:rPr>
              <w:t>3</w:t>
            </w:r>
          </w:p>
        </w:tc>
        <w:tc>
          <w:tcPr>
            <w:tcW w:w="2709" w:type="dxa"/>
            <w:vAlign w:val="center"/>
          </w:tcPr>
          <w:p>
            <w:pPr>
              <w:adjustRightInd w:val="0"/>
              <w:snapToGrid w:val="0"/>
              <w:jc w:val="center"/>
              <w:rPr>
                <w:bCs/>
                <w:kern w:val="0"/>
                <w:sz w:val="21"/>
                <w:szCs w:val="21"/>
                <w:lang w:bidi="en-US"/>
              </w:rPr>
            </w:pPr>
            <w:r>
              <w:rPr>
                <w:rFonts w:hint="eastAsia"/>
                <w:bCs/>
                <w:kern w:val="0"/>
                <w:sz w:val="21"/>
                <w:szCs w:val="21"/>
                <w:lang w:bidi="en-US"/>
              </w:rPr>
              <w:t>现有工程滴灌带生产及PE管生产线有机废气分别采取UV光氧+活性炭吸附装置处置，根据《排污许可证申请与核发技术规范 废弃资源加工工业》（HJ 1034-2019）表14废塑料加工工业排污单位废气产排污环节名称、污染物种类、排放形式及污染防治设施一览表，UV光氧不属于推荐可行技术</w:t>
            </w:r>
          </w:p>
        </w:tc>
        <w:tc>
          <w:tcPr>
            <w:tcW w:w="2268" w:type="dxa"/>
            <w:vAlign w:val="center"/>
          </w:tcPr>
          <w:p>
            <w:pPr>
              <w:adjustRightInd w:val="0"/>
              <w:snapToGrid w:val="0"/>
              <w:jc w:val="center"/>
              <w:rPr>
                <w:bCs/>
                <w:kern w:val="0"/>
                <w:sz w:val="21"/>
                <w:szCs w:val="21"/>
                <w:lang w:bidi="en-US"/>
              </w:rPr>
            </w:pPr>
            <w:r>
              <w:rPr>
                <w:rFonts w:hint="eastAsia"/>
                <w:bCs/>
                <w:kern w:val="0"/>
                <w:sz w:val="21"/>
                <w:szCs w:val="21"/>
                <w:lang w:bidi="en-US"/>
              </w:rPr>
              <w:t>本次环评提出对现有工程滴灌带及PE管生产线有机废气处置措施进行“以新带老”措施改造，与本次扩建项目共用活性炭吸附+催化燃烧（CO）设施处置</w:t>
            </w:r>
          </w:p>
        </w:tc>
        <w:tc>
          <w:tcPr>
            <w:tcW w:w="2799" w:type="dxa"/>
            <w:vAlign w:val="center"/>
          </w:tcPr>
          <w:p>
            <w:pPr>
              <w:adjustRightInd w:val="0"/>
              <w:snapToGrid w:val="0"/>
              <w:jc w:val="center"/>
              <w:rPr>
                <w:bCs/>
                <w:kern w:val="0"/>
                <w:sz w:val="21"/>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Align w:val="center"/>
          </w:tcPr>
          <w:p>
            <w:pPr>
              <w:adjustRightInd w:val="0"/>
              <w:snapToGrid w:val="0"/>
              <w:jc w:val="center"/>
              <w:rPr>
                <w:bCs/>
                <w:kern w:val="0"/>
                <w:sz w:val="21"/>
                <w:szCs w:val="22"/>
                <w:lang w:bidi="en-US"/>
              </w:rPr>
            </w:pPr>
            <w:r>
              <w:rPr>
                <w:rFonts w:hint="eastAsia"/>
                <w:bCs/>
                <w:kern w:val="0"/>
                <w:sz w:val="21"/>
                <w:szCs w:val="22"/>
                <w:lang w:bidi="en-US"/>
              </w:rPr>
              <w:t>4</w:t>
            </w:r>
          </w:p>
        </w:tc>
        <w:tc>
          <w:tcPr>
            <w:tcW w:w="2709" w:type="dxa"/>
            <w:vAlign w:val="center"/>
          </w:tcPr>
          <w:p>
            <w:pPr>
              <w:adjustRightInd w:val="0"/>
              <w:snapToGrid w:val="0"/>
              <w:jc w:val="center"/>
              <w:rPr>
                <w:bCs/>
                <w:kern w:val="0"/>
                <w:sz w:val="21"/>
                <w:szCs w:val="22"/>
                <w:lang w:bidi="en-US"/>
              </w:rPr>
            </w:pPr>
            <w:r>
              <w:rPr>
                <w:rFonts w:hint="eastAsia"/>
                <w:bCs/>
                <w:kern w:val="0"/>
                <w:sz w:val="21"/>
                <w:szCs w:val="22"/>
                <w:lang w:bidi="en-US"/>
              </w:rPr>
              <w:t>现有工程设置集气罩尺寸偏小（实际1m×0.5m）且设置位置偏高（挤出机上方1.5m以上位置），造成有机废气收集效率差，大量有机废气以无组织形式排放</w:t>
            </w:r>
          </w:p>
        </w:tc>
        <w:tc>
          <w:tcPr>
            <w:tcW w:w="2268" w:type="dxa"/>
            <w:vAlign w:val="center"/>
          </w:tcPr>
          <w:p>
            <w:pPr>
              <w:adjustRightInd w:val="0"/>
              <w:snapToGrid w:val="0"/>
              <w:jc w:val="center"/>
              <w:rPr>
                <w:bCs/>
                <w:kern w:val="0"/>
                <w:sz w:val="21"/>
                <w:szCs w:val="22"/>
                <w:lang w:bidi="en-US"/>
              </w:rPr>
            </w:pPr>
            <w:r>
              <w:rPr>
                <w:rFonts w:hint="eastAsia"/>
                <w:bCs/>
                <w:kern w:val="0"/>
                <w:sz w:val="21"/>
                <w:szCs w:val="22"/>
                <w:lang w:bidi="en-US"/>
              </w:rPr>
              <w:t>本次环评提出对现有滴灌带及PE管生产线上方集气罩进行更新，要求在挤出机产生有机废气点上方0.8m处设置集气罩，集气罩尺寸设置为1.5m×1m</w:t>
            </w:r>
          </w:p>
        </w:tc>
        <w:tc>
          <w:tcPr>
            <w:tcW w:w="2799" w:type="dxa"/>
            <w:vAlign w:val="center"/>
          </w:tcPr>
          <w:p>
            <w:pPr>
              <w:adjustRightInd w:val="0"/>
              <w:snapToGrid w:val="0"/>
              <w:jc w:val="center"/>
              <w:rPr>
                <w:bCs/>
                <w:kern w:val="0"/>
                <w:sz w:val="21"/>
                <w:szCs w:val="22"/>
                <w:lang w:bidi="en-US"/>
              </w:rPr>
            </w:pPr>
          </w:p>
        </w:tc>
      </w:tr>
      <w:bookmarkEnd w:id="107"/>
    </w:tbl>
    <w:p>
      <w:pPr>
        <w:widowControl/>
        <w:jc w:val="left"/>
        <w:rPr>
          <w:bCs/>
          <w:sz w:val="24"/>
          <w:lang w:bidi="en-US"/>
        </w:rPr>
      </w:pPr>
      <w:r>
        <w:rPr>
          <w:bCs/>
          <w:sz w:val="24"/>
          <w:lang w:bidi="en-US"/>
        </w:rPr>
        <w:br w:type="page"/>
      </w:r>
    </w:p>
    <w:p>
      <w:pPr>
        <w:pStyle w:val="3"/>
        <w:spacing w:before="100" w:beforeAutospacing="1" w:after="100" w:afterAutospacing="1" w:line="360" w:lineRule="auto"/>
        <w:jc w:val="center"/>
      </w:pPr>
      <w:bookmarkStart w:id="108" w:name="_Toc165386221"/>
      <w:r>
        <w:rPr>
          <w:rFonts w:hint="eastAsia"/>
        </w:rPr>
        <w:t>4</w:t>
      </w:r>
      <w:r>
        <w:t xml:space="preserve">  </w:t>
      </w:r>
      <w:bookmarkEnd w:id="7"/>
      <w:bookmarkEnd w:id="8"/>
      <w:bookmarkEnd w:id="9"/>
      <w:bookmarkEnd w:id="96"/>
      <w:bookmarkEnd w:id="97"/>
      <w:bookmarkStart w:id="109" w:name="_Toc309715274"/>
      <w:bookmarkEnd w:id="109"/>
      <w:bookmarkStart w:id="110" w:name="_Toc454899342"/>
      <w:r>
        <w:rPr>
          <w:rFonts w:hint="eastAsia"/>
        </w:rPr>
        <w:t>建设项目工程分析</w:t>
      </w:r>
      <w:bookmarkEnd w:id="108"/>
    </w:p>
    <w:p>
      <w:pPr>
        <w:pStyle w:val="4"/>
        <w:adjustRightInd w:val="0"/>
        <w:spacing w:before="120" w:after="120" w:line="460" w:lineRule="exact"/>
        <w:textAlignment w:val="baseline"/>
        <w:rPr>
          <w:rFonts w:ascii="Times New Roman" w:hAnsi="Times New Roman"/>
          <w:b w:val="0"/>
          <w:szCs w:val="28"/>
        </w:rPr>
      </w:pPr>
      <w:bookmarkStart w:id="111" w:name="_Toc165386222"/>
      <w:r>
        <w:rPr>
          <w:rFonts w:hint="eastAsia" w:ascii="Times New Roman" w:hAnsi="Times New Roman"/>
          <w:b w:val="0"/>
          <w:szCs w:val="28"/>
        </w:rPr>
        <w:t>4.1</w:t>
      </w:r>
      <w:bookmarkEnd w:id="110"/>
      <w:r>
        <w:rPr>
          <w:rFonts w:hint="eastAsia" w:ascii="Times New Roman" w:hAnsi="Times New Roman"/>
          <w:b w:val="0"/>
          <w:szCs w:val="28"/>
        </w:rPr>
        <w:t xml:space="preserve"> 项目概况</w:t>
      </w:r>
      <w:bookmarkEnd w:id="111"/>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12" w:name="_Toc419798730"/>
      <w:bookmarkEnd w:id="112"/>
      <w:bookmarkStart w:id="113" w:name="_Toc414348554"/>
      <w:bookmarkEnd w:id="113"/>
      <w:bookmarkStart w:id="114" w:name="_Toc454899343"/>
      <w:bookmarkEnd w:id="114"/>
      <w:bookmarkStart w:id="115" w:name="_Toc28421"/>
      <w:bookmarkEnd w:id="115"/>
      <w:bookmarkStart w:id="116" w:name="_Toc23475"/>
      <w:bookmarkEnd w:id="116"/>
      <w:bookmarkStart w:id="117" w:name="_Toc17414"/>
      <w:bookmarkEnd w:id="117"/>
      <w:bookmarkStart w:id="118" w:name="_Toc8001"/>
      <w:bookmarkEnd w:id="118"/>
      <w:bookmarkStart w:id="119" w:name="_Toc10486"/>
      <w:bookmarkEnd w:id="119"/>
      <w:bookmarkStart w:id="120" w:name="_Toc6084"/>
      <w:bookmarkEnd w:id="120"/>
      <w:bookmarkStart w:id="121" w:name="_Toc2934"/>
      <w:bookmarkEnd w:id="121"/>
      <w:bookmarkStart w:id="122" w:name="_Toc25074"/>
      <w:bookmarkEnd w:id="122"/>
      <w:bookmarkStart w:id="123" w:name="_Toc6259"/>
      <w:bookmarkEnd w:id="123"/>
      <w:bookmarkStart w:id="124" w:name="_Toc12060"/>
      <w:bookmarkEnd w:id="124"/>
      <w:bookmarkStart w:id="125" w:name="_Toc219193095"/>
      <w:bookmarkEnd w:id="125"/>
      <w:bookmarkStart w:id="126" w:name="_Toc1585"/>
      <w:bookmarkEnd w:id="126"/>
      <w:bookmarkStart w:id="127" w:name="_Toc265"/>
      <w:bookmarkEnd w:id="127"/>
      <w:bookmarkStart w:id="128" w:name="_Toc13999"/>
      <w:bookmarkEnd w:id="128"/>
      <w:bookmarkStart w:id="129" w:name="_Toc22486"/>
      <w:bookmarkEnd w:id="129"/>
      <w:bookmarkStart w:id="130" w:name="_Toc13991"/>
      <w:bookmarkEnd w:id="130"/>
      <w:bookmarkStart w:id="131" w:name="_Toc12959"/>
      <w:bookmarkEnd w:id="131"/>
      <w:bookmarkStart w:id="132" w:name="_Toc194069343"/>
      <w:bookmarkEnd w:id="132"/>
      <w:bookmarkStart w:id="133" w:name="_Toc24253"/>
      <w:r>
        <w:rPr>
          <w:rFonts w:hint="eastAsia" w:ascii="Times New Roman"/>
          <w:spacing w:val="12"/>
          <w:w w:val="95"/>
          <w:kern w:val="0"/>
          <w:szCs w:val="26"/>
        </w:rPr>
        <w:t>4.1</w:t>
      </w:r>
      <w:r>
        <w:rPr>
          <w:rFonts w:ascii="Times New Roman"/>
          <w:spacing w:val="12"/>
          <w:w w:val="95"/>
          <w:kern w:val="0"/>
          <w:szCs w:val="26"/>
        </w:rPr>
        <w:t>.1</w:t>
      </w:r>
      <w:bookmarkEnd w:id="133"/>
      <w:r>
        <w:rPr>
          <w:rFonts w:hint="eastAsia" w:ascii="Times New Roman"/>
          <w:spacing w:val="12"/>
          <w:w w:val="95"/>
          <w:kern w:val="0"/>
          <w:szCs w:val="26"/>
        </w:rPr>
        <w:t>项目基本情况</w:t>
      </w:r>
    </w:p>
    <w:p>
      <w:pPr>
        <w:spacing w:line="460" w:lineRule="exact"/>
        <w:ind w:firstLine="480" w:firstLineChars="200"/>
        <w:rPr>
          <w:sz w:val="24"/>
          <w:lang w:bidi="en-US"/>
        </w:rPr>
      </w:pPr>
      <w:r>
        <w:rPr>
          <w:rFonts w:hint="eastAsia"/>
          <w:sz w:val="24"/>
          <w:lang w:bidi="en-US"/>
        </w:rPr>
        <w:t>项目名称：</w:t>
      </w:r>
      <w:bookmarkStart w:id="134" w:name="_Hlk165309788"/>
      <w:r>
        <w:rPr>
          <w:rFonts w:hint="eastAsia"/>
          <w:bCs/>
          <w:sz w:val="24"/>
          <w:lang w:bidi="en-US"/>
        </w:rPr>
        <w:t>昌吉市昊慧盛塑料制品厂生产建设项目</w:t>
      </w:r>
      <w:bookmarkEnd w:id="134"/>
    </w:p>
    <w:p>
      <w:pPr>
        <w:spacing w:line="460" w:lineRule="exact"/>
        <w:ind w:firstLine="480" w:firstLineChars="200"/>
        <w:rPr>
          <w:sz w:val="24"/>
          <w:lang w:bidi="en-US"/>
        </w:rPr>
      </w:pPr>
      <w:r>
        <w:rPr>
          <w:rFonts w:hint="eastAsia"/>
          <w:sz w:val="24"/>
          <w:lang w:bidi="en-US"/>
        </w:rPr>
        <w:t>建设单位：</w:t>
      </w:r>
      <w:r>
        <w:rPr>
          <w:rFonts w:hint="eastAsia"/>
          <w:bCs/>
          <w:sz w:val="24"/>
          <w:lang w:bidi="en-US"/>
        </w:rPr>
        <w:t>昌吉市昊慧盛塑料制品厂</w:t>
      </w:r>
    </w:p>
    <w:p>
      <w:pPr>
        <w:spacing w:line="460" w:lineRule="exact"/>
        <w:ind w:firstLine="480" w:firstLineChars="200"/>
        <w:rPr>
          <w:sz w:val="24"/>
          <w:lang w:bidi="en-US"/>
        </w:rPr>
      </w:pPr>
      <w:r>
        <w:rPr>
          <w:rFonts w:hint="eastAsia"/>
          <w:sz w:val="24"/>
          <w:lang w:bidi="en-US"/>
        </w:rPr>
        <w:t>建设性质：改扩建</w:t>
      </w:r>
    </w:p>
    <w:p>
      <w:pPr>
        <w:spacing w:line="460" w:lineRule="exact"/>
        <w:ind w:firstLine="480" w:firstLineChars="200"/>
        <w:rPr>
          <w:sz w:val="24"/>
          <w:lang w:bidi="en-US"/>
        </w:rPr>
      </w:pPr>
      <w:r>
        <w:rPr>
          <w:rFonts w:hint="eastAsia"/>
          <w:sz w:val="24"/>
          <w:lang w:bidi="en-US"/>
        </w:rPr>
        <w:t>建设规模：年处理废旧塑料膜2000t/a，年处理废旧滴灌带3500t/a，新增年生产滴灌带3</w:t>
      </w:r>
      <w:r>
        <w:rPr>
          <w:sz w:val="24"/>
          <w:lang w:bidi="en-US"/>
        </w:rPr>
        <w:t>000</w:t>
      </w:r>
      <w:r>
        <w:rPr>
          <w:rFonts w:hint="eastAsia"/>
          <w:sz w:val="24"/>
          <w:lang w:bidi="en-US"/>
        </w:rPr>
        <w:t>t/a，新增年</w:t>
      </w:r>
      <w:r>
        <w:rPr>
          <w:sz w:val="24"/>
          <w:lang w:bidi="en-US"/>
        </w:rPr>
        <w:t>生产PE管</w:t>
      </w:r>
      <w:r>
        <w:rPr>
          <w:rFonts w:hint="eastAsia"/>
          <w:sz w:val="24"/>
          <w:lang w:bidi="en-US"/>
        </w:rPr>
        <w:t>1700t/a</w:t>
      </w:r>
    </w:p>
    <w:p>
      <w:pPr>
        <w:spacing w:line="460" w:lineRule="exact"/>
        <w:ind w:firstLine="480" w:firstLineChars="200"/>
        <w:rPr>
          <w:sz w:val="24"/>
          <w:lang w:bidi="en-US"/>
        </w:rPr>
      </w:pPr>
      <w:r>
        <w:rPr>
          <w:rFonts w:hint="eastAsia"/>
          <w:sz w:val="24"/>
          <w:lang w:bidi="en-US"/>
        </w:rPr>
        <w:t>项目投资：1000万元</w:t>
      </w:r>
    </w:p>
    <w:p>
      <w:pPr>
        <w:spacing w:line="460" w:lineRule="exact"/>
        <w:ind w:firstLine="480" w:firstLineChars="200"/>
        <w:rPr>
          <w:sz w:val="24"/>
          <w:lang w:bidi="en-US"/>
        </w:rPr>
      </w:pPr>
      <w:r>
        <w:rPr>
          <w:rFonts w:hint="eastAsia"/>
          <w:sz w:val="24"/>
          <w:lang w:bidi="en-US"/>
        </w:rPr>
        <w:t>劳动定员及工作制度：本项目为扩建项目，拟新增人员16人，工作制度为全年工作180天，每天3班，每班8小时。</w:t>
      </w:r>
    </w:p>
    <w:p>
      <w:pPr>
        <w:spacing w:line="460" w:lineRule="exact"/>
        <w:ind w:firstLine="480" w:firstLineChars="200"/>
        <w:rPr>
          <w:bCs/>
          <w:sz w:val="24"/>
          <w:lang w:bidi="en-US"/>
        </w:rPr>
      </w:pPr>
      <w:r>
        <w:rPr>
          <w:rFonts w:hint="eastAsia"/>
          <w:sz w:val="24"/>
          <w:lang w:bidi="en-US"/>
        </w:rPr>
        <w:t>建设地点：</w:t>
      </w:r>
      <w:bookmarkStart w:id="135" w:name="_Hlk164765040"/>
      <w:r>
        <w:rPr>
          <w:rFonts w:hint="eastAsia"/>
          <w:bCs/>
          <w:sz w:val="24"/>
          <w:lang w:bidi="en-US"/>
        </w:rPr>
        <w:t>建设项目位于</w:t>
      </w:r>
      <w:bookmarkStart w:id="136" w:name="_Hlk165373485"/>
      <w:bookmarkStart w:id="137" w:name="_Hlk165309801"/>
      <w:r>
        <w:rPr>
          <w:rFonts w:hint="eastAsia"/>
          <w:bCs/>
          <w:sz w:val="24"/>
          <w:lang w:bidi="en-US"/>
        </w:rPr>
        <w:t>昌吉国家农业科技园区示范区</w:t>
      </w:r>
      <w:bookmarkEnd w:id="136"/>
      <w:r>
        <w:rPr>
          <w:rFonts w:hint="eastAsia"/>
          <w:bCs/>
          <w:sz w:val="24"/>
          <w:lang w:bidi="en-US"/>
        </w:rPr>
        <w:t>昌吉市昊慧盛塑料制品厂区内，地理坐标为：N 44°13′30.76″，E 87°19′19.55″。项目四周均为耕地。</w:t>
      </w:r>
      <w:bookmarkEnd w:id="135"/>
      <w:bookmarkEnd w:id="137"/>
    </w:p>
    <w:p>
      <w:pPr>
        <w:spacing w:line="460" w:lineRule="exact"/>
        <w:ind w:firstLine="480" w:firstLineChars="200"/>
        <w:rPr>
          <w:sz w:val="24"/>
          <w:lang w:bidi="en-US"/>
        </w:rPr>
      </w:pPr>
      <w:r>
        <w:rPr>
          <w:rFonts w:hint="eastAsia"/>
          <w:sz w:val="24"/>
          <w:lang w:bidi="en-US"/>
        </w:rPr>
        <w:t>具体见图4.1-1项目地理位置图。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4.1.2项目建设内容</w:t>
      </w:r>
    </w:p>
    <w:p>
      <w:pPr>
        <w:spacing w:line="460" w:lineRule="exact"/>
        <w:ind w:firstLine="480" w:firstLineChars="200"/>
        <w:rPr>
          <w:sz w:val="24"/>
          <w:lang w:bidi="en-US"/>
        </w:rPr>
      </w:pPr>
      <w:r>
        <w:rPr>
          <w:rFonts w:hint="eastAsia"/>
          <w:sz w:val="24"/>
          <w:lang w:bidi="en-US"/>
        </w:rPr>
        <w:t>本项目占地面积18696m</w:t>
      </w:r>
      <w:r>
        <w:rPr>
          <w:rFonts w:hint="eastAsia"/>
          <w:sz w:val="24"/>
          <w:vertAlign w:val="superscript"/>
          <w:lang w:bidi="en-US"/>
        </w:rPr>
        <w:t>2</w:t>
      </w:r>
      <w:r>
        <w:rPr>
          <w:rFonts w:hint="eastAsia"/>
          <w:sz w:val="24"/>
          <w:lang w:bidi="en-US"/>
        </w:rPr>
        <w:t>。项目建设内容可分为主体工程、辅助工程、公用工程、环保工程。</w:t>
      </w:r>
    </w:p>
    <w:p>
      <w:pPr>
        <w:spacing w:line="460" w:lineRule="exact"/>
        <w:ind w:firstLine="480" w:firstLineChars="200"/>
        <w:rPr>
          <w:sz w:val="24"/>
          <w:lang w:bidi="en-US"/>
        </w:rPr>
      </w:pPr>
      <w:r>
        <w:rPr>
          <w:rFonts w:hint="eastAsia"/>
          <w:sz w:val="24"/>
          <w:lang w:bidi="en-US"/>
        </w:rPr>
        <w:t>项目工程组成情况见表4.1-1。</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表4.1</w:t>
      </w:r>
      <w:r>
        <w:rPr>
          <w:rFonts w:ascii="Times New Roman" w:hAnsi="Times New Roman" w:eastAsia="黑体" w:cs="Times New Roman"/>
          <w:sz w:val="21"/>
          <w:lang w:bidi="en-US"/>
        </w:rPr>
        <w:t xml:space="preserve">-1     </w:t>
      </w:r>
      <w:r>
        <w:rPr>
          <w:rFonts w:hint="eastAsia" w:ascii="Times New Roman" w:hAnsi="Times New Roman" w:eastAsia="黑体" w:cs="Times New Roman"/>
          <w:sz w:val="21"/>
          <w:lang w:bidi="en-US"/>
        </w:rPr>
        <w:t xml:space="preserve">            </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项目内容及建设规模</w:t>
      </w:r>
    </w:p>
    <w:tbl>
      <w:tblPr>
        <w:tblStyle w:val="59"/>
        <w:tblW w:w="89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9"/>
        <w:gridCol w:w="1082"/>
        <w:gridCol w:w="5387"/>
        <w:gridCol w:w="1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9" w:type="dxa"/>
            <w:vAlign w:val="center"/>
          </w:tcPr>
          <w:p>
            <w:pPr>
              <w:jc w:val="center"/>
              <w:rPr>
                <w:bCs/>
                <w:kern w:val="0"/>
                <w:szCs w:val="21"/>
              </w:rPr>
            </w:pPr>
            <w:r>
              <w:rPr>
                <w:rFonts w:hint="eastAsia"/>
                <w:bCs/>
                <w:szCs w:val="21"/>
              </w:rPr>
              <w:t>工程分类</w:t>
            </w:r>
          </w:p>
        </w:tc>
        <w:tc>
          <w:tcPr>
            <w:tcW w:w="6469" w:type="dxa"/>
            <w:gridSpan w:val="2"/>
            <w:vAlign w:val="center"/>
          </w:tcPr>
          <w:p>
            <w:pPr>
              <w:jc w:val="center"/>
              <w:rPr>
                <w:bCs/>
                <w:kern w:val="0"/>
                <w:szCs w:val="21"/>
              </w:rPr>
            </w:pPr>
            <w:r>
              <w:rPr>
                <w:rFonts w:hint="eastAsia"/>
                <w:bCs/>
                <w:szCs w:val="21"/>
              </w:rPr>
              <w:t>具体内容及规模</w:t>
            </w:r>
          </w:p>
        </w:tc>
        <w:tc>
          <w:tcPr>
            <w:tcW w:w="1492" w:type="dxa"/>
            <w:vAlign w:val="center"/>
          </w:tcPr>
          <w:p>
            <w:pPr>
              <w:jc w:val="center"/>
              <w:rPr>
                <w:bCs/>
                <w:szCs w:val="21"/>
              </w:rPr>
            </w:pPr>
            <w:r>
              <w:rPr>
                <w:rFonts w:hint="eastAsia"/>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9" w:type="dxa"/>
            <w:vMerge w:val="restart"/>
            <w:vAlign w:val="center"/>
          </w:tcPr>
          <w:p>
            <w:pPr>
              <w:jc w:val="center"/>
              <w:rPr>
                <w:bCs/>
                <w:kern w:val="0"/>
                <w:szCs w:val="21"/>
              </w:rPr>
            </w:pPr>
            <w:r>
              <w:rPr>
                <w:rFonts w:hint="eastAsia"/>
                <w:bCs/>
                <w:szCs w:val="21"/>
              </w:rPr>
              <w:t>主体工程</w:t>
            </w:r>
          </w:p>
        </w:tc>
        <w:tc>
          <w:tcPr>
            <w:tcW w:w="1082" w:type="dxa"/>
            <w:vAlign w:val="center"/>
          </w:tcPr>
          <w:p>
            <w:pPr>
              <w:jc w:val="center"/>
              <w:rPr>
                <w:bCs/>
                <w:kern w:val="0"/>
                <w:szCs w:val="21"/>
              </w:rPr>
            </w:pPr>
            <w:r>
              <w:rPr>
                <w:rFonts w:hint="eastAsia"/>
                <w:bCs/>
                <w:kern w:val="0"/>
                <w:szCs w:val="21"/>
              </w:rPr>
              <w:t>废旧塑料膜造粒车间</w:t>
            </w:r>
          </w:p>
        </w:tc>
        <w:tc>
          <w:tcPr>
            <w:tcW w:w="5387" w:type="dxa"/>
            <w:vAlign w:val="center"/>
          </w:tcPr>
          <w:p>
            <w:pPr>
              <w:jc w:val="center"/>
              <w:rPr>
                <w:bCs/>
                <w:kern w:val="0"/>
                <w:szCs w:val="21"/>
              </w:rPr>
            </w:pPr>
            <w:r>
              <w:rPr>
                <w:rFonts w:hint="eastAsia"/>
                <w:bCs/>
                <w:kern w:val="0"/>
                <w:szCs w:val="21"/>
              </w:rPr>
              <w:t>占地面积500m</w:t>
            </w:r>
            <w:r>
              <w:rPr>
                <w:rFonts w:hint="eastAsia"/>
                <w:bCs/>
                <w:kern w:val="0"/>
                <w:szCs w:val="21"/>
                <w:vertAlign w:val="superscript"/>
              </w:rPr>
              <w:t>2</w:t>
            </w:r>
            <w:r>
              <w:rPr>
                <w:rFonts w:hint="eastAsia"/>
                <w:bCs/>
                <w:kern w:val="0"/>
                <w:szCs w:val="21"/>
              </w:rPr>
              <w:t xml:space="preserve">，钢构结构，设置一条废旧塑料膜造粒生产线 </w:t>
            </w:r>
          </w:p>
        </w:tc>
        <w:tc>
          <w:tcPr>
            <w:tcW w:w="1492" w:type="dxa"/>
            <w:vAlign w:val="center"/>
          </w:tcPr>
          <w:p>
            <w:pPr>
              <w:jc w:val="center"/>
              <w:rPr>
                <w:bCs/>
                <w:kern w:val="0"/>
                <w:szCs w:val="21"/>
              </w:rPr>
            </w:pPr>
            <w:r>
              <w:rPr>
                <w:rFonts w:hint="eastAsia"/>
                <w:bCs/>
                <w:kern w:val="0"/>
                <w:szCs w:val="21"/>
              </w:rPr>
              <w:t>已建，设备目前处于封存状态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jc w:val="center"/>
              <w:rPr>
                <w:bCs/>
                <w:szCs w:val="21"/>
              </w:rPr>
            </w:pPr>
          </w:p>
        </w:tc>
        <w:tc>
          <w:tcPr>
            <w:tcW w:w="1082" w:type="dxa"/>
            <w:vAlign w:val="center"/>
          </w:tcPr>
          <w:p>
            <w:pPr>
              <w:jc w:val="center"/>
              <w:rPr>
                <w:bCs/>
                <w:kern w:val="0"/>
                <w:szCs w:val="21"/>
              </w:rPr>
            </w:pPr>
            <w:r>
              <w:rPr>
                <w:rFonts w:hint="eastAsia"/>
                <w:bCs/>
                <w:kern w:val="0"/>
                <w:szCs w:val="21"/>
              </w:rPr>
              <w:t>废旧滴灌带造粒车间</w:t>
            </w:r>
          </w:p>
        </w:tc>
        <w:tc>
          <w:tcPr>
            <w:tcW w:w="5387" w:type="dxa"/>
            <w:vAlign w:val="center"/>
          </w:tcPr>
          <w:p>
            <w:pPr>
              <w:jc w:val="center"/>
              <w:rPr>
                <w:bCs/>
                <w:kern w:val="0"/>
                <w:szCs w:val="21"/>
              </w:rPr>
            </w:pPr>
            <w:r>
              <w:rPr>
                <w:rFonts w:hint="eastAsia"/>
                <w:bCs/>
                <w:kern w:val="0"/>
                <w:szCs w:val="21"/>
              </w:rPr>
              <w:t>占地面积500m</w:t>
            </w:r>
            <w:r>
              <w:rPr>
                <w:rFonts w:hint="eastAsia"/>
                <w:bCs/>
                <w:kern w:val="0"/>
                <w:szCs w:val="21"/>
                <w:vertAlign w:val="superscript"/>
              </w:rPr>
              <w:t>2</w:t>
            </w:r>
            <w:r>
              <w:rPr>
                <w:rFonts w:hint="eastAsia"/>
                <w:bCs/>
                <w:kern w:val="0"/>
                <w:szCs w:val="21"/>
              </w:rPr>
              <w:t>，钢构结构，设置一条废旧滴灌带造粒生产线</w:t>
            </w:r>
          </w:p>
        </w:tc>
        <w:tc>
          <w:tcPr>
            <w:tcW w:w="1492" w:type="dxa"/>
            <w:vAlign w:val="center"/>
          </w:tcPr>
          <w:p>
            <w:pPr>
              <w:jc w:val="center"/>
              <w:rPr>
                <w:bCs/>
                <w:kern w:val="0"/>
                <w:szCs w:val="21"/>
              </w:rPr>
            </w:pPr>
            <w:r>
              <w:rPr>
                <w:rFonts w:hint="eastAsia"/>
                <w:bCs/>
                <w:kern w:val="0"/>
                <w:szCs w:val="21"/>
              </w:rPr>
              <w:t>已建，设备目前处于封存状态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kern w:val="0"/>
                <w:szCs w:val="21"/>
              </w:rPr>
              <w:t>滴灌带生产车间</w:t>
            </w:r>
          </w:p>
        </w:tc>
        <w:tc>
          <w:tcPr>
            <w:tcW w:w="5387" w:type="dxa"/>
            <w:vAlign w:val="center"/>
          </w:tcPr>
          <w:p>
            <w:pPr>
              <w:adjustRightInd w:val="0"/>
              <w:snapToGrid w:val="0"/>
              <w:jc w:val="center"/>
              <w:rPr>
                <w:bCs/>
                <w:kern w:val="0"/>
                <w:szCs w:val="21"/>
              </w:rPr>
            </w:pPr>
            <w:r>
              <w:rPr>
                <w:rFonts w:hint="eastAsia"/>
                <w:bCs/>
                <w:kern w:val="0"/>
                <w:szCs w:val="21"/>
              </w:rPr>
              <w:t>利用现有滴灌带车间及紧邻的产品库房作为滴灌带车间，占地面积1</w:t>
            </w:r>
            <w:r>
              <w:rPr>
                <w:bCs/>
                <w:kern w:val="0"/>
                <w:szCs w:val="21"/>
              </w:rPr>
              <w:t>0</w:t>
            </w:r>
            <w:r>
              <w:rPr>
                <w:rFonts w:hint="eastAsia"/>
                <w:bCs/>
                <w:kern w:val="0"/>
                <w:szCs w:val="21"/>
              </w:rPr>
              <w:t>00m</w:t>
            </w:r>
            <w:r>
              <w:rPr>
                <w:rFonts w:hint="eastAsia"/>
                <w:bCs/>
                <w:kern w:val="0"/>
                <w:szCs w:val="21"/>
                <w:vertAlign w:val="superscript"/>
              </w:rPr>
              <w:t>2</w:t>
            </w:r>
            <w:r>
              <w:rPr>
                <w:rFonts w:hint="eastAsia"/>
                <w:bCs/>
                <w:kern w:val="0"/>
                <w:szCs w:val="21"/>
              </w:rPr>
              <w:t>，采用钢构结构，新增10条滴灌带生产线</w:t>
            </w:r>
          </w:p>
        </w:tc>
        <w:tc>
          <w:tcPr>
            <w:tcW w:w="1492" w:type="dxa"/>
            <w:vAlign w:val="center"/>
          </w:tcPr>
          <w:p>
            <w:pPr>
              <w:adjustRightInd w:val="0"/>
              <w:snapToGrid w:val="0"/>
              <w:jc w:val="center"/>
              <w:rPr>
                <w:bCs/>
                <w:kern w:val="0"/>
                <w:szCs w:val="21"/>
              </w:rPr>
            </w:pPr>
            <w:r>
              <w:rPr>
                <w:rFonts w:hint="eastAsia"/>
                <w:bCs/>
                <w:kern w:val="0"/>
                <w:szCs w:val="21"/>
              </w:rPr>
              <w:t>厂房利旧，设备未建设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kern w:val="0"/>
                <w:szCs w:val="21"/>
              </w:rPr>
              <w:t>P</w:t>
            </w:r>
            <w:r>
              <w:rPr>
                <w:bCs/>
                <w:kern w:val="0"/>
                <w:szCs w:val="21"/>
              </w:rPr>
              <w:t>E</w:t>
            </w:r>
            <w:r>
              <w:rPr>
                <w:rFonts w:hint="eastAsia"/>
                <w:bCs/>
                <w:kern w:val="0"/>
                <w:szCs w:val="21"/>
              </w:rPr>
              <w:t>管生产车间</w:t>
            </w:r>
          </w:p>
        </w:tc>
        <w:tc>
          <w:tcPr>
            <w:tcW w:w="5387" w:type="dxa"/>
            <w:vAlign w:val="center"/>
          </w:tcPr>
          <w:p>
            <w:pPr>
              <w:adjustRightInd w:val="0"/>
              <w:snapToGrid w:val="0"/>
              <w:jc w:val="center"/>
              <w:rPr>
                <w:bCs/>
                <w:kern w:val="0"/>
                <w:szCs w:val="21"/>
              </w:rPr>
            </w:pPr>
            <w:r>
              <w:rPr>
                <w:rFonts w:hint="eastAsia"/>
                <w:bCs/>
                <w:kern w:val="0"/>
                <w:szCs w:val="21"/>
              </w:rPr>
              <w:t>在厂区现有一座PE管生产车间内新增5条PE管生产线</w:t>
            </w:r>
          </w:p>
        </w:tc>
        <w:tc>
          <w:tcPr>
            <w:tcW w:w="1492" w:type="dxa"/>
            <w:vAlign w:val="center"/>
          </w:tcPr>
          <w:p>
            <w:pPr>
              <w:adjustRightInd w:val="0"/>
              <w:snapToGrid w:val="0"/>
              <w:jc w:val="center"/>
              <w:rPr>
                <w:bCs/>
                <w:kern w:val="0"/>
                <w:szCs w:val="21"/>
              </w:rPr>
            </w:pPr>
            <w:r>
              <w:rPr>
                <w:rFonts w:hint="eastAsia"/>
                <w:bCs/>
                <w:kern w:val="0"/>
                <w:szCs w:val="21"/>
              </w:rPr>
              <w:t>厂房利用现有，设备未建设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restart"/>
            <w:vAlign w:val="center"/>
          </w:tcPr>
          <w:p>
            <w:pPr>
              <w:jc w:val="center"/>
              <w:rPr>
                <w:bCs/>
                <w:kern w:val="0"/>
                <w:szCs w:val="21"/>
              </w:rPr>
            </w:pPr>
            <w:r>
              <w:rPr>
                <w:rFonts w:hint="eastAsia"/>
                <w:bCs/>
                <w:kern w:val="0"/>
                <w:szCs w:val="21"/>
              </w:rPr>
              <w:t>储运工程</w:t>
            </w:r>
          </w:p>
        </w:tc>
        <w:tc>
          <w:tcPr>
            <w:tcW w:w="1082" w:type="dxa"/>
            <w:vAlign w:val="center"/>
          </w:tcPr>
          <w:p>
            <w:pPr>
              <w:adjustRightInd w:val="0"/>
              <w:snapToGrid w:val="0"/>
              <w:jc w:val="center"/>
              <w:rPr>
                <w:bCs/>
                <w:kern w:val="0"/>
                <w:szCs w:val="21"/>
              </w:rPr>
            </w:pPr>
            <w:r>
              <w:rPr>
                <w:rFonts w:hint="eastAsia"/>
                <w:bCs/>
                <w:kern w:val="0"/>
                <w:szCs w:val="21"/>
              </w:rPr>
              <w:t>原料库房</w:t>
            </w:r>
          </w:p>
        </w:tc>
        <w:tc>
          <w:tcPr>
            <w:tcW w:w="5387" w:type="dxa"/>
            <w:vAlign w:val="center"/>
          </w:tcPr>
          <w:p>
            <w:pPr>
              <w:adjustRightInd w:val="0"/>
              <w:snapToGrid w:val="0"/>
              <w:jc w:val="center"/>
              <w:rPr>
                <w:bCs/>
                <w:kern w:val="0"/>
                <w:szCs w:val="21"/>
              </w:rPr>
            </w:pPr>
            <w:r>
              <w:rPr>
                <w:rFonts w:hint="eastAsia"/>
                <w:bCs/>
                <w:kern w:val="0"/>
                <w:szCs w:val="21"/>
              </w:rPr>
              <w:t>项目设置废旧塑料膜、废旧滴灌带堆存库房一座，设置为封闭式，占地面积8</w:t>
            </w:r>
            <w:r>
              <w:rPr>
                <w:bCs/>
                <w:kern w:val="0"/>
                <w:szCs w:val="21"/>
              </w:rPr>
              <w:t>00m</w:t>
            </w:r>
            <w:r>
              <w:rPr>
                <w:bCs/>
                <w:kern w:val="0"/>
                <w:szCs w:val="21"/>
                <w:vertAlign w:val="superscript"/>
              </w:rPr>
              <w:t>2</w:t>
            </w:r>
          </w:p>
        </w:tc>
        <w:tc>
          <w:tcPr>
            <w:tcW w:w="1492" w:type="dxa"/>
            <w:vAlign w:val="center"/>
          </w:tcPr>
          <w:p>
            <w:pPr>
              <w:adjustRightInd w:val="0"/>
              <w:snapToGrid w:val="0"/>
              <w:jc w:val="center"/>
              <w:rPr>
                <w:bCs/>
                <w:kern w:val="0"/>
                <w:szCs w:val="21"/>
              </w:rPr>
            </w:pPr>
            <w:r>
              <w:rPr>
                <w:rFonts w:hint="eastAsia"/>
                <w:bCs/>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kern w:val="0"/>
                <w:szCs w:val="21"/>
              </w:rPr>
              <w:t>成品库房</w:t>
            </w:r>
          </w:p>
        </w:tc>
        <w:tc>
          <w:tcPr>
            <w:tcW w:w="5387" w:type="dxa"/>
            <w:vAlign w:val="center"/>
          </w:tcPr>
          <w:p>
            <w:pPr>
              <w:adjustRightInd w:val="0"/>
              <w:snapToGrid w:val="0"/>
              <w:jc w:val="center"/>
              <w:rPr>
                <w:bCs/>
                <w:kern w:val="0"/>
                <w:szCs w:val="21"/>
                <w:vertAlign w:val="superscript"/>
              </w:rPr>
            </w:pPr>
            <w:r>
              <w:rPr>
                <w:rFonts w:hint="eastAsia"/>
                <w:bCs/>
                <w:kern w:val="0"/>
                <w:szCs w:val="21"/>
              </w:rPr>
              <w:t>设置有成品库房一座，占地面积300</w:t>
            </w:r>
            <w:r>
              <w:rPr>
                <w:bCs/>
                <w:kern w:val="0"/>
                <w:szCs w:val="21"/>
              </w:rPr>
              <w:t>m</w:t>
            </w:r>
            <w:r>
              <w:rPr>
                <w:bCs/>
                <w:kern w:val="0"/>
                <w:szCs w:val="21"/>
                <w:vertAlign w:val="superscript"/>
              </w:rPr>
              <w:t>2</w:t>
            </w:r>
          </w:p>
        </w:tc>
        <w:tc>
          <w:tcPr>
            <w:tcW w:w="1492" w:type="dxa"/>
            <w:vAlign w:val="center"/>
          </w:tcPr>
          <w:p>
            <w:pPr>
              <w:adjustRightInd w:val="0"/>
              <w:snapToGrid w:val="0"/>
              <w:jc w:val="center"/>
              <w:rPr>
                <w:bCs/>
                <w:kern w:val="0"/>
                <w:szCs w:val="21"/>
              </w:rPr>
            </w:pPr>
            <w:r>
              <w:rPr>
                <w:rFonts w:hint="eastAsia"/>
                <w:bCs/>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restart"/>
            <w:vAlign w:val="center"/>
          </w:tcPr>
          <w:p>
            <w:pPr>
              <w:jc w:val="center"/>
              <w:rPr>
                <w:bCs/>
                <w:kern w:val="0"/>
                <w:szCs w:val="21"/>
              </w:rPr>
            </w:pPr>
            <w:r>
              <w:rPr>
                <w:rFonts w:hint="eastAsia"/>
                <w:bCs/>
                <w:szCs w:val="21"/>
              </w:rPr>
              <w:t>辅助工程</w:t>
            </w:r>
          </w:p>
        </w:tc>
        <w:tc>
          <w:tcPr>
            <w:tcW w:w="1082" w:type="dxa"/>
            <w:vAlign w:val="center"/>
          </w:tcPr>
          <w:p>
            <w:pPr>
              <w:jc w:val="center"/>
              <w:rPr>
                <w:bCs/>
                <w:kern w:val="0"/>
                <w:szCs w:val="21"/>
              </w:rPr>
            </w:pPr>
            <w:r>
              <w:rPr>
                <w:rFonts w:hint="eastAsia"/>
                <w:bCs/>
                <w:szCs w:val="21"/>
              </w:rPr>
              <w:t>沉淀水池</w:t>
            </w:r>
          </w:p>
        </w:tc>
        <w:tc>
          <w:tcPr>
            <w:tcW w:w="5387" w:type="dxa"/>
            <w:vAlign w:val="center"/>
          </w:tcPr>
          <w:p>
            <w:pPr>
              <w:jc w:val="center"/>
              <w:rPr>
                <w:bCs/>
                <w:kern w:val="0"/>
                <w:szCs w:val="21"/>
                <w:vertAlign w:val="superscript"/>
              </w:rPr>
            </w:pPr>
            <w:r>
              <w:rPr>
                <w:rFonts w:hint="eastAsia"/>
                <w:bCs/>
                <w:kern w:val="0"/>
                <w:szCs w:val="21"/>
              </w:rPr>
              <w:t>建设有2座三级防渗沉淀池，容积分别为300</w:t>
            </w:r>
            <w:r>
              <w:rPr>
                <w:bCs/>
                <w:kern w:val="0"/>
                <w:szCs w:val="21"/>
              </w:rPr>
              <w:t>m</w:t>
            </w:r>
            <w:r>
              <w:rPr>
                <w:bCs/>
                <w:kern w:val="0"/>
                <w:szCs w:val="21"/>
                <w:vertAlign w:val="superscript"/>
              </w:rPr>
              <w:t>3</w:t>
            </w:r>
          </w:p>
        </w:tc>
        <w:tc>
          <w:tcPr>
            <w:tcW w:w="1492" w:type="dxa"/>
            <w:vAlign w:val="center"/>
          </w:tcPr>
          <w:p>
            <w:pPr>
              <w:jc w:val="center"/>
              <w:rPr>
                <w:bCs/>
                <w:kern w:val="0"/>
                <w:szCs w:val="21"/>
              </w:rPr>
            </w:pPr>
            <w:r>
              <w:rPr>
                <w:rFonts w:hint="eastAsia"/>
                <w:bCs/>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生活办公</w:t>
            </w:r>
          </w:p>
        </w:tc>
        <w:tc>
          <w:tcPr>
            <w:tcW w:w="5387" w:type="dxa"/>
            <w:vAlign w:val="center"/>
          </w:tcPr>
          <w:p>
            <w:pPr>
              <w:adjustRightInd w:val="0"/>
              <w:snapToGrid w:val="0"/>
              <w:jc w:val="center"/>
              <w:rPr>
                <w:bCs/>
                <w:kern w:val="0"/>
                <w:szCs w:val="21"/>
              </w:rPr>
            </w:pPr>
            <w:r>
              <w:rPr>
                <w:rFonts w:hint="eastAsia"/>
                <w:bCs/>
                <w:kern w:val="0"/>
                <w:szCs w:val="21"/>
              </w:rPr>
              <w:t>项目设置有综合办公楼一座，砖混结构，建筑面积400</w:t>
            </w:r>
            <w:r>
              <w:rPr>
                <w:bCs/>
                <w:kern w:val="0"/>
                <w:szCs w:val="21"/>
              </w:rPr>
              <w:t>m</w:t>
            </w:r>
            <w:r>
              <w:rPr>
                <w:bCs/>
                <w:kern w:val="0"/>
                <w:szCs w:val="21"/>
                <w:vertAlign w:val="superscript"/>
              </w:rPr>
              <w:t>2</w:t>
            </w:r>
          </w:p>
        </w:tc>
        <w:tc>
          <w:tcPr>
            <w:tcW w:w="1492" w:type="dxa"/>
            <w:vAlign w:val="center"/>
          </w:tcPr>
          <w:p>
            <w:pPr>
              <w:adjustRightInd w:val="0"/>
              <w:snapToGrid w:val="0"/>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循环水池</w:t>
            </w:r>
          </w:p>
        </w:tc>
        <w:tc>
          <w:tcPr>
            <w:tcW w:w="5387" w:type="dxa"/>
            <w:vAlign w:val="center"/>
          </w:tcPr>
          <w:p>
            <w:pPr>
              <w:adjustRightInd w:val="0"/>
              <w:snapToGrid w:val="0"/>
              <w:jc w:val="center"/>
              <w:rPr>
                <w:bCs/>
                <w:kern w:val="0"/>
                <w:szCs w:val="21"/>
              </w:rPr>
            </w:pPr>
            <w:r>
              <w:rPr>
                <w:rFonts w:hint="eastAsia"/>
                <w:bCs/>
                <w:kern w:val="0"/>
                <w:szCs w:val="21"/>
              </w:rPr>
              <w:t>项目厂区设置有2座循环水池，容积分别为100</w:t>
            </w:r>
            <w:r>
              <w:rPr>
                <w:bCs/>
                <w:kern w:val="0"/>
                <w:szCs w:val="21"/>
              </w:rPr>
              <w:t>m</w:t>
            </w:r>
            <w:r>
              <w:rPr>
                <w:rFonts w:hint="eastAsia"/>
                <w:bCs/>
                <w:kern w:val="0"/>
                <w:szCs w:val="21"/>
              </w:rPr>
              <w:t>³</w:t>
            </w:r>
          </w:p>
        </w:tc>
        <w:tc>
          <w:tcPr>
            <w:tcW w:w="1492" w:type="dxa"/>
            <w:vAlign w:val="center"/>
          </w:tcPr>
          <w:p>
            <w:pPr>
              <w:adjustRightInd w:val="0"/>
              <w:snapToGrid w:val="0"/>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restart"/>
            <w:vAlign w:val="center"/>
          </w:tcPr>
          <w:p>
            <w:pPr>
              <w:jc w:val="center"/>
              <w:rPr>
                <w:bCs/>
                <w:kern w:val="0"/>
                <w:szCs w:val="21"/>
              </w:rPr>
            </w:pPr>
            <w:r>
              <w:rPr>
                <w:rFonts w:hint="eastAsia"/>
                <w:bCs/>
                <w:szCs w:val="21"/>
              </w:rPr>
              <w:t>公用工程</w:t>
            </w:r>
          </w:p>
        </w:tc>
        <w:tc>
          <w:tcPr>
            <w:tcW w:w="1082" w:type="dxa"/>
            <w:vAlign w:val="center"/>
          </w:tcPr>
          <w:p>
            <w:pPr>
              <w:jc w:val="center"/>
              <w:rPr>
                <w:bCs/>
                <w:kern w:val="0"/>
                <w:szCs w:val="21"/>
              </w:rPr>
            </w:pPr>
            <w:r>
              <w:rPr>
                <w:rFonts w:hint="eastAsia"/>
                <w:bCs/>
                <w:szCs w:val="21"/>
              </w:rPr>
              <w:t>给水</w:t>
            </w:r>
          </w:p>
        </w:tc>
        <w:tc>
          <w:tcPr>
            <w:tcW w:w="5387" w:type="dxa"/>
            <w:vAlign w:val="center"/>
          </w:tcPr>
          <w:p>
            <w:pPr>
              <w:jc w:val="center"/>
              <w:rPr>
                <w:bCs/>
                <w:kern w:val="0"/>
                <w:szCs w:val="21"/>
              </w:rPr>
            </w:pPr>
            <w:r>
              <w:rPr>
                <w:rFonts w:hint="eastAsia"/>
                <w:bCs/>
                <w:kern w:val="0"/>
                <w:szCs w:val="21"/>
              </w:rPr>
              <w:t>项目给水由附近水井拉运</w:t>
            </w:r>
          </w:p>
        </w:tc>
        <w:tc>
          <w:tcPr>
            <w:tcW w:w="1492" w:type="dxa"/>
            <w:vAlign w:val="center"/>
          </w:tcPr>
          <w:p>
            <w:pPr>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排水</w:t>
            </w:r>
          </w:p>
        </w:tc>
        <w:tc>
          <w:tcPr>
            <w:tcW w:w="5387" w:type="dxa"/>
            <w:vAlign w:val="center"/>
          </w:tcPr>
          <w:p>
            <w:pPr>
              <w:adjustRightInd w:val="0"/>
              <w:snapToGrid w:val="0"/>
              <w:jc w:val="center"/>
              <w:rPr>
                <w:bCs/>
                <w:kern w:val="0"/>
                <w:szCs w:val="21"/>
              </w:rPr>
            </w:pPr>
            <w:r>
              <w:rPr>
                <w:rFonts w:hint="eastAsia"/>
                <w:bCs/>
                <w:kern w:val="0"/>
                <w:szCs w:val="21"/>
              </w:rPr>
              <w:t>生产废水循环利用，不外排；生活污水（厨房餐饮废水经隔油池预处理后）储存于</w:t>
            </w:r>
            <w:r>
              <w:rPr>
                <w:bCs/>
                <w:kern w:val="0"/>
                <w:szCs w:val="21"/>
              </w:rPr>
              <w:t>1</w:t>
            </w:r>
            <w:r>
              <w:rPr>
                <w:rFonts w:hint="eastAsia"/>
                <w:bCs/>
                <w:kern w:val="0"/>
                <w:szCs w:val="21"/>
              </w:rPr>
              <w:t>座100</w:t>
            </w:r>
            <w:r>
              <w:rPr>
                <w:bCs/>
                <w:kern w:val="0"/>
                <w:szCs w:val="21"/>
              </w:rPr>
              <w:t>m</w:t>
            </w:r>
            <w:r>
              <w:rPr>
                <w:rFonts w:hint="eastAsia"/>
                <w:bCs/>
                <w:kern w:val="0"/>
                <w:szCs w:val="21"/>
              </w:rPr>
              <w:t>³的防渗化粪池中定期拉运处置</w:t>
            </w:r>
          </w:p>
        </w:tc>
        <w:tc>
          <w:tcPr>
            <w:tcW w:w="1492" w:type="dxa"/>
            <w:vAlign w:val="center"/>
          </w:tcPr>
          <w:p>
            <w:pPr>
              <w:adjustRightInd w:val="0"/>
              <w:snapToGrid w:val="0"/>
              <w:jc w:val="center"/>
              <w:rPr>
                <w:bCs/>
                <w:kern w:val="0"/>
                <w:szCs w:val="21"/>
              </w:rPr>
            </w:pPr>
            <w:r>
              <w:rPr>
                <w:rFonts w:hint="eastAsia"/>
                <w:bCs/>
                <w:kern w:val="0"/>
                <w:szCs w:val="21"/>
              </w:rPr>
              <w:t>沉淀池为本次工程，其他依托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供电</w:t>
            </w:r>
          </w:p>
        </w:tc>
        <w:tc>
          <w:tcPr>
            <w:tcW w:w="5387" w:type="dxa"/>
            <w:vAlign w:val="center"/>
          </w:tcPr>
          <w:p>
            <w:pPr>
              <w:adjustRightInd w:val="0"/>
              <w:snapToGrid w:val="0"/>
              <w:jc w:val="center"/>
              <w:rPr>
                <w:bCs/>
                <w:kern w:val="0"/>
                <w:szCs w:val="21"/>
              </w:rPr>
            </w:pPr>
            <w:r>
              <w:rPr>
                <w:rFonts w:hint="eastAsia"/>
                <w:bCs/>
                <w:kern w:val="0"/>
                <w:szCs w:val="21"/>
              </w:rPr>
              <w:t>项目供电由市政电网供给</w:t>
            </w:r>
          </w:p>
        </w:tc>
        <w:tc>
          <w:tcPr>
            <w:tcW w:w="1492" w:type="dxa"/>
            <w:vAlign w:val="center"/>
          </w:tcPr>
          <w:p>
            <w:pPr>
              <w:adjustRightInd w:val="0"/>
              <w:snapToGrid w:val="0"/>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供热</w:t>
            </w:r>
          </w:p>
        </w:tc>
        <w:tc>
          <w:tcPr>
            <w:tcW w:w="5387" w:type="dxa"/>
            <w:vAlign w:val="center"/>
          </w:tcPr>
          <w:p>
            <w:pPr>
              <w:pStyle w:val="7"/>
              <w:spacing w:before="0" w:after="0" w:line="240" w:lineRule="auto"/>
              <w:ind w:firstLine="422"/>
              <w:jc w:val="center"/>
              <w:rPr>
                <w:rFonts w:ascii="Times New Roman" w:hAnsi="Times New Roman" w:eastAsia="宋体"/>
                <w:b w:val="0"/>
                <w:spacing w:val="0"/>
                <w:kern w:val="2"/>
                <w:sz w:val="21"/>
                <w:szCs w:val="21"/>
              </w:rPr>
            </w:pPr>
            <w:r>
              <w:rPr>
                <w:rFonts w:hint="eastAsia" w:ascii="Times New Roman" w:hAnsi="Times New Roman" w:eastAsia="宋体"/>
                <w:b w:val="0"/>
                <w:spacing w:val="0"/>
                <w:kern w:val="2"/>
                <w:sz w:val="21"/>
                <w:szCs w:val="21"/>
              </w:rPr>
              <w:t>生产用热由电提供，生活用热采用电采暖方式</w:t>
            </w:r>
          </w:p>
        </w:tc>
        <w:tc>
          <w:tcPr>
            <w:tcW w:w="1492" w:type="dxa"/>
            <w:vAlign w:val="center"/>
          </w:tcPr>
          <w:p>
            <w:pPr>
              <w:adjustRightInd w:val="0"/>
              <w:snapToGrid w:val="0"/>
              <w:jc w:val="center"/>
              <w:rPr>
                <w:b/>
                <w:szCs w:val="21"/>
              </w:rPr>
            </w:pPr>
            <w:r>
              <w:rPr>
                <w:rFonts w:hint="eastAsia"/>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restart"/>
            <w:vAlign w:val="center"/>
          </w:tcPr>
          <w:p>
            <w:pPr>
              <w:jc w:val="center"/>
              <w:rPr>
                <w:bCs/>
                <w:kern w:val="0"/>
                <w:szCs w:val="21"/>
              </w:rPr>
            </w:pPr>
            <w:r>
              <w:rPr>
                <w:rFonts w:hint="eastAsia"/>
                <w:bCs/>
                <w:szCs w:val="21"/>
              </w:rPr>
              <w:t>环保工程</w:t>
            </w:r>
          </w:p>
        </w:tc>
        <w:tc>
          <w:tcPr>
            <w:tcW w:w="1082" w:type="dxa"/>
            <w:vMerge w:val="restart"/>
            <w:vAlign w:val="center"/>
          </w:tcPr>
          <w:p>
            <w:pPr>
              <w:jc w:val="center"/>
              <w:rPr>
                <w:bCs/>
                <w:kern w:val="0"/>
                <w:szCs w:val="21"/>
              </w:rPr>
            </w:pPr>
            <w:r>
              <w:rPr>
                <w:rFonts w:hint="eastAsia"/>
                <w:bCs/>
                <w:szCs w:val="21"/>
              </w:rPr>
              <w:t>废水处置措施</w:t>
            </w:r>
          </w:p>
        </w:tc>
        <w:tc>
          <w:tcPr>
            <w:tcW w:w="5387" w:type="dxa"/>
            <w:vAlign w:val="center"/>
          </w:tcPr>
          <w:p>
            <w:pPr>
              <w:jc w:val="center"/>
              <w:rPr>
                <w:bCs/>
                <w:kern w:val="0"/>
                <w:szCs w:val="21"/>
              </w:rPr>
            </w:pPr>
            <w:r>
              <w:rPr>
                <w:rFonts w:hint="eastAsia"/>
                <w:bCs/>
                <w:kern w:val="0"/>
                <w:szCs w:val="21"/>
              </w:rPr>
              <w:t>废旧滴灌带、废旧塑料膜清洗废水设置2座容积分别为300m</w:t>
            </w:r>
            <w:r>
              <w:rPr>
                <w:rFonts w:hint="eastAsia"/>
                <w:bCs/>
                <w:kern w:val="0"/>
                <w:szCs w:val="21"/>
                <w:vertAlign w:val="superscript"/>
              </w:rPr>
              <w:t>3</w:t>
            </w:r>
            <w:r>
              <w:rPr>
                <w:rFonts w:hint="eastAsia"/>
                <w:bCs/>
                <w:kern w:val="0"/>
                <w:szCs w:val="21"/>
              </w:rPr>
              <w:t>防渗三级沉淀池沉淀后循环使用，不外排</w:t>
            </w:r>
          </w:p>
        </w:tc>
        <w:tc>
          <w:tcPr>
            <w:tcW w:w="1492" w:type="dxa"/>
            <w:vAlign w:val="center"/>
          </w:tcPr>
          <w:p>
            <w:pPr>
              <w:jc w:val="center"/>
              <w:rPr>
                <w:bCs/>
                <w:kern w:val="0"/>
                <w:szCs w:val="21"/>
              </w:rPr>
            </w:pPr>
            <w:r>
              <w:rPr>
                <w:rFonts w:hint="eastAsia"/>
                <w:bCs/>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jc w:val="center"/>
              <w:rPr>
                <w:bCs/>
                <w:szCs w:val="21"/>
              </w:rPr>
            </w:pPr>
          </w:p>
        </w:tc>
        <w:tc>
          <w:tcPr>
            <w:tcW w:w="1082" w:type="dxa"/>
            <w:vMerge w:val="continue"/>
            <w:vAlign w:val="center"/>
          </w:tcPr>
          <w:p>
            <w:pPr>
              <w:jc w:val="center"/>
              <w:rPr>
                <w:bCs/>
                <w:szCs w:val="21"/>
              </w:rPr>
            </w:pPr>
          </w:p>
        </w:tc>
        <w:tc>
          <w:tcPr>
            <w:tcW w:w="5387" w:type="dxa"/>
            <w:vAlign w:val="center"/>
          </w:tcPr>
          <w:p>
            <w:pPr>
              <w:jc w:val="center"/>
              <w:rPr>
                <w:bCs/>
                <w:kern w:val="0"/>
                <w:szCs w:val="21"/>
              </w:rPr>
            </w:pPr>
            <w:r>
              <w:rPr>
                <w:rFonts w:hint="eastAsia"/>
                <w:bCs/>
                <w:kern w:val="0"/>
                <w:szCs w:val="21"/>
              </w:rPr>
              <w:t>冷却循环水设置2座100m</w:t>
            </w:r>
            <w:r>
              <w:rPr>
                <w:rFonts w:hint="eastAsia"/>
                <w:bCs/>
                <w:kern w:val="0"/>
                <w:szCs w:val="21"/>
                <w:vertAlign w:val="superscript"/>
              </w:rPr>
              <w:t>3</w:t>
            </w:r>
            <w:r>
              <w:rPr>
                <w:rFonts w:hint="eastAsia"/>
                <w:bCs/>
                <w:kern w:val="0"/>
                <w:szCs w:val="21"/>
              </w:rPr>
              <w:t>冷却水池循环使用，不外排</w:t>
            </w:r>
          </w:p>
        </w:tc>
        <w:tc>
          <w:tcPr>
            <w:tcW w:w="1492" w:type="dxa"/>
            <w:vAlign w:val="center"/>
          </w:tcPr>
          <w:p>
            <w:pPr>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jc w:val="center"/>
              <w:rPr>
                <w:bCs/>
                <w:szCs w:val="21"/>
              </w:rPr>
            </w:pPr>
          </w:p>
        </w:tc>
        <w:tc>
          <w:tcPr>
            <w:tcW w:w="1082" w:type="dxa"/>
            <w:vMerge w:val="continue"/>
            <w:vAlign w:val="center"/>
          </w:tcPr>
          <w:p>
            <w:pPr>
              <w:jc w:val="center"/>
              <w:rPr>
                <w:bCs/>
                <w:szCs w:val="21"/>
              </w:rPr>
            </w:pPr>
          </w:p>
        </w:tc>
        <w:tc>
          <w:tcPr>
            <w:tcW w:w="5387" w:type="dxa"/>
            <w:vAlign w:val="center"/>
          </w:tcPr>
          <w:p>
            <w:pPr>
              <w:jc w:val="center"/>
              <w:rPr>
                <w:bCs/>
                <w:kern w:val="0"/>
                <w:szCs w:val="21"/>
              </w:rPr>
            </w:pPr>
            <w:r>
              <w:rPr>
                <w:rFonts w:hint="eastAsia"/>
                <w:bCs/>
                <w:kern w:val="0"/>
                <w:szCs w:val="21"/>
              </w:rPr>
              <w:t>生活污水（厨房餐饮废水经隔油池预处理后）储存于</w:t>
            </w:r>
            <w:r>
              <w:rPr>
                <w:bCs/>
                <w:kern w:val="0"/>
                <w:szCs w:val="21"/>
              </w:rPr>
              <w:t>1</w:t>
            </w:r>
            <w:r>
              <w:rPr>
                <w:rFonts w:hint="eastAsia"/>
                <w:bCs/>
                <w:kern w:val="0"/>
                <w:szCs w:val="21"/>
              </w:rPr>
              <w:t>座100</w:t>
            </w:r>
            <w:r>
              <w:rPr>
                <w:bCs/>
                <w:kern w:val="0"/>
                <w:szCs w:val="21"/>
              </w:rPr>
              <w:t>m</w:t>
            </w:r>
            <w:r>
              <w:rPr>
                <w:rFonts w:hint="eastAsia"/>
                <w:bCs/>
                <w:kern w:val="0"/>
                <w:szCs w:val="21"/>
              </w:rPr>
              <w:t>³的防渗化粪池中定期拉运处置</w:t>
            </w:r>
          </w:p>
        </w:tc>
        <w:tc>
          <w:tcPr>
            <w:tcW w:w="1492" w:type="dxa"/>
            <w:vAlign w:val="center"/>
          </w:tcPr>
          <w:p>
            <w:pPr>
              <w:jc w:val="center"/>
              <w:rPr>
                <w:bCs/>
                <w:kern w:val="0"/>
                <w:szCs w:val="21"/>
              </w:rPr>
            </w:pPr>
            <w:r>
              <w:rPr>
                <w:rFonts w:hint="eastAsia"/>
                <w:bCs/>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restart"/>
            <w:vAlign w:val="center"/>
          </w:tcPr>
          <w:p>
            <w:pPr>
              <w:adjustRightInd w:val="0"/>
              <w:snapToGrid w:val="0"/>
              <w:jc w:val="center"/>
              <w:rPr>
                <w:bCs/>
                <w:kern w:val="0"/>
                <w:szCs w:val="21"/>
              </w:rPr>
            </w:pPr>
            <w:r>
              <w:rPr>
                <w:rFonts w:hint="eastAsia"/>
                <w:bCs/>
                <w:szCs w:val="21"/>
              </w:rPr>
              <w:t>废气处置措施</w:t>
            </w:r>
          </w:p>
        </w:tc>
        <w:tc>
          <w:tcPr>
            <w:tcW w:w="5387" w:type="dxa"/>
            <w:vAlign w:val="center"/>
          </w:tcPr>
          <w:p>
            <w:pPr>
              <w:jc w:val="center"/>
              <w:rPr>
                <w:bCs/>
                <w:kern w:val="0"/>
                <w:szCs w:val="21"/>
              </w:rPr>
            </w:pPr>
            <w:r>
              <w:rPr>
                <w:rFonts w:hint="eastAsia"/>
                <w:bCs/>
                <w:kern w:val="0"/>
                <w:szCs w:val="21"/>
              </w:rPr>
              <w:t>项目废旧滴灌带造粒工段要求对造粒挤出机上方设置集气罩收集废气，经收集的有机废气与滴灌带</w:t>
            </w:r>
            <w:r>
              <w:rPr>
                <w:bCs/>
                <w:kern w:val="0"/>
                <w:szCs w:val="21"/>
              </w:rPr>
              <w:t>生产线</w:t>
            </w:r>
            <w:r>
              <w:rPr>
                <w:rFonts w:hint="eastAsia"/>
                <w:bCs/>
                <w:kern w:val="0"/>
                <w:szCs w:val="21"/>
              </w:rPr>
              <w:t>共用一套活性炭吸附+催化燃烧（CO）处置后通过一根15m高排气筒（DA001）外排</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adjustRightInd w:val="0"/>
              <w:snapToGrid w:val="0"/>
              <w:jc w:val="center"/>
              <w:rPr>
                <w:bCs/>
                <w:szCs w:val="21"/>
              </w:rPr>
            </w:pPr>
          </w:p>
        </w:tc>
        <w:tc>
          <w:tcPr>
            <w:tcW w:w="5387" w:type="dxa"/>
            <w:vAlign w:val="center"/>
          </w:tcPr>
          <w:p>
            <w:pPr>
              <w:jc w:val="center"/>
              <w:rPr>
                <w:bCs/>
                <w:kern w:val="0"/>
                <w:szCs w:val="21"/>
              </w:rPr>
            </w:pPr>
            <w:r>
              <w:rPr>
                <w:rFonts w:hint="eastAsia"/>
                <w:bCs/>
                <w:kern w:val="0"/>
                <w:szCs w:val="21"/>
              </w:rPr>
              <w:t>废旧塑料膜造粒熔融挤出工序要求在挤出机上方设置集气罩，将产生的有机废气集中收集后与PE管生产线共用</w:t>
            </w:r>
            <w:r>
              <w:rPr>
                <w:bCs/>
                <w:kern w:val="0"/>
                <w:szCs w:val="21"/>
              </w:rPr>
              <w:t>一套活性炭吸附</w:t>
            </w:r>
            <w:r>
              <w:rPr>
                <w:rFonts w:hint="eastAsia"/>
                <w:bCs/>
                <w:kern w:val="0"/>
                <w:szCs w:val="21"/>
              </w:rPr>
              <w:t>+催化燃烧（CO）</w:t>
            </w:r>
            <w:r>
              <w:rPr>
                <w:bCs/>
                <w:kern w:val="0"/>
                <w:szCs w:val="21"/>
              </w:rPr>
              <w:t>处置后</w:t>
            </w:r>
            <w:r>
              <w:rPr>
                <w:rFonts w:hint="eastAsia"/>
                <w:bCs/>
                <w:kern w:val="0"/>
                <w:szCs w:val="21"/>
              </w:rPr>
              <w:t>通过</w:t>
            </w:r>
            <w:r>
              <w:rPr>
                <w:bCs/>
                <w:kern w:val="0"/>
                <w:szCs w:val="21"/>
              </w:rPr>
              <w:t>一根</w:t>
            </w:r>
            <w:r>
              <w:rPr>
                <w:rFonts w:hint="eastAsia"/>
                <w:bCs/>
                <w:kern w:val="0"/>
                <w:szCs w:val="21"/>
              </w:rPr>
              <w:t>15m高排气筒（DA002）外排</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adjustRightInd w:val="0"/>
              <w:snapToGrid w:val="0"/>
              <w:jc w:val="center"/>
              <w:rPr>
                <w:bCs/>
                <w:szCs w:val="21"/>
              </w:rPr>
            </w:pPr>
          </w:p>
        </w:tc>
        <w:tc>
          <w:tcPr>
            <w:tcW w:w="5387" w:type="dxa"/>
            <w:vAlign w:val="center"/>
          </w:tcPr>
          <w:p>
            <w:pPr>
              <w:jc w:val="center"/>
              <w:rPr>
                <w:bCs/>
                <w:kern w:val="0"/>
                <w:szCs w:val="21"/>
              </w:rPr>
            </w:pPr>
            <w:r>
              <w:rPr>
                <w:rFonts w:hint="eastAsia"/>
                <w:bCs/>
                <w:kern w:val="0"/>
                <w:szCs w:val="21"/>
              </w:rPr>
              <w:t>项目滴灌带挤塑成型工段要求分别对挤出机上方设置集气罩收集废气，经收集的有机废气与废旧滴灌带造粒生产线废气共用设置的一套活性炭吸附+催化燃烧（CO）处置后通过一根15m高排气筒（DA001）外排</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adjustRightInd w:val="0"/>
              <w:snapToGrid w:val="0"/>
              <w:jc w:val="center"/>
              <w:rPr>
                <w:bCs/>
                <w:szCs w:val="21"/>
              </w:rPr>
            </w:pPr>
          </w:p>
        </w:tc>
        <w:tc>
          <w:tcPr>
            <w:tcW w:w="5387" w:type="dxa"/>
            <w:vAlign w:val="center"/>
          </w:tcPr>
          <w:p>
            <w:pPr>
              <w:jc w:val="center"/>
              <w:rPr>
                <w:bCs/>
                <w:kern w:val="0"/>
                <w:szCs w:val="21"/>
              </w:rPr>
            </w:pPr>
            <w:r>
              <w:rPr>
                <w:rFonts w:hint="eastAsia"/>
                <w:bCs/>
                <w:kern w:val="0"/>
                <w:szCs w:val="21"/>
              </w:rPr>
              <w:t>项目PE管</w:t>
            </w:r>
            <w:r>
              <w:rPr>
                <w:bCs/>
                <w:kern w:val="0"/>
                <w:szCs w:val="21"/>
              </w:rPr>
              <w:t>生产线</w:t>
            </w:r>
            <w:r>
              <w:rPr>
                <w:rFonts w:hint="eastAsia"/>
                <w:bCs/>
                <w:kern w:val="0"/>
                <w:szCs w:val="21"/>
              </w:rPr>
              <w:t>要求分别对熔融挤出机上方设置集气罩收集废气，经收集的有机废气与废旧塑料膜造粒生产线有机废气</w:t>
            </w:r>
            <w:r>
              <w:rPr>
                <w:bCs/>
                <w:kern w:val="0"/>
                <w:szCs w:val="21"/>
              </w:rPr>
              <w:t>共用一套</w:t>
            </w:r>
            <w:r>
              <w:rPr>
                <w:rFonts w:hint="eastAsia"/>
                <w:bCs/>
                <w:kern w:val="0"/>
                <w:szCs w:val="21"/>
              </w:rPr>
              <w:t>活性炭吸附+催化燃烧（CO）处置后通过一根15m高排气筒（DA002）外排</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adjustRightInd w:val="0"/>
              <w:snapToGrid w:val="0"/>
              <w:jc w:val="center"/>
              <w:rPr>
                <w:bCs/>
                <w:szCs w:val="21"/>
              </w:rPr>
            </w:pPr>
          </w:p>
        </w:tc>
        <w:tc>
          <w:tcPr>
            <w:tcW w:w="5387" w:type="dxa"/>
            <w:vAlign w:val="center"/>
          </w:tcPr>
          <w:p>
            <w:pPr>
              <w:jc w:val="center"/>
              <w:rPr>
                <w:bCs/>
                <w:kern w:val="0"/>
                <w:szCs w:val="21"/>
              </w:rPr>
            </w:pPr>
            <w:r>
              <w:rPr>
                <w:rFonts w:hint="eastAsia"/>
                <w:bCs/>
                <w:kern w:val="0"/>
                <w:szCs w:val="21"/>
              </w:rPr>
              <w:t>生产车间无组织废气通过加强车间通风等措施控制</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widowControl/>
              <w:jc w:val="left"/>
              <w:rPr>
                <w:bCs/>
                <w:kern w:val="0"/>
                <w:szCs w:val="21"/>
              </w:rPr>
            </w:pPr>
          </w:p>
        </w:tc>
        <w:tc>
          <w:tcPr>
            <w:tcW w:w="5387" w:type="dxa"/>
            <w:vAlign w:val="center"/>
          </w:tcPr>
          <w:p>
            <w:pPr>
              <w:jc w:val="center"/>
              <w:rPr>
                <w:bCs/>
                <w:kern w:val="0"/>
                <w:szCs w:val="21"/>
              </w:rPr>
            </w:pPr>
            <w:r>
              <w:rPr>
                <w:rFonts w:hint="eastAsia"/>
                <w:bCs/>
                <w:kern w:val="0"/>
                <w:szCs w:val="21"/>
              </w:rPr>
              <w:t>废旧滴灌带、废旧塑料膜在厂区设置有封闭式库房堆存，破碎方式采用湿式破碎法</w:t>
            </w:r>
          </w:p>
        </w:tc>
        <w:tc>
          <w:tcPr>
            <w:tcW w:w="1492" w:type="dxa"/>
            <w:vAlign w:val="center"/>
          </w:tcPr>
          <w:p>
            <w:pPr>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Align w:val="center"/>
          </w:tcPr>
          <w:p>
            <w:pPr>
              <w:adjustRightInd w:val="0"/>
              <w:snapToGrid w:val="0"/>
              <w:jc w:val="center"/>
              <w:rPr>
                <w:bCs/>
                <w:kern w:val="0"/>
                <w:szCs w:val="21"/>
              </w:rPr>
            </w:pPr>
            <w:r>
              <w:rPr>
                <w:rFonts w:hint="eastAsia"/>
                <w:bCs/>
                <w:szCs w:val="21"/>
              </w:rPr>
              <w:t>噪声处置措施</w:t>
            </w:r>
          </w:p>
        </w:tc>
        <w:tc>
          <w:tcPr>
            <w:tcW w:w="5387" w:type="dxa"/>
            <w:vAlign w:val="center"/>
          </w:tcPr>
          <w:p>
            <w:pPr>
              <w:adjustRightInd w:val="0"/>
              <w:snapToGrid w:val="0"/>
              <w:jc w:val="center"/>
              <w:rPr>
                <w:bCs/>
                <w:kern w:val="0"/>
                <w:szCs w:val="21"/>
              </w:rPr>
            </w:pPr>
            <w:r>
              <w:rPr>
                <w:rFonts w:hint="eastAsia"/>
                <w:bCs/>
                <w:kern w:val="0"/>
                <w:szCs w:val="21"/>
              </w:rPr>
              <w:t>选用低噪声设备，设备基础减振，将设备均布置在室内，采取厂房隔音等措施降噪</w:t>
            </w:r>
          </w:p>
        </w:tc>
        <w:tc>
          <w:tcPr>
            <w:tcW w:w="1492" w:type="dxa"/>
            <w:vAlign w:val="center"/>
          </w:tcPr>
          <w:p>
            <w:pPr>
              <w:adjustRightInd w:val="0"/>
              <w:snapToGrid w:val="0"/>
              <w:jc w:val="center"/>
              <w:rPr>
                <w:bCs/>
                <w:kern w:val="0"/>
                <w:szCs w:val="21"/>
              </w:rPr>
            </w:pPr>
            <w:r>
              <w:rPr>
                <w:rFonts w:hint="eastAsia"/>
                <w:bCs/>
                <w:kern w:val="0"/>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restart"/>
            <w:vAlign w:val="center"/>
          </w:tcPr>
          <w:p>
            <w:pPr>
              <w:adjustRightInd w:val="0"/>
              <w:snapToGrid w:val="0"/>
              <w:jc w:val="center"/>
              <w:rPr>
                <w:bCs/>
                <w:kern w:val="0"/>
                <w:szCs w:val="21"/>
              </w:rPr>
            </w:pPr>
            <w:r>
              <w:rPr>
                <w:rFonts w:hint="eastAsia"/>
                <w:bCs/>
                <w:szCs w:val="21"/>
              </w:rPr>
              <w:t>固废处置措施</w:t>
            </w:r>
          </w:p>
        </w:tc>
        <w:tc>
          <w:tcPr>
            <w:tcW w:w="5387" w:type="dxa"/>
            <w:vAlign w:val="center"/>
          </w:tcPr>
          <w:p>
            <w:pPr>
              <w:adjustRightInd w:val="0"/>
              <w:snapToGrid w:val="0"/>
              <w:jc w:val="center"/>
              <w:rPr>
                <w:bCs/>
                <w:szCs w:val="21"/>
              </w:rPr>
            </w:pPr>
            <w:r>
              <w:rPr>
                <w:rFonts w:hint="eastAsia"/>
                <w:bCs/>
                <w:szCs w:val="21"/>
              </w:rPr>
              <w:t>项目滴灌带、PE管生产中的不合格品全部进入废旧滴灌带造粒生产线造粒后回用</w:t>
            </w:r>
          </w:p>
        </w:tc>
        <w:tc>
          <w:tcPr>
            <w:tcW w:w="1492" w:type="dxa"/>
            <w:vAlign w:val="center"/>
          </w:tcPr>
          <w:p>
            <w:pPr>
              <w:adjustRightInd w:val="0"/>
              <w:snapToGrid w:val="0"/>
              <w:jc w:val="center"/>
              <w:rPr>
                <w:bCs/>
                <w:szCs w:val="21"/>
              </w:rPr>
            </w:pPr>
            <w:r>
              <w:rPr>
                <w:rFonts w:hint="eastAsia"/>
                <w:bCs/>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adjustRightInd w:val="0"/>
              <w:snapToGrid w:val="0"/>
              <w:jc w:val="center"/>
              <w:rPr>
                <w:bCs/>
                <w:szCs w:val="21"/>
              </w:rPr>
            </w:pPr>
          </w:p>
        </w:tc>
        <w:tc>
          <w:tcPr>
            <w:tcW w:w="5387" w:type="dxa"/>
            <w:vAlign w:val="center"/>
          </w:tcPr>
          <w:p>
            <w:pPr>
              <w:adjustRightInd w:val="0"/>
              <w:snapToGrid w:val="0"/>
              <w:jc w:val="center"/>
              <w:rPr>
                <w:bCs/>
                <w:szCs w:val="21"/>
              </w:rPr>
            </w:pPr>
            <w:r>
              <w:rPr>
                <w:rFonts w:hint="eastAsia"/>
                <w:bCs/>
                <w:szCs w:val="21"/>
              </w:rPr>
              <w:t>废过滤网设置收集箱，经统一收集后送至固废填埋场处置</w:t>
            </w:r>
          </w:p>
        </w:tc>
        <w:tc>
          <w:tcPr>
            <w:tcW w:w="1492" w:type="dxa"/>
            <w:vAlign w:val="center"/>
          </w:tcPr>
          <w:p>
            <w:pPr>
              <w:adjustRightInd w:val="0"/>
              <w:snapToGrid w:val="0"/>
              <w:jc w:val="center"/>
              <w:rPr>
                <w:bCs/>
                <w:szCs w:val="21"/>
              </w:rPr>
            </w:pPr>
            <w:r>
              <w:rPr>
                <w:rFonts w:hint="eastAsia"/>
                <w:bCs/>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widowControl/>
              <w:jc w:val="left"/>
              <w:rPr>
                <w:bCs/>
                <w:kern w:val="0"/>
                <w:szCs w:val="21"/>
              </w:rPr>
            </w:pPr>
          </w:p>
        </w:tc>
        <w:tc>
          <w:tcPr>
            <w:tcW w:w="5387" w:type="dxa"/>
            <w:vAlign w:val="center"/>
          </w:tcPr>
          <w:p>
            <w:pPr>
              <w:adjustRightInd w:val="0"/>
              <w:snapToGrid w:val="0"/>
              <w:jc w:val="center"/>
              <w:rPr>
                <w:bCs/>
                <w:szCs w:val="21"/>
              </w:rPr>
            </w:pPr>
            <w:r>
              <w:rPr>
                <w:rFonts w:hint="eastAsia"/>
                <w:bCs/>
                <w:szCs w:val="21"/>
              </w:rPr>
              <w:t>沉淀池泥沙待生产季完成后统一清掏，送一般固废填埋场处置</w:t>
            </w:r>
          </w:p>
        </w:tc>
        <w:tc>
          <w:tcPr>
            <w:tcW w:w="1492" w:type="dxa"/>
            <w:vAlign w:val="center"/>
          </w:tcPr>
          <w:p>
            <w:pPr>
              <w:adjustRightInd w:val="0"/>
              <w:snapToGrid w:val="0"/>
              <w:jc w:val="center"/>
              <w:rPr>
                <w:bCs/>
                <w:szCs w:val="21"/>
              </w:rPr>
            </w:pPr>
            <w:r>
              <w:rPr>
                <w:rFonts w:hint="eastAsia"/>
                <w:bCs/>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widowControl/>
              <w:jc w:val="left"/>
              <w:rPr>
                <w:bCs/>
                <w:kern w:val="0"/>
                <w:szCs w:val="21"/>
              </w:rPr>
            </w:pPr>
          </w:p>
        </w:tc>
        <w:tc>
          <w:tcPr>
            <w:tcW w:w="5387" w:type="dxa"/>
            <w:vAlign w:val="center"/>
          </w:tcPr>
          <w:p>
            <w:pPr>
              <w:adjustRightInd w:val="0"/>
              <w:snapToGrid w:val="0"/>
              <w:jc w:val="center"/>
              <w:rPr>
                <w:bCs/>
                <w:szCs w:val="21"/>
              </w:rPr>
            </w:pPr>
            <w:r>
              <w:rPr>
                <w:rFonts w:hint="eastAsia"/>
                <w:bCs/>
                <w:szCs w:val="21"/>
              </w:rPr>
              <w:t>废气处置装置的废活性炭、废催化剂定期更换，采用专用</w:t>
            </w:r>
            <w:r>
              <w:rPr>
                <w:bCs/>
                <w:szCs w:val="21"/>
              </w:rPr>
              <w:t>密封包装袋进行包装</w:t>
            </w: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危废暂存间，定期交由有资质的单位处置</w:t>
            </w:r>
          </w:p>
        </w:tc>
        <w:tc>
          <w:tcPr>
            <w:tcW w:w="1492" w:type="dxa"/>
            <w:vAlign w:val="center"/>
          </w:tcPr>
          <w:p>
            <w:pPr>
              <w:adjustRightInd w:val="0"/>
              <w:snapToGrid w:val="0"/>
              <w:jc w:val="center"/>
              <w:rPr>
                <w:bCs/>
                <w:szCs w:val="21"/>
              </w:rPr>
            </w:pPr>
            <w:r>
              <w:rPr>
                <w:rFonts w:hint="eastAsia"/>
                <w:bCs/>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widowControl/>
              <w:jc w:val="left"/>
              <w:rPr>
                <w:bCs/>
                <w:kern w:val="0"/>
                <w:szCs w:val="21"/>
              </w:rPr>
            </w:pPr>
          </w:p>
        </w:tc>
        <w:tc>
          <w:tcPr>
            <w:tcW w:w="5387" w:type="dxa"/>
            <w:vAlign w:val="center"/>
          </w:tcPr>
          <w:p>
            <w:pPr>
              <w:adjustRightInd w:val="0"/>
              <w:snapToGrid w:val="0"/>
              <w:jc w:val="center"/>
              <w:rPr>
                <w:bCs/>
                <w:szCs w:val="21"/>
              </w:rPr>
            </w:pPr>
            <w:r>
              <w:rPr>
                <w:rFonts w:hint="eastAsia"/>
                <w:bCs/>
                <w:szCs w:val="21"/>
              </w:rPr>
              <w:t>废润滑油及桶经桶装收集后暂存于厂区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危废暂存间，定期交由有资质的单位安全处置</w:t>
            </w:r>
          </w:p>
        </w:tc>
        <w:tc>
          <w:tcPr>
            <w:tcW w:w="1492" w:type="dxa"/>
            <w:vAlign w:val="center"/>
          </w:tcPr>
          <w:p>
            <w:pPr>
              <w:adjustRightInd w:val="0"/>
              <w:snapToGrid w:val="0"/>
              <w:jc w:val="center"/>
              <w:rPr>
                <w:bCs/>
                <w:szCs w:val="21"/>
              </w:rPr>
            </w:pPr>
            <w:r>
              <w:rPr>
                <w:rFonts w:hint="eastAsia"/>
                <w:bCs/>
                <w:szCs w:val="21"/>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79" w:type="dxa"/>
            <w:vMerge w:val="continue"/>
            <w:vAlign w:val="center"/>
          </w:tcPr>
          <w:p>
            <w:pPr>
              <w:widowControl/>
              <w:jc w:val="left"/>
              <w:rPr>
                <w:bCs/>
                <w:kern w:val="0"/>
                <w:szCs w:val="21"/>
              </w:rPr>
            </w:pPr>
          </w:p>
        </w:tc>
        <w:tc>
          <w:tcPr>
            <w:tcW w:w="1082" w:type="dxa"/>
            <w:vMerge w:val="continue"/>
            <w:vAlign w:val="center"/>
          </w:tcPr>
          <w:p>
            <w:pPr>
              <w:widowControl/>
              <w:jc w:val="left"/>
              <w:rPr>
                <w:bCs/>
                <w:kern w:val="0"/>
                <w:szCs w:val="21"/>
              </w:rPr>
            </w:pPr>
          </w:p>
        </w:tc>
        <w:tc>
          <w:tcPr>
            <w:tcW w:w="5387" w:type="dxa"/>
            <w:vAlign w:val="center"/>
          </w:tcPr>
          <w:p>
            <w:pPr>
              <w:adjustRightInd w:val="0"/>
              <w:snapToGrid w:val="0"/>
              <w:jc w:val="center"/>
              <w:rPr>
                <w:bCs/>
                <w:szCs w:val="21"/>
              </w:rPr>
            </w:pPr>
            <w:r>
              <w:rPr>
                <w:rFonts w:hint="eastAsia"/>
                <w:bCs/>
                <w:szCs w:val="21"/>
              </w:rPr>
              <w:t>生活垃圾设置垃圾箱，经统一收集后定期交由当地环卫部门清运处置</w:t>
            </w:r>
          </w:p>
        </w:tc>
        <w:tc>
          <w:tcPr>
            <w:tcW w:w="1492" w:type="dxa"/>
            <w:vAlign w:val="center"/>
          </w:tcPr>
          <w:p>
            <w:pPr>
              <w:adjustRightInd w:val="0"/>
              <w:snapToGrid w:val="0"/>
              <w:jc w:val="center"/>
              <w:rPr>
                <w:bCs/>
                <w:szCs w:val="21"/>
              </w:rPr>
            </w:pPr>
            <w:r>
              <w:rPr>
                <w:rFonts w:hint="eastAsia"/>
                <w:bCs/>
                <w:szCs w:val="21"/>
              </w:rPr>
              <w:t>依托</w:t>
            </w: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4.1.3主要原辅材料</w:t>
      </w:r>
    </w:p>
    <w:p>
      <w:pPr>
        <w:spacing w:line="460" w:lineRule="exact"/>
        <w:ind w:firstLine="480" w:firstLineChars="200"/>
        <w:rPr>
          <w:sz w:val="24"/>
          <w:lang w:bidi="en-US"/>
        </w:rPr>
      </w:pPr>
      <w:r>
        <w:rPr>
          <w:rFonts w:hint="eastAsia"/>
          <w:sz w:val="24"/>
          <w:lang w:bidi="en-US"/>
        </w:rPr>
        <w:t>1、原辅材料</w:t>
      </w:r>
    </w:p>
    <w:p>
      <w:pPr>
        <w:spacing w:line="460" w:lineRule="exact"/>
        <w:ind w:firstLine="480" w:firstLineChars="200"/>
        <w:rPr>
          <w:sz w:val="24"/>
          <w:lang w:bidi="en-US"/>
        </w:rPr>
      </w:pPr>
      <w:r>
        <w:rPr>
          <w:rFonts w:hint="eastAsia"/>
          <w:sz w:val="24"/>
          <w:lang w:bidi="en-US"/>
        </w:rPr>
        <w:t>本次扩建项目主要原辅材料品种、年需要量见表4.1</w:t>
      </w:r>
      <w:r>
        <w:rPr>
          <w:sz w:val="24"/>
          <w:lang w:bidi="en-US"/>
        </w:rPr>
        <w:t>-</w:t>
      </w:r>
      <w:r>
        <w:rPr>
          <w:rFonts w:hint="eastAsia"/>
          <w:sz w:val="24"/>
          <w:lang w:bidi="en-US"/>
        </w:rPr>
        <w:t>2。</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表4.1-2                主要原辅材料品种、年需要量一览表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51"/>
        <w:gridCol w:w="1984"/>
        <w:gridCol w:w="975"/>
        <w:gridCol w:w="1197"/>
        <w:gridCol w:w="1427"/>
        <w:gridCol w:w="1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序号</w:t>
            </w:r>
          </w:p>
        </w:tc>
        <w:tc>
          <w:tcPr>
            <w:tcW w:w="851" w:type="dxa"/>
            <w:vAlign w:val="center"/>
          </w:tcPr>
          <w:p>
            <w:pPr>
              <w:adjustRightInd w:val="0"/>
              <w:snapToGrid w:val="0"/>
              <w:jc w:val="center"/>
              <w:rPr>
                <w:bCs/>
                <w:kern w:val="0"/>
                <w:sz w:val="21"/>
                <w:szCs w:val="21"/>
              </w:rPr>
            </w:pPr>
            <w:r>
              <w:rPr>
                <w:rFonts w:hint="eastAsia"/>
                <w:bCs/>
                <w:kern w:val="0"/>
                <w:sz w:val="21"/>
                <w:szCs w:val="21"/>
              </w:rPr>
              <w:t>项目</w:t>
            </w:r>
          </w:p>
        </w:tc>
        <w:tc>
          <w:tcPr>
            <w:tcW w:w="1984" w:type="dxa"/>
            <w:vAlign w:val="center"/>
          </w:tcPr>
          <w:p>
            <w:pPr>
              <w:adjustRightInd w:val="0"/>
              <w:snapToGrid w:val="0"/>
              <w:jc w:val="center"/>
              <w:rPr>
                <w:bCs/>
                <w:kern w:val="0"/>
                <w:sz w:val="21"/>
                <w:szCs w:val="21"/>
              </w:rPr>
            </w:pPr>
            <w:r>
              <w:rPr>
                <w:rFonts w:hint="eastAsia"/>
                <w:bCs/>
                <w:kern w:val="0"/>
                <w:sz w:val="21"/>
                <w:szCs w:val="21"/>
              </w:rPr>
              <w:t>名称</w:t>
            </w:r>
          </w:p>
        </w:tc>
        <w:tc>
          <w:tcPr>
            <w:tcW w:w="975" w:type="dxa"/>
            <w:vAlign w:val="center"/>
          </w:tcPr>
          <w:p>
            <w:pPr>
              <w:adjustRightInd w:val="0"/>
              <w:snapToGrid w:val="0"/>
              <w:jc w:val="center"/>
              <w:rPr>
                <w:bCs/>
                <w:kern w:val="0"/>
                <w:sz w:val="21"/>
                <w:szCs w:val="21"/>
              </w:rPr>
            </w:pPr>
            <w:r>
              <w:rPr>
                <w:rFonts w:hint="eastAsia"/>
                <w:bCs/>
                <w:kern w:val="0"/>
                <w:sz w:val="21"/>
                <w:szCs w:val="21"/>
              </w:rPr>
              <w:t>单位</w:t>
            </w:r>
          </w:p>
        </w:tc>
        <w:tc>
          <w:tcPr>
            <w:tcW w:w="1197" w:type="dxa"/>
            <w:vAlign w:val="center"/>
          </w:tcPr>
          <w:p>
            <w:pPr>
              <w:adjustRightInd w:val="0"/>
              <w:snapToGrid w:val="0"/>
              <w:jc w:val="center"/>
              <w:rPr>
                <w:bCs/>
                <w:kern w:val="0"/>
                <w:sz w:val="21"/>
                <w:szCs w:val="21"/>
              </w:rPr>
            </w:pPr>
            <w:r>
              <w:rPr>
                <w:rFonts w:hint="eastAsia"/>
                <w:bCs/>
                <w:kern w:val="0"/>
                <w:sz w:val="21"/>
                <w:szCs w:val="21"/>
              </w:rPr>
              <w:t>数量</w:t>
            </w:r>
          </w:p>
        </w:tc>
        <w:tc>
          <w:tcPr>
            <w:tcW w:w="1427" w:type="dxa"/>
            <w:vAlign w:val="center"/>
          </w:tcPr>
          <w:p>
            <w:pPr>
              <w:adjustRightInd w:val="0"/>
              <w:snapToGrid w:val="0"/>
              <w:jc w:val="center"/>
              <w:rPr>
                <w:bCs/>
                <w:kern w:val="0"/>
                <w:sz w:val="21"/>
                <w:szCs w:val="21"/>
              </w:rPr>
            </w:pPr>
            <w:r>
              <w:rPr>
                <w:rFonts w:hint="eastAsia"/>
                <w:bCs/>
                <w:kern w:val="0"/>
                <w:sz w:val="21"/>
                <w:szCs w:val="21"/>
              </w:rPr>
              <w:t>来源</w:t>
            </w:r>
          </w:p>
        </w:tc>
        <w:tc>
          <w:tcPr>
            <w:tcW w:w="1131" w:type="dxa"/>
            <w:vAlign w:val="center"/>
          </w:tcPr>
          <w:p>
            <w:pPr>
              <w:adjustRightInd w:val="0"/>
              <w:snapToGrid w:val="0"/>
              <w:jc w:val="center"/>
              <w:rPr>
                <w:bCs/>
                <w:kern w:val="0"/>
                <w:sz w:val="21"/>
                <w:szCs w:val="21"/>
              </w:rPr>
            </w:pPr>
            <w:r>
              <w:rPr>
                <w:rFonts w:hint="eastAsia"/>
                <w:bCs/>
                <w:kern w:val="0"/>
                <w:sz w:val="21"/>
                <w:szCs w:val="21"/>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1</w:t>
            </w:r>
          </w:p>
        </w:tc>
        <w:tc>
          <w:tcPr>
            <w:tcW w:w="851" w:type="dxa"/>
            <w:vMerge w:val="restart"/>
            <w:vAlign w:val="center"/>
          </w:tcPr>
          <w:p>
            <w:pPr>
              <w:adjustRightInd w:val="0"/>
              <w:snapToGrid w:val="0"/>
              <w:jc w:val="center"/>
              <w:rPr>
                <w:bCs/>
                <w:kern w:val="0"/>
                <w:sz w:val="21"/>
                <w:szCs w:val="21"/>
              </w:rPr>
            </w:pPr>
            <w:r>
              <w:rPr>
                <w:rFonts w:hint="eastAsia"/>
                <w:bCs/>
                <w:kern w:val="0"/>
                <w:sz w:val="21"/>
                <w:szCs w:val="21"/>
              </w:rPr>
              <w:t>滴灌带、</w:t>
            </w:r>
            <w:r>
              <w:rPr>
                <w:bCs/>
                <w:kern w:val="0"/>
                <w:sz w:val="21"/>
                <w:szCs w:val="21"/>
              </w:rPr>
              <w:t>PE管</w:t>
            </w:r>
          </w:p>
        </w:tc>
        <w:tc>
          <w:tcPr>
            <w:tcW w:w="1984" w:type="dxa"/>
            <w:vAlign w:val="center"/>
          </w:tcPr>
          <w:p>
            <w:pPr>
              <w:adjustRightInd w:val="0"/>
              <w:snapToGrid w:val="0"/>
              <w:jc w:val="center"/>
              <w:rPr>
                <w:bCs/>
                <w:kern w:val="0"/>
                <w:sz w:val="21"/>
                <w:szCs w:val="21"/>
              </w:rPr>
            </w:pPr>
            <w:r>
              <w:rPr>
                <w:rFonts w:hint="eastAsia"/>
                <w:bCs/>
                <w:kern w:val="0"/>
                <w:sz w:val="21"/>
                <w:szCs w:val="21"/>
              </w:rPr>
              <w:t>废旧滴灌带</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3500</w:t>
            </w:r>
          </w:p>
        </w:tc>
        <w:tc>
          <w:tcPr>
            <w:tcW w:w="1427" w:type="dxa"/>
            <w:vAlign w:val="center"/>
          </w:tcPr>
          <w:p>
            <w:pPr>
              <w:adjustRightInd w:val="0"/>
              <w:snapToGrid w:val="0"/>
              <w:jc w:val="center"/>
              <w:rPr>
                <w:bCs/>
                <w:kern w:val="0"/>
                <w:sz w:val="21"/>
                <w:szCs w:val="21"/>
              </w:rPr>
            </w:pPr>
            <w:r>
              <w:rPr>
                <w:rFonts w:hint="eastAsia"/>
                <w:bCs/>
                <w:kern w:val="0"/>
                <w:sz w:val="21"/>
                <w:szCs w:val="21"/>
              </w:rPr>
              <w:t>当地农户</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0"/>
                <w:szCs w:val="21"/>
              </w:rPr>
            </w:pPr>
            <w:r>
              <w:rPr>
                <w:rFonts w:hint="eastAsia"/>
                <w:bCs/>
                <w:kern w:val="0"/>
                <w:sz w:val="20"/>
                <w:szCs w:val="21"/>
              </w:rPr>
              <w:t>2</w:t>
            </w:r>
          </w:p>
        </w:tc>
        <w:tc>
          <w:tcPr>
            <w:tcW w:w="851" w:type="dxa"/>
            <w:vMerge w:val="continue"/>
            <w:vAlign w:val="center"/>
          </w:tcPr>
          <w:p>
            <w:pPr>
              <w:adjustRightInd w:val="0"/>
              <w:snapToGrid w:val="0"/>
              <w:jc w:val="center"/>
              <w:rPr>
                <w:bCs/>
                <w:kern w:val="0"/>
                <w:sz w:val="20"/>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废旧塑料膜</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2000</w:t>
            </w:r>
          </w:p>
        </w:tc>
        <w:tc>
          <w:tcPr>
            <w:tcW w:w="1427" w:type="dxa"/>
            <w:vAlign w:val="center"/>
          </w:tcPr>
          <w:p>
            <w:pPr>
              <w:adjustRightInd w:val="0"/>
              <w:snapToGrid w:val="0"/>
              <w:jc w:val="center"/>
              <w:rPr>
                <w:bCs/>
                <w:kern w:val="0"/>
                <w:sz w:val="21"/>
                <w:szCs w:val="21"/>
              </w:rPr>
            </w:pPr>
            <w:r>
              <w:rPr>
                <w:rFonts w:hint="eastAsia"/>
                <w:bCs/>
                <w:kern w:val="0"/>
                <w:sz w:val="21"/>
                <w:szCs w:val="21"/>
              </w:rPr>
              <w:t>当地农户</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3</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聚乙烯颗粒新料</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1050</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4</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抗老化剂</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163</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5</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黑色母料</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163</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6</w:t>
            </w:r>
          </w:p>
        </w:tc>
        <w:tc>
          <w:tcPr>
            <w:tcW w:w="851" w:type="dxa"/>
            <w:vMerge w:val="restart"/>
            <w:vAlign w:val="center"/>
          </w:tcPr>
          <w:p>
            <w:pPr>
              <w:adjustRightInd w:val="0"/>
              <w:snapToGrid w:val="0"/>
              <w:jc w:val="center"/>
              <w:rPr>
                <w:bCs/>
                <w:kern w:val="0"/>
                <w:sz w:val="21"/>
                <w:szCs w:val="21"/>
              </w:rPr>
            </w:pPr>
            <w:r>
              <w:rPr>
                <w:rFonts w:hint="eastAsia"/>
                <w:bCs/>
                <w:kern w:val="0"/>
                <w:sz w:val="21"/>
                <w:szCs w:val="21"/>
              </w:rPr>
              <w:t>能源</w:t>
            </w:r>
          </w:p>
        </w:tc>
        <w:tc>
          <w:tcPr>
            <w:tcW w:w="1984" w:type="dxa"/>
            <w:vAlign w:val="center"/>
          </w:tcPr>
          <w:p>
            <w:pPr>
              <w:adjustRightInd w:val="0"/>
              <w:snapToGrid w:val="0"/>
              <w:jc w:val="center"/>
              <w:rPr>
                <w:bCs/>
                <w:kern w:val="0"/>
                <w:sz w:val="21"/>
                <w:szCs w:val="21"/>
              </w:rPr>
            </w:pPr>
            <w:r>
              <w:rPr>
                <w:rFonts w:hint="eastAsia"/>
                <w:bCs/>
                <w:kern w:val="0"/>
                <w:sz w:val="21"/>
                <w:szCs w:val="21"/>
              </w:rPr>
              <w:t>新鲜水</w:t>
            </w:r>
          </w:p>
        </w:tc>
        <w:tc>
          <w:tcPr>
            <w:tcW w:w="975" w:type="dxa"/>
            <w:vAlign w:val="center"/>
          </w:tcPr>
          <w:p>
            <w:pPr>
              <w:adjustRightInd w:val="0"/>
              <w:snapToGrid w:val="0"/>
              <w:jc w:val="center"/>
              <w:rPr>
                <w:bCs/>
                <w:kern w:val="0"/>
                <w:sz w:val="21"/>
                <w:szCs w:val="21"/>
              </w:rPr>
            </w:pPr>
            <w:r>
              <w:rPr>
                <w:bCs/>
                <w:kern w:val="0"/>
                <w:sz w:val="21"/>
                <w:szCs w:val="21"/>
              </w:rPr>
              <w:t>m</w:t>
            </w:r>
            <w:r>
              <w:rPr>
                <w:bCs/>
                <w:kern w:val="0"/>
                <w:sz w:val="21"/>
                <w:szCs w:val="21"/>
                <w:vertAlign w:val="superscript"/>
              </w:rPr>
              <w:t>3</w:t>
            </w:r>
            <w:r>
              <w:rPr>
                <w:bCs/>
                <w:kern w:val="0"/>
                <w:sz w:val="21"/>
                <w:szCs w:val="21"/>
              </w:rPr>
              <w:t>/a</w:t>
            </w:r>
          </w:p>
        </w:tc>
        <w:tc>
          <w:tcPr>
            <w:tcW w:w="1197" w:type="dxa"/>
            <w:vAlign w:val="center"/>
          </w:tcPr>
          <w:p>
            <w:pPr>
              <w:adjustRightInd w:val="0"/>
              <w:snapToGrid w:val="0"/>
              <w:jc w:val="center"/>
              <w:rPr>
                <w:bCs/>
                <w:kern w:val="0"/>
                <w:sz w:val="21"/>
                <w:szCs w:val="21"/>
                <w:highlight w:val="yellow"/>
              </w:rPr>
            </w:pPr>
            <w:r>
              <w:rPr>
                <w:rFonts w:hint="eastAsia"/>
                <w:bCs/>
                <w:kern w:val="0"/>
                <w:sz w:val="21"/>
                <w:szCs w:val="21"/>
              </w:rPr>
              <w:t>2012.4</w:t>
            </w:r>
          </w:p>
        </w:tc>
        <w:tc>
          <w:tcPr>
            <w:tcW w:w="1427" w:type="dxa"/>
            <w:vAlign w:val="center"/>
          </w:tcPr>
          <w:p>
            <w:pPr>
              <w:adjustRightInd w:val="0"/>
              <w:snapToGrid w:val="0"/>
              <w:jc w:val="center"/>
              <w:rPr>
                <w:bCs/>
                <w:kern w:val="0"/>
                <w:sz w:val="21"/>
                <w:szCs w:val="21"/>
              </w:rPr>
            </w:pPr>
            <w:r>
              <w:rPr>
                <w:rFonts w:hint="eastAsia"/>
                <w:bCs/>
                <w:kern w:val="0"/>
                <w:sz w:val="21"/>
                <w:szCs w:val="21"/>
              </w:rPr>
              <w:t>园区供水井</w:t>
            </w:r>
          </w:p>
        </w:tc>
        <w:tc>
          <w:tcPr>
            <w:tcW w:w="1131" w:type="dxa"/>
            <w:vAlign w:val="center"/>
          </w:tcPr>
          <w:p>
            <w:pPr>
              <w:adjustRightInd w:val="0"/>
              <w:snapToGrid w:val="0"/>
              <w:jc w:val="center"/>
              <w:rPr>
                <w:bCs/>
                <w:kern w:val="0"/>
                <w:sz w:val="21"/>
                <w:szCs w:val="21"/>
              </w:rPr>
            </w:pP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7</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电</w:t>
            </w:r>
          </w:p>
        </w:tc>
        <w:tc>
          <w:tcPr>
            <w:tcW w:w="975" w:type="dxa"/>
            <w:vAlign w:val="center"/>
          </w:tcPr>
          <w:p>
            <w:pPr>
              <w:adjustRightInd w:val="0"/>
              <w:snapToGrid w:val="0"/>
              <w:jc w:val="center"/>
              <w:rPr>
                <w:bCs/>
                <w:kern w:val="0"/>
                <w:sz w:val="21"/>
                <w:szCs w:val="21"/>
              </w:rPr>
            </w:pPr>
            <w:r>
              <w:rPr>
                <w:bCs/>
                <w:kern w:val="0"/>
                <w:sz w:val="21"/>
                <w:szCs w:val="21"/>
              </w:rPr>
              <w:t>kW</w:t>
            </w:r>
            <w:r>
              <w:rPr>
                <w:rFonts w:hint="eastAsia"/>
                <w:bCs/>
                <w:kern w:val="0"/>
                <w:sz w:val="21"/>
                <w:szCs w:val="21"/>
              </w:rPr>
              <w:t>•h</w:t>
            </w:r>
            <w:r>
              <w:rPr>
                <w:bCs/>
                <w:kern w:val="0"/>
                <w:sz w:val="21"/>
                <w:szCs w:val="21"/>
              </w:rPr>
              <w:t>/a</w:t>
            </w:r>
          </w:p>
        </w:tc>
        <w:tc>
          <w:tcPr>
            <w:tcW w:w="1197" w:type="dxa"/>
            <w:vAlign w:val="center"/>
          </w:tcPr>
          <w:p>
            <w:pPr>
              <w:adjustRightInd w:val="0"/>
              <w:snapToGrid w:val="0"/>
              <w:jc w:val="center"/>
              <w:rPr>
                <w:bCs/>
                <w:kern w:val="0"/>
                <w:sz w:val="21"/>
                <w:szCs w:val="21"/>
                <w:highlight w:val="yellow"/>
              </w:rPr>
            </w:pPr>
            <w:r>
              <w:rPr>
                <w:rFonts w:hint="eastAsia"/>
                <w:bCs/>
                <w:kern w:val="0"/>
                <w:sz w:val="21"/>
                <w:szCs w:val="21"/>
              </w:rPr>
              <w:t>980000</w:t>
            </w:r>
          </w:p>
        </w:tc>
        <w:tc>
          <w:tcPr>
            <w:tcW w:w="1427" w:type="dxa"/>
            <w:vAlign w:val="center"/>
          </w:tcPr>
          <w:p>
            <w:pPr>
              <w:adjustRightInd w:val="0"/>
              <w:snapToGrid w:val="0"/>
              <w:jc w:val="center"/>
              <w:rPr>
                <w:bCs/>
                <w:kern w:val="0"/>
                <w:sz w:val="21"/>
                <w:szCs w:val="21"/>
              </w:rPr>
            </w:pPr>
            <w:r>
              <w:rPr>
                <w:rFonts w:hint="eastAsia"/>
                <w:bCs/>
                <w:kern w:val="0"/>
                <w:sz w:val="21"/>
                <w:szCs w:val="21"/>
              </w:rPr>
              <w:t>电网</w:t>
            </w:r>
          </w:p>
        </w:tc>
        <w:tc>
          <w:tcPr>
            <w:tcW w:w="1131" w:type="dxa"/>
            <w:vAlign w:val="center"/>
          </w:tcPr>
          <w:p>
            <w:pPr>
              <w:adjustRightInd w:val="0"/>
              <w:snapToGrid w:val="0"/>
              <w:jc w:val="center"/>
              <w:rPr>
                <w:bCs/>
                <w:kern w:val="0"/>
                <w:sz w:val="21"/>
                <w:szCs w:val="21"/>
              </w:rPr>
            </w:pPr>
            <w:r>
              <w:rPr>
                <w:rFonts w:hint="eastAsia"/>
                <w:bCs/>
                <w:kern w:val="0"/>
                <w:sz w:val="21"/>
                <w:szCs w:val="21"/>
              </w:rPr>
              <w:t>/</w:t>
            </w:r>
          </w:p>
        </w:tc>
      </w:tr>
    </w:tbl>
    <w:p>
      <w:pPr>
        <w:spacing w:line="460" w:lineRule="exact"/>
        <w:ind w:firstLine="480" w:firstLineChars="200"/>
        <w:rPr>
          <w:sz w:val="24"/>
          <w:lang w:bidi="en-US"/>
        </w:rPr>
      </w:pPr>
      <w:r>
        <w:rPr>
          <w:rFonts w:hint="eastAsia"/>
          <w:sz w:val="24"/>
          <w:lang w:bidi="en-US"/>
        </w:rPr>
        <w:t>项目主要原辅材料的成分及理化性质见表4.1</w:t>
      </w:r>
      <w:r>
        <w:rPr>
          <w:sz w:val="24"/>
          <w:lang w:bidi="en-US"/>
        </w:rPr>
        <w:t>-</w:t>
      </w:r>
      <w:r>
        <w:rPr>
          <w:rFonts w:hint="eastAsia"/>
          <w:sz w:val="24"/>
          <w:lang w:bidi="en-US"/>
        </w:rPr>
        <w:t>3。</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表4.1</w:t>
      </w:r>
      <w:r>
        <w:rPr>
          <w:rFonts w:ascii="Times New Roman" w:hAnsi="Times New Roman" w:eastAsia="黑体" w:cs="Times New Roman"/>
          <w:sz w:val="21"/>
          <w:lang w:bidi="en-US"/>
        </w:rPr>
        <w:t>-</w:t>
      </w:r>
      <w:r>
        <w:rPr>
          <w:rFonts w:hint="eastAsia" w:ascii="Times New Roman" w:hAnsi="Times New Roman" w:eastAsia="黑体" w:cs="Times New Roman"/>
          <w:sz w:val="21"/>
          <w:lang w:bidi="en-US"/>
        </w:rPr>
        <w:t>3</w:t>
      </w:r>
      <w:r>
        <w:rPr>
          <w:rFonts w:ascii="Times New Roman" w:hAnsi="Times New Roman" w:eastAsia="黑体" w:cs="Times New Roman"/>
          <w:sz w:val="21"/>
          <w:lang w:bidi="en-US"/>
        </w:rPr>
        <w:t xml:space="preserve">      </w:t>
      </w:r>
      <w:r>
        <w:rPr>
          <w:rFonts w:hint="eastAsia" w:ascii="Times New Roman" w:hAnsi="Times New Roman" w:eastAsia="黑体" w:cs="Times New Roman"/>
          <w:sz w:val="21"/>
          <w:lang w:bidi="en-US"/>
        </w:rPr>
        <w:t xml:space="preserve">        原辅材料性质及其主要组分一览表</w:t>
      </w:r>
    </w:p>
    <w:tbl>
      <w:tblPr>
        <w:tblStyle w:val="59"/>
        <w:tblW w:w="832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71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Align w:val="center"/>
          </w:tcPr>
          <w:p>
            <w:pPr>
              <w:adjustRightInd w:val="0"/>
              <w:snapToGrid w:val="0"/>
              <w:jc w:val="center"/>
              <w:rPr>
                <w:bCs/>
                <w:kern w:val="0"/>
                <w:szCs w:val="21"/>
              </w:rPr>
            </w:pPr>
            <w:r>
              <w:rPr>
                <w:rFonts w:hint="eastAsia"/>
                <w:bCs/>
                <w:kern w:val="0"/>
                <w:szCs w:val="21"/>
              </w:rPr>
              <w:t>名称</w:t>
            </w:r>
          </w:p>
        </w:tc>
        <w:tc>
          <w:tcPr>
            <w:tcW w:w="7139" w:type="dxa"/>
            <w:vAlign w:val="center"/>
          </w:tcPr>
          <w:p>
            <w:pPr>
              <w:adjustRightInd w:val="0"/>
              <w:snapToGrid w:val="0"/>
              <w:jc w:val="center"/>
              <w:rPr>
                <w:bCs/>
                <w:kern w:val="0"/>
                <w:szCs w:val="21"/>
              </w:rPr>
            </w:pPr>
            <w:r>
              <w:rPr>
                <w:rFonts w:hint="eastAsia"/>
                <w:bCs/>
                <w:szCs w:val="21"/>
              </w:rPr>
              <w:t>性质及其组分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Align w:val="center"/>
          </w:tcPr>
          <w:p>
            <w:pPr>
              <w:adjustRightInd w:val="0"/>
              <w:snapToGrid w:val="0"/>
              <w:jc w:val="center"/>
              <w:rPr>
                <w:bCs/>
                <w:kern w:val="0"/>
                <w:szCs w:val="21"/>
              </w:rPr>
            </w:pPr>
            <w:r>
              <w:rPr>
                <w:rFonts w:hint="eastAsia"/>
                <w:bCs/>
                <w:kern w:val="0"/>
                <w:szCs w:val="21"/>
              </w:rPr>
              <w:t>废旧滴灌带、废旧塑料膜</w:t>
            </w:r>
          </w:p>
        </w:tc>
        <w:tc>
          <w:tcPr>
            <w:tcW w:w="7139" w:type="dxa"/>
            <w:vAlign w:val="center"/>
          </w:tcPr>
          <w:p>
            <w:pPr>
              <w:adjustRightInd w:val="0"/>
              <w:snapToGrid w:val="0"/>
              <w:jc w:val="left"/>
              <w:rPr>
                <w:bCs/>
                <w:kern w:val="0"/>
                <w:szCs w:val="21"/>
              </w:rPr>
            </w:pPr>
            <w:r>
              <w:rPr>
                <w:rFonts w:hint="eastAsia"/>
                <w:bCs/>
                <w:szCs w:val="21"/>
              </w:rPr>
              <w:t>本项目的废旧滴灌带、废旧塑料膜来源于当地农户种植作物后，产生的废旧滴灌带以及当地各类蔬菜大棚等产生的废旧塑料膜。表面主要为泥沙、尘土，少量废作物残渣，不含有毒有害物质。主要成分为聚乙烯，无臭，无毒，手感似蜡，具有优良的耐低温性能（最低使用温度可达</w:t>
            </w:r>
            <w:r>
              <w:rPr>
                <w:bCs/>
                <w:szCs w:val="21"/>
              </w:rPr>
              <w:t>-70</w:t>
            </w:r>
            <w:r>
              <w:rPr>
                <w:rFonts w:hint="eastAsia"/>
                <w:bCs/>
                <w:szCs w:val="21"/>
              </w:rPr>
              <w:t>～</w:t>
            </w:r>
            <w:r>
              <w:rPr>
                <w:bCs/>
                <w:szCs w:val="21"/>
              </w:rPr>
              <w:t>-100</w:t>
            </w:r>
            <w:r>
              <w:rPr>
                <w:rFonts w:hint="eastAsia"/>
                <w:bCs/>
                <w:szCs w:val="21"/>
              </w:rPr>
              <w:t>℃），化学稳定性好，能耐大多数酸碱的侵蚀，常温下不溶于一般溶剂，吸水性小，但由于其为线性分子可缓慢溶于某些有机溶剂，且不发生溶胀，电绝缘性能优良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Align w:val="center"/>
          </w:tcPr>
          <w:p>
            <w:pPr>
              <w:adjustRightInd w:val="0"/>
              <w:snapToGrid w:val="0"/>
              <w:jc w:val="center"/>
              <w:rPr>
                <w:bCs/>
                <w:kern w:val="0"/>
                <w:szCs w:val="21"/>
              </w:rPr>
            </w:pPr>
            <w:r>
              <w:rPr>
                <w:rFonts w:hint="eastAsia"/>
                <w:bCs/>
                <w:kern w:val="0"/>
                <w:szCs w:val="21"/>
              </w:rPr>
              <w:t>抗老化剂</w:t>
            </w:r>
          </w:p>
        </w:tc>
        <w:tc>
          <w:tcPr>
            <w:tcW w:w="7139" w:type="dxa"/>
            <w:vAlign w:val="center"/>
          </w:tcPr>
          <w:p>
            <w:pPr>
              <w:adjustRightInd w:val="0"/>
              <w:snapToGrid w:val="0"/>
              <w:jc w:val="center"/>
              <w:rPr>
                <w:bCs/>
                <w:kern w:val="0"/>
                <w:szCs w:val="21"/>
              </w:rPr>
            </w:pPr>
            <w:r>
              <w:rPr>
                <w:rFonts w:hint="eastAsia"/>
                <w:bCs/>
                <w:szCs w:val="21"/>
              </w:rPr>
              <w:t>超强的紫外线吸收能力；不易燃、不腐蚀、贮存稳定性好；与不饱和树脂的相容性良好，兼具长效抗氧、抗黄变作用性能；极高的安全性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Align w:val="center"/>
          </w:tcPr>
          <w:p>
            <w:pPr>
              <w:adjustRightInd w:val="0"/>
              <w:snapToGrid w:val="0"/>
              <w:jc w:val="center"/>
              <w:rPr>
                <w:bCs/>
                <w:kern w:val="0"/>
                <w:szCs w:val="21"/>
              </w:rPr>
            </w:pPr>
            <w:r>
              <w:rPr>
                <w:rFonts w:hint="eastAsia"/>
                <w:bCs/>
                <w:kern w:val="0"/>
                <w:szCs w:val="21"/>
              </w:rPr>
              <w:t>黑色母料</w:t>
            </w:r>
          </w:p>
        </w:tc>
        <w:tc>
          <w:tcPr>
            <w:tcW w:w="7139" w:type="dxa"/>
            <w:vAlign w:val="center"/>
          </w:tcPr>
          <w:p>
            <w:pPr>
              <w:adjustRightInd w:val="0"/>
              <w:snapToGrid w:val="0"/>
              <w:jc w:val="left"/>
              <w:rPr>
                <w:bCs/>
                <w:kern w:val="0"/>
                <w:szCs w:val="21"/>
              </w:rPr>
            </w:pPr>
            <w:r>
              <w:rPr>
                <w:rFonts w:hint="eastAsia"/>
                <w:bCs/>
                <w:szCs w:val="21"/>
              </w:rPr>
              <w:t>高黑、高亮，易分散，可达到高光镜面效果。环保、无毒、无味、无烟，产品表面光滑亮泽和实色颜色稳定，韧性好，不会出现色点和色纹等现象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restart"/>
            <w:vAlign w:val="center"/>
          </w:tcPr>
          <w:p>
            <w:pPr>
              <w:adjustRightInd w:val="0"/>
              <w:snapToGrid w:val="0"/>
              <w:jc w:val="center"/>
              <w:rPr>
                <w:bCs/>
                <w:kern w:val="0"/>
                <w:szCs w:val="21"/>
              </w:rPr>
            </w:pPr>
            <w:r>
              <w:rPr>
                <w:rFonts w:hint="eastAsia"/>
                <w:bCs/>
                <w:kern w:val="0"/>
                <w:szCs w:val="21"/>
              </w:rPr>
              <w:t>聚乙烯颗粒</w:t>
            </w:r>
          </w:p>
        </w:tc>
        <w:tc>
          <w:tcPr>
            <w:tcW w:w="7139" w:type="dxa"/>
            <w:vAlign w:val="center"/>
          </w:tcPr>
          <w:p>
            <w:pPr>
              <w:adjustRightInd w:val="0"/>
              <w:snapToGrid w:val="0"/>
              <w:jc w:val="center"/>
              <w:rPr>
                <w:bCs/>
                <w:kern w:val="0"/>
                <w:szCs w:val="21"/>
              </w:rPr>
            </w:pPr>
            <w:r>
              <w:rPr>
                <w:rFonts w:hint="eastAsia"/>
                <w:bCs/>
                <w:kern w:val="0"/>
                <w:szCs w:val="21"/>
              </w:rPr>
              <w:t>性质：聚乙烯无臭，无毒，手感似蜡，具有优良的耐低温性能</w:t>
            </w:r>
            <w:r>
              <w:rPr>
                <w:bCs/>
                <w:kern w:val="0"/>
                <w:szCs w:val="21"/>
              </w:rPr>
              <w:t>(</w:t>
            </w:r>
            <w:r>
              <w:rPr>
                <w:rFonts w:hint="eastAsia"/>
                <w:bCs/>
                <w:kern w:val="0"/>
                <w:szCs w:val="21"/>
              </w:rPr>
              <w:t>最低使用温度可达</w:t>
            </w:r>
            <w:r>
              <w:rPr>
                <w:bCs/>
                <w:kern w:val="0"/>
                <w:szCs w:val="21"/>
              </w:rPr>
              <w:t>-70</w:t>
            </w:r>
            <w:r>
              <w:rPr>
                <w:rFonts w:hint="eastAsia"/>
                <w:bCs/>
                <w:kern w:val="0"/>
                <w:szCs w:val="21"/>
              </w:rPr>
              <w:t>～</w:t>
            </w:r>
            <w:r>
              <w:rPr>
                <w:bCs/>
                <w:kern w:val="0"/>
                <w:szCs w:val="21"/>
              </w:rPr>
              <w:t>-100</w:t>
            </w:r>
            <w:r>
              <w:rPr>
                <w:rFonts w:hint="eastAsia"/>
                <w:bCs/>
                <w:kern w:val="0"/>
                <w:szCs w:val="21"/>
              </w:rPr>
              <w:t>℃</w:t>
            </w:r>
            <w:r>
              <w:rPr>
                <w:bCs/>
                <w:kern w:val="0"/>
                <w:szCs w:val="21"/>
              </w:rPr>
              <w:t>)</w:t>
            </w:r>
            <w:r>
              <w:rPr>
                <w:rFonts w:hint="eastAsia"/>
                <w:bCs/>
                <w:kern w:val="0"/>
                <w:szCs w:val="21"/>
              </w:rPr>
              <w:t>，化学稳定性好，能耐大多数酸碱的侵蚀</w:t>
            </w:r>
            <w:r>
              <w:rPr>
                <w:bCs/>
                <w:kern w:val="0"/>
                <w:szCs w:val="21"/>
              </w:rPr>
              <w:t>(</w:t>
            </w:r>
            <w:r>
              <w:rPr>
                <w:rFonts w:hint="eastAsia"/>
                <w:bCs/>
                <w:kern w:val="0"/>
                <w:szCs w:val="21"/>
              </w:rPr>
              <w:t>不耐具有氧化性质的酸</w:t>
            </w:r>
            <w:r>
              <w:rPr>
                <w:bCs/>
                <w:kern w:val="0"/>
                <w:szCs w:val="21"/>
              </w:rPr>
              <w:t>)</w:t>
            </w:r>
            <w:r>
              <w:rPr>
                <w:rFonts w:hint="eastAsia"/>
                <w:bCs/>
                <w:kern w:val="0"/>
                <w:szCs w:val="21"/>
              </w:rPr>
              <w:t>，常温下不溶于一般溶剂，吸水性小，但由于其为线性分子可缓慢溶于某些有机溶剂，且不发生溶胀，电绝缘性能优良；但聚乙烯对于环境应力</w:t>
            </w:r>
            <w:r>
              <w:rPr>
                <w:bCs/>
                <w:kern w:val="0"/>
                <w:szCs w:val="21"/>
              </w:rPr>
              <w:t>(</w:t>
            </w:r>
            <w:r>
              <w:rPr>
                <w:rFonts w:hint="eastAsia"/>
                <w:bCs/>
                <w:kern w:val="0"/>
                <w:szCs w:val="21"/>
              </w:rPr>
              <w:t>化学与机械作用</w:t>
            </w:r>
            <w:r>
              <w:rPr>
                <w:bCs/>
                <w:kern w:val="0"/>
                <w:szCs w:val="21"/>
              </w:rPr>
              <w:t>)</w:t>
            </w:r>
            <w:r>
              <w:rPr>
                <w:rFonts w:hint="eastAsia"/>
                <w:bCs/>
                <w:kern w:val="0"/>
                <w:szCs w:val="21"/>
              </w:rPr>
              <w:t>是很敏感的，耐热老化性差。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continue"/>
            <w:vAlign w:val="center"/>
          </w:tcPr>
          <w:p>
            <w:pPr>
              <w:adjustRightInd w:val="0"/>
              <w:snapToGrid w:val="0"/>
              <w:jc w:val="center"/>
              <w:rPr>
                <w:bCs/>
                <w:kern w:val="0"/>
                <w:szCs w:val="21"/>
              </w:rPr>
            </w:pPr>
          </w:p>
        </w:tc>
        <w:tc>
          <w:tcPr>
            <w:tcW w:w="7139" w:type="dxa"/>
            <w:vAlign w:val="center"/>
          </w:tcPr>
          <w:p>
            <w:pPr>
              <w:adjustRightInd w:val="0"/>
              <w:snapToGrid w:val="0"/>
              <w:jc w:val="center"/>
              <w:rPr>
                <w:bCs/>
                <w:kern w:val="0"/>
                <w:szCs w:val="21"/>
              </w:rPr>
            </w:pPr>
            <w:r>
              <w:rPr>
                <w:rFonts w:hint="eastAsia"/>
                <w:bCs/>
                <w:kern w:val="0"/>
                <w:szCs w:val="21"/>
              </w:rPr>
              <w:t>组分：</w:t>
            </w:r>
            <w:r>
              <w:rPr>
                <w:rFonts w:hint="eastAsia"/>
                <w:bCs/>
                <w:szCs w:val="21"/>
              </w:rPr>
              <w:t>聚乙烯英文名称：</w:t>
            </w:r>
            <w:r>
              <w:rPr>
                <w:bCs/>
                <w:szCs w:val="21"/>
              </w:rPr>
              <w:t xml:space="preserve">polyethylene </w:t>
            </w:r>
            <w:r>
              <w:rPr>
                <w:rFonts w:hint="eastAsia"/>
                <w:bCs/>
                <w:szCs w:val="21"/>
              </w:rPr>
              <w:t>，简称</w:t>
            </w:r>
            <w:r>
              <w:rPr>
                <w:bCs/>
                <w:szCs w:val="21"/>
              </w:rPr>
              <w:t>PE</w:t>
            </w:r>
            <w:r>
              <w:rPr>
                <w:rFonts w:hint="eastAsia"/>
                <w:bCs/>
                <w:szCs w:val="21"/>
              </w:rPr>
              <w:t>，是乙烯经聚合制得的一种</w:t>
            </w:r>
            <w:r>
              <w:fldChar w:fldCharType="begin"/>
            </w:r>
            <w:r>
              <w:instrText xml:space="preserve"> HYPERLINK "http://baike.baidu.com/view/861510.htm" \t "_blank" </w:instrText>
            </w:r>
            <w:r>
              <w:fldChar w:fldCharType="separate"/>
            </w:r>
            <w:r>
              <w:rPr>
                <w:rFonts w:hint="eastAsia"/>
                <w:bCs/>
              </w:rPr>
              <w:t>热塑性树脂</w:t>
            </w:r>
            <w:r>
              <w:rPr>
                <w:rFonts w:hint="eastAsia"/>
                <w:bCs/>
              </w:rPr>
              <w:fldChar w:fldCharType="end"/>
            </w:r>
            <w:r>
              <w:rPr>
                <w:rFonts w:hint="eastAsia"/>
                <w:bCs/>
                <w:szCs w:val="21"/>
              </w:rPr>
              <w:t>。在工业上，也包括乙烯与少量</w:t>
            </w:r>
            <w:r>
              <w:rPr>
                <w:bCs/>
                <w:szCs w:val="21"/>
              </w:rPr>
              <w:t xml:space="preserve"> α</w:t>
            </w:r>
            <w:r>
              <w:rPr>
                <w:rFonts w:hint="eastAsia"/>
                <w:bCs/>
                <w:szCs w:val="21"/>
              </w:rPr>
              <w:t>－烯烃的共聚物。</w:t>
            </w:r>
          </w:p>
        </w:tc>
      </w:tr>
    </w:tbl>
    <w:p>
      <w:pPr>
        <w:spacing w:line="460" w:lineRule="exact"/>
        <w:ind w:firstLine="480" w:firstLineChars="200"/>
        <w:rPr>
          <w:sz w:val="24"/>
          <w:lang w:bidi="en-US"/>
        </w:rPr>
      </w:pPr>
      <w:r>
        <w:rPr>
          <w:rFonts w:hint="eastAsia"/>
          <w:sz w:val="24"/>
          <w:lang w:bidi="en-US"/>
        </w:rPr>
        <w:t>2、废旧滴灌带来源、种类控制和贮存要求</w:t>
      </w:r>
    </w:p>
    <w:p>
      <w:pPr>
        <w:spacing w:line="460" w:lineRule="exact"/>
        <w:ind w:firstLine="480" w:firstLineChars="200"/>
        <w:rPr>
          <w:sz w:val="24"/>
          <w:lang w:bidi="en-US"/>
        </w:rPr>
      </w:pPr>
      <w:r>
        <w:rPr>
          <w:rFonts w:hint="eastAsia"/>
          <w:sz w:val="24"/>
          <w:lang w:bidi="en-US"/>
        </w:rPr>
        <w:t>（</w:t>
      </w:r>
      <w:r>
        <w:rPr>
          <w:sz w:val="24"/>
          <w:lang w:bidi="en-US"/>
        </w:rPr>
        <w:t>1</w:t>
      </w:r>
      <w:r>
        <w:rPr>
          <w:rFonts w:hint="eastAsia"/>
          <w:sz w:val="24"/>
          <w:lang w:bidi="en-US"/>
        </w:rPr>
        <w:t>）来源</w:t>
      </w:r>
    </w:p>
    <w:p>
      <w:pPr>
        <w:spacing w:line="460" w:lineRule="exact"/>
        <w:ind w:firstLine="480" w:firstLineChars="200"/>
        <w:rPr>
          <w:sz w:val="24"/>
          <w:lang w:bidi="en-US"/>
        </w:rPr>
      </w:pPr>
      <w:r>
        <w:rPr>
          <w:rFonts w:hint="eastAsia"/>
          <w:sz w:val="24"/>
          <w:lang w:bidi="en-US"/>
        </w:rPr>
        <w:t>本项目回收的废旧滴灌带、废旧塑料膜（主要回收棚膜等较厚塑料膜）主要为当地农户农业生产产生的废旧塑料，本项目回收</w:t>
      </w:r>
      <w:r>
        <w:rPr>
          <w:sz w:val="24"/>
          <w:lang w:bidi="en-US"/>
        </w:rPr>
        <w:t>废旧塑料主要从各个回收网点回收，各</w:t>
      </w:r>
      <w:r>
        <w:rPr>
          <w:rFonts w:hint="eastAsia"/>
          <w:sz w:val="24"/>
          <w:lang w:bidi="en-US"/>
        </w:rPr>
        <w:t>回收</w:t>
      </w:r>
      <w:r>
        <w:rPr>
          <w:sz w:val="24"/>
          <w:lang w:bidi="en-US"/>
        </w:rPr>
        <w:t>网点自田间回收过程进行初步</w:t>
      </w:r>
      <w:r>
        <w:rPr>
          <w:rFonts w:hint="eastAsia"/>
          <w:sz w:val="24"/>
          <w:lang w:bidi="en-US"/>
        </w:rPr>
        <w:t>分选</w:t>
      </w:r>
      <w:r>
        <w:rPr>
          <w:sz w:val="24"/>
          <w:lang w:bidi="en-US"/>
        </w:rPr>
        <w:t>，</w:t>
      </w:r>
      <w:r>
        <w:rPr>
          <w:rFonts w:hint="eastAsia"/>
          <w:sz w:val="24"/>
          <w:lang w:bidi="en-US"/>
        </w:rPr>
        <w:t>除去</w:t>
      </w:r>
      <w:r>
        <w:rPr>
          <w:sz w:val="24"/>
          <w:lang w:bidi="en-US"/>
        </w:rPr>
        <w:t>大部分杂质，</w:t>
      </w:r>
      <w:r>
        <w:rPr>
          <w:rFonts w:hint="eastAsia"/>
          <w:sz w:val="24"/>
          <w:lang w:bidi="en-US"/>
        </w:rPr>
        <w:t>本项目</w:t>
      </w:r>
      <w:r>
        <w:rPr>
          <w:sz w:val="24"/>
          <w:lang w:bidi="en-US"/>
        </w:rPr>
        <w:t>从各网点回收废旧塑料过程需控制废塑料中杂质含量，尽量减少杂质带入厂区，</w:t>
      </w:r>
      <w:r>
        <w:rPr>
          <w:rFonts w:hint="eastAsia"/>
          <w:sz w:val="24"/>
          <w:lang w:bidi="en-US"/>
        </w:rPr>
        <w:t>环评要求企业在厂区内堆存废旧塑料期间进行严格的管理，回收的废旧塑料经汽车运送至厂区后暂存于原料库房，库房为封闭式，避免产生粉尘等或大风天气对周围环境空气的影响。根据</w:t>
      </w:r>
      <w:r>
        <w:rPr>
          <w:sz w:val="24"/>
          <w:lang w:bidi="en-US"/>
        </w:rPr>
        <w:t>建设单位对项目区域调查</w:t>
      </w:r>
      <w:r>
        <w:rPr>
          <w:rFonts w:hint="eastAsia"/>
          <w:sz w:val="24"/>
          <w:lang w:bidi="en-US"/>
        </w:rPr>
        <w:t>，</w:t>
      </w:r>
      <w:r>
        <w:rPr>
          <w:sz w:val="24"/>
          <w:lang w:bidi="en-US"/>
        </w:rPr>
        <w:t>本项目回收废旧</w:t>
      </w:r>
      <w:r>
        <w:rPr>
          <w:rFonts w:hint="eastAsia"/>
          <w:sz w:val="24"/>
          <w:lang w:bidi="en-US"/>
        </w:rPr>
        <w:t>滴灌带及废旧塑料膜</w:t>
      </w:r>
      <w:r>
        <w:rPr>
          <w:sz w:val="24"/>
          <w:lang w:bidi="en-US"/>
        </w:rPr>
        <w:t>范围主要包括</w:t>
      </w:r>
      <w:r>
        <w:rPr>
          <w:rFonts w:hint="eastAsia"/>
          <w:sz w:val="24"/>
          <w:lang w:bidi="en-US"/>
        </w:rPr>
        <w:t>昌吉国家农业科技园区示范区昌吉联强农场6500亩、昌吉佳宏润兴农场20000亩、老龙河一片区，新疆新龙升种植合作社28000亩、胡平农场13000亩、华兴农场20000亩、老龙河二片区16000亩老龙河三片区20000亩以及昌吉市六工镇东五工村6000亩、昌吉市六工镇下三工村5000亩、昌吉市六工镇沙梁子村8000亩、农六师101团20000亩、农六师102团15000亩、农六师103团18000亩、农十二师三坪弄场20000亩、农十二师五一农场30000亩、昌吉市三工镇15000亩，共计近30万亩耕地，根据调查，废旧塑料膜及废旧滴灌带产生量充裕，</w:t>
      </w:r>
      <w:r>
        <w:rPr>
          <w:sz w:val="24"/>
          <w:lang w:bidi="en-US"/>
        </w:rPr>
        <w:t>因此项目原料均有可靠来源，可保证本项目稳定运行。</w:t>
      </w:r>
    </w:p>
    <w:p>
      <w:pPr>
        <w:spacing w:line="460" w:lineRule="exact"/>
        <w:ind w:firstLine="480" w:firstLineChars="200"/>
        <w:rPr>
          <w:sz w:val="24"/>
          <w:lang w:bidi="en-US"/>
        </w:rPr>
      </w:pPr>
      <w:r>
        <w:rPr>
          <w:rFonts w:hint="eastAsia"/>
          <w:sz w:val="24"/>
          <w:lang w:bidi="en-US"/>
        </w:rPr>
        <w:t>（</w:t>
      </w:r>
      <w:r>
        <w:rPr>
          <w:sz w:val="24"/>
          <w:lang w:bidi="en-US"/>
        </w:rPr>
        <w:t>2</w:t>
      </w:r>
      <w:r>
        <w:rPr>
          <w:rFonts w:hint="eastAsia"/>
          <w:sz w:val="24"/>
          <w:lang w:bidi="en-US"/>
        </w:rPr>
        <w:t>）原料质量管理控制要求</w:t>
      </w:r>
    </w:p>
    <w:p>
      <w:pPr>
        <w:spacing w:line="460" w:lineRule="exact"/>
        <w:ind w:firstLine="480" w:firstLineChars="200"/>
        <w:rPr>
          <w:sz w:val="24"/>
          <w:lang w:bidi="en-US"/>
        </w:rPr>
      </w:pPr>
      <w:r>
        <w:rPr>
          <w:sz w:val="24"/>
          <w:lang w:bidi="en-US"/>
        </w:rPr>
        <w:t>1</w:t>
      </w:r>
      <w:r>
        <w:rPr>
          <w:rFonts w:hint="eastAsia"/>
          <w:sz w:val="24"/>
          <w:lang w:bidi="en-US"/>
        </w:rPr>
        <w:t>）本项目所回收的废旧塑料主要是农户生产产生的废旧滴灌带、废旧塑料膜，废旧滴灌带、废旧塑料膜主要成分为聚乙烯，均不包括含有卤素、苯的废塑料。</w:t>
      </w:r>
    </w:p>
    <w:p>
      <w:pPr>
        <w:spacing w:line="460" w:lineRule="exact"/>
        <w:ind w:firstLine="480" w:firstLineChars="200"/>
        <w:rPr>
          <w:sz w:val="24"/>
          <w:lang w:bidi="en-US"/>
        </w:rPr>
      </w:pPr>
      <w:r>
        <w:rPr>
          <w:sz w:val="24"/>
          <w:lang w:bidi="en-US"/>
        </w:rPr>
        <w:t>2</w:t>
      </w:r>
      <w:r>
        <w:rPr>
          <w:rFonts w:hint="eastAsia"/>
          <w:sz w:val="24"/>
          <w:lang w:bidi="en-US"/>
        </w:rPr>
        <w:t>）本项目所回收的废旧塑料主要是聚乙烯废塑料；其他携带特性物质的废塑料不允许本建设单位回收加工，主要提出以下的管理控制细则：</w:t>
      </w:r>
    </w:p>
    <w:p>
      <w:pPr>
        <w:spacing w:line="460" w:lineRule="exact"/>
        <w:ind w:firstLine="480" w:firstLineChars="200"/>
        <w:rPr>
          <w:sz w:val="24"/>
          <w:lang w:bidi="en-US"/>
        </w:rPr>
      </w:pPr>
      <w:r>
        <w:rPr>
          <w:rFonts w:hint="eastAsia" w:ascii="宋体" w:hAnsi="宋体" w:cs="宋体"/>
          <w:sz w:val="24"/>
          <w:lang w:bidi="en-US"/>
        </w:rPr>
        <w:t>①</w:t>
      </w:r>
      <w:r>
        <w:rPr>
          <w:rFonts w:hint="eastAsia"/>
          <w:sz w:val="24"/>
          <w:lang w:bidi="en-US"/>
        </w:rPr>
        <w:t>企业按照《废塑料污染控制技术规范》（HJ 364-2022）提出的回收要求、包装和运输要求、储存要求进行严格控制，在执行过程中如达不到要求，进行限期整改或停止生产。</w:t>
      </w:r>
    </w:p>
    <w:p>
      <w:pPr>
        <w:spacing w:line="460" w:lineRule="exact"/>
        <w:ind w:firstLine="480" w:firstLineChars="200"/>
        <w:rPr>
          <w:sz w:val="24"/>
          <w:lang w:bidi="en-US"/>
        </w:rPr>
      </w:pPr>
      <w:r>
        <w:rPr>
          <w:rFonts w:hint="eastAsia" w:ascii="宋体" w:hAnsi="宋体" w:cs="宋体"/>
          <w:sz w:val="24"/>
          <w:lang w:bidi="en-US"/>
        </w:rPr>
        <w:t>②</w:t>
      </w:r>
      <w:r>
        <w:rPr>
          <w:rFonts w:hint="eastAsia"/>
          <w:sz w:val="24"/>
          <w:lang w:bidi="en-US"/>
        </w:rPr>
        <w:t>企业本着保护环境、废旧物品资源化利用的原则，制定严格的管理制度，进行自查，以确保原料来源的适合性和合理性，禁止回收不符合本项目处理要求的任何废旧塑料。</w:t>
      </w:r>
    </w:p>
    <w:p>
      <w:pPr>
        <w:spacing w:line="460" w:lineRule="exact"/>
        <w:ind w:firstLine="480" w:firstLineChars="200"/>
        <w:rPr>
          <w:sz w:val="24"/>
          <w:lang w:bidi="en-US"/>
        </w:rPr>
      </w:pPr>
      <w:r>
        <w:rPr>
          <w:rFonts w:hint="eastAsia"/>
          <w:sz w:val="24"/>
          <w:lang w:bidi="en-US"/>
        </w:rPr>
        <w:t>（</w:t>
      </w:r>
      <w:r>
        <w:rPr>
          <w:sz w:val="24"/>
          <w:lang w:bidi="en-US"/>
        </w:rPr>
        <w:t>3</w:t>
      </w:r>
      <w:r>
        <w:rPr>
          <w:rFonts w:hint="eastAsia"/>
          <w:sz w:val="24"/>
          <w:lang w:bidi="en-US"/>
        </w:rPr>
        <w:t>）原料回收负面清单分析</w:t>
      </w:r>
    </w:p>
    <w:p>
      <w:pPr>
        <w:spacing w:line="460" w:lineRule="exact"/>
        <w:ind w:firstLine="480" w:firstLineChars="200"/>
        <w:rPr>
          <w:sz w:val="24"/>
          <w:lang w:bidi="en-US"/>
        </w:rPr>
      </w:pPr>
      <w:r>
        <w:rPr>
          <w:rFonts w:hint="eastAsia"/>
          <w:sz w:val="24"/>
          <w:lang w:bidi="en-US"/>
        </w:rPr>
        <w:t>根据废旧塑料回收相关规定，对于明确不能回收利用的废旧塑料种类，建设单位应禁止收购，并提出废旧塑料收购负面清单，详见表</w:t>
      </w:r>
      <w:r>
        <w:rPr>
          <w:sz w:val="24"/>
          <w:lang w:bidi="en-US"/>
        </w:rPr>
        <w:t>4.1-4</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w:t>
      </w:r>
      <w:r>
        <w:rPr>
          <w:rFonts w:ascii="Times New Roman" w:hAnsi="Times New Roman" w:eastAsia="黑体" w:cs="Times New Roman"/>
          <w:sz w:val="21"/>
          <w:lang w:bidi="en-US"/>
        </w:rPr>
        <w:t xml:space="preserve">4.1-4                </w:t>
      </w:r>
      <w:r>
        <w:rPr>
          <w:rFonts w:hint="eastAsia" w:ascii="Times New Roman" w:hAnsi="Times New Roman" w:eastAsia="黑体" w:cs="Times New Roman"/>
          <w:sz w:val="21"/>
          <w:lang w:bidi="en-US"/>
        </w:rPr>
        <w:t>废旧塑料回收负面清单</w:t>
      </w:r>
    </w:p>
    <w:tbl>
      <w:tblPr>
        <w:tblStyle w:val="60"/>
        <w:tblW w:w="86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985"/>
        <w:gridCol w:w="3544"/>
        <w:gridCol w:w="1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12" w:space="0"/>
              <w:left w:val="nil"/>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序号</w:t>
            </w:r>
          </w:p>
        </w:tc>
        <w:tc>
          <w:tcPr>
            <w:tcW w:w="113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物质名称</w:t>
            </w:r>
          </w:p>
        </w:tc>
        <w:tc>
          <w:tcPr>
            <w:tcW w:w="198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定义</w:t>
            </w:r>
          </w:p>
        </w:tc>
        <w:tc>
          <w:tcPr>
            <w:tcW w:w="354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具体物质</w:t>
            </w:r>
          </w:p>
        </w:tc>
        <w:tc>
          <w:tcPr>
            <w:tcW w:w="1275" w:type="dxa"/>
            <w:tcBorders>
              <w:top w:val="single" w:color="auto" w:sz="12" w:space="0"/>
              <w:left w:val="single" w:color="auto" w:sz="4" w:space="0"/>
              <w:bottom w:val="single" w:color="auto" w:sz="4" w:space="0"/>
              <w:right w:val="nil"/>
            </w:tcBorders>
            <w:vAlign w:val="center"/>
          </w:tcPr>
          <w:p>
            <w:pPr>
              <w:adjustRightInd w:val="0"/>
              <w:snapToGrid w:val="0"/>
              <w:jc w:val="center"/>
              <w:rPr>
                <w:bCs/>
                <w:kern w:val="0"/>
                <w:sz w:val="21"/>
                <w:szCs w:val="21"/>
              </w:rPr>
            </w:pPr>
            <w:r>
              <w:rPr>
                <w:rFonts w:hint="eastAsia"/>
                <w:bCs/>
                <w:kern w:val="0"/>
                <w:sz w:val="21"/>
                <w:szCs w:val="21"/>
              </w:rPr>
              <w:t>控制对策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jc w:val="center"/>
              <w:rPr>
                <w:bCs/>
                <w:kern w:val="0"/>
                <w:sz w:val="21"/>
                <w:szCs w:val="21"/>
              </w:rPr>
            </w:pPr>
            <w:r>
              <w:rPr>
                <w:bCs/>
                <w:kern w:val="0"/>
                <w:sz w:val="21"/>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含医疗废物的废旧塑料</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指医疗卫生机构在医疗、预防、保健以及其他相关活动中产生的具有直接或者间接感染性、毒性以及其他危害性的废物</w:t>
            </w:r>
          </w:p>
        </w:tc>
        <w:tc>
          <w:tcPr>
            <w:tcW w:w="3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主要为一次性医疗器具、手术后的废弃品，包括塑料药瓶、塑料输液瓶、输液器、针管等（详见医疗废物分类目录）</w:t>
            </w:r>
          </w:p>
        </w:tc>
        <w:tc>
          <w:tcPr>
            <w:tcW w:w="1275" w:type="dxa"/>
            <w:tcBorders>
              <w:top w:val="single" w:color="auto" w:sz="4" w:space="0"/>
              <w:left w:val="single" w:color="auto" w:sz="4" w:space="0"/>
              <w:bottom w:val="single" w:color="auto" w:sz="4" w:space="0"/>
              <w:right w:val="nil"/>
            </w:tcBorders>
            <w:vAlign w:val="center"/>
          </w:tcPr>
          <w:p>
            <w:pPr>
              <w:adjustRightInd w:val="0"/>
              <w:snapToGrid w:val="0"/>
              <w:jc w:val="center"/>
              <w:rPr>
                <w:bCs/>
                <w:kern w:val="0"/>
                <w:sz w:val="21"/>
                <w:szCs w:val="21"/>
              </w:rPr>
            </w:pPr>
            <w:r>
              <w:rPr>
                <w:rFonts w:hint="eastAsia"/>
                <w:bCs/>
                <w:kern w:val="0"/>
                <w:sz w:val="21"/>
                <w:szCs w:val="21"/>
              </w:rPr>
              <w:t>禁止收购或用作原料用于生产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jc w:val="center"/>
              <w:rPr>
                <w:bCs/>
                <w:kern w:val="0"/>
                <w:sz w:val="21"/>
                <w:szCs w:val="21"/>
              </w:rPr>
            </w:pPr>
            <w:r>
              <w:rPr>
                <w:bCs/>
                <w:kern w:val="0"/>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含危险废物的废旧塑料</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指列入国家危险废物名录或者根据国家规定的危险废物鉴别标准和鉴别方法认定的具有危险特性的废物</w:t>
            </w:r>
          </w:p>
        </w:tc>
        <w:tc>
          <w:tcPr>
            <w:tcW w:w="3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农药废弃包装物、盛装过危险废物的塑料容器等，详见《国家危险废物名录》（</w:t>
            </w:r>
            <w:r>
              <w:rPr>
                <w:bCs/>
                <w:kern w:val="0"/>
                <w:sz w:val="21"/>
                <w:szCs w:val="21"/>
              </w:rPr>
              <w:t xml:space="preserve">2016 </w:t>
            </w:r>
            <w:r>
              <w:rPr>
                <w:rFonts w:hint="eastAsia"/>
                <w:bCs/>
                <w:kern w:val="0"/>
                <w:sz w:val="21"/>
                <w:szCs w:val="21"/>
              </w:rPr>
              <w:t>年）</w:t>
            </w:r>
          </w:p>
        </w:tc>
        <w:tc>
          <w:tcPr>
            <w:tcW w:w="1275" w:type="dxa"/>
            <w:tcBorders>
              <w:top w:val="single" w:color="auto" w:sz="4" w:space="0"/>
              <w:left w:val="single" w:color="auto" w:sz="4" w:space="0"/>
              <w:bottom w:val="single" w:color="auto" w:sz="4" w:space="0"/>
              <w:right w:val="nil"/>
            </w:tcBorders>
            <w:vAlign w:val="center"/>
          </w:tcPr>
          <w:p>
            <w:pPr>
              <w:adjustRightInd w:val="0"/>
              <w:snapToGrid w:val="0"/>
              <w:jc w:val="center"/>
              <w:rPr>
                <w:bCs/>
                <w:kern w:val="0"/>
                <w:sz w:val="21"/>
                <w:szCs w:val="21"/>
              </w:rPr>
            </w:pPr>
            <w:r>
              <w:rPr>
                <w:rFonts w:hint="eastAsia"/>
                <w:bCs/>
                <w:kern w:val="0"/>
                <w:sz w:val="21"/>
                <w:szCs w:val="21"/>
              </w:rPr>
              <w:t>禁止收购或用作原料用于生产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jc w:val="center"/>
              <w:rPr>
                <w:bCs/>
                <w:kern w:val="0"/>
                <w:sz w:val="21"/>
                <w:szCs w:val="21"/>
              </w:rPr>
            </w:pPr>
            <w:r>
              <w:rPr>
                <w:bCs/>
                <w:kern w:val="0"/>
                <w:sz w:val="21"/>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含聚氯乙烯的废旧塑料</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是氯乙烯单体在过氧化物、偶氮化合物等引发剂；或在光、热作用下按自由基聚合反应机理聚合而成的聚合物简称</w:t>
            </w:r>
            <w:r>
              <w:rPr>
                <w:bCs/>
                <w:kern w:val="0"/>
                <w:sz w:val="21"/>
                <w:szCs w:val="21"/>
              </w:rPr>
              <w:t>PVC</w:t>
            </w:r>
          </w:p>
        </w:tc>
        <w:tc>
          <w:tcPr>
            <w:tcW w:w="3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包括保温板、</w:t>
            </w:r>
            <w:r>
              <w:rPr>
                <w:bCs/>
                <w:kern w:val="0"/>
                <w:sz w:val="21"/>
                <w:szCs w:val="21"/>
              </w:rPr>
              <w:t xml:space="preserve">PVC </w:t>
            </w:r>
            <w:r>
              <w:rPr>
                <w:rFonts w:hint="eastAsia"/>
                <w:bCs/>
                <w:kern w:val="0"/>
                <w:sz w:val="21"/>
                <w:szCs w:val="21"/>
              </w:rPr>
              <w:t>管材、电线电缆、包装膜、瓶、发泡材料、</w:t>
            </w:r>
            <w:r>
              <w:rPr>
                <w:bCs/>
                <w:kern w:val="0"/>
                <w:sz w:val="21"/>
                <w:szCs w:val="21"/>
              </w:rPr>
              <w:t xml:space="preserve">PVC </w:t>
            </w:r>
            <w:r>
              <w:rPr>
                <w:rFonts w:hint="eastAsia"/>
                <w:bCs/>
                <w:kern w:val="0"/>
                <w:sz w:val="21"/>
                <w:szCs w:val="21"/>
              </w:rPr>
              <w:t>密封材料、鞋底、塑料玩具、塑料门窗、电线外皮、塑料文具等</w:t>
            </w:r>
          </w:p>
        </w:tc>
        <w:tc>
          <w:tcPr>
            <w:tcW w:w="1275" w:type="dxa"/>
            <w:tcBorders>
              <w:top w:val="single" w:color="auto" w:sz="4" w:space="0"/>
              <w:left w:val="single" w:color="auto" w:sz="4" w:space="0"/>
              <w:bottom w:val="single" w:color="auto" w:sz="4" w:space="0"/>
              <w:right w:val="nil"/>
            </w:tcBorders>
            <w:vAlign w:val="center"/>
          </w:tcPr>
          <w:p>
            <w:pPr>
              <w:adjustRightInd w:val="0"/>
              <w:snapToGrid w:val="0"/>
              <w:jc w:val="center"/>
              <w:rPr>
                <w:bCs/>
                <w:kern w:val="0"/>
                <w:sz w:val="21"/>
                <w:szCs w:val="21"/>
              </w:rPr>
            </w:pPr>
            <w:r>
              <w:rPr>
                <w:rFonts w:hint="eastAsia"/>
                <w:bCs/>
                <w:kern w:val="0"/>
                <w:sz w:val="21"/>
                <w:szCs w:val="21"/>
              </w:rPr>
              <w:t>禁止收购或用作原料用于生产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jc w:val="center"/>
              <w:rPr>
                <w:bCs/>
                <w:kern w:val="0"/>
                <w:sz w:val="21"/>
                <w:szCs w:val="21"/>
              </w:rPr>
            </w:pPr>
            <w:r>
              <w:rPr>
                <w:bCs/>
                <w:kern w:val="0"/>
                <w:sz w:val="21"/>
                <w:szCs w:val="21"/>
              </w:rPr>
              <w:t>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含聚苯乙烯的废旧塑料</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是指由苯乙烯单体经自由基加聚反应合成的聚合物</w:t>
            </w:r>
          </w:p>
        </w:tc>
        <w:tc>
          <w:tcPr>
            <w:tcW w:w="3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包括一次性餐具、塑料汽车部件、包装材料、塑料玩具、塑料音像制品、光盘磁盘盒、灯具和室内装饰件等</w:t>
            </w:r>
          </w:p>
        </w:tc>
        <w:tc>
          <w:tcPr>
            <w:tcW w:w="1275" w:type="dxa"/>
            <w:tcBorders>
              <w:top w:val="single" w:color="auto" w:sz="4" w:space="0"/>
              <w:left w:val="single" w:color="auto" w:sz="4" w:space="0"/>
              <w:bottom w:val="single" w:color="auto" w:sz="4" w:space="0"/>
              <w:right w:val="nil"/>
            </w:tcBorders>
            <w:vAlign w:val="center"/>
          </w:tcPr>
          <w:p>
            <w:pPr>
              <w:adjustRightInd w:val="0"/>
              <w:snapToGrid w:val="0"/>
              <w:jc w:val="center"/>
              <w:rPr>
                <w:bCs/>
                <w:kern w:val="0"/>
                <w:sz w:val="21"/>
                <w:szCs w:val="21"/>
              </w:rPr>
            </w:pPr>
            <w:r>
              <w:rPr>
                <w:rFonts w:hint="eastAsia"/>
                <w:bCs/>
                <w:kern w:val="0"/>
                <w:sz w:val="21"/>
                <w:szCs w:val="21"/>
              </w:rPr>
              <w:t>禁止收购或用作原料用于生产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op w:val="single" w:color="auto" w:sz="4" w:space="0"/>
              <w:left w:val="nil"/>
              <w:bottom w:val="single" w:color="auto" w:sz="12" w:space="0"/>
              <w:right w:val="single" w:color="auto" w:sz="4" w:space="0"/>
            </w:tcBorders>
            <w:vAlign w:val="center"/>
          </w:tcPr>
          <w:p>
            <w:pPr>
              <w:adjustRightInd w:val="0"/>
              <w:snapToGrid w:val="0"/>
              <w:jc w:val="center"/>
              <w:rPr>
                <w:bCs/>
                <w:kern w:val="0"/>
                <w:sz w:val="21"/>
                <w:szCs w:val="21"/>
              </w:rPr>
            </w:pPr>
            <w:r>
              <w:rPr>
                <w:bCs/>
                <w:kern w:val="0"/>
                <w:sz w:val="21"/>
                <w:szCs w:val="21"/>
              </w:rPr>
              <w:t>5</w:t>
            </w:r>
          </w:p>
        </w:tc>
        <w:tc>
          <w:tcPr>
            <w:tcW w:w="113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含苯乙烯</w:t>
            </w:r>
            <w:r>
              <w:rPr>
                <w:bCs/>
                <w:kern w:val="0"/>
                <w:sz w:val="21"/>
                <w:szCs w:val="21"/>
              </w:rPr>
              <w:t>-</w:t>
            </w:r>
            <w:r>
              <w:rPr>
                <w:rFonts w:hint="eastAsia"/>
                <w:bCs/>
                <w:kern w:val="0"/>
                <w:sz w:val="21"/>
                <w:szCs w:val="21"/>
              </w:rPr>
              <w:t>丙烯腈的废旧塑料</w:t>
            </w:r>
          </w:p>
        </w:tc>
        <w:tc>
          <w:tcPr>
            <w:tcW w:w="198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以丙烯腈和苯乙烯为原料用悬浮法聚合而得到的，使用热引发剂引发亦可，也可采用乳液聚合法制得。由于该树脂固有的透明性，故非常普通地用于制造透明塑料制品</w:t>
            </w:r>
          </w:p>
        </w:tc>
        <w:tc>
          <w:tcPr>
            <w:tcW w:w="354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Cs/>
                <w:kern w:val="0"/>
                <w:sz w:val="21"/>
                <w:szCs w:val="21"/>
              </w:rPr>
            </w:pPr>
            <w:r>
              <w:rPr>
                <w:rFonts w:hint="eastAsia"/>
                <w:bCs/>
                <w:kern w:val="0"/>
                <w:sz w:val="21"/>
                <w:szCs w:val="21"/>
              </w:rPr>
              <w:t>包括冷藏柜抽屉、搅拌器、真空吸尘器部件、加湿器部件和洗衣机洗涤剂喷洒器、汽车仪表盘、磁带盒和磁带盒上透明窗、唱机盖、仪表透明外壳、计算机卷纸器、蓄电池箱、按键帽、计算器和打印机工作台、化妆盒、口红套管、睫毛膏盖瓶子、罩盖、帽盖喷雾器和喷嘴、一次性打火机外壳、刷子基材和硬毛、渔具、假牙、牙刷柄、笔杆、乐器管口等</w:t>
            </w:r>
          </w:p>
        </w:tc>
        <w:tc>
          <w:tcPr>
            <w:tcW w:w="1275" w:type="dxa"/>
            <w:tcBorders>
              <w:top w:val="single" w:color="auto" w:sz="4" w:space="0"/>
              <w:left w:val="single" w:color="auto" w:sz="4" w:space="0"/>
              <w:bottom w:val="single" w:color="auto" w:sz="12" w:space="0"/>
              <w:right w:val="nil"/>
            </w:tcBorders>
            <w:vAlign w:val="center"/>
          </w:tcPr>
          <w:p>
            <w:pPr>
              <w:adjustRightInd w:val="0"/>
              <w:snapToGrid w:val="0"/>
              <w:jc w:val="center"/>
              <w:rPr>
                <w:bCs/>
                <w:kern w:val="0"/>
                <w:sz w:val="21"/>
                <w:szCs w:val="21"/>
              </w:rPr>
            </w:pPr>
            <w:r>
              <w:rPr>
                <w:rFonts w:hint="eastAsia"/>
                <w:bCs/>
                <w:kern w:val="0"/>
                <w:sz w:val="21"/>
                <w:szCs w:val="21"/>
              </w:rPr>
              <w:t>禁止收购或用作原料用于生产</w:t>
            </w:r>
          </w:p>
        </w:tc>
      </w:tr>
    </w:tbl>
    <w:p>
      <w:pPr>
        <w:spacing w:line="460" w:lineRule="exact"/>
        <w:ind w:firstLine="480" w:firstLineChars="200"/>
        <w:rPr>
          <w:sz w:val="24"/>
          <w:lang w:bidi="en-US"/>
        </w:rPr>
      </w:pPr>
      <w:bookmarkStart w:id="138" w:name="_Hlk168302520"/>
      <w:r>
        <w:rPr>
          <w:rFonts w:hint="eastAsia"/>
          <w:sz w:val="24"/>
          <w:lang w:bidi="en-US"/>
        </w:rPr>
        <w:t>3、原辅料变化情况</w:t>
      </w:r>
    </w:p>
    <w:p>
      <w:pPr>
        <w:spacing w:line="460" w:lineRule="exact"/>
        <w:ind w:firstLine="480" w:firstLineChars="200"/>
        <w:rPr>
          <w:sz w:val="24"/>
          <w:lang w:bidi="en-US"/>
        </w:rPr>
      </w:pPr>
      <w:r>
        <w:rPr>
          <w:rFonts w:hint="eastAsia"/>
          <w:sz w:val="24"/>
          <w:lang w:bidi="en-US"/>
        </w:rPr>
        <w:t>改扩建项目完成后全厂原辅料变化情况比对见表4.1-5。</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表4.1-5          原辅料变化情况比对一览表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137"/>
        <w:gridCol w:w="1406"/>
        <w:gridCol w:w="1406"/>
        <w:gridCol w:w="1406"/>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序号</w:t>
            </w:r>
          </w:p>
        </w:tc>
        <w:tc>
          <w:tcPr>
            <w:tcW w:w="2137" w:type="dxa"/>
            <w:vAlign w:val="center"/>
          </w:tcPr>
          <w:p>
            <w:pPr>
              <w:adjustRightInd w:val="0"/>
              <w:snapToGrid w:val="0"/>
              <w:jc w:val="center"/>
              <w:rPr>
                <w:bCs/>
                <w:kern w:val="0"/>
                <w:sz w:val="21"/>
                <w:szCs w:val="21"/>
              </w:rPr>
            </w:pPr>
            <w:r>
              <w:rPr>
                <w:rFonts w:hint="eastAsia"/>
                <w:bCs/>
                <w:kern w:val="0"/>
                <w:sz w:val="21"/>
                <w:szCs w:val="21"/>
              </w:rPr>
              <w:t>原辅料</w:t>
            </w:r>
          </w:p>
        </w:tc>
        <w:tc>
          <w:tcPr>
            <w:tcW w:w="1406" w:type="dxa"/>
            <w:vAlign w:val="center"/>
          </w:tcPr>
          <w:p>
            <w:pPr>
              <w:adjustRightInd w:val="0"/>
              <w:snapToGrid w:val="0"/>
              <w:jc w:val="center"/>
              <w:rPr>
                <w:bCs/>
                <w:kern w:val="0"/>
                <w:sz w:val="21"/>
                <w:szCs w:val="21"/>
              </w:rPr>
            </w:pPr>
            <w:r>
              <w:rPr>
                <w:rFonts w:hint="eastAsia"/>
                <w:bCs/>
                <w:kern w:val="0"/>
                <w:sz w:val="21"/>
                <w:szCs w:val="21"/>
              </w:rPr>
              <w:t>现有工程</w:t>
            </w:r>
          </w:p>
        </w:tc>
        <w:tc>
          <w:tcPr>
            <w:tcW w:w="1406" w:type="dxa"/>
            <w:vAlign w:val="center"/>
          </w:tcPr>
          <w:p>
            <w:pPr>
              <w:adjustRightInd w:val="0"/>
              <w:snapToGrid w:val="0"/>
              <w:jc w:val="center"/>
              <w:rPr>
                <w:bCs/>
                <w:kern w:val="0"/>
                <w:sz w:val="21"/>
                <w:szCs w:val="21"/>
              </w:rPr>
            </w:pPr>
            <w:r>
              <w:rPr>
                <w:rFonts w:hint="eastAsia"/>
                <w:bCs/>
                <w:kern w:val="0"/>
                <w:sz w:val="21"/>
                <w:szCs w:val="21"/>
              </w:rPr>
              <w:t>扩建后全厂</w:t>
            </w:r>
          </w:p>
        </w:tc>
        <w:tc>
          <w:tcPr>
            <w:tcW w:w="1406" w:type="dxa"/>
            <w:vAlign w:val="center"/>
          </w:tcPr>
          <w:p>
            <w:pPr>
              <w:adjustRightInd w:val="0"/>
              <w:snapToGrid w:val="0"/>
              <w:jc w:val="center"/>
              <w:rPr>
                <w:bCs/>
                <w:kern w:val="0"/>
                <w:sz w:val="21"/>
                <w:szCs w:val="21"/>
              </w:rPr>
            </w:pPr>
            <w:r>
              <w:rPr>
                <w:rFonts w:hint="eastAsia"/>
                <w:bCs/>
                <w:kern w:val="0"/>
                <w:sz w:val="21"/>
                <w:szCs w:val="21"/>
              </w:rPr>
              <w:t>变化情况</w:t>
            </w:r>
          </w:p>
        </w:tc>
        <w:tc>
          <w:tcPr>
            <w:tcW w:w="1406" w:type="dxa"/>
            <w:vAlign w:val="center"/>
          </w:tcPr>
          <w:p>
            <w:pPr>
              <w:adjustRightInd w:val="0"/>
              <w:snapToGrid w:val="0"/>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1</w:t>
            </w:r>
          </w:p>
        </w:tc>
        <w:tc>
          <w:tcPr>
            <w:tcW w:w="2137" w:type="dxa"/>
            <w:vAlign w:val="center"/>
          </w:tcPr>
          <w:p>
            <w:pPr>
              <w:adjustRightInd w:val="0"/>
              <w:snapToGrid w:val="0"/>
              <w:jc w:val="center"/>
              <w:rPr>
                <w:bCs/>
                <w:kern w:val="0"/>
                <w:sz w:val="21"/>
                <w:szCs w:val="21"/>
              </w:rPr>
            </w:pPr>
            <w:r>
              <w:rPr>
                <w:rFonts w:hint="eastAsia"/>
                <w:bCs/>
                <w:kern w:val="0"/>
                <w:sz w:val="21"/>
                <w:szCs w:val="21"/>
              </w:rPr>
              <w:t>废旧滴灌带</w:t>
            </w:r>
          </w:p>
        </w:tc>
        <w:tc>
          <w:tcPr>
            <w:tcW w:w="1406" w:type="dxa"/>
            <w:vAlign w:val="center"/>
          </w:tcPr>
          <w:p>
            <w:pPr>
              <w:adjustRightInd w:val="0"/>
              <w:snapToGrid w:val="0"/>
              <w:jc w:val="center"/>
              <w:rPr>
                <w:bCs/>
                <w:kern w:val="0"/>
                <w:sz w:val="21"/>
                <w:szCs w:val="21"/>
              </w:rPr>
            </w:pPr>
            <w:r>
              <w:rPr>
                <w:rFonts w:hint="eastAsia"/>
                <w:bCs/>
                <w:kern w:val="0"/>
                <w:sz w:val="21"/>
                <w:szCs w:val="21"/>
              </w:rPr>
              <w:t>0</w:t>
            </w:r>
          </w:p>
        </w:tc>
        <w:tc>
          <w:tcPr>
            <w:tcW w:w="1406" w:type="dxa"/>
            <w:vAlign w:val="center"/>
          </w:tcPr>
          <w:p>
            <w:pPr>
              <w:adjustRightInd w:val="0"/>
              <w:snapToGrid w:val="0"/>
              <w:jc w:val="center"/>
              <w:rPr>
                <w:bCs/>
                <w:kern w:val="0"/>
                <w:sz w:val="21"/>
                <w:szCs w:val="21"/>
              </w:rPr>
            </w:pPr>
            <w:r>
              <w:rPr>
                <w:rFonts w:hint="eastAsia"/>
                <w:bCs/>
                <w:kern w:val="0"/>
                <w:sz w:val="21"/>
                <w:szCs w:val="21"/>
              </w:rPr>
              <w:t>3500</w:t>
            </w:r>
          </w:p>
        </w:tc>
        <w:tc>
          <w:tcPr>
            <w:tcW w:w="1406" w:type="dxa"/>
            <w:vAlign w:val="center"/>
          </w:tcPr>
          <w:p>
            <w:pPr>
              <w:adjustRightInd w:val="0"/>
              <w:snapToGrid w:val="0"/>
              <w:jc w:val="center"/>
              <w:rPr>
                <w:bCs/>
                <w:kern w:val="0"/>
                <w:sz w:val="21"/>
                <w:szCs w:val="21"/>
              </w:rPr>
            </w:pPr>
            <w:r>
              <w:rPr>
                <w:rFonts w:hint="eastAsia"/>
                <w:bCs/>
                <w:kern w:val="0"/>
                <w:sz w:val="21"/>
                <w:szCs w:val="21"/>
              </w:rPr>
              <w:t>+3500</w:t>
            </w:r>
          </w:p>
        </w:tc>
        <w:tc>
          <w:tcPr>
            <w:tcW w:w="1406"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2</w:t>
            </w:r>
          </w:p>
        </w:tc>
        <w:tc>
          <w:tcPr>
            <w:tcW w:w="2137" w:type="dxa"/>
            <w:vAlign w:val="center"/>
          </w:tcPr>
          <w:p>
            <w:pPr>
              <w:adjustRightInd w:val="0"/>
              <w:snapToGrid w:val="0"/>
              <w:jc w:val="center"/>
              <w:rPr>
                <w:bCs/>
                <w:kern w:val="0"/>
                <w:sz w:val="21"/>
                <w:szCs w:val="21"/>
              </w:rPr>
            </w:pPr>
            <w:r>
              <w:rPr>
                <w:rFonts w:hint="eastAsia"/>
                <w:bCs/>
                <w:kern w:val="0"/>
                <w:sz w:val="21"/>
                <w:szCs w:val="21"/>
              </w:rPr>
              <w:t>废旧塑料膜</w:t>
            </w:r>
          </w:p>
        </w:tc>
        <w:tc>
          <w:tcPr>
            <w:tcW w:w="1406" w:type="dxa"/>
            <w:vAlign w:val="center"/>
          </w:tcPr>
          <w:p>
            <w:pPr>
              <w:adjustRightInd w:val="0"/>
              <w:snapToGrid w:val="0"/>
              <w:jc w:val="center"/>
              <w:rPr>
                <w:bCs/>
                <w:kern w:val="0"/>
                <w:sz w:val="21"/>
                <w:szCs w:val="21"/>
              </w:rPr>
            </w:pPr>
            <w:r>
              <w:rPr>
                <w:rFonts w:hint="eastAsia"/>
                <w:bCs/>
                <w:kern w:val="0"/>
                <w:sz w:val="21"/>
                <w:szCs w:val="21"/>
              </w:rPr>
              <w:t>0</w:t>
            </w:r>
          </w:p>
        </w:tc>
        <w:tc>
          <w:tcPr>
            <w:tcW w:w="1406" w:type="dxa"/>
            <w:vAlign w:val="center"/>
          </w:tcPr>
          <w:p>
            <w:pPr>
              <w:adjustRightInd w:val="0"/>
              <w:snapToGrid w:val="0"/>
              <w:jc w:val="center"/>
              <w:rPr>
                <w:bCs/>
                <w:kern w:val="0"/>
                <w:sz w:val="21"/>
                <w:szCs w:val="21"/>
              </w:rPr>
            </w:pPr>
            <w:r>
              <w:rPr>
                <w:rFonts w:hint="eastAsia"/>
                <w:bCs/>
                <w:kern w:val="0"/>
                <w:sz w:val="21"/>
                <w:szCs w:val="21"/>
              </w:rPr>
              <w:t>2000</w:t>
            </w:r>
          </w:p>
        </w:tc>
        <w:tc>
          <w:tcPr>
            <w:tcW w:w="1406" w:type="dxa"/>
            <w:vAlign w:val="center"/>
          </w:tcPr>
          <w:p>
            <w:pPr>
              <w:adjustRightInd w:val="0"/>
              <w:snapToGrid w:val="0"/>
              <w:jc w:val="center"/>
              <w:rPr>
                <w:bCs/>
                <w:kern w:val="0"/>
                <w:sz w:val="21"/>
                <w:szCs w:val="21"/>
              </w:rPr>
            </w:pPr>
            <w:r>
              <w:rPr>
                <w:rFonts w:hint="eastAsia"/>
                <w:bCs/>
                <w:kern w:val="0"/>
                <w:sz w:val="21"/>
                <w:szCs w:val="21"/>
              </w:rPr>
              <w:t>+2000</w:t>
            </w:r>
          </w:p>
        </w:tc>
        <w:tc>
          <w:tcPr>
            <w:tcW w:w="1406"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3</w:t>
            </w:r>
          </w:p>
        </w:tc>
        <w:tc>
          <w:tcPr>
            <w:tcW w:w="2137" w:type="dxa"/>
            <w:vAlign w:val="center"/>
          </w:tcPr>
          <w:p>
            <w:pPr>
              <w:adjustRightInd w:val="0"/>
              <w:snapToGrid w:val="0"/>
              <w:jc w:val="center"/>
              <w:rPr>
                <w:bCs/>
                <w:kern w:val="0"/>
                <w:sz w:val="21"/>
                <w:szCs w:val="21"/>
              </w:rPr>
            </w:pPr>
            <w:r>
              <w:rPr>
                <w:rFonts w:hint="eastAsia"/>
                <w:bCs/>
                <w:kern w:val="0"/>
                <w:sz w:val="21"/>
                <w:szCs w:val="21"/>
              </w:rPr>
              <w:t>聚乙烯颗粒新料</w:t>
            </w:r>
          </w:p>
        </w:tc>
        <w:tc>
          <w:tcPr>
            <w:tcW w:w="1406" w:type="dxa"/>
            <w:vAlign w:val="center"/>
          </w:tcPr>
          <w:p>
            <w:pPr>
              <w:adjustRightInd w:val="0"/>
              <w:snapToGrid w:val="0"/>
              <w:jc w:val="center"/>
              <w:rPr>
                <w:bCs/>
                <w:kern w:val="0"/>
                <w:sz w:val="21"/>
                <w:szCs w:val="21"/>
              </w:rPr>
            </w:pPr>
            <w:r>
              <w:rPr>
                <w:rFonts w:hint="eastAsia"/>
                <w:bCs/>
                <w:kern w:val="0"/>
                <w:sz w:val="21"/>
                <w:szCs w:val="21"/>
              </w:rPr>
              <w:t>1799</w:t>
            </w:r>
          </w:p>
        </w:tc>
        <w:tc>
          <w:tcPr>
            <w:tcW w:w="1406" w:type="dxa"/>
            <w:vAlign w:val="center"/>
          </w:tcPr>
          <w:p>
            <w:pPr>
              <w:adjustRightInd w:val="0"/>
              <w:snapToGrid w:val="0"/>
              <w:jc w:val="center"/>
              <w:rPr>
                <w:bCs/>
                <w:kern w:val="0"/>
                <w:sz w:val="21"/>
                <w:szCs w:val="21"/>
              </w:rPr>
            </w:pPr>
            <w:r>
              <w:rPr>
                <w:rFonts w:hint="eastAsia"/>
                <w:bCs/>
                <w:kern w:val="0"/>
                <w:sz w:val="21"/>
                <w:szCs w:val="21"/>
              </w:rPr>
              <w:t>1050</w:t>
            </w:r>
          </w:p>
        </w:tc>
        <w:tc>
          <w:tcPr>
            <w:tcW w:w="1406" w:type="dxa"/>
            <w:vAlign w:val="center"/>
          </w:tcPr>
          <w:p>
            <w:pPr>
              <w:adjustRightInd w:val="0"/>
              <w:snapToGrid w:val="0"/>
              <w:jc w:val="center"/>
              <w:rPr>
                <w:bCs/>
                <w:kern w:val="0"/>
                <w:sz w:val="21"/>
                <w:szCs w:val="21"/>
              </w:rPr>
            </w:pPr>
            <w:r>
              <w:rPr>
                <w:rFonts w:hint="eastAsia"/>
                <w:bCs/>
                <w:kern w:val="0"/>
                <w:sz w:val="21"/>
                <w:szCs w:val="21"/>
              </w:rPr>
              <w:t>-749</w:t>
            </w:r>
          </w:p>
        </w:tc>
        <w:tc>
          <w:tcPr>
            <w:tcW w:w="1406"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4</w:t>
            </w:r>
          </w:p>
        </w:tc>
        <w:tc>
          <w:tcPr>
            <w:tcW w:w="2137" w:type="dxa"/>
            <w:vAlign w:val="center"/>
          </w:tcPr>
          <w:p>
            <w:pPr>
              <w:adjustRightInd w:val="0"/>
              <w:snapToGrid w:val="0"/>
              <w:jc w:val="center"/>
              <w:rPr>
                <w:bCs/>
                <w:kern w:val="0"/>
                <w:sz w:val="21"/>
                <w:szCs w:val="21"/>
              </w:rPr>
            </w:pPr>
            <w:r>
              <w:rPr>
                <w:rFonts w:hint="eastAsia"/>
                <w:bCs/>
                <w:kern w:val="0"/>
                <w:sz w:val="21"/>
                <w:szCs w:val="21"/>
              </w:rPr>
              <w:t>抗老化剂</w:t>
            </w:r>
          </w:p>
        </w:tc>
        <w:tc>
          <w:tcPr>
            <w:tcW w:w="1406" w:type="dxa"/>
            <w:vAlign w:val="center"/>
          </w:tcPr>
          <w:p>
            <w:pPr>
              <w:adjustRightInd w:val="0"/>
              <w:snapToGrid w:val="0"/>
              <w:jc w:val="center"/>
              <w:rPr>
                <w:bCs/>
                <w:kern w:val="0"/>
                <w:sz w:val="21"/>
                <w:szCs w:val="21"/>
              </w:rPr>
            </w:pPr>
            <w:r>
              <w:rPr>
                <w:rFonts w:hint="eastAsia"/>
                <w:bCs/>
                <w:kern w:val="0"/>
                <w:sz w:val="21"/>
                <w:szCs w:val="21"/>
              </w:rPr>
              <w:t>51</w:t>
            </w:r>
          </w:p>
        </w:tc>
        <w:tc>
          <w:tcPr>
            <w:tcW w:w="1406" w:type="dxa"/>
            <w:vAlign w:val="center"/>
          </w:tcPr>
          <w:p>
            <w:pPr>
              <w:adjustRightInd w:val="0"/>
              <w:snapToGrid w:val="0"/>
              <w:jc w:val="center"/>
              <w:rPr>
                <w:bCs/>
                <w:kern w:val="0"/>
                <w:sz w:val="21"/>
                <w:szCs w:val="21"/>
              </w:rPr>
            </w:pPr>
            <w:r>
              <w:rPr>
                <w:rFonts w:hint="eastAsia"/>
                <w:bCs/>
                <w:kern w:val="0"/>
                <w:sz w:val="21"/>
                <w:szCs w:val="21"/>
              </w:rPr>
              <w:t>163</w:t>
            </w:r>
          </w:p>
        </w:tc>
        <w:tc>
          <w:tcPr>
            <w:tcW w:w="1406" w:type="dxa"/>
            <w:vAlign w:val="center"/>
          </w:tcPr>
          <w:p>
            <w:pPr>
              <w:adjustRightInd w:val="0"/>
              <w:snapToGrid w:val="0"/>
              <w:jc w:val="center"/>
              <w:rPr>
                <w:bCs/>
                <w:kern w:val="0"/>
                <w:sz w:val="21"/>
                <w:szCs w:val="21"/>
              </w:rPr>
            </w:pPr>
            <w:r>
              <w:rPr>
                <w:rFonts w:hint="eastAsia"/>
                <w:bCs/>
                <w:kern w:val="0"/>
                <w:sz w:val="21"/>
                <w:szCs w:val="21"/>
              </w:rPr>
              <w:t>+112</w:t>
            </w:r>
          </w:p>
        </w:tc>
        <w:tc>
          <w:tcPr>
            <w:tcW w:w="1406" w:type="dxa"/>
            <w:vAlign w:val="center"/>
          </w:tcPr>
          <w:p>
            <w:pPr>
              <w:adjustRightInd w:val="0"/>
              <w:snapToGrid w:val="0"/>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djustRightInd w:val="0"/>
              <w:snapToGrid w:val="0"/>
              <w:jc w:val="center"/>
              <w:rPr>
                <w:bCs/>
                <w:kern w:val="0"/>
                <w:sz w:val="21"/>
                <w:szCs w:val="21"/>
              </w:rPr>
            </w:pPr>
            <w:r>
              <w:rPr>
                <w:rFonts w:hint="eastAsia"/>
                <w:bCs/>
                <w:kern w:val="0"/>
                <w:sz w:val="21"/>
                <w:szCs w:val="21"/>
              </w:rPr>
              <w:t>5</w:t>
            </w:r>
          </w:p>
        </w:tc>
        <w:tc>
          <w:tcPr>
            <w:tcW w:w="2137" w:type="dxa"/>
            <w:vAlign w:val="center"/>
          </w:tcPr>
          <w:p>
            <w:pPr>
              <w:adjustRightInd w:val="0"/>
              <w:snapToGrid w:val="0"/>
              <w:jc w:val="center"/>
              <w:rPr>
                <w:bCs/>
                <w:kern w:val="0"/>
                <w:sz w:val="21"/>
                <w:szCs w:val="21"/>
              </w:rPr>
            </w:pPr>
            <w:r>
              <w:rPr>
                <w:rFonts w:hint="eastAsia"/>
                <w:bCs/>
                <w:kern w:val="0"/>
                <w:sz w:val="21"/>
                <w:szCs w:val="21"/>
              </w:rPr>
              <w:t>黑色母料</w:t>
            </w:r>
          </w:p>
        </w:tc>
        <w:tc>
          <w:tcPr>
            <w:tcW w:w="1406" w:type="dxa"/>
            <w:vAlign w:val="center"/>
          </w:tcPr>
          <w:p>
            <w:pPr>
              <w:adjustRightInd w:val="0"/>
              <w:snapToGrid w:val="0"/>
              <w:jc w:val="center"/>
              <w:rPr>
                <w:bCs/>
                <w:kern w:val="0"/>
                <w:sz w:val="21"/>
                <w:szCs w:val="21"/>
              </w:rPr>
            </w:pPr>
            <w:r>
              <w:rPr>
                <w:rFonts w:hint="eastAsia"/>
                <w:bCs/>
                <w:kern w:val="0"/>
                <w:sz w:val="21"/>
                <w:szCs w:val="21"/>
              </w:rPr>
              <w:t>25</w:t>
            </w:r>
          </w:p>
        </w:tc>
        <w:tc>
          <w:tcPr>
            <w:tcW w:w="1406" w:type="dxa"/>
            <w:vAlign w:val="center"/>
          </w:tcPr>
          <w:p>
            <w:pPr>
              <w:adjustRightInd w:val="0"/>
              <w:snapToGrid w:val="0"/>
              <w:jc w:val="center"/>
              <w:rPr>
                <w:bCs/>
                <w:kern w:val="0"/>
                <w:sz w:val="21"/>
                <w:szCs w:val="21"/>
              </w:rPr>
            </w:pPr>
            <w:r>
              <w:rPr>
                <w:rFonts w:hint="eastAsia"/>
                <w:bCs/>
                <w:kern w:val="0"/>
                <w:sz w:val="21"/>
                <w:szCs w:val="21"/>
              </w:rPr>
              <w:t>163</w:t>
            </w:r>
          </w:p>
        </w:tc>
        <w:tc>
          <w:tcPr>
            <w:tcW w:w="1406" w:type="dxa"/>
            <w:vAlign w:val="center"/>
          </w:tcPr>
          <w:p>
            <w:pPr>
              <w:adjustRightInd w:val="0"/>
              <w:snapToGrid w:val="0"/>
              <w:jc w:val="center"/>
              <w:rPr>
                <w:bCs/>
                <w:kern w:val="0"/>
                <w:sz w:val="21"/>
                <w:szCs w:val="21"/>
              </w:rPr>
            </w:pPr>
            <w:r>
              <w:rPr>
                <w:rFonts w:hint="eastAsia"/>
                <w:bCs/>
                <w:kern w:val="0"/>
                <w:sz w:val="21"/>
                <w:szCs w:val="21"/>
              </w:rPr>
              <w:t>+138</w:t>
            </w:r>
          </w:p>
        </w:tc>
        <w:tc>
          <w:tcPr>
            <w:tcW w:w="1406" w:type="dxa"/>
            <w:vAlign w:val="center"/>
          </w:tcPr>
          <w:p>
            <w:pPr>
              <w:adjustRightInd w:val="0"/>
              <w:snapToGrid w:val="0"/>
              <w:jc w:val="center"/>
              <w:rPr>
                <w:bCs/>
                <w:kern w:val="0"/>
                <w:sz w:val="21"/>
                <w:szCs w:val="21"/>
              </w:rPr>
            </w:pPr>
          </w:p>
        </w:tc>
      </w:tr>
    </w:tbl>
    <w:p>
      <w:pPr>
        <w:spacing w:line="460" w:lineRule="exact"/>
        <w:ind w:firstLine="480" w:firstLineChars="200"/>
        <w:rPr>
          <w:sz w:val="24"/>
          <w:lang w:bidi="en-US"/>
        </w:rPr>
      </w:pP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4.1.4产品方案及规模</w:t>
      </w:r>
    </w:p>
    <w:p>
      <w:pPr>
        <w:spacing w:line="460" w:lineRule="exact"/>
        <w:ind w:firstLine="480" w:firstLineChars="200"/>
        <w:rPr>
          <w:sz w:val="24"/>
          <w:lang w:bidi="en-US"/>
        </w:rPr>
      </w:pPr>
      <w:r>
        <w:rPr>
          <w:rFonts w:hint="eastAsia"/>
          <w:sz w:val="24"/>
          <w:lang w:bidi="en-US"/>
        </w:rPr>
        <w:t>本项目产品类别为滴灌带、PE管，本项目生产规模见表</w:t>
      </w:r>
      <w:r>
        <w:rPr>
          <w:sz w:val="24"/>
          <w:lang w:bidi="en-US"/>
        </w:rPr>
        <w:t>4.1-5</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w:t>
      </w:r>
      <w:r>
        <w:rPr>
          <w:rFonts w:ascii="Times New Roman" w:hAnsi="Times New Roman" w:eastAsia="黑体" w:cs="Times New Roman"/>
          <w:sz w:val="21"/>
          <w:lang w:bidi="en-US"/>
        </w:rPr>
        <w:t xml:space="preserve">4.1-5                   </w:t>
      </w:r>
      <w:r>
        <w:rPr>
          <w:rFonts w:hint="eastAsia" w:ascii="Times New Roman" w:hAnsi="Times New Roman" w:eastAsia="黑体" w:cs="Times New Roman"/>
          <w:sz w:val="21"/>
          <w:lang w:bidi="en-US"/>
        </w:rPr>
        <w:t>项目产品规模一览表</w:t>
      </w:r>
    </w:p>
    <w:tbl>
      <w:tblPr>
        <w:tblStyle w:val="59"/>
        <w:tblW w:w="890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02"/>
        <w:gridCol w:w="2130"/>
        <w:gridCol w:w="1399"/>
        <w:gridCol w:w="1399"/>
        <w:gridCol w:w="1399"/>
        <w:gridCol w:w="1473"/>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vAlign w:val="center"/>
          </w:tcPr>
          <w:p>
            <w:pPr>
              <w:adjustRightInd w:val="0"/>
              <w:snapToGrid w:val="0"/>
              <w:jc w:val="center"/>
              <w:rPr>
                <w:bCs/>
                <w:szCs w:val="21"/>
              </w:rPr>
            </w:pPr>
            <w:r>
              <w:rPr>
                <w:rFonts w:hint="eastAsia"/>
                <w:bCs/>
                <w:szCs w:val="21"/>
              </w:rPr>
              <w:t>序号</w:t>
            </w:r>
          </w:p>
        </w:tc>
        <w:tc>
          <w:tcPr>
            <w:tcW w:w="2130" w:type="dxa"/>
            <w:vMerge w:val="restart"/>
            <w:vAlign w:val="center"/>
          </w:tcPr>
          <w:p>
            <w:pPr>
              <w:adjustRightInd w:val="0"/>
              <w:snapToGrid w:val="0"/>
              <w:jc w:val="center"/>
              <w:rPr>
                <w:bCs/>
                <w:szCs w:val="21"/>
              </w:rPr>
            </w:pPr>
            <w:r>
              <w:rPr>
                <w:rFonts w:hint="eastAsia"/>
                <w:bCs/>
                <w:szCs w:val="21"/>
              </w:rPr>
              <w:t>产品名称</w:t>
            </w:r>
          </w:p>
        </w:tc>
        <w:tc>
          <w:tcPr>
            <w:tcW w:w="4197" w:type="dxa"/>
            <w:gridSpan w:val="3"/>
            <w:vAlign w:val="center"/>
          </w:tcPr>
          <w:p>
            <w:pPr>
              <w:adjustRightInd w:val="0"/>
              <w:snapToGrid w:val="0"/>
              <w:jc w:val="center"/>
              <w:rPr>
                <w:bCs/>
                <w:szCs w:val="21"/>
              </w:rPr>
            </w:pPr>
            <w:r>
              <w:rPr>
                <w:rFonts w:hint="eastAsia"/>
                <w:bCs/>
                <w:szCs w:val="21"/>
              </w:rPr>
              <w:t>生产规模（t/a）</w:t>
            </w:r>
          </w:p>
        </w:tc>
        <w:tc>
          <w:tcPr>
            <w:tcW w:w="1473" w:type="dxa"/>
            <w:vAlign w:val="center"/>
          </w:tcPr>
          <w:p>
            <w:pPr>
              <w:adjustRightInd w:val="0"/>
              <w:snapToGrid w:val="0"/>
              <w:jc w:val="center"/>
              <w:rPr>
                <w:bCs/>
                <w:szCs w:val="21"/>
              </w:rPr>
            </w:pPr>
            <w:r>
              <w:rPr>
                <w:rFonts w:hint="eastAsia"/>
                <w:bCs/>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vAlign w:val="center"/>
          </w:tcPr>
          <w:p>
            <w:pPr>
              <w:adjustRightInd w:val="0"/>
              <w:snapToGrid w:val="0"/>
              <w:jc w:val="center"/>
              <w:rPr>
                <w:bCs/>
                <w:szCs w:val="21"/>
              </w:rPr>
            </w:pPr>
          </w:p>
        </w:tc>
        <w:tc>
          <w:tcPr>
            <w:tcW w:w="2130" w:type="dxa"/>
            <w:vMerge w:val="continue"/>
            <w:vAlign w:val="center"/>
          </w:tcPr>
          <w:p>
            <w:pPr>
              <w:adjustRightInd w:val="0"/>
              <w:snapToGrid w:val="0"/>
              <w:jc w:val="center"/>
              <w:rPr>
                <w:bCs/>
                <w:szCs w:val="21"/>
              </w:rPr>
            </w:pPr>
          </w:p>
        </w:tc>
        <w:tc>
          <w:tcPr>
            <w:tcW w:w="1399" w:type="dxa"/>
            <w:vAlign w:val="center"/>
          </w:tcPr>
          <w:p>
            <w:pPr>
              <w:adjustRightInd w:val="0"/>
              <w:snapToGrid w:val="0"/>
              <w:jc w:val="center"/>
              <w:rPr>
                <w:bCs/>
                <w:szCs w:val="21"/>
              </w:rPr>
            </w:pPr>
            <w:r>
              <w:rPr>
                <w:rFonts w:hint="eastAsia"/>
                <w:bCs/>
                <w:szCs w:val="21"/>
              </w:rPr>
              <w:t>现有工程</w:t>
            </w:r>
          </w:p>
        </w:tc>
        <w:tc>
          <w:tcPr>
            <w:tcW w:w="1399" w:type="dxa"/>
            <w:vAlign w:val="center"/>
          </w:tcPr>
          <w:p>
            <w:pPr>
              <w:adjustRightInd w:val="0"/>
              <w:snapToGrid w:val="0"/>
              <w:jc w:val="center"/>
              <w:rPr>
                <w:bCs/>
                <w:szCs w:val="21"/>
              </w:rPr>
            </w:pPr>
            <w:r>
              <w:rPr>
                <w:rFonts w:hint="eastAsia"/>
                <w:bCs/>
                <w:szCs w:val="21"/>
              </w:rPr>
              <w:t>本项目</w:t>
            </w:r>
          </w:p>
        </w:tc>
        <w:tc>
          <w:tcPr>
            <w:tcW w:w="1399" w:type="dxa"/>
            <w:vAlign w:val="center"/>
          </w:tcPr>
          <w:p>
            <w:pPr>
              <w:adjustRightInd w:val="0"/>
              <w:snapToGrid w:val="0"/>
              <w:jc w:val="center"/>
              <w:rPr>
                <w:bCs/>
                <w:szCs w:val="21"/>
              </w:rPr>
            </w:pPr>
            <w:r>
              <w:rPr>
                <w:rFonts w:hint="eastAsia"/>
                <w:bCs/>
                <w:szCs w:val="21"/>
              </w:rPr>
              <w:t>全厂</w:t>
            </w:r>
          </w:p>
        </w:tc>
        <w:tc>
          <w:tcPr>
            <w:tcW w:w="1473" w:type="dxa"/>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102" w:type="dxa"/>
            <w:vAlign w:val="center"/>
          </w:tcPr>
          <w:p>
            <w:pPr>
              <w:adjustRightInd w:val="0"/>
              <w:snapToGrid w:val="0"/>
              <w:jc w:val="center"/>
              <w:rPr>
                <w:bCs/>
                <w:szCs w:val="21"/>
              </w:rPr>
            </w:pPr>
            <w:r>
              <w:rPr>
                <w:bCs/>
                <w:szCs w:val="21"/>
              </w:rPr>
              <w:t>1</w:t>
            </w:r>
          </w:p>
        </w:tc>
        <w:tc>
          <w:tcPr>
            <w:tcW w:w="2130" w:type="dxa"/>
            <w:vAlign w:val="center"/>
          </w:tcPr>
          <w:p>
            <w:pPr>
              <w:adjustRightInd w:val="0"/>
              <w:snapToGrid w:val="0"/>
              <w:jc w:val="center"/>
              <w:rPr>
                <w:bCs/>
                <w:szCs w:val="21"/>
              </w:rPr>
            </w:pPr>
            <w:r>
              <w:rPr>
                <w:rFonts w:hint="eastAsia"/>
                <w:bCs/>
                <w:szCs w:val="21"/>
              </w:rPr>
              <w:t>滴灌带</w:t>
            </w:r>
          </w:p>
        </w:tc>
        <w:tc>
          <w:tcPr>
            <w:tcW w:w="1399" w:type="dxa"/>
            <w:vAlign w:val="center"/>
          </w:tcPr>
          <w:p>
            <w:pPr>
              <w:adjustRightInd w:val="0"/>
              <w:snapToGrid w:val="0"/>
              <w:jc w:val="center"/>
              <w:rPr>
                <w:bCs/>
                <w:szCs w:val="21"/>
              </w:rPr>
            </w:pPr>
            <w:r>
              <w:rPr>
                <w:rFonts w:hint="eastAsia"/>
                <w:bCs/>
                <w:szCs w:val="21"/>
              </w:rPr>
              <w:t>1000</w:t>
            </w:r>
          </w:p>
        </w:tc>
        <w:tc>
          <w:tcPr>
            <w:tcW w:w="1399" w:type="dxa"/>
            <w:vAlign w:val="center"/>
          </w:tcPr>
          <w:p>
            <w:pPr>
              <w:adjustRightInd w:val="0"/>
              <w:snapToGrid w:val="0"/>
              <w:jc w:val="center"/>
              <w:rPr>
                <w:bCs/>
                <w:szCs w:val="21"/>
              </w:rPr>
            </w:pPr>
            <w:r>
              <w:rPr>
                <w:rFonts w:hint="eastAsia"/>
                <w:bCs/>
                <w:szCs w:val="21"/>
              </w:rPr>
              <w:t>3000</w:t>
            </w:r>
          </w:p>
        </w:tc>
        <w:tc>
          <w:tcPr>
            <w:tcW w:w="1399" w:type="dxa"/>
            <w:vAlign w:val="center"/>
          </w:tcPr>
          <w:p>
            <w:pPr>
              <w:adjustRightInd w:val="0"/>
              <w:snapToGrid w:val="0"/>
              <w:jc w:val="center"/>
              <w:rPr>
                <w:bCs/>
                <w:szCs w:val="21"/>
              </w:rPr>
            </w:pPr>
            <w:r>
              <w:rPr>
                <w:rFonts w:hint="eastAsia"/>
                <w:bCs/>
                <w:szCs w:val="21"/>
              </w:rPr>
              <w:t>4000</w:t>
            </w:r>
          </w:p>
        </w:tc>
        <w:tc>
          <w:tcPr>
            <w:tcW w:w="1473" w:type="dxa"/>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102" w:type="dxa"/>
            <w:vAlign w:val="center"/>
          </w:tcPr>
          <w:p>
            <w:pPr>
              <w:adjustRightInd w:val="0"/>
              <w:snapToGrid w:val="0"/>
              <w:jc w:val="center"/>
              <w:rPr>
                <w:bCs/>
                <w:szCs w:val="21"/>
              </w:rPr>
            </w:pPr>
            <w:r>
              <w:rPr>
                <w:bCs/>
                <w:szCs w:val="21"/>
              </w:rPr>
              <w:t>2</w:t>
            </w:r>
          </w:p>
        </w:tc>
        <w:tc>
          <w:tcPr>
            <w:tcW w:w="2130" w:type="dxa"/>
            <w:vAlign w:val="center"/>
          </w:tcPr>
          <w:p>
            <w:pPr>
              <w:adjustRightInd w:val="0"/>
              <w:snapToGrid w:val="0"/>
              <w:jc w:val="center"/>
              <w:rPr>
                <w:bCs/>
                <w:szCs w:val="21"/>
              </w:rPr>
            </w:pPr>
            <w:r>
              <w:rPr>
                <w:rFonts w:hint="eastAsia"/>
                <w:bCs/>
                <w:szCs w:val="21"/>
              </w:rPr>
              <w:t>P</w:t>
            </w:r>
            <w:r>
              <w:rPr>
                <w:bCs/>
                <w:szCs w:val="21"/>
              </w:rPr>
              <w:t>E</w:t>
            </w:r>
            <w:r>
              <w:rPr>
                <w:rFonts w:hint="eastAsia"/>
                <w:bCs/>
                <w:szCs w:val="21"/>
              </w:rPr>
              <w:t>管</w:t>
            </w:r>
          </w:p>
        </w:tc>
        <w:tc>
          <w:tcPr>
            <w:tcW w:w="1399" w:type="dxa"/>
            <w:vAlign w:val="center"/>
          </w:tcPr>
          <w:p>
            <w:pPr>
              <w:adjustRightInd w:val="0"/>
              <w:snapToGrid w:val="0"/>
              <w:jc w:val="center"/>
              <w:rPr>
                <w:bCs/>
                <w:szCs w:val="21"/>
              </w:rPr>
            </w:pPr>
            <w:r>
              <w:rPr>
                <w:rFonts w:hint="eastAsia"/>
                <w:bCs/>
                <w:szCs w:val="21"/>
              </w:rPr>
              <w:t>800</w:t>
            </w:r>
          </w:p>
        </w:tc>
        <w:tc>
          <w:tcPr>
            <w:tcW w:w="1399" w:type="dxa"/>
            <w:vAlign w:val="center"/>
          </w:tcPr>
          <w:p>
            <w:pPr>
              <w:widowControl/>
              <w:jc w:val="center"/>
              <w:rPr>
                <w:bCs/>
                <w:szCs w:val="21"/>
              </w:rPr>
            </w:pPr>
            <w:r>
              <w:rPr>
                <w:rFonts w:hint="eastAsia"/>
                <w:bCs/>
                <w:szCs w:val="21"/>
              </w:rPr>
              <w:t>1700</w:t>
            </w:r>
          </w:p>
        </w:tc>
        <w:tc>
          <w:tcPr>
            <w:tcW w:w="1399" w:type="dxa"/>
            <w:vAlign w:val="center"/>
          </w:tcPr>
          <w:p>
            <w:pPr>
              <w:widowControl/>
              <w:jc w:val="center"/>
              <w:rPr>
                <w:bCs/>
                <w:szCs w:val="21"/>
              </w:rPr>
            </w:pPr>
            <w:r>
              <w:rPr>
                <w:rFonts w:hint="eastAsia"/>
                <w:bCs/>
                <w:szCs w:val="21"/>
              </w:rPr>
              <w:t>2500</w:t>
            </w:r>
          </w:p>
        </w:tc>
        <w:tc>
          <w:tcPr>
            <w:tcW w:w="1473" w:type="dxa"/>
            <w:vAlign w:val="center"/>
          </w:tcPr>
          <w:p>
            <w:pPr>
              <w:widowControl/>
              <w:jc w:val="left"/>
              <w:rPr>
                <w:bCs/>
                <w:szCs w:val="21"/>
              </w:rPr>
            </w:pPr>
          </w:p>
        </w:tc>
      </w:tr>
      <w:bookmarkEnd w:id="138"/>
    </w:tbl>
    <w:p>
      <w:pPr>
        <w:spacing w:line="460" w:lineRule="exact"/>
        <w:ind w:firstLine="480" w:firstLineChars="200"/>
        <w:rPr>
          <w:sz w:val="24"/>
          <w:lang w:bidi="en-US"/>
        </w:rPr>
      </w:pPr>
      <w:r>
        <w:rPr>
          <w:rFonts w:hint="eastAsia"/>
          <w:sz w:val="24"/>
          <w:lang w:bidi="en-US"/>
        </w:rPr>
        <w:t>本项目产品</w:t>
      </w:r>
      <w:r>
        <w:rPr>
          <w:sz w:val="24"/>
          <w:lang w:bidi="en-US"/>
        </w:rPr>
        <w:t>执行《</w:t>
      </w:r>
      <w:r>
        <w:rPr>
          <w:rFonts w:hint="eastAsia"/>
          <w:sz w:val="24"/>
          <w:lang w:bidi="en-US"/>
        </w:rPr>
        <w:t>塑料节水</w:t>
      </w:r>
      <w:r>
        <w:rPr>
          <w:sz w:val="24"/>
          <w:lang w:bidi="en-US"/>
        </w:rPr>
        <w:t>灌溉器材</w:t>
      </w:r>
      <w:r>
        <w:rPr>
          <w:rFonts w:hint="eastAsia"/>
          <w:sz w:val="24"/>
          <w:lang w:bidi="en-US"/>
        </w:rPr>
        <w:t xml:space="preserve"> 第1部分：</w:t>
      </w:r>
      <w:r>
        <w:rPr>
          <w:sz w:val="24"/>
          <w:lang w:bidi="en-US"/>
        </w:rPr>
        <w:t>单翼迷宫</w:t>
      </w:r>
      <w:r>
        <w:rPr>
          <w:rFonts w:hint="eastAsia"/>
          <w:sz w:val="24"/>
          <w:lang w:bidi="en-US"/>
        </w:rPr>
        <w:t>式</w:t>
      </w:r>
      <w:r>
        <w:rPr>
          <w:sz w:val="24"/>
          <w:lang w:bidi="en-US"/>
        </w:rPr>
        <w:t>滴灌带》</w:t>
      </w:r>
      <w:r>
        <w:rPr>
          <w:rFonts w:hint="eastAsia"/>
          <w:sz w:val="24"/>
          <w:lang w:bidi="en-US"/>
        </w:rPr>
        <w:t>（GB</w:t>
      </w:r>
      <w:r>
        <w:rPr>
          <w:sz w:val="24"/>
          <w:lang w:bidi="en-US"/>
        </w:rPr>
        <w:t>/T 19812.1-2017</w:t>
      </w:r>
      <w:r>
        <w:rPr>
          <w:rFonts w:hint="eastAsia"/>
          <w:sz w:val="24"/>
          <w:lang w:bidi="en-US"/>
        </w:rPr>
        <w:t>）中相关</w:t>
      </w:r>
      <w:r>
        <w:rPr>
          <w:sz w:val="24"/>
          <w:lang w:bidi="en-US"/>
        </w:rPr>
        <w:t>标准要求，具体</w:t>
      </w:r>
      <w:r>
        <w:rPr>
          <w:rFonts w:hint="eastAsia"/>
          <w:sz w:val="24"/>
          <w:lang w:bidi="en-US"/>
        </w:rPr>
        <w:t>见</w:t>
      </w:r>
      <w:r>
        <w:rPr>
          <w:sz w:val="24"/>
          <w:lang w:bidi="en-US"/>
        </w:rPr>
        <w:t>表</w:t>
      </w:r>
      <w:r>
        <w:rPr>
          <w:rFonts w:hint="eastAsia"/>
          <w:sz w:val="24"/>
          <w:lang w:bidi="en-US"/>
        </w:rPr>
        <w:t>4.1-6。</w:t>
      </w:r>
    </w:p>
    <w:p>
      <w:pPr>
        <w:pStyle w:val="499"/>
        <w:spacing w:line="240" w:lineRule="auto"/>
        <w:ind w:firstLine="420"/>
        <w:rPr>
          <w:lang w:bidi="en-US"/>
        </w:rPr>
      </w:pPr>
      <w:r>
        <w:rPr>
          <w:rFonts w:hint="eastAsia" w:ascii="Times New Roman" w:hAnsi="Times New Roman" w:eastAsia="黑体" w:cs="Times New Roman"/>
          <w:sz w:val="21"/>
          <w:lang w:bidi="en-US"/>
        </w:rPr>
        <w:t>表4.1-6       滴灌带</w:t>
      </w:r>
      <w:r>
        <w:rPr>
          <w:rFonts w:ascii="Times New Roman" w:hAnsi="Times New Roman" w:eastAsia="黑体" w:cs="Times New Roman"/>
          <w:sz w:val="21"/>
          <w:lang w:bidi="en-US"/>
        </w:rPr>
        <w:t>产品质量标准一览表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834"/>
        <w:gridCol w:w="829"/>
        <w:gridCol w:w="829"/>
        <w:gridCol w:w="830"/>
        <w:gridCol w:w="830"/>
        <w:gridCol w:w="830"/>
        <w:gridCol w:w="830"/>
        <w:gridCol w:w="830"/>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adjustRightInd w:val="0"/>
              <w:snapToGrid w:val="0"/>
              <w:jc w:val="center"/>
              <w:rPr>
                <w:bCs/>
                <w:kern w:val="0"/>
                <w:sz w:val="21"/>
                <w:szCs w:val="21"/>
              </w:rPr>
            </w:pPr>
            <w:r>
              <w:rPr>
                <w:rFonts w:hint="eastAsia"/>
                <w:bCs/>
                <w:kern w:val="0"/>
                <w:sz w:val="21"/>
                <w:szCs w:val="21"/>
              </w:rPr>
              <w:t>项目</w:t>
            </w:r>
          </w:p>
        </w:tc>
        <w:tc>
          <w:tcPr>
            <w:tcW w:w="7472" w:type="dxa"/>
            <w:gridSpan w:val="9"/>
            <w:vAlign w:val="center"/>
          </w:tcPr>
          <w:p>
            <w:pPr>
              <w:adjustRightInd w:val="0"/>
              <w:snapToGrid w:val="0"/>
              <w:jc w:val="center"/>
              <w:rPr>
                <w:bCs/>
                <w:kern w:val="0"/>
                <w:sz w:val="21"/>
                <w:szCs w:val="21"/>
              </w:rPr>
            </w:pPr>
            <w:r>
              <w:rPr>
                <w:rFonts w:hint="eastAsia"/>
                <w:bCs/>
                <w:kern w:val="0"/>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adjustRightInd w:val="0"/>
              <w:snapToGrid w:val="0"/>
              <w:jc w:val="center"/>
              <w:rPr>
                <w:bCs/>
                <w:kern w:val="0"/>
                <w:sz w:val="21"/>
                <w:szCs w:val="21"/>
              </w:rPr>
            </w:pPr>
            <w:r>
              <w:rPr>
                <w:rFonts w:hint="eastAsia"/>
                <w:bCs/>
                <w:kern w:val="0"/>
                <w:sz w:val="21"/>
                <w:szCs w:val="21"/>
              </w:rPr>
              <w:t>外观</w:t>
            </w:r>
          </w:p>
        </w:tc>
        <w:tc>
          <w:tcPr>
            <w:tcW w:w="7472" w:type="dxa"/>
            <w:gridSpan w:val="9"/>
            <w:vAlign w:val="center"/>
          </w:tcPr>
          <w:p>
            <w:pPr>
              <w:adjustRightInd w:val="0"/>
              <w:snapToGrid w:val="0"/>
              <w:jc w:val="center"/>
              <w:rPr>
                <w:bCs/>
                <w:kern w:val="0"/>
                <w:sz w:val="21"/>
                <w:szCs w:val="21"/>
              </w:rPr>
            </w:pPr>
            <w:r>
              <w:rPr>
                <w:rFonts w:hint="eastAsia"/>
                <w:bCs/>
                <w:kern w:val="0"/>
                <w:sz w:val="21"/>
                <w:szCs w:val="21"/>
              </w:rPr>
              <w:t>色泽均匀一致</w:t>
            </w:r>
            <w:r>
              <w:rPr>
                <w:bCs/>
                <w:kern w:val="0"/>
                <w:sz w:val="21"/>
                <w:szCs w:val="21"/>
              </w:rPr>
              <w:t>，表面光滑、平整，不应有气泡、挂料线、明显的未塑化物、杂质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restart"/>
            <w:vAlign w:val="center"/>
          </w:tcPr>
          <w:p>
            <w:pPr>
              <w:adjustRightInd w:val="0"/>
              <w:snapToGrid w:val="0"/>
              <w:jc w:val="center"/>
              <w:rPr>
                <w:bCs/>
                <w:kern w:val="0"/>
                <w:sz w:val="21"/>
                <w:szCs w:val="21"/>
              </w:rPr>
            </w:pPr>
            <w:r>
              <w:rPr>
                <w:rFonts w:hint="eastAsia"/>
                <w:bCs/>
                <w:kern w:val="0"/>
                <w:sz w:val="21"/>
                <w:szCs w:val="21"/>
              </w:rPr>
              <w:t>公称</w:t>
            </w:r>
            <w:r>
              <w:rPr>
                <w:bCs/>
                <w:kern w:val="0"/>
                <w:sz w:val="21"/>
                <w:szCs w:val="21"/>
              </w:rPr>
              <w:t>内径及极限偏差</w:t>
            </w:r>
            <w:r>
              <w:rPr>
                <w:rFonts w:hint="eastAsia"/>
                <w:bCs/>
                <w:kern w:val="0"/>
                <w:sz w:val="21"/>
                <w:szCs w:val="21"/>
              </w:rPr>
              <w:t>（mm）</w:t>
            </w:r>
          </w:p>
        </w:tc>
        <w:tc>
          <w:tcPr>
            <w:tcW w:w="834" w:type="dxa"/>
            <w:vAlign w:val="center"/>
          </w:tcPr>
          <w:p>
            <w:pPr>
              <w:adjustRightInd w:val="0"/>
              <w:snapToGrid w:val="0"/>
              <w:jc w:val="center"/>
              <w:rPr>
                <w:bCs/>
                <w:kern w:val="0"/>
                <w:sz w:val="21"/>
                <w:szCs w:val="21"/>
              </w:rPr>
            </w:pPr>
            <w:r>
              <w:rPr>
                <w:rFonts w:hint="eastAsia"/>
                <w:bCs/>
                <w:kern w:val="0"/>
                <w:sz w:val="21"/>
                <w:szCs w:val="21"/>
              </w:rPr>
              <w:t>公称</w:t>
            </w:r>
            <w:r>
              <w:rPr>
                <w:bCs/>
                <w:kern w:val="0"/>
                <w:sz w:val="21"/>
                <w:szCs w:val="21"/>
              </w:rPr>
              <w:t>内径</w:t>
            </w:r>
          </w:p>
        </w:tc>
        <w:tc>
          <w:tcPr>
            <w:tcW w:w="1658" w:type="dxa"/>
            <w:gridSpan w:val="2"/>
            <w:vAlign w:val="center"/>
          </w:tcPr>
          <w:p>
            <w:pPr>
              <w:adjustRightInd w:val="0"/>
              <w:snapToGrid w:val="0"/>
              <w:jc w:val="center"/>
              <w:rPr>
                <w:bCs/>
                <w:kern w:val="0"/>
                <w:sz w:val="21"/>
                <w:szCs w:val="21"/>
              </w:rPr>
            </w:pPr>
            <w:r>
              <w:rPr>
                <w:rFonts w:hint="eastAsia"/>
                <w:bCs/>
                <w:kern w:val="0"/>
                <w:sz w:val="21"/>
                <w:szCs w:val="21"/>
              </w:rPr>
              <w:t>12</w:t>
            </w:r>
          </w:p>
        </w:tc>
        <w:tc>
          <w:tcPr>
            <w:tcW w:w="1660" w:type="dxa"/>
            <w:gridSpan w:val="2"/>
            <w:vAlign w:val="center"/>
          </w:tcPr>
          <w:p>
            <w:pPr>
              <w:adjustRightInd w:val="0"/>
              <w:snapToGrid w:val="0"/>
              <w:jc w:val="center"/>
              <w:rPr>
                <w:bCs/>
                <w:kern w:val="0"/>
                <w:sz w:val="21"/>
                <w:szCs w:val="21"/>
              </w:rPr>
            </w:pPr>
            <w:r>
              <w:rPr>
                <w:rFonts w:hint="eastAsia"/>
                <w:bCs/>
                <w:kern w:val="0"/>
                <w:sz w:val="21"/>
                <w:szCs w:val="21"/>
              </w:rPr>
              <w:t>16</w:t>
            </w:r>
          </w:p>
        </w:tc>
        <w:tc>
          <w:tcPr>
            <w:tcW w:w="1660" w:type="dxa"/>
            <w:gridSpan w:val="2"/>
            <w:vAlign w:val="center"/>
          </w:tcPr>
          <w:p>
            <w:pPr>
              <w:adjustRightInd w:val="0"/>
              <w:snapToGrid w:val="0"/>
              <w:jc w:val="center"/>
              <w:rPr>
                <w:bCs/>
                <w:kern w:val="0"/>
                <w:sz w:val="21"/>
                <w:szCs w:val="21"/>
              </w:rPr>
            </w:pPr>
            <w:r>
              <w:rPr>
                <w:rFonts w:hint="eastAsia"/>
                <w:bCs/>
                <w:kern w:val="0"/>
                <w:sz w:val="21"/>
                <w:szCs w:val="21"/>
              </w:rPr>
              <w:t>18</w:t>
            </w:r>
          </w:p>
        </w:tc>
        <w:tc>
          <w:tcPr>
            <w:tcW w:w="1660" w:type="dxa"/>
            <w:gridSpan w:val="2"/>
            <w:vAlign w:val="center"/>
          </w:tcPr>
          <w:p>
            <w:pPr>
              <w:adjustRightInd w:val="0"/>
              <w:snapToGrid w:val="0"/>
              <w:jc w:val="center"/>
              <w:rPr>
                <w:bCs/>
                <w:kern w:val="0"/>
                <w:sz w:val="21"/>
                <w:szCs w:val="21"/>
              </w:rPr>
            </w:pPr>
            <w:r>
              <w:rPr>
                <w:rFonts w:hint="eastAsia"/>
                <w:bCs/>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continue"/>
            <w:vAlign w:val="center"/>
          </w:tcPr>
          <w:p>
            <w:pPr>
              <w:adjustRightInd w:val="0"/>
              <w:snapToGrid w:val="0"/>
              <w:jc w:val="center"/>
              <w:rPr>
                <w:bCs/>
                <w:kern w:val="0"/>
                <w:sz w:val="21"/>
                <w:szCs w:val="21"/>
              </w:rPr>
            </w:pPr>
          </w:p>
        </w:tc>
        <w:tc>
          <w:tcPr>
            <w:tcW w:w="834" w:type="dxa"/>
            <w:vAlign w:val="center"/>
          </w:tcPr>
          <w:p>
            <w:pPr>
              <w:adjustRightInd w:val="0"/>
              <w:snapToGrid w:val="0"/>
              <w:jc w:val="center"/>
              <w:rPr>
                <w:bCs/>
                <w:kern w:val="0"/>
                <w:sz w:val="21"/>
                <w:szCs w:val="21"/>
              </w:rPr>
            </w:pPr>
            <w:r>
              <w:rPr>
                <w:rFonts w:hint="eastAsia"/>
                <w:bCs/>
                <w:kern w:val="0"/>
                <w:sz w:val="21"/>
                <w:szCs w:val="21"/>
              </w:rPr>
              <w:t>极限偏差</w:t>
            </w:r>
          </w:p>
        </w:tc>
        <w:tc>
          <w:tcPr>
            <w:tcW w:w="6638" w:type="dxa"/>
            <w:gridSpan w:val="8"/>
            <w:vAlign w:val="center"/>
          </w:tcPr>
          <w:p>
            <w:pPr>
              <w:adjustRightInd w:val="0"/>
              <w:snapToGrid w:val="0"/>
              <w:jc w:val="center"/>
              <w:rPr>
                <w:bCs/>
                <w:kern w:val="0"/>
                <w:sz w:val="21"/>
                <w:szCs w:val="21"/>
              </w:rPr>
            </w:pPr>
            <w:r>
              <w:rPr>
                <w:rFonts w:hint="eastAsia"/>
                <w:bCs/>
                <w:kern w:val="0"/>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restart"/>
            <w:vAlign w:val="center"/>
          </w:tcPr>
          <w:p>
            <w:pPr>
              <w:adjustRightInd w:val="0"/>
              <w:snapToGrid w:val="0"/>
              <w:jc w:val="center"/>
              <w:rPr>
                <w:bCs/>
                <w:kern w:val="0"/>
                <w:sz w:val="21"/>
                <w:szCs w:val="21"/>
              </w:rPr>
            </w:pPr>
            <w:r>
              <w:rPr>
                <w:rFonts w:hint="eastAsia"/>
                <w:bCs/>
                <w:kern w:val="0"/>
                <w:sz w:val="21"/>
                <w:szCs w:val="21"/>
              </w:rPr>
              <w:t>公称壁厚</w:t>
            </w:r>
            <w:r>
              <w:rPr>
                <w:bCs/>
                <w:kern w:val="0"/>
                <w:sz w:val="21"/>
                <w:szCs w:val="21"/>
              </w:rPr>
              <w:t>及极限偏差（</w:t>
            </w:r>
            <w:r>
              <w:rPr>
                <w:rFonts w:hint="eastAsia"/>
                <w:bCs/>
                <w:kern w:val="0"/>
                <w:sz w:val="21"/>
                <w:szCs w:val="21"/>
              </w:rPr>
              <w:t>mm</w:t>
            </w:r>
            <w:r>
              <w:rPr>
                <w:bCs/>
                <w:kern w:val="0"/>
                <w:sz w:val="21"/>
                <w:szCs w:val="21"/>
              </w:rPr>
              <w:t>）</w:t>
            </w:r>
          </w:p>
        </w:tc>
        <w:tc>
          <w:tcPr>
            <w:tcW w:w="834" w:type="dxa"/>
            <w:vAlign w:val="center"/>
          </w:tcPr>
          <w:p>
            <w:pPr>
              <w:adjustRightInd w:val="0"/>
              <w:snapToGrid w:val="0"/>
              <w:jc w:val="center"/>
              <w:rPr>
                <w:bCs/>
                <w:kern w:val="0"/>
                <w:sz w:val="21"/>
                <w:szCs w:val="21"/>
              </w:rPr>
            </w:pPr>
            <w:r>
              <w:rPr>
                <w:rFonts w:hint="eastAsia"/>
                <w:bCs/>
                <w:kern w:val="0"/>
                <w:sz w:val="21"/>
                <w:szCs w:val="21"/>
              </w:rPr>
              <w:t>公称</w:t>
            </w:r>
            <w:r>
              <w:rPr>
                <w:bCs/>
                <w:kern w:val="0"/>
                <w:sz w:val="21"/>
                <w:szCs w:val="21"/>
              </w:rPr>
              <w:t>壁厚</w:t>
            </w:r>
          </w:p>
        </w:tc>
        <w:tc>
          <w:tcPr>
            <w:tcW w:w="829" w:type="dxa"/>
            <w:vAlign w:val="center"/>
          </w:tcPr>
          <w:p>
            <w:pPr>
              <w:adjustRightInd w:val="0"/>
              <w:snapToGrid w:val="0"/>
              <w:jc w:val="center"/>
              <w:rPr>
                <w:bCs/>
                <w:kern w:val="0"/>
                <w:sz w:val="21"/>
                <w:szCs w:val="21"/>
              </w:rPr>
            </w:pPr>
            <w:r>
              <w:rPr>
                <w:rFonts w:hint="eastAsia"/>
                <w:bCs/>
                <w:kern w:val="0"/>
                <w:sz w:val="21"/>
                <w:szCs w:val="21"/>
              </w:rPr>
              <w:t>0.14</w:t>
            </w:r>
          </w:p>
        </w:tc>
        <w:tc>
          <w:tcPr>
            <w:tcW w:w="829" w:type="dxa"/>
            <w:vAlign w:val="center"/>
          </w:tcPr>
          <w:p>
            <w:pPr>
              <w:adjustRightInd w:val="0"/>
              <w:snapToGrid w:val="0"/>
              <w:jc w:val="center"/>
              <w:rPr>
                <w:bCs/>
                <w:kern w:val="0"/>
                <w:sz w:val="21"/>
                <w:szCs w:val="21"/>
              </w:rPr>
            </w:pPr>
            <w:r>
              <w:rPr>
                <w:rFonts w:hint="eastAsia"/>
                <w:bCs/>
                <w:kern w:val="0"/>
                <w:sz w:val="21"/>
                <w:szCs w:val="21"/>
              </w:rPr>
              <w:t>0.16</w:t>
            </w:r>
          </w:p>
        </w:tc>
        <w:tc>
          <w:tcPr>
            <w:tcW w:w="830" w:type="dxa"/>
            <w:vAlign w:val="center"/>
          </w:tcPr>
          <w:p>
            <w:pPr>
              <w:adjustRightInd w:val="0"/>
              <w:snapToGrid w:val="0"/>
              <w:jc w:val="center"/>
              <w:rPr>
                <w:bCs/>
                <w:kern w:val="0"/>
                <w:sz w:val="21"/>
                <w:szCs w:val="21"/>
              </w:rPr>
            </w:pPr>
            <w:r>
              <w:rPr>
                <w:rFonts w:hint="eastAsia"/>
                <w:bCs/>
                <w:kern w:val="0"/>
                <w:sz w:val="21"/>
                <w:szCs w:val="21"/>
              </w:rPr>
              <w:t>0.18</w:t>
            </w:r>
          </w:p>
        </w:tc>
        <w:tc>
          <w:tcPr>
            <w:tcW w:w="830" w:type="dxa"/>
            <w:vAlign w:val="center"/>
          </w:tcPr>
          <w:p>
            <w:pPr>
              <w:adjustRightInd w:val="0"/>
              <w:snapToGrid w:val="0"/>
              <w:jc w:val="center"/>
              <w:rPr>
                <w:bCs/>
                <w:kern w:val="0"/>
                <w:sz w:val="21"/>
                <w:szCs w:val="21"/>
              </w:rPr>
            </w:pPr>
            <w:r>
              <w:rPr>
                <w:rFonts w:hint="eastAsia"/>
                <w:bCs/>
                <w:kern w:val="0"/>
                <w:sz w:val="21"/>
                <w:szCs w:val="21"/>
              </w:rPr>
              <w:t>0.20</w:t>
            </w:r>
          </w:p>
        </w:tc>
        <w:tc>
          <w:tcPr>
            <w:tcW w:w="830" w:type="dxa"/>
            <w:vAlign w:val="center"/>
          </w:tcPr>
          <w:p>
            <w:pPr>
              <w:adjustRightInd w:val="0"/>
              <w:snapToGrid w:val="0"/>
              <w:jc w:val="center"/>
              <w:rPr>
                <w:bCs/>
                <w:kern w:val="0"/>
                <w:sz w:val="21"/>
                <w:szCs w:val="21"/>
              </w:rPr>
            </w:pPr>
            <w:r>
              <w:rPr>
                <w:rFonts w:hint="eastAsia"/>
                <w:bCs/>
                <w:kern w:val="0"/>
                <w:sz w:val="21"/>
                <w:szCs w:val="21"/>
              </w:rPr>
              <w:t>0.22</w:t>
            </w:r>
          </w:p>
        </w:tc>
        <w:tc>
          <w:tcPr>
            <w:tcW w:w="830" w:type="dxa"/>
            <w:vAlign w:val="center"/>
          </w:tcPr>
          <w:p>
            <w:pPr>
              <w:adjustRightInd w:val="0"/>
              <w:snapToGrid w:val="0"/>
              <w:jc w:val="center"/>
              <w:rPr>
                <w:bCs/>
                <w:kern w:val="0"/>
                <w:sz w:val="21"/>
                <w:szCs w:val="21"/>
              </w:rPr>
            </w:pPr>
            <w:r>
              <w:rPr>
                <w:rFonts w:hint="eastAsia"/>
                <w:bCs/>
                <w:kern w:val="0"/>
                <w:sz w:val="21"/>
                <w:szCs w:val="21"/>
              </w:rPr>
              <w:t>0.24</w:t>
            </w:r>
          </w:p>
        </w:tc>
        <w:tc>
          <w:tcPr>
            <w:tcW w:w="830" w:type="dxa"/>
            <w:vAlign w:val="center"/>
          </w:tcPr>
          <w:p>
            <w:pPr>
              <w:adjustRightInd w:val="0"/>
              <w:snapToGrid w:val="0"/>
              <w:jc w:val="center"/>
              <w:rPr>
                <w:bCs/>
                <w:kern w:val="0"/>
                <w:sz w:val="21"/>
                <w:szCs w:val="21"/>
              </w:rPr>
            </w:pPr>
            <w:r>
              <w:rPr>
                <w:rFonts w:hint="eastAsia"/>
                <w:bCs/>
                <w:kern w:val="0"/>
                <w:sz w:val="21"/>
                <w:szCs w:val="21"/>
              </w:rPr>
              <w:t>0.30</w:t>
            </w:r>
          </w:p>
        </w:tc>
        <w:tc>
          <w:tcPr>
            <w:tcW w:w="830" w:type="dxa"/>
            <w:vAlign w:val="center"/>
          </w:tcPr>
          <w:p>
            <w:pPr>
              <w:adjustRightInd w:val="0"/>
              <w:snapToGrid w:val="0"/>
              <w:jc w:val="center"/>
              <w:rPr>
                <w:bCs/>
                <w:kern w:val="0"/>
                <w:sz w:val="21"/>
                <w:szCs w:val="21"/>
              </w:rPr>
            </w:pPr>
            <w:r>
              <w:rPr>
                <w:rFonts w:hint="eastAsia"/>
                <w:bCs/>
                <w:kern w:val="0"/>
                <w:sz w:val="21"/>
                <w:szCs w:val="21"/>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continue"/>
            <w:vAlign w:val="center"/>
          </w:tcPr>
          <w:p>
            <w:pPr>
              <w:adjustRightInd w:val="0"/>
              <w:snapToGrid w:val="0"/>
              <w:jc w:val="center"/>
              <w:rPr>
                <w:bCs/>
                <w:kern w:val="0"/>
                <w:sz w:val="21"/>
                <w:szCs w:val="21"/>
              </w:rPr>
            </w:pPr>
          </w:p>
        </w:tc>
        <w:tc>
          <w:tcPr>
            <w:tcW w:w="834" w:type="dxa"/>
            <w:vAlign w:val="center"/>
          </w:tcPr>
          <w:p>
            <w:pPr>
              <w:adjustRightInd w:val="0"/>
              <w:snapToGrid w:val="0"/>
              <w:jc w:val="center"/>
              <w:rPr>
                <w:bCs/>
                <w:kern w:val="0"/>
                <w:sz w:val="21"/>
                <w:szCs w:val="21"/>
              </w:rPr>
            </w:pPr>
            <w:r>
              <w:rPr>
                <w:rFonts w:hint="eastAsia"/>
                <w:bCs/>
                <w:kern w:val="0"/>
                <w:sz w:val="21"/>
                <w:szCs w:val="21"/>
              </w:rPr>
              <w:t xml:space="preserve">极限 </w:t>
            </w:r>
            <w:r>
              <w:rPr>
                <w:bCs/>
                <w:kern w:val="0"/>
                <w:sz w:val="21"/>
                <w:szCs w:val="21"/>
              </w:rPr>
              <w:t>偏差</w:t>
            </w:r>
          </w:p>
        </w:tc>
        <w:tc>
          <w:tcPr>
            <w:tcW w:w="6638" w:type="dxa"/>
            <w:gridSpan w:val="8"/>
            <w:vAlign w:val="center"/>
          </w:tcPr>
          <w:p>
            <w:pPr>
              <w:adjustRightInd w:val="0"/>
              <w:snapToGrid w:val="0"/>
              <w:jc w:val="center"/>
              <w:rPr>
                <w:bCs/>
                <w:kern w:val="0"/>
                <w:sz w:val="21"/>
                <w:szCs w:val="21"/>
              </w:rPr>
            </w:pPr>
            <w:r>
              <w:rPr>
                <w:rFonts w:hint="eastAsia"/>
                <w:bCs/>
                <w:kern w:val="0"/>
                <w:sz w:val="21"/>
                <w:szCs w:val="21"/>
              </w:rPr>
              <w:t>+0.04</w:t>
            </w:r>
          </w:p>
          <w:p>
            <w:pPr>
              <w:adjustRightInd w:val="0"/>
              <w:snapToGrid w:val="0"/>
              <w:jc w:val="center"/>
              <w:rPr>
                <w:bCs/>
                <w:kern w:val="0"/>
                <w:sz w:val="21"/>
                <w:szCs w:val="21"/>
              </w:rPr>
            </w:pPr>
            <w:r>
              <w:rPr>
                <w:rFonts w:hint="eastAsia"/>
                <w:bCs/>
                <w:kern w:val="0"/>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restart"/>
            <w:vAlign w:val="center"/>
          </w:tcPr>
          <w:p>
            <w:pPr>
              <w:adjustRightInd w:val="0"/>
              <w:snapToGrid w:val="0"/>
              <w:jc w:val="center"/>
              <w:rPr>
                <w:bCs/>
                <w:kern w:val="0"/>
                <w:sz w:val="21"/>
                <w:szCs w:val="21"/>
              </w:rPr>
            </w:pPr>
            <w:r>
              <w:rPr>
                <w:rFonts w:hint="eastAsia"/>
                <w:bCs/>
                <w:kern w:val="0"/>
                <w:sz w:val="21"/>
                <w:szCs w:val="21"/>
              </w:rPr>
              <w:t>每段卷数（个）</w:t>
            </w:r>
          </w:p>
        </w:tc>
        <w:tc>
          <w:tcPr>
            <w:tcW w:w="1663" w:type="dxa"/>
            <w:gridSpan w:val="2"/>
            <w:vAlign w:val="center"/>
          </w:tcPr>
          <w:p>
            <w:pPr>
              <w:adjustRightInd w:val="0"/>
              <w:snapToGrid w:val="0"/>
              <w:jc w:val="center"/>
              <w:rPr>
                <w:bCs/>
                <w:kern w:val="0"/>
                <w:sz w:val="21"/>
                <w:szCs w:val="21"/>
              </w:rPr>
            </w:pPr>
            <w:r>
              <w:rPr>
                <w:rFonts w:hint="eastAsia"/>
                <w:bCs/>
                <w:kern w:val="0"/>
                <w:sz w:val="21"/>
                <w:szCs w:val="21"/>
              </w:rPr>
              <w:t>≤1000</w:t>
            </w:r>
            <w:r>
              <w:rPr>
                <w:bCs/>
                <w:kern w:val="0"/>
                <w:sz w:val="21"/>
                <w:szCs w:val="21"/>
              </w:rPr>
              <w:t>m</w:t>
            </w:r>
          </w:p>
        </w:tc>
        <w:tc>
          <w:tcPr>
            <w:tcW w:w="1659" w:type="dxa"/>
            <w:gridSpan w:val="2"/>
            <w:vAlign w:val="center"/>
          </w:tcPr>
          <w:p>
            <w:pPr>
              <w:adjustRightInd w:val="0"/>
              <w:snapToGrid w:val="0"/>
              <w:jc w:val="center"/>
              <w:rPr>
                <w:bCs/>
                <w:kern w:val="0"/>
                <w:sz w:val="21"/>
                <w:szCs w:val="21"/>
              </w:rPr>
            </w:pPr>
            <w:r>
              <w:rPr>
                <w:rFonts w:hint="eastAsia"/>
                <w:bCs/>
                <w:kern w:val="0"/>
                <w:sz w:val="21"/>
                <w:szCs w:val="21"/>
              </w:rPr>
              <w:t>＞1000</w:t>
            </w:r>
            <w:r>
              <w:rPr>
                <w:bCs/>
                <w:kern w:val="0"/>
                <w:sz w:val="21"/>
                <w:szCs w:val="21"/>
              </w:rPr>
              <w:t>m</w:t>
            </w:r>
          </w:p>
        </w:tc>
        <w:tc>
          <w:tcPr>
            <w:tcW w:w="830" w:type="dxa"/>
            <w:vMerge w:val="restart"/>
            <w:vAlign w:val="center"/>
          </w:tcPr>
          <w:p>
            <w:pPr>
              <w:adjustRightInd w:val="0"/>
              <w:snapToGrid w:val="0"/>
              <w:jc w:val="center"/>
              <w:rPr>
                <w:bCs/>
                <w:kern w:val="0"/>
                <w:sz w:val="21"/>
                <w:szCs w:val="21"/>
              </w:rPr>
            </w:pPr>
            <w:r>
              <w:rPr>
                <w:rFonts w:hint="eastAsia"/>
                <w:bCs/>
                <w:kern w:val="0"/>
                <w:sz w:val="21"/>
                <w:szCs w:val="21"/>
              </w:rPr>
              <w:t>每段长度（m）</w:t>
            </w:r>
          </w:p>
        </w:tc>
        <w:tc>
          <w:tcPr>
            <w:tcW w:w="830" w:type="dxa"/>
            <w:vMerge w:val="restart"/>
            <w:vAlign w:val="center"/>
          </w:tcPr>
          <w:p>
            <w:pPr>
              <w:adjustRightInd w:val="0"/>
              <w:snapToGrid w:val="0"/>
              <w:jc w:val="center"/>
              <w:rPr>
                <w:bCs/>
                <w:kern w:val="0"/>
                <w:sz w:val="21"/>
                <w:szCs w:val="21"/>
              </w:rPr>
            </w:pPr>
            <w:r>
              <w:rPr>
                <w:rFonts w:hint="eastAsia"/>
                <w:bCs/>
                <w:kern w:val="0"/>
                <w:sz w:val="21"/>
                <w:szCs w:val="21"/>
              </w:rPr>
              <w:t>≥200</w:t>
            </w:r>
          </w:p>
        </w:tc>
        <w:tc>
          <w:tcPr>
            <w:tcW w:w="1660" w:type="dxa"/>
            <w:gridSpan w:val="2"/>
            <w:vMerge w:val="restart"/>
            <w:vAlign w:val="center"/>
          </w:tcPr>
          <w:p>
            <w:pPr>
              <w:adjustRightInd w:val="0"/>
              <w:snapToGrid w:val="0"/>
              <w:jc w:val="center"/>
              <w:rPr>
                <w:bCs/>
                <w:kern w:val="0"/>
                <w:sz w:val="21"/>
                <w:szCs w:val="21"/>
              </w:rPr>
            </w:pPr>
            <w:r>
              <w:rPr>
                <w:rFonts w:hint="eastAsia"/>
                <w:bCs/>
                <w:kern w:val="0"/>
                <w:sz w:val="21"/>
                <w:szCs w:val="21"/>
              </w:rPr>
              <w:t>每卷</w:t>
            </w:r>
            <w:r>
              <w:rPr>
                <w:bCs/>
                <w:kern w:val="0"/>
                <w:sz w:val="21"/>
                <w:szCs w:val="21"/>
              </w:rPr>
              <w:t>长度偏差率（</w:t>
            </w:r>
            <w:r>
              <w:rPr>
                <w:rFonts w:hint="eastAsia"/>
                <w:bCs/>
                <w:kern w:val="0"/>
                <w:sz w:val="21"/>
                <w:szCs w:val="21"/>
              </w:rPr>
              <w:t>%</w:t>
            </w:r>
            <w:r>
              <w:rPr>
                <w:bCs/>
                <w:kern w:val="0"/>
                <w:sz w:val="21"/>
                <w:szCs w:val="21"/>
              </w:rPr>
              <w:t>）</w:t>
            </w:r>
          </w:p>
        </w:tc>
        <w:tc>
          <w:tcPr>
            <w:tcW w:w="830" w:type="dxa"/>
            <w:vMerge w:val="restart"/>
            <w:vAlign w:val="center"/>
          </w:tcPr>
          <w:p>
            <w:pPr>
              <w:adjustRightInd w:val="0"/>
              <w:snapToGrid w:val="0"/>
              <w:jc w:val="center"/>
              <w:rPr>
                <w:bCs/>
                <w:kern w:val="0"/>
                <w:sz w:val="21"/>
                <w:szCs w:val="21"/>
              </w:rPr>
            </w:pPr>
            <w:r>
              <w:rPr>
                <w:rFonts w:hint="eastAsia"/>
                <w:bCs/>
                <w:ker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continue"/>
            <w:vAlign w:val="center"/>
          </w:tcPr>
          <w:p>
            <w:pPr>
              <w:adjustRightInd w:val="0"/>
              <w:snapToGrid w:val="0"/>
              <w:jc w:val="center"/>
              <w:rPr>
                <w:bCs/>
                <w:kern w:val="0"/>
                <w:sz w:val="21"/>
                <w:szCs w:val="21"/>
              </w:rPr>
            </w:pPr>
          </w:p>
        </w:tc>
        <w:tc>
          <w:tcPr>
            <w:tcW w:w="1663" w:type="dxa"/>
            <w:gridSpan w:val="2"/>
            <w:vAlign w:val="center"/>
          </w:tcPr>
          <w:p>
            <w:pPr>
              <w:adjustRightInd w:val="0"/>
              <w:snapToGrid w:val="0"/>
              <w:jc w:val="center"/>
              <w:rPr>
                <w:bCs/>
                <w:kern w:val="0"/>
                <w:sz w:val="21"/>
                <w:szCs w:val="21"/>
              </w:rPr>
            </w:pPr>
            <w:r>
              <w:rPr>
                <w:rFonts w:hint="eastAsia"/>
                <w:bCs/>
                <w:kern w:val="0"/>
                <w:sz w:val="21"/>
                <w:szCs w:val="21"/>
              </w:rPr>
              <w:t>≤2</w:t>
            </w:r>
          </w:p>
        </w:tc>
        <w:tc>
          <w:tcPr>
            <w:tcW w:w="1659" w:type="dxa"/>
            <w:gridSpan w:val="2"/>
            <w:vAlign w:val="center"/>
          </w:tcPr>
          <w:p>
            <w:pPr>
              <w:adjustRightInd w:val="0"/>
              <w:snapToGrid w:val="0"/>
              <w:jc w:val="center"/>
              <w:rPr>
                <w:bCs/>
                <w:kern w:val="0"/>
                <w:sz w:val="21"/>
                <w:szCs w:val="21"/>
              </w:rPr>
            </w:pPr>
            <w:r>
              <w:rPr>
                <w:rFonts w:hint="eastAsia"/>
                <w:bCs/>
                <w:kern w:val="0"/>
                <w:sz w:val="21"/>
                <w:szCs w:val="21"/>
              </w:rPr>
              <w:t>≤3</w:t>
            </w:r>
          </w:p>
        </w:tc>
        <w:tc>
          <w:tcPr>
            <w:tcW w:w="830" w:type="dxa"/>
            <w:vMerge w:val="continue"/>
            <w:vAlign w:val="center"/>
          </w:tcPr>
          <w:p>
            <w:pPr>
              <w:adjustRightInd w:val="0"/>
              <w:snapToGrid w:val="0"/>
              <w:jc w:val="center"/>
              <w:rPr>
                <w:bCs/>
                <w:kern w:val="0"/>
                <w:sz w:val="21"/>
                <w:szCs w:val="21"/>
              </w:rPr>
            </w:pPr>
          </w:p>
        </w:tc>
        <w:tc>
          <w:tcPr>
            <w:tcW w:w="830" w:type="dxa"/>
            <w:vMerge w:val="continue"/>
            <w:vAlign w:val="center"/>
          </w:tcPr>
          <w:p>
            <w:pPr>
              <w:adjustRightInd w:val="0"/>
              <w:snapToGrid w:val="0"/>
              <w:jc w:val="center"/>
              <w:rPr>
                <w:bCs/>
                <w:kern w:val="0"/>
                <w:sz w:val="21"/>
                <w:szCs w:val="21"/>
              </w:rPr>
            </w:pPr>
          </w:p>
        </w:tc>
        <w:tc>
          <w:tcPr>
            <w:tcW w:w="1660" w:type="dxa"/>
            <w:gridSpan w:val="2"/>
            <w:vMerge w:val="continue"/>
            <w:vAlign w:val="center"/>
          </w:tcPr>
          <w:p>
            <w:pPr>
              <w:adjustRightInd w:val="0"/>
              <w:snapToGrid w:val="0"/>
              <w:jc w:val="center"/>
              <w:rPr>
                <w:bCs/>
                <w:kern w:val="0"/>
                <w:sz w:val="21"/>
                <w:szCs w:val="21"/>
              </w:rPr>
            </w:pPr>
          </w:p>
        </w:tc>
        <w:tc>
          <w:tcPr>
            <w:tcW w:w="830" w:type="dxa"/>
            <w:vMerge w:val="continue"/>
            <w:vAlign w:val="center"/>
          </w:tcPr>
          <w:p>
            <w:pPr>
              <w:adjustRightInd w:val="0"/>
              <w:snapToGrid w:val="0"/>
              <w:jc w:val="center"/>
              <w:rPr>
                <w:bCs/>
                <w:kern w:val="0"/>
                <w:sz w:val="21"/>
                <w:szCs w:val="21"/>
              </w:rPr>
            </w:pP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4.1.5主要生产设备</w:t>
      </w:r>
    </w:p>
    <w:p>
      <w:pPr>
        <w:spacing w:line="460" w:lineRule="exact"/>
        <w:ind w:firstLine="480" w:firstLineChars="200"/>
        <w:rPr>
          <w:sz w:val="24"/>
          <w:lang w:bidi="en-US"/>
        </w:rPr>
      </w:pPr>
      <w:r>
        <w:rPr>
          <w:rFonts w:hint="eastAsia"/>
          <w:sz w:val="24"/>
          <w:lang w:bidi="en-US"/>
        </w:rPr>
        <w:t>本项目采用较先进的生产设备，在生产装置安装过程中，均执行国家和有关部门的标准、规范规定。生产装置均选用标准的高质量设备，在装置使用的各种材料及各类材料及各类管件、配件、仪表灯均按照各自相应标准确定的范围来选用。本项目设备清单见表</w:t>
      </w:r>
      <w:r>
        <w:rPr>
          <w:sz w:val="24"/>
          <w:lang w:bidi="en-US"/>
        </w:rPr>
        <w:t>4.1-7</w:t>
      </w:r>
      <w:r>
        <w:rPr>
          <w:rFonts w:hint="eastAsia"/>
          <w:sz w:val="24"/>
          <w:lang w:bidi="en-US"/>
        </w:rPr>
        <w:t>。</w:t>
      </w:r>
    </w:p>
    <w:p>
      <w:pPr>
        <w:pStyle w:val="499"/>
        <w:spacing w:line="240" w:lineRule="auto"/>
        <w:ind w:firstLine="420"/>
        <w:rPr>
          <w:rFonts w:ascii="Times New Roman" w:hAnsi="Times New Roman" w:eastAsia="黑体" w:cs="Times New Roman"/>
          <w:sz w:val="21"/>
          <w:lang w:bidi="en-US"/>
        </w:rPr>
      </w:pPr>
      <w:bookmarkStart w:id="139" w:name="_Hlk168302561"/>
      <w:r>
        <w:rPr>
          <w:rFonts w:hint="eastAsia" w:ascii="Times New Roman" w:hAnsi="Times New Roman" w:eastAsia="黑体" w:cs="Times New Roman"/>
          <w:sz w:val="21"/>
          <w:lang w:bidi="en-US"/>
        </w:rPr>
        <w:t>表</w:t>
      </w:r>
      <w:r>
        <w:rPr>
          <w:rFonts w:ascii="Times New Roman" w:hAnsi="Times New Roman" w:eastAsia="黑体" w:cs="Times New Roman"/>
          <w:sz w:val="21"/>
          <w:lang w:bidi="en-US"/>
        </w:rPr>
        <w:t xml:space="preserve">4.1-7                     </w:t>
      </w:r>
      <w:r>
        <w:rPr>
          <w:rFonts w:hint="eastAsia" w:ascii="Times New Roman" w:hAnsi="Times New Roman" w:eastAsia="黑体" w:cs="Times New Roman"/>
          <w:sz w:val="21"/>
          <w:lang w:bidi="en-US"/>
        </w:rPr>
        <w:t>设备清单一览表</w:t>
      </w:r>
    </w:p>
    <w:tbl>
      <w:tblPr>
        <w:tblStyle w:val="6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008"/>
        <w:gridCol w:w="990"/>
        <w:gridCol w:w="849"/>
        <w:gridCol w:w="1702"/>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Align w:val="center"/>
          </w:tcPr>
          <w:p>
            <w:pPr>
              <w:adjustRightInd w:val="0"/>
              <w:snapToGrid w:val="0"/>
              <w:jc w:val="center"/>
              <w:rPr>
                <w:bCs/>
                <w:kern w:val="0"/>
                <w:sz w:val="21"/>
                <w:szCs w:val="21"/>
              </w:rPr>
            </w:pPr>
            <w:r>
              <w:rPr>
                <w:rFonts w:hint="eastAsia"/>
                <w:bCs/>
                <w:kern w:val="0"/>
                <w:sz w:val="21"/>
                <w:szCs w:val="21"/>
              </w:rPr>
              <w:t>分类</w:t>
            </w:r>
          </w:p>
        </w:tc>
        <w:tc>
          <w:tcPr>
            <w:tcW w:w="1190" w:type="pct"/>
            <w:vAlign w:val="center"/>
          </w:tcPr>
          <w:p>
            <w:pPr>
              <w:adjustRightInd w:val="0"/>
              <w:snapToGrid w:val="0"/>
              <w:jc w:val="center"/>
              <w:rPr>
                <w:bCs/>
                <w:kern w:val="0"/>
                <w:sz w:val="21"/>
                <w:szCs w:val="21"/>
              </w:rPr>
            </w:pPr>
            <w:r>
              <w:rPr>
                <w:rFonts w:hint="eastAsia"/>
                <w:bCs/>
                <w:kern w:val="0"/>
                <w:sz w:val="21"/>
                <w:szCs w:val="21"/>
              </w:rPr>
              <w:t>设备名称</w:t>
            </w:r>
          </w:p>
        </w:tc>
        <w:tc>
          <w:tcPr>
            <w:tcW w:w="587" w:type="pct"/>
            <w:vAlign w:val="center"/>
          </w:tcPr>
          <w:p>
            <w:pPr>
              <w:adjustRightInd w:val="0"/>
              <w:snapToGrid w:val="0"/>
              <w:jc w:val="center"/>
              <w:rPr>
                <w:bCs/>
                <w:kern w:val="0"/>
                <w:sz w:val="21"/>
                <w:szCs w:val="21"/>
              </w:rPr>
            </w:pPr>
            <w:r>
              <w:rPr>
                <w:rFonts w:hint="eastAsia"/>
                <w:bCs/>
                <w:kern w:val="0"/>
                <w:sz w:val="21"/>
                <w:szCs w:val="21"/>
              </w:rPr>
              <w:t>数量</w:t>
            </w:r>
          </w:p>
        </w:tc>
        <w:tc>
          <w:tcPr>
            <w:tcW w:w="503" w:type="pct"/>
            <w:vAlign w:val="center"/>
          </w:tcPr>
          <w:p>
            <w:pPr>
              <w:adjustRightInd w:val="0"/>
              <w:snapToGrid w:val="0"/>
              <w:jc w:val="center"/>
              <w:rPr>
                <w:bCs/>
                <w:kern w:val="0"/>
                <w:sz w:val="21"/>
                <w:szCs w:val="21"/>
              </w:rPr>
            </w:pPr>
            <w:r>
              <w:rPr>
                <w:rFonts w:hint="eastAsia"/>
                <w:bCs/>
                <w:kern w:val="0"/>
                <w:sz w:val="21"/>
                <w:szCs w:val="21"/>
              </w:rPr>
              <w:t>单位</w:t>
            </w:r>
          </w:p>
        </w:tc>
        <w:tc>
          <w:tcPr>
            <w:tcW w:w="1009" w:type="pct"/>
            <w:vAlign w:val="center"/>
          </w:tcPr>
          <w:p>
            <w:pPr>
              <w:adjustRightInd w:val="0"/>
              <w:snapToGrid w:val="0"/>
              <w:jc w:val="center"/>
              <w:rPr>
                <w:bCs/>
                <w:kern w:val="0"/>
                <w:sz w:val="21"/>
                <w:szCs w:val="21"/>
              </w:rPr>
            </w:pPr>
            <w:r>
              <w:rPr>
                <w:rFonts w:hint="eastAsia"/>
                <w:bCs/>
                <w:kern w:val="0"/>
                <w:sz w:val="21"/>
                <w:szCs w:val="21"/>
              </w:rPr>
              <w:t>型号</w:t>
            </w:r>
          </w:p>
        </w:tc>
        <w:tc>
          <w:tcPr>
            <w:tcW w:w="1239" w:type="pct"/>
            <w:vAlign w:val="center"/>
          </w:tcPr>
          <w:p>
            <w:pPr>
              <w:adjustRightInd w:val="0"/>
              <w:snapToGrid w:val="0"/>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vAlign w:val="center"/>
          </w:tcPr>
          <w:p>
            <w:pPr>
              <w:adjustRightInd w:val="0"/>
              <w:snapToGrid w:val="0"/>
              <w:jc w:val="center"/>
              <w:rPr>
                <w:bCs/>
                <w:kern w:val="0"/>
                <w:sz w:val="21"/>
                <w:szCs w:val="21"/>
              </w:rPr>
            </w:pPr>
            <w:r>
              <w:rPr>
                <w:rFonts w:hint="eastAsia"/>
                <w:bCs/>
                <w:kern w:val="0"/>
                <w:sz w:val="21"/>
                <w:szCs w:val="21"/>
              </w:rPr>
              <w:t>废旧塑料膜造粒工段</w:t>
            </w:r>
          </w:p>
        </w:tc>
        <w:tc>
          <w:tcPr>
            <w:tcW w:w="1190" w:type="pct"/>
            <w:vAlign w:val="center"/>
          </w:tcPr>
          <w:p>
            <w:pPr>
              <w:adjustRightInd w:val="0"/>
              <w:snapToGrid w:val="0"/>
              <w:jc w:val="center"/>
              <w:rPr>
                <w:bCs/>
                <w:kern w:val="0"/>
                <w:sz w:val="21"/>
                <w:szCs w:val="21"/>
              </w:rPr>
            </w:pPr>
            <w:r>
              <w:rPr>
                <w:rFonts w:hint="eastAsia"/>
                <w:bCs/>
                <w:kern w:val="0"/>
                <w:sz w:val="21"/>
                <w:szCs w:val="21"/>
              </w:rPr>
              <w:t>破碎机</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0.5t/h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adjustRightInd w:val="0"/>
              <w:snapToGrid w:val="0"/>
              <w:jc w:val="center"/>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挤出加料系统</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0.5t/h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adjustRightInd w:val="0"/>
              <w:snapToGrid w:val="0"/>
              <w:jc w:val="center"/>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造粒机</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0.5t/h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adjustRightInd w:val="0"/>
              <w:snapToGrid w:val="0"/>
              <w:jc w:val="center"/>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切粒机</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0.5t/h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vAlign w:val="center"/>
          </w:tcPr>
          <w:p>
            <w:pPr>
              <w:adjustRightInd w:val="0"/>
              <w:snapToGrid w:val="0"/>
              <w:jc w:val="center"/>
              <w:rPr>
                <w:bCs/>
                <w:kern w:val="0"/>
                <w:sz w:val="21"/>
                <w:szCs w:val="21"/>
              </w:rPr>
            </w:pPr>
            <w:r>
              <w:rPr>
                <w:rFonts w:hint="eastAsia"/>
                <w:bCs/>
                <w:kern w:val="0"/>
                <w:sz w:val="21"/>
                <w:szCs w:val="21"/>
              </w:rPr>
              <w:t>废旧滴灌带造粒工段</w:t>
            </w:r>
          </w:p>
        </w:tc>
        <w:tc>
          <w:tcPr>
            <w:tcW w:w="1190" w:type="pct"/>
            <w:vAlign w:val="center"/>
          </w:tcPr>
          <w:p>
            <w:pPr>
              <w:adjustRightInd w:val="0"/>
              <w:snapToGrid w:val="0"/>
              <w:jc w:val="center"/>
              <w:rPr>
                <w:bCs/>
                <w:kern w:val="0"/>
                <w:sz w:val="21"/>
                <w:szCs w:val="21"/>
              </w:rPr>
            </w:pPr>
            <w:r>
              <w:rPr>
                <w:rFonts w:hint="eastAsia"/>
                <w:bCs/>
                <w:kern w:val="0"/>
                <w:sz w:val="21"/>
                <w:szCs w:val="21"/>
              </w:rPr>
              <w:t>液压分切机2</w:t>
            </w:r>
            <w:r>
              <w:rPr>
                <w:bCs/>
                <w:kern w:val="0"/>
                <w:sz w:val="21"/>
                <w:szCs w:val="21"/>
              </w:rPr>
              <w:t>00</w:t>
            </w:r>
            <w:r>
              <w:rPr>
                <w:rFonts w:hint="eastAsia"/>
                <w:bCs/>
                <w:kern w:val="0"/>
                <w:sz w:val="21"/>
                <w:szCs w:val="21"/>
              </w:rPr>
              <w:t>型</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1t/h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adjustRightInd w:val="0"/>
              <w:snapToGrid w:val="0"/>
              <w:jc w:val="center"/>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破碎机</w:t>
            </w:r>
          </w:p>
        </w:tc>
        <w:tc>
          <w:tcPr>
            <w:tcW w:w="587" w:type="pct"/>
            <w:vAlign w:val="center"/>
          </w:tcPr>
          <w:p>
            <w:pPr>
              <w:adjustRightInd w:val="0"/>
              <w:snapToGrid w:val="0"/>
              <w:jc w:val="center"/>
              <w:rPr>
                <w:bCs/>
                <w:kern w:val="0"/>
                <w:sz w:val="21"/>
                <w:szCs w:val="21"/>
              </w:rPr>
            </w:pPr>
            <w:r>
              <w:rPr>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1t/h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挤出加料系统</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1t/h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造粒机</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1t/h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切粒机</w:t>
            </w:r>
          </w:p>
        </w:tc>
        <w:tc>
          <w:tcPr>
            <w:tcW w:w="587" w:type="pct"/>
            <w:vAlign w:val="center"/>
          </w:tcPr>
          <w:p>
            <w:pPr>
              <w:adjustRightInd w:val="0"/>
              <w:snapToGrid w:val="0"/>
              <w:jc w:val="center"/>
              <w:rPr>
                <w:bCs/>
                <w:kern w:val="0"/>
                <w:sz w:val="21"/>
                <w:szCs w:val="21"/>
              </w:rPr>
            </w:pPr>
            <w:r>
              <w:rPr>
                <w:rFonts w:hint="eastAsia"/>
                <w:bCs/>
                <w:kern w:val="0"/>
                <w:sz w:val="21"/>
                <w:szCs w:val="21"/>
              </w:rPr>
              <w:t>1</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1t/h</w:t>
            </w:r>
          </w:p>
        </w:tc>
        <w:tc>
          <w:tcPr>
            <w:tcW w:w="1239" w:type="pct"/>
            <w:vAlign w:val="center"/>
          </w:tcPr>
          <w:p>
            <w:pPr>
              <w:adjustRightInd w:val="0"/>
              <w:snapToGrid w:val="0"/>
              <w:jc w:val="center"/>
              <w:rPr>
                <w:bCs/>
                <w:kern w:val="0"/>
                <w:sz w:val="21"/>
                <w:szCs w:val="21"/>
              </w:rPr>
            </w:pPr>
            <w:r>
              <w:rPr>
                <w:rFonts w:hint="eastAsia"/>
                <w:bCs/>
                <w:kern w:val="0"/>
                <w:sz w:val="21"/>
                <w:szCs w:val="21"/>
              </w:rPr>
              <w:t>厂区现有封存设备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vAlign w:val="center"/>
          </w:tcPr>
          <w:p>
            <w:pPr>
              <w:adjustRightInd w:val="0"/>
              <w:snapToGrid w:val="0"/>
              <w:jc w:val="center"/>
              <w:rPr>
                <w:bCs/>
                <w:kern w:val="0"/>
                <w:sz w:val="21"/>
                <w:szCs w:val="21"/>
              </w:rPr>
            </w:pPr>
            <w:r>
              <w:rPr>
                <w:rFonts w:hint="eastAsia"/>
                <w:bCs/>
                <w:kern w:val="0"/>
                <w:sz w:val="21"/>
                <w:szCs w:val="21"/>
              </w:rPr>
              <w:t>滴灌带生产工段</w:t>
            </w:r>
          </w:p>
        </w:tc>
        <w:tc>
          <w:tcPr>
            <w:tcW w:w="1190" w:type="pct"/>
            <w:vAlign w:val="center"/>
          </w:tcPr>
          <w:p>
            <w:pPr>
              <w:adjustRightInd w:val="0"/>
              <w:snapToGrid w:val="0"/>
              <w:jc w:val="center"/>
              <w:rPr>
                <w:bCs/>
                <w:kern w:val="0"/>
                <w:sz w:val="21"/>
                <w:szCs w:val="21"/>
              </w:rPr>
            </w:pPr>
            <w:r>
              <w:rPr>
                <w:rFonts w:hint="eastAsia"/>
                <w:bCs/>
                <w:kern w:val="0"/>
                <w:sz w:val="21"/>
                <w:szCs w:val="21"/>
              </w:rPr>
              <w:t>混料机</w:t>
            </w:r>
          </w:p>
        </w:tc>
        <w:tc>
          <w:tcPr>
            <w:tcW w:w="587" w:type="pct"/>
            <w:vAlign w:val="center"/>
          </w:tcPr>
          <w:p>
            <w:pPr>
              <w:adjustRightInd w:val="0"/>
              <w:snapToGrid w:val="0"/>
              <w:jc w:val="center"/>
              <w:rPr>
                <w:bCs/>
                <w:kern w:val="0"/>
                <w:sz w:val="21"/>
                <w:szCs w:val="21"/>
              </w:rPr>
            </w:pPr>
            <w:r>
              <w:rPr>
                <w:rFonts w:hint="eastAsia"/>
                <w:bCs/>
                <w:kern w:val="0"/>
                <w:sz w:val="21"/>
                <w:szCs w:val="21"/>
              </w:rPr>
              <w:t>5</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吸料机</w:t>
            </w:r>
          </w:p>
        </w:tc>
        <w:tc>
          <w:tcPr>
            <w:tcW w:w="587" w:type="pct"/>
            <w:vAlign w:val="center"/>
          </w:tcPr>
          <w:p>
            <w:pPr>
              <w:adjustRightInd w:val="0"/>
              <w:snapToGrid w:val="0"/>
              <w:jc w:val="center"/>
              <w:rPr>
                <w:bCs/>
                <w:kern w:val="0"/>
                <w:sz w:val="21"/>
                <w:szCs w:val="21"/>
              </w:rPr>
            </w:pPr>
            <w:r>
              <w:rPr>
                <w:rFonts w:hint="eastAsia"/>
                <w:bCs/>
                <w:kern w:val="0"/>
                <w:sz w:val="21"/>
                <w:szCs w:val="21"/>
              </w:rPr>
              <w:t>10</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rFonts w:eastAsiaTheme="minorEastAsia"/>
                <w:bCs/>
                <w:kern w:val="0"/>
                <w:sz w:val="21"/>
                <w:szCs w:val="21"/>
              </w:rPr>
            </w:pPr>
            <w:r>
              <w:rPr>
                <w:rFonts w:hint="eastAsia" w:hAnsiTheme="minorEastAsia" w:eastAsiaTheme="minorEastAsia"/>
                <w:bCs/>
                <w:kern w:val="0"/>
                <w:sz w:val="21"/>
                <w:szCs w:val="21"/>
              </w:rPr>
              <w:t>滴灌带挤出机</w:t>
            </w:r>
          </w:p>
        </w:tc>
        <w:tc>
          <w:tcPr>
            <w:tcW w:w="587" w:type="pct"/>
            <w:vAlign w:val="center"/>
          </w:tcPr>
          <w:p>
            <w:pPr>
              <w:adjustRightInd w:val="0"/>
              <w:snapToGrid w:val="0"/>
              <w:jc w:val="center"/>
              <w:rPr>
                <w:rFonts w:eastAsiaTheme="minorEastAsia"/>
                <w:bCs/>
                <w:kern w:val="0"/>
                <w:sz w:val="21"/>
                <w:szCs w:val="21"/>
              </w:rPr>
            </w:pPr>
            <w:r>
              <w:rPr>
                <w:rFonts w:hint="eastAsia" w:eastAsiaTheme="minorEastAsia"/>
                <w:bCs/>
                <w:kern w:val="0"/>
                <w:sz w:val="21"/>
                <w:szCs w:val="21"/>
              </w:rPr>
              <w:t>10</w:t>
            </w:r>
          </w:p>
        </w:tc>
        <w:tc>
          <w:tcPr>
            <w:tcW w:w="503" w:type="pct"/>
            <w:vAlign w:val="center"/>
          </w:tcPr>
          <w:p>
            <w:pPr>
              <w:jc w:val="center"/>
              <w:rPr>
                <w:kern w:val="0"/>
                <w:sz w:val="21"/>
                <w:szCs w:val="21"/>
              </w:rPr>
            </w:pPr>
            <w:r>
              <w:rPr>
                <w:rFonts w:hint="eastAsia" w:hAnsiTheme="minorEastAsia" w:eastAsiaTheme="minor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vAlign w:val="center"/>
          </w:tcPr>
          <w:p>
            <w:pPr>
              <w:adjustRightInd w:val="0"/>
              <w:snapToGrid w:val="0"/>
              <w:jc w:val="center"/>
              <w:rPr>
                <w:bCs/>
                <w:kern w:val="0"/>
                <w:sz w:val="21"/>
                <w:szCs w:val="21"/>
              </w:rPr>
            </w:pPr>
            <w:r>
              <w:rPr>
                <w:rFonts w:hint="eastAsia"/>
                <w:bCs/>
                <w:kern w:val="0"/>
                <w:sz w:val="21"/>
                <w:szCs w:val="21"/>
              </w:rPr>
              <w:t>PE管</w:t>
            </w:r>
            <w:r>
              <w:rPr>
                <w:bCs/>
                <w:kern w:val="0"/>
                <w:sz w:val="21"/>
                <w:szCs w:val="21"/>
              </w:rPr>
              <w:t>生产线</w:t>
            </w:r>
          </w:p>
        </w:tc>
        <w:tc>
          <w:tcPr>
            <w:tcW w:w="1190" w:type="pct"/>
            <w:vAlign w:val="center"/>
          </w:tcPr>
          <w:p>
            <w:pPr>
              <w:adjustRightInd w:val="0"/>
              <w:snapToGrid w:val="0"/>
              <w:jc w:val="center"/>
              <w:rPr>
                <w:bCs/>
                <w:kern w:val="0"/>
                <w:sz w:val="21"/>
                <w:szCs w:val="21"/>
              </w:rPr>
            </w:pPr>
            <w:r>
              <w:rPr>
                <w:rFonts w:hint="eastAsia"/>
                <w:bCs/>
                <w:kern w:val="0"/>
                <w:sz w:val="21"/>
                <w:szCs w:val="21"/>
              </w:rPr>
              <w:t>搅拌机</w:t>
            </w:r>
          </w:p>
        </w:tc>
        <w:tc>
          <w:tcPr>
            <w:tcW w:w="587" w:type="pct"/>
            <w:vAlign w:val="center"/>
          </w:tcPr>
          <w:p>
            <w:pPr>
              <w:adjustRightInd w:val="0"/>
              <w:snapToGrid w:val="0"/>
              <w:jc w:val="center"/>
              <w:rPr>
                <w:bCs/>
                <w:kern w:val="0"/>
                <w:sz w:val="21"/>
                <w:szCs w:val="21"/>
              </w:rPr>
            </w:pPr>
            <w:r>
              <w:rPr>
                <w:rFonts w:hint="eastAsia"/>
                <w:bCs/>
                <w:kern w:val="0"/>
                <w:sz w:val="21"/>
                <w:szCs w:val="21"/>
              </w:rPr>
              <w:t>2</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吸料机</w:t>
            </w:r>
          </w:p>
        </w:tc>
        <w:tc>
          <w:tcPr>
            <w:tcW w:w="587" w:type="pct"/>
            <w:vAlign w:val="center"/>
          </w:tcPr>
          <w:p>
            <w:pPr>
              <w:adjustRightInd w:val="0"/>
              <w:snapToGrid w:val="0"/>
              <w:jc w:val="center"/>
              <w:rPr>
                <w:bCs/>
                <w:kern w:val="0"/>
                <w:sz w:val="21"/>
                <w:szCs w:val="21"/>
              </w:rPr>
            </w:pPr>
            <w:r>
              <w:rPr>
                <w:rFonts w:hint="eastAsia"/>
                <w:bCs/>
                <w:kern w:val="0"/>
                <w:sz w:val="21"/>
                <w:szCs w:val="21"/>
              </w:rPr>
              <w:t>5</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vAlign w:val="center"/>
          </w:tcPr>
          <w:p>
            <w:pPr>
              <w:widowControl/>
              <w:jc w:val="left"/>
              <w:rPr>
                <w:bCs/>
                <w:kern w:val="0"/>
                <w:sz w:val="21"/>
                <w:szCs w:val="21"/>
              </w:rPr>
            </w:pPr>
          </w:p>
        </w:tc>
        <w:tc>
          <w:tcPr>
            <w:tcW w:w="1190" w:type="pct"/>
            <w:vAlign w:val="center"/>
          </w:tcPr>
          <w:p>
            <w:pPr>
              <w:adjustRightInd w:val="0"/>
              <w:snapToGrid w:val="0"/>
              <w:jc w:val="center"/>
              <w:rPr>
                <w:bCs/>
                <w:kern w:val="0"/>
                <w:sz w:val="21"/>
                <w:szCs w:val="21"/>
              </w:rPr>
            </w:pPr>
            <w:r>
              <w:rPr>
                <w:rFonts w:hint="eastAsia"/>
                <w:bCs/>
                <w:kern w:val="0"/>
                <w:sz w:val="21"/>
                <w:szCs w:val="21"/>
              </w:rPr>
              <w:t>挤出机</w:t>
            </w:r>
          </w:p>
        </w:tc>
        <w:tc>
          <w:tcPr>
            <w:tcW w:w="587" w:type="pct"/>
            <w:vAlign w:val="center"/>
          </w:tcPr>
          <w:p>
            <w:pPr>
              <w:adjustRightInd w:val="0"/>
              <w:snapToGrid w:val="0"/>
              <w:jc w:val="center"/>
              <w:rPr>
                <w:bCs/>
                <w:kern w:val="0"/>
                <w:sz w:val="21"/>
                <w:szCs w:val="21"/>
              </w:rPr>
            </w:pPr>
            <w:r>
              <w:rPr>
                <w:rFonts w:hint="eastAsia"/>
                <w:bCs/>
                <w:kern w:val="0"/>
                <w:sz w:val="21"/>
                <w:szCs w:val="21"/>
              </w:rPr>
              <w:t>5</w:t>
            </w:r>
          </w:p>
        </w:tc>
        <w:tc>
          <w:tcPr>
            <w:tcW w:w="503" w:type="pct"/>
            <w:vAlign w:val="center"/>
          </w:tcPr>
          <w:p>
            <w:pPr>
              <w:adjustRightInd w:val="0"/>
              <w:snapToGrid w:val="0"/>
              <w:jc w:val="center"/>
              <w:rPr>
                <w:bCs/>
                <w:kern w:val="0"/>
                <w:sz w:val="21"/>
                <w:szCs w:val="21"/>
              </w:rPr>
            </w:pPr>
            <w:r>
              <w:rPr>
                <w:rFonts w:hint="eastAsia"/>
                <w:bCs/>
                <w:kern w:val="0"/>
                <w:sz w:val="21"/>
                <w:szCs w:val="21"/>
              </w:rPr>
              <w:t>台</w:t>
            </w:r>
          </w:p>
        </w:tc>
        <w:tc>
          <w:tcPr>
            <w:tcW w:w="1009" w:type="pct"/>
            <w:vAlign w:val="center"/>
          </w:tcPr>
          <w:p>
            <w:pPr>
              <w:adjustRightInd w:val="0"/>
              <w:snapToGrid w:val="0"/>
              <w:jc w:val="center"/>
              <w:rPr>
                <w:bCs/>
                <w:kern w:val="0"/>
                <w:sz w:val="21"/>
                <w:szCs w:val="21"/>
              </w:rPr>
            </w:pPr>
            <w:r>
              <w:rPr>
                <w:rFonts w:hint="eastAsia"/>
                <w:bCs/>
                <w:kern w:val="0"/>
                <w:sz w:val="21"/>
                <w:szCs w:val="21"/>
              </w:rPr>
              <w:t>0.2t/h</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Align w:val="center"/>
          </w:tcPr>
          <w:p>
            <w:pPr>
              <w:adjustRightInd w:val="0"/>
              <w:snapToGrid w:val="0"/>
              <w:jc w:val="center"/>
              <w:rPr>
                <w:bCs/>
                <w:kern w:val="0"/>
                <w:sz w:val="21"/>
                <w:szCs w:val="21"/>
              </w:rPr>
            </w:pPr>
            <w:r>
              <w:rPr>
                <w:rFonts w:hint="eastAsia"/>
                <w:bCs/>
                <w:kern w:val="0"/>
                <w:sz w:val="21"/>
                <w:szCs w:val="21"/>
              </w:rPr>
              <w:t>环保设备</w:t>
            </w:r>
          </w:p>
        </w:tc>
        <w:tc>
          <w:tcPr>
            <w:tcW w:w="1190" w:type="pct"/>
            <w:vAlign w:val="center"/>
          </w:tcPr>
          <w:p>
            <w:pPr>
              <w:adjustRightInd w:val="0"/>
              <w:snapToGrid w:val="0"/>
              <w:jc w:val="center"/>
              <w:rPr>
                <w:bCs/>
                <w:kern w:val="2"/>
                <w:sz w:val="21"/>
                <w:szCs w:val="21"/>
              </w:rPr>
            </w:pPr>
            <w:r>
              <w:rPr>
                <w:rFonts w:hint="eastAsia"/>
                <w:bCs/>
                <w:kern w:val="2"/>
                <w:sz w:val="21"/>
                <w:szCs w:val="21"/>
              </w:rPr>
              <w:t>活性炭吸附+催化</w:t>
            </w:r>
            <w:r>
              <w:rPr>
                <w:bCs/>
                <w:kern w:val="2"/>
                <w:sz w:val="21"/>
                <w:szCs w:val="21"/>
              </w:rPr>
              <w:t>燃烧</w:t>
            </w:r>
            <w:r>
              <w:rPr>
                <w:rFonts w:hint="eastAsia"/>
                <w:bCs/>
                <w:kern w:val="2"/>
                <w:sz w:val="21"/>
                <w:szCs w:val="21"/>
              </w:rPr>
              <w:t>（CO）</w:t>
            </w:r>
            <w:r>
              <w:rPr>
                <w:bCs/>
                <w:kern w:val="2"/>
                <w:sz w:val="21"/>
                <w:szCs w:val="21"/>
              </w:rPr>
              <w:t>设施</w:t>
            </w:r>
          </w:p>
        </w:tc>
        <w:tc>
          <w:tcPr>
            <w:tcW w:w="587" w:type="pct"/>
            <w:vAlign w:val="center"/>
          </w:tcPr>
          <w:p>
            <w:pPr>
              <w:adjustRightInd w:val="0"/>
              <w:snapToGrid w:val="0"/>
              <w:jc w:val="center"/>
              <w:rPr>
                <w:bCs/>
                <w:kern w:val="0"/>
                <w:sz w:val="21"/>
                <w:szCs w:val="21"/>
              </w:rPr>
            </w:pPr>
            <w:r>
              <w:rPr>
                <w:bCs/>
                <w:kern w:val="0"/>
                <w:sz w:val="21"/>
                <w:szCs w:val="21"/>
              </w:rPr>
              <w:t>2</w:t>
            </w:r>
          </w:p>
        </w:tc>
        <w:tc>
          <w:tcPr>
            <w:tcW w:w="503" w:type="pct"/>
            <w:vAlign w:val="center"/>
          </w:tcPr>
          <w:p>
            <w:pPr>
              <w:jc w:val="center"/>
              <w:rPr>
                <w:bCs/>
                <w:kern w:val="0"/>
                <w:sz w:val="21"/>
                <w:szCs w:val="21"/>
              </w:rPr>
            </w:pPr>
            <w:r>
              <w:rPr>
                <w:rFonts w:hint="eastAsia"/>
                <w:bCs/>
                <w:kern w:val="0"/>
                <w:sz w:val="21"/>
                <w:szCs w:val="21"/>
              </w:rPr>
              <w:t>套</w:t>
            </w:r>
          </w:p>
        </w:tc>
        <w:tc>
          <w:tcPr>
            <w:tcW w:w="1009" w:type="pct"/>
            <w:vAlign w:val="center"/>
          </w:tcPr>
          <w:p>
            <w:pPr>
              <w:adjustRightInd w:val="0"/>
              <w:snapToGrid w:val="0"/>
              <w:jc w:val="center"/>
              <w:rPr>
                <w:bCs/>
                <w:kern w:val="0"/>
                <w:sz w:val="21"/>
                <w:szCs w:val="21"/>
              </w:rPr>
            </w:pPr>
            <w:r>
              <w:rPr>
                <w:rFonts w:hint="eastAsia"/>
                <w:bCs/>
                <w:kern w:val="0"/>
                <w:sz w:val="21"/>
                <w:szCs w:val="21"/>
              </w:rPr>
              <w:t>/</w:t>
            </w:r>
          </w:p>
        </w:tc>
        <w:tc>
          <w:tcPr>
            <w:tcW w:w="1239" w:type="pct"/>
            <w:vAlign w:val="center"/>
          </w:tcPr>
          <w:p>
            <w:pPr>
              <w:adjustRightInd w:val="0"/>
              <w:snapToGrid w:val="0"/>
              <w:jc w:val="center"/>
              <w:rPr>
                <w:bCs/>
                <w:kern w:val="0"/>
                <w:sz w:val="21"/>
                <w:szCs w:val="21"/>
              </w:rPr>
            </w:pPr>
            <w:r>
              <w:rPr>
                <w:rFonts w:hint="eastAsia"/>
                <w:bCs/>
                <w:kern w:val="0"/>
                <w:sz w:val="21"/>
                <w:szCs w:val="21"/>
              </w:rPr>
              <w:t>本次新增</w:t>
            </w:r>
          </w:p>
        </w:tc>
      </w:tr>
      <w:bookmarkEnd w:id="139"/>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4.1.6项目平面布置</w:t>
      </w:r>
    </w:p>
    <w:p>
      <w:pPr>
        <w:spacing w:line="460" w:lineRule="exact"/>
        <w:ind w:firstLine="480" w:firstLineChars="200"/>
        <w:rPr>
          <w:sz w:val="24"/>
          <w:lang w:bidi="en-US"/>
        </w:rPr>
      </w:pPr>
      <w:r>
        <w:rPr>
          <w:rFonts w:hint="eastAsia"/>
          <w:sz w:val="24"/>
          <w:lang w:bidi="en-US"/>
        </w:rPr>
        <w:t>本项目建设地点位于昌吉国家农业科技园区示范区昌吉市昊慧盛塑料制品厂区内，总平面布置综合考虑现有设施及周边环境现状，力求建设项目工艺流向合理，装置及厂房联合、成片集中，辅助生产厂房就近布置，减少厂内货物运输距离，降低成本和工程造价，节约用地。设计中需满足建筑朝向、风向需求，满足运输、消防、管线铺设、绿化等要求，并严格遵守国家各种现行规范和标准。</w:t>
      </w:r>
    </w:p>
    <w:p>
      <w:pPr>
        <w:spacing w:line="460" w:lineRule="exact"/>
        <w:ind w:firstLine="480" w:firstLineChars="200"/>
        <w:rPr>
          <w:sz w:val="24"/>
          <w:lang w:bidi="en-US"/>
        </w:rPr>
      </w:pPr>
      <w:r>
        <w:rPr>
          <w:rFonts w:hint="eastAsia"/>
          <w:sz w:val="24"/>
          <w:lang w:bidi="en-US"/>
        </w:rPr>
        <w:t>本次扩建项目生产线依托现有工程布置进行建设，废旧塑料储存库房设置于厂区最西侧，紧邻货流大门入口处，废旧塑料储存库房南侧布置废旧滴灌带造粒车间，废旧塑料储存库房东侧布置废旧塑料膜造粒车间，废旧滴灌带造粒车间东侧布置滴灌带生产车间，废旧塑料膜造粒车间南侧布置PE管生产车间，成品库房设置于滴灌带生产车间及PE管生产车间东侧。项目设置的两座沉淀池、两座冷却水循环池分别设置于各生产车间附近。</w:t>
      </w:r>
    </w:p>
    <w:p>
      <w:pPr>
        <w:spacing w:line="460" w:lineRule="exact"/>
        <w:ind w:firstLine="480" w:firstLineChars="200"/>
        <w:rPr>
          <w:sz w:val="24"/>
          <w:lang w:bidi="en-US"/>
        </w:rPr>
      </w:pPr>
      <w:r>
        <w:rPr>
          <w:rFonts w:hint="eastAsia"/>
          <w:sz w:val="24"/>
          <w:lang w:bidi="en-US"/>
        </w:rPr>
        <w:t>办公室、值班室位于厂区东侧，与生产区分开布置。厂区总平面布置基本合理。</w:t>
      </w:r>
    </w:p>
    <w:p>
      <w:pPr>
        <w:spacing w:line="460" w:lineRule="exact"/>
        <w:ind w:firstLine="480" w:firstLineChars="200"/>
        <w:rPr>
          <w:sz w:val="24"/>
          <w:lang w:bidi="en-US"/>
        </w:rPr>
      </w:pPr>
      <w:r>
        <w:rPr>
          <w:rFonts w:hint="eastAsia"/>
          <w:sz w:val="24"/>
          <w:lang w:bidi="en-US"/>
        </w:rPr>
        <w:t>厂区平面布置示意图见图4.1</w:t>
      </w:r>
      <w:r>
        <w:rPr>
          <w:sz w:val="24"/>
          <w:lang w:bidi="en-US"/>
        </w:rPr>
        <w:t>-</w:t>
      </w:r>
      <w:r>
        <w:rPr>
          <w:rFonts w:hint="eastAsia"/>
          <w:sz w:val="24"/>
          <w:lang w:bidi="en-US"/>
        </w:rPr>
        <w:t>2。</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4.1.7公用工程</w:t>
      </w:r>
    </w:p>
    <w:p>
      <w:pPr>
        <w:spacing w:line="460" w:lineRule="exact"/>
        <w:ind w:firstLine="480" w:firstLineChars="200"/>
        <w:rPr>
          <w:bCs/>
          <w:sz w:val="24"/>
          <w:lang w:bidi="en-US"/>
        </w:rPr>
      </w:pPr>
      <w:r>
        <w:rPr>
          <w:rFonts w:hint="eastAsia"/>
          <w:bCs/>
          <w:sz w:val="24"/>
          <w:lang w:bidi="en-US"/>
        </w:rPr>
        <w:t>1、给水</w:t>
      </w:r>
    </w:p>
    <w:p>
      <w:pPr>
        <w:spacing w:line="460" w:lineRule="exact"/>
        <w:ind w:firstLine="480" w:firstLineChars="200"/>
        <w:rPr>
          <w:sz w:val="24"/>
          <w:lang w:bidi="en-US"/>
        </w:rPr>
      </w:pPr>
      <w:bookmarkStart w:id="140" w:name="_Hlk168302479"/>
      <w:r>
        <w:rPr>
          <w:rFonts w:hint="eastAsia"/>
          <w:bCs/>
          <w:sz w:val="24"/>
          <w:lang w:bidi="en-US"/>
        </w:rPr>
        <w:t>本项目给水由园区水井供给，该井为园区农业灌溉用水取水井，取水许可证编号为D652301G2024-0015，年许可取水量为9.91万m</w:t>
      </w:r>
      <w:r>
        <w:rPr>
          <w:rFonts w:hint="eastAsia"/>
          <w:bCs/>
          <w:sz w:val="24"/>
          <w:vertAlign w:val="superscript"/>
          <w:lang w:bidi="en-US"/>
        </w:rPr>
        <w:t>3</w:t>
      </w:r>
      <w:r>
        <w:rPr>
          <w:rFonts w:hint="eastAsia"/>
          <w:bCs/>
          <w:sz w:val="24"/>
          <w:lang w:bidi="en-US"/>
        </w:rPr>
        <w:t>/a，可保证项目用水（取水许可证详见附件）。</w:t>
      </w:r>
      <w:bookmarkEnd w:id="140"/>
      <w:r>
        <w:rPr>
          <w:rFonts w:hint="eastAsia"/>
          <w:bCs/>
          <w:sz w:val="24"/>
          <w:lang w:bidi="en-US"/>
        </w:rPr>
        <w:t>项目用水包括生产用水及生活用水。其中生产用水主要为废旧滴灌带清洗及破碎喷淋用水、废旧塑料膜清洗及破碎喷淋用水，废旧滴灌带、废旧塑料膜造粒及滴灌带、</w:t>
      </w:r>
      <w:r>
        <w:rPr>
          <w:bCs/>
          <w:sz w:val="24"/>
          <w:lang w:bidi="en-US"/>
        </w:rPr>
        <w:t>PE管</w:t>
      </w:r>
      <w:r>
        <w:rPr>
          <w:rFonts w:hint="eastAsia"/>
          <w:bCs/>
          <w:sz w:val="24"/>
          <w:lang w:bidi="en-US"/>
        </w:rPr>
        <w:t>生产过程中产品冷却用水。生产用水循环利用，补充新鲜水量为</w:t>
      </w:r>
      <w:r>
        <w:rPr>
          <w:bCs/>
          <w:sz w:val="24"/>
          <w:lang w:bidi="en-US"/>
        </w:rPr>
        <w:t>9.90m</w:t>
      </w:r>
      <w:r>
        <w:rPr>
          <w:rFonts w:hint="eastAsia"/>
          <w:bCs/>
          <w:sz w:val="24"/>
          <w:lang w:bidi="en-US"/>
        </w:rPr>
        <w:t>³</w:t>
      </w:r>
      <w:r>
        <w:rPr>
          <w:bCs/>
          <w:sz w:val="24"/>
          <w:lang w:bidi="en-US"/>
        </w:rPr>
        <w:t>/d</w:t>
      </w:r>
      <w:r>
        <w:rPr>
          <w:rFonts w:hint="eastAsia"/>
          <w:bCs/>
          <w:sz w:val="24"/>
          <w:lang w:bidi="en-US"/>
        </w:rPr>
        <w:t>，生产新鲜水用水量为</w:t>
      </w:r>
      <w:r>
        <w:rPr>
          <w:bCs/>
          <w:sz w:val="24"/>
          <w:lang w:bidi="en-US"/>
        </w:rPr>
        <w:t>1782m</w:t>
      </w:r>
      <w:r>
        <w:rPr>
          <w:rFonts w:hint="eastAsia"/>
          <w:bCs/>
          <w:sz w:val="24"/>
          <w:lang w:bidi="en-US"/>
        </w:rPr>
        <w:t>³</w:t>
      </w:r>
      <w:r>
        <w:rPr>
          <w:bCs/>
          <w:sz w:val="24"/>
          <w:lang w:bidi="en-US"/>
        </w:rPr>
        <w:t>/a</w:t>
      </w:r>
      <w:r>
        <w:rPr>
          <w:rFonts w:hint="eastAsia"/>
          <w:bCs/>
          <w:sz w:val="24"/>
          <w:lang w:bidi="en-US"/>
        </w:rPr>
        <w:t>。项目新增劳动定员16人，生活用水量按照8</w:t>
      </w:r>
      <w:r>
        <w:rPr>
          <w:bCs/>
          <w:sz w:val="24"/>
          <w:lang w:bidi="en-US"/>
        </w:rPr>
        <w:t>0L/</w:t>
      </w:r>
      <w:r>
        <w:rPr>
          <w:rFonts w:hint="eastAsia"/>
          <w:bCs/>
          <w:sz w:val="24"/>
          <w:lang w:bidi="en-US"/>
        </w:rPr>
        <w:t>人·</w:t>
      </w:r>
      <w:r>
        <w:rPr>
          <w:bCs/>
          <w:sz w:val="24"/>
          <w:lang w:bidi="en-US"/>
        </w:rPr>
        <w:t>d</w:t>
      </w:r>
      <w:r>
        <w:rPr>
          <w:rFonts w:hint="eastAsia"/>
          <w:bCs/>
          <w:sz w:val="24"/>
          <w:lang w:bidi="en-US"/>
        </w:rPr>
        <w:t>计，则生活用水量为230.4</w:t>
      </w:r>
      <w:r>
        <w:rPr>
          <w:bCs/>
          <w:sz w:val="24"/>
          <w:lang w:bidi="en-US"/>
        </w:rPr>
        <w:t>m</w:t>
      </w:r>
      <w:r>
        <w:rPr>
          <w:rFonts w:hint="eastAsia"/>
          <w:bCs/>
          <w:sz w:val="24"/>
          <w:lang w:bidi="en-US"/>
        </w:rPr>
        <w:t>³</w:t>
      </w:r>
      <w:r>
        <w:rPr>
          <w:bCs/>
          <w:sz w:val="24"/>
          <w:lang w:bidi="en-US"/>
        </w:rPr>
        <w:t>/a</w:t>
      </w:r>
      <w:r>
        <w:rPr>
          <w:rFonts w:hint="eastAsia"/>
          <w:bCs/>
          <w:sz w:val="24"/>
          <w:lang w:bidi="en-US"/>
        </w:rPr>
        <w:t>。综上，项目新鲜水总用水量为2012.4</w:t>
      </w:r>
      <w:r>
        <w:rPr>
          <w:bCs/>
          <w:sz w:val="24"/>
          <w:lang w:bidi="en-US"/>
        </w:rPr>
        <w:t>m</w:t>
      </w:r>
      <w:r>
        <w:rPr>
          <w:rFonts w:hint="eastAsia"/>
          <w:bCs/>
          <w:sz w:val="24"/>
          <w:lang w:bidi="en-US"/>
        </w:rPr>
        <w:t>³</w:t>
      </w:r>
      <w:r>
        <w:rPr>
          <w:bCs/>
          <w:sz w:val="24"/>
          <w:lang w:bidi="en-US"/>
        </w:rPr>
        <w:t>/a</w:t>
      </w:r>
      <w:r>
        <w:rPr>
          <w:rFonts w:hint="eastAsia"/>
          <w:bCs/>
          <w:sz w:val="24"/>
          <w:lang w:bidi="en-US"/>
        </w:rPr>
        <w:t>。</w:t>
      </w:r>
    </w:p>
    <w:p>
      <w:pPr>
        <w:spacing w:line="460" w:lineRule="exact"/>
        <w:ind w:firstLine="480" w:firstLineChars="200"/>
        <w:rPr>
          <w:sz w:val="24"/>
          <w:lang w:bidi="en-US"/>
        </w:rPr>
      </w:pPr>
      <w:r>
        <w:rPr>
          <w:rFonts w:hint="eastAsia"/>
          <w:sz w:val="24"/>
          <w:lang w:bidi="en-US"/>
        </w:rPr>
        <w:t>2、排水工程</w:t>
      </w:r>
    </w:p>
    <w:p>
      <w:pPr>
        <w:spacing w:line="460" w:lineRule="exact"/>
        <w:ind w:firstLine="480" w:firstLineChars="200"/>
        <w:rPr>
          <w:sz w:val="24"/>
          <w:lang w:bidi="en-US"/>
        </w:rPr>
      </w:pPr>
      <w:r>
        <w:rPr>
          <w:rFonts w:hint="eastAsia"/>
          <w:sz w:val="24"/>
          <w:lang w:bidi="en-US"/>
        </w:rPr>
        <w:t>项目废水包括生产废水及生活污水。其中生产废水主要为清洗废旧滴灌带、废旧塑料膜产生的清洗废水及废旧塑料造粒、滴灌带及</w:t>
      </w:r>
      <w:r>
        <w:rPr>
          <w:sz w:val="24"/>
          <w:lang w:bidi="en-US"/>
        </w:rPr>
        <w:t>PE管</w:t>
      </w:r>
      <w:r>
        <w:rPr>
          <w:rFonts w:hint="eastAsia"/>
          <w:sz w:val="24"/>
          <w:lang w:bidi="en-US"/>
        </w:rPr>
        <w:t>产品冷却水。废旧塑料清洗废水中含有泥土、植物枝叶等，经厂区沉淀池沉淀处理后可循环使用；冷却废水仅温度较高，经降温处理后可循环利用。本项目生产废水全部循环利用，不外排。职工生活污水排放量按照用水量的</w:t>
      </w:r>
      <w:r>
        <w:rPr>
          <w:sz w:val="24"/>
          <w:lang w:bidi="en-US"/>
        </w:rPr>
        <w:t>80%</w:t>
      </w:r>
      <w:r>
        <w:rPr>
          <w:rFonts w:hint="eastAsia"/>
          <w:sz w:val="24"/>
          <w:lang w:bidi="en-US"/>
        </w:rPr>
        <w:t>计，则生活污水产生量为184.32</w:t>
      </w:r>
      <w:r>
        <w:rPr>
          <w:sz w:val="24"/>
          <w:lang w:bidi="en-US"/>
        </w:rPr>
        <w:t>m</w:t>
      </w:r>
      <w:r>
        <w:rPr>
          <w:rFonts w:hint="eastAsia"/>
          <w:sz w:val="24"/>
          <w:lang w:bidi="en-US"/>
        </w:rPr>
        <w:t>³</w:t>
      </w:r>
      <w:r>
        <w:rPr>
          <w:sz w:val="24"/>
          <w:lang w:bidi="en-US"/>
        </w:rPr>
        <w:t>/a</w:t>
      </w:r>
      <w:r>
        <w:rPr>
          <w:rFonts w:hint="eastAsia"/>
          <w:sz w:val="24"/>
          <w:lang w:bidi="en-US"/>
        </w:rPr>
        <w:t>，生活污水经</w:t>
      </w:r>
      <w:r>
        <w:rPr>
          <w:sz w:val="24"/>
          <w:lang w:bidi="en-US"/>
        </w:rPr>
        <w:t>1</w:t>
      </w:r>
      <w:r>
        <w:rPr>
          <w:rFonts w:hint="eastAsia"/>
          <w:sz w:val="24"/>
          <w:lang w:bidi="en-US"/>
        </w:rPr>
        <w:t>座100</w:t>
      </w:r>
      <w:r>
        <w:rPr>
          <w:sz w:val="24"/>
          <w:lang w:bidi="en-US"/>
        </w:rPr>
        <w:t>m</w:t>
      </w:r>
      <w:r>
        <w:rPr>
          <w:rFonts w:hint="eastAsia"/>
          <w:sz w:val="24"/>
          <w:lang w:bidi="en-US"/>
        </w:rPr>
        <w:t>³的防渗化粪池暂存后定期拉运至农业园污水处理厂处置。</w:t>
      </w:r>
    </w:p>
    <w:p>
      <w:pPr>
        <w:spacing w:line="460" w:lineRule="exact"/>
        <w:ind w:firstLine="480" w:firstLineChars="200"/>
        <w:rPr>
          <w:sz w:val="24"/>
          <w:lang w:bidi="en-US"/>
        </w:rPr>
      </w:pPr>
      <w:r>
        <w:rPr>
          <w:sz w:val="24"/>
          <w:lang w:bidi="en-US"/>
        </w:rPr>
        <w:t>3</w:t>
      </w:r>
      <w:r>
        <w:rPr>
          <w:rFonts w:hint="eastAsia"/>
          <w:sz w:val="24"/>
          <w:lang w:bidi="en-US"/>
        </w:rPr>
        <w:t>、供电</w:t>
      </w:r>
    </w:p>
    <w:p>
      <w:pPr>
        <w:spacing w:line="460" w:lineRule="exact"/>
        <w:ind w:firstLine="480" w:firstLineChars="200"/>
        <w:rPr>
          <w:sz w:val="24"/>
          <w:lang w:bidi="en-US"/>
        </w:rPr>
      </w:pPr>
      <w:r>
        <w:rPr>
          <w:rFonts w:hint="eastAsia"/>
          <w:sz w:val="24"/>
          <w:lang w:bidi="en-US"/>
        </w:rPr>
        <w:t>本项目供电接现有供电设施，可满足项目正常生产需求。</w:t>
      </w:r>
    </w:p>
    <w:p>
      <w:pPr>
        <w:spacing w:line="460" w:lineRule="exact"/>
        <w:ind w:firstLine="480" w:firstLineChars="200"/>
        <w:rPr>
          <w:sz w:val="24"/>
          <w:lang w:bidi="en-US"/>
        </w:rPr>
      </w:pPr>
      <w:r>
        <w:rPr>
          <w:sz w:val="24"/>
          <w:lang w:bidi="en-US"/>
        </w:rPr>
        <w:t>4</w:t>
      </w:r>
      <w:r>
        <w:rPr>
          <w:rFonts w:hint="eastAsia"/>
          <w:sz w:val="24"/>
          <w:lang w:bidi="en-US"/>
        </w:rPr>
        <w:t>、供暖</w:t>
      </w:r>
    </w:p>
    <w:p>
      <w:pPr>
        <w:spacing w:line="460" w:lineRule="exact"/>
        <w:ind w:firstLine="480" w:firstLineChars="200"/>
        <w:rPr>
          <w:sz w:val="24"/>
          <w:lang w:bidi="en-US"/>
        </w:rPr>
      </w:pPr>
      <w:r>
        <w:rPr>
          <w:rFonts w:hint="eastAsia"/>
          <w:sz w:val="24"/>
          <w:lang w:bidi="en-US"/>
        </w:rPr>
        <w:t>项目冬季供暖采用电采暖。</w:t>
      </w:r>
    </w:p>
    <w:p>
      <w:pPr>
        <w:spacing w:line="460" w:lineRule="exact"/>
        <w:ind w:firstLine="480" w:firstLineChars="200"/>
        <w:rPr>
          <w:sz w:val="24"/>
          <w:lang w:bidi="en-US"/>
        </w:rPr>
      </w:pPr>
      <w:r>
        <w:rPr>
          <w:sz w:val="24"/>
          <w:lang w:bidi="en-US"/>
        </w:rPr>
        <w:t>5</w:t>
      </w:r>
      <w:r>
        <w:rPr>
          <w:rFonts w:hint="eastAsia"/>
          <w:sz w:val="24"/>
          <w:lang w:bidi="en-US"/>
        </w:rPr>
        <w:t>、交通</w:t>
      </w:r>
    </w:p>
    <w:p>
      <w:pPr>
        <w:spacing w:line="460" w:lineRule="exact"/>
        <w:ind w:firstLine="480" w:firstLineChars="200"/>
        <w:rPr>
          <w:sz w:val="24"/>
          <w:lang w:bidi="en-US"/>
        </w:rPr>
      </w:pPr>
      <w:r>
        <w:rPr>
          <w:rFonts w:hint="eastAsia"/>
          <w:sz w:val="24"/>
          <w:lang w:bidi="en-US"/>
        </w:rPr>
        <w:t>（</w:t>
      </w:r>
      <w:r>
        <w:rPr>
          <w:sz w:val="24"/>
          <w:lang w:bidi="en-US"/>
        </w:rPr>
        <w:t>1</w:t>
      </w:r>
      <w:r>
        <w:rPr>
          <w:rFonts w:hint="eastAsia"/>
          <w:sz w:val="24"/>
          <w:lang w:bidi="en-US"/>
        </w:rPr>
        <w:t>）对外交通：项目建设地点位于昌吉市北侧，项目周边有500水库伴渠公路及X122县道，道路路况较好，交通较为便利。</w:t>
      </w:r>
    </w:p>
    <w:p>
      <w:pPr>
        <w:spacing w:line="460" w:lineRule="exact"/>
        <w:ind w:firstLine="480" w:firstLineChars="200"/>
        <w:rPr>
          <w:sz w:val="24"/>
          <w:lang w:bidi="en-US"/>
        </w:rPr>
      </w:pPr>
      <w:r>
        <w:rPr>
          <w:rFonts w:hint="eastAsia"/>
          <w:sz w:val="24"/>
          <w:lang w:bidi="en-US"/>
        </w:rPr>
        <w:t>（</w:t>
      </w:r>
      <w:r>
        <w:rPr>
          <w:sz w:val="24"/>
          <w:lang w:bidi="en-US"/>
        </w:rPr>
        <w:t>2</w:t>
      </w:r>
      <w:r>
        <w:rPr>
          <w:rFonts w:hint="eastAsia"/>
          <w:sz w:val="24"/>
          <w:lang w:bidi="en-US"/>
        </w:rPr>
        <w:t>）对内交通：根据项目的生产性质，厂区内道路系统的布置有足够的宽度使运输车辆能够方便到达生产车间。</w:t>
      </w:r>
    </w:p>
    <w:p>
      <w:pPr>
        <w:spacing w:line="460" w:lineRule="exact"/>
        <w:ind w:firstLine="480" w:firstLineChars="200"/>
        <w:rPr>
          <w:sz w:val="24"/>
          <w:lang w:bidi="en-US"/>
        </w:rPr>
      </w:pPr>
      <w:r>
        <w:rPr>
          <w:sz w:val="24"/>
          <w:lang w:bidi="en-US"/>
        </w:rPr>
        <w:t>6</w:t>
      </w:r>
      <w:r>
        <w:rPr>
          <w:rFonts w:hint="eastAsia"/>
          <w:sz w:val="24"/>
          <w:lang w:bidi="en-US"/>
        </w:rPr>
        <w:t>、消防</w:t>
      </w:r>
    </w:p>
    <w:p>
      <w:pPr>
        <w:spacing w:line="460" w:lineRule="exact"/>
        <w:ind w:firstLine="480" w:firstLineChars="200"/>
        <w:rPr>
          <w:sz w:val="24"/>
          <w:lang w:bidi="en-US"/>
        </w:rPr>
      </w:pPr>
      <w:r>
        <w:rPr>
          <w:rFonts w:hint="eastAsia"/>
          <w:sz w:val="24"/>
          <w:lang w:bidi="en-US"/>
        </w:rPr>
        <w:t>车间内应配置消防栓，分在厂房四周靠墙，厂房四周配置足够的手提式干粉灭火器，在设备周边及车间内电器柜旁摆放，在原材料及成品存储区放置手提式干粉灭火器，同时在消防栓旁配置；在厂房每个消防栓内设置消防水带及配备消防斧头，消防水带布网要到达生产车间各个区域，消除消防盲点。</w:t>
      </w:r>
    </w:p>
    <w:p>
      <w:pPr>
        <w:spacing w:line="460" w:lineRule="exact"/>
        <w:ind w:firstLine="480" w:firstLineChars="200"/>
        <w:rPr>
          <w:sz w:val="24"/>
          <w:lang w:bidi="en-US"/>
        </w:rPr>
      </w:pPr>
      <w:bookmarkStart w:id="141" w:name="_Hlk168304257"/>
      <w:r>
        <w:rPr>
          <w:rFonts w:hint="eastAsia"/>
          <w:sz w:val="24"/>
          <w:lang w:bidi="en-US"/>
        </w:rPr>
        <w:t>7、依托工程</w:t>
      </w:r>
    </w:p>
    <w:p>
      <w:pPr>
        <w:spacing w:line="460" w:lineRule="exact"/>
        <w:ind w:firstLine="480" w:firstLineChars="200"/>
        <w:rPr>
          <w:sz w:val="24"/>
          <w:lang w:bidi="en-US"/>
        </w:rPr>
      </w:pPr>
      <w:r>
        <w:rPr>
          <w:rFonts w:hint="eastAsia"/>
          <w:sz w:val="24"/>
          <w:lang w:bidi="en-US"/>
        </w:rPr>
        <w:t>本项目生产设施依托工程主要为2座冷却循环水池，容积分别为100m</w:t>
      </w:r>
      <w:r>
        <w:rPr>
          <w:rFonts w:hint="eastAsia"/>
          <w:sz w:val="24"/>
          <w:vertAlign w:val="superscript"/>
          <w:lang w:bidi="en-US"/>
        </w:rPr>
        <w:t>3</w:t>
      </w:r>
      <w:r>
        <w:rPr>
          <w:rFonts w:hint="eastAsia"/>
          <w:sz w:val="24"/>
          <w:lang w:bidi="en-US"/>
        </w:rPr>
        <w:t>，废旧滴灌带造粒及滴灌带生产过程冷却循环水共用一座循环水池，废旧塑料膜造粒及PE管生产冷却循环水共用一座循环水池，根据工程核算，扩建完成后全厂废旧滴灌带造粒及滴灌带生产过程冷却循环水产生量为10m</w:t>
      </w:r>
      <w:r>
        <w:rPr>
          <w:rFonts w:hint="eastAsia"/>
          <w:sz w:val="24"/>
          <w:vertAlign w:val="superscript"/>
          <w:lang w:bidi="en-US"/>
        </w:rPr>
        <w:t>3</w:t>
      </w:r>
      <w:r>
        <w:rPr>
          <w:rFonts w:hint="eastAsia"/>
          <w:sz w:val="24"/>
          <w:lang w:bidi="en-US"/>
        </w:rPr>
        <w:t>/h，废旧塑料膜造粒及PE管生产冷却循环水产生量为6.3m</w:t>
      </w:r>
      <w:r>
        <w:rPr>
          <w:rFonts w:hint="eastAsia"/>
          <w:sz w:val="24"/>
          <w:vertAlign w:val="superscript"/>
          <w:lang w:bidi="en-US"/>
        </w:rPr>
        <w:t>3</w:t>
      </w:r>
      <w:r>
        <w:rPr>
          <w:rFonts w:hint="eastAsia"/>
          <w:sz w:val="24"/>
          <w:lang w:bidi="en-US"/>
        </w:rPr>
        <w:t>/h，现有两座100m</w:t>
      </w:r>
      <w:r>
        <w:rPr>
          <w:rFonts w:hint="eastAsia"/>
          <w:sz w:val="24"/>
          <w:vertAlign w:val="superscript"/>
          <w:lang w:bidi="en-US"/>
        </w:rPr>
        <w:t>3</w:t>
      </w:r>
      <w:r>
        <w:rPr>
          <w:rFonts w:hint="eastAsia"/>
          <w:sz w:val="24"/>
          <w:lang w:bidi="en-US"/>
        </w:rPr>
        <w:t>循环冷却水池可满足冷却循环使用要求。</w:t>
      </w:r>
      <w:bookmarkEnd w:id="141"/>
    </w:p>
    <w:p>
      <w:pPr>
        <w:pStyle w:val="4"/>
        <w:adjustRightInd w:val="0"/>
        <w:spacing w:before="120" w:after="120" w:line="460" w:lineRule="exact"/>
        <w:textAlignment w:val="baseline"/>
        <w:rPr>
          <w:rFonts w:ascii="Times New Roman" w:hAnsi="Times New Roman"/>
          <w:b w:val="0"/>
          <w:szCs w:val="28"/>
        </w:rPr>
      </w:pPr>
      <w:bookmarkStart w:id="142" w:name="_Toc165386223"/>
      <w:bookmarkStart w:id="143" w:name="_Toc112678025"/>
      <w:bookmarkStart w:id="144" w:name="_Toc112685775"/>
      <w:bookmarkStart w:id="145" w:name="_Toc113078374"/>
      <w:r>
        <w:rPr>
          <w:rFonts w:hint="eastAsia" w:ascii="Times New Roman" w:hAnsi="Times New Roman"/>
          <w:b w:val="0"/>
          <w:szCs w:val="28"/>
        </w:rPr>
        <w:t>4.2 工程分析</w:t>
      </w:r>
      <w:bookmarkEnd w:id="142"/>
    </w:p>
    <w:bookmarkEnd w:id="143"/>
    <w:bookmarkEnd w:id="144"/>
    <w:bookmarkEnd w:id="145"/>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46" w:name="_Toc309715281"/>
      <w:r>
        <w:rPr>
          <w:rFonts w:hint="eastAsia" w:ascii="Times New Roman"/>
          <w:spacing w:val="12"/>
          <w:w w:val="95"/>
          <w:kern w:val="0"/>
          <w:szCs w:val="26"/>
        </w:rPr>
        <w:t>4.2</w:t>
      </w:r>
      <w:r>
        <w:rPr>
          <w:rFonts w:ascii="Times New Roman"/>
          <w:spacing w:val="12"/>
          <w:w w:val="95"/>
          <w:kern w:val="0"/>
          <w:szCs w:val="26"/>
        </w:rPr>
        <w:t xml:space="preserve">.1 </w:t>
      </w:r>
      <w:bookmarkEnd w:id="146"/>
      <w:r>
        <w:rPr>
          <w:rFonts w:hint="eastAsia" w:ascii="Times New Roman"/>
          <w:spacing w:val="12"/>
          <w:w w:val="95"/>
          <w:kern w:val="0"/>
          <w:szCs w:val="26"/>
        </w:rPr>
        <w:t>施工期工艺流程及产污节点</w:t>
      </w:r>
    </w:p>
    <w:p>
      <w:pPr>
        <w:spacing w:line="460" w:lineRule="exact"/>
        <w:ind w:firstLine="480" w:firstLineChars="200"/>
        <w:rPr>
          <w:sz w:val="24"/>
        </w:rPr>
      </w:pPr>
      <w:r>
        <w:rPr>
          <w:rFonts w:hint="eastAsia"/>
          <w:sz w:val="24"/>
        </w:rPr>
        <w:t>本项目工程在已建厂区内建设，厂区厂房等均利用已建厂房，本次扩建工程主要进行设备安装以及环保工程等建设不涉及大型土建等内容，因此施工期污染影响较小。</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4.2.2运营期工艺流程及产污节点</w:t>
      </w:r>
    </w:p>
    <w:p>
      <w:pPr>
        <w:pStyle w:val="2"/>
        <w:ind w:firstLine="480"/>
        <w:rPr>
          <w:color w:val="auto"/>
        </w:rPr>
      </w:pPr>
      <w:r>
        <w:rPr>
          <w:color w:val="auto"/>
        </w:rPr>
        <w:t xml:space="preserve">4.2.2.1 </w:t>
      </w:r>
      <w:r>
        <w:rPr>
          <w:rFonts w:hint="eastAsia"/>
          <w:color w:val="auto"/>
        </w:rPr>
        <w:t>废旧滴灌带造粒生产线工艺流程</w:t>
      </w:r>
    </w:p>
    <w:p>
      <w:pPr>
        <w:autoSpaceDE w:val="0"/>
        <w:autoSpaceDN w:val="0"/>
        <w:spacing w:line="460" w:lineRule="exact"/>
        <w:ind w:firstLine="480" w:firstLineChars="200"/>
        <w:rPr>
          <w:bCs/>
          <w:sz w:val="24"/>
        </w:rPr>
      </w:pPr>
      <w:r>
        <w:rPr>
          <w:rFonts w:hint="eastAsia"/>
          <w:bCs/>
          <w:sz w:val="24"/>
        </w:rPr>
        <w:t>本项目回收</w:t>
      </w:r>
      <w:r>
        <w:rPr>
          <w:bCs/>
          <w:sz w:val="24"/>
        </w:rPr>
        <w:t>废旧滴灌带直接从各回收网</w:t>
      </w:r>
      <w:r>
        <w:rPr>
          <w:rFonts w:hint="eastAsia"/>
          <w:bCs/>
          <w:sz w:val="24"/>
        </w:rPr>
        <w:t>点</w:t>
      </w:r>
      <w:r>
        <w:rPr>
          <w:bCs/>
          <w:sz w:val="24"/>
        </w:rPr>
        <w:t>直接回收，</w:t>
      </w:r>
      <w:r>
        <w:rPr>
          <w:rFonts w:hint="eastAsia"/>
          <w:bCs/>
          <w:sz w:val="24"/>
        </w:rPr>
        <w:t>各回收网点</w:t>
      </w:r>
      <w:r>
        <w:rPr>
          <w:bCs/>
          <w:sz w:val="24"/>
        </w:rPr>
        <w:t>在田间回收滴灌带过程进行了初步分选，除掉了大部分杂质，</w:t>
      </w:r>
      <w:r>
        <w:rPr>
          <w:rFonts w:hint="eastAsia"/>
          <w:bCs/>
          <w:sz w:val="24"/>
        </w:rPr>
        <w:t>本项目废旧滴灌带造粒生产工艺主要是将回收的废旧滴灌带破碎、清洗、脱水、熔融挤出、冷却、切粒、包装。生产工艺流程及产污环节详见图</w:t>
      </w:r>
      <w:r>
        <w:rPr>
          <w:bCs/>
          <w:sz w:val="24"/>
        </w:rPr>
        <w:t>4.2-2</w:t>
      </w:r>
      <w:r>
        <w:rPr>
          <w:rFonts w:hint="eastAsia"/>
          <w:bCs/>
          <w:sz w:val="24"/>
        </w:rPr>
        <w:t>。</w:t>
      </w:r>
    </w:p>
    <w:p>
      <w:pPr>
        <w:autoSpaceDE w:val="0"/>
        <w:autoSpaceDN w:val="0"/>
        <w:spacing w:line="460" w:lineRule="exact"/>
        <w:ind w:firstLine="480" w:firstLineChars="200"/>
        <w:rPr>
          <w:bCs/>
          <w:sz w:val="24"/>
        </w:rPr>
      </w:pPr>
      <w:r>
        <w:rPr>
          <w:rFonts w:hint="eastAsia"/>
          <w:bCs/>
          <w:sz w:val="24"/>
        </w:rPr>
        <w:t>工艺流程简述：</w:t>
      </w:r>
    </w:p>
    <w:p>
      <w:pPr>
        <w:autoSpaceDE w:val="0"/>
        <w:autoSpaceDN w:val="0"/>
        <w:spacing w:line="460" w:lineRule="exact"/>
        <w:ind w:firstLine="480" w:firstLineChars="200"/>
        <w:rPr>
          <w:bCs/>
          <w:sz w:val="24"/>
        </w:rPr>
      </w:pPr>
      <w:r>
        <w:rPr>
          <w:bCs/>
          <w:sz w:val="24"/>
        </w:rPr>
        <w:t>1</w:t>
      </w:r>
      <w:r>
        <w:rPr>
          <w:rFonts w:hint="eastAsia"/>
          <w:bCs/>
          <w:sz w:val="24"/>
        </w:rPr>
        <w:t>、破碎、清洗、脱水工序</w:t>
      </w:r>
    </w:p>
    <w:p>
      <w:pPr>
        <w:autoSpaceDE w:val="0"/>
        <w:autoSpaceDN w:val="0"/>
        <w:spacing w:line="460" w:lineRule="exact"/>
        <w:ind w:firstLine="480" w:firstLineChars="200"/>
        <w:rPr>
          <w:bCs/>
          <w:sz w:val="24"/>
        </w:rPr>
      </w:pPr>
      <w:r>
        <w:rPr>
          <w:rFonts w:hint="eastAsia"/>
          <w:bCs/>
          <w:sz w:val="24"/>
        </w:rPr>
        <w:t>将回收的废旧滴灌带直接送入破碎机，破碎为较小（粒径≤</w:t>
      </w:r>
      <w:r>
        <w:rPr>
          <w:bCs/>
          <w:sz w:val="24"/>
        </w:rPr>
        <w:t>100mm</w:t>
      </w:r>
      <w:r>
        <w:rPr>
          <w:rFonts w:hint="eastAsia"/>
          <w:bCs/>
          <w:sz w:val="24"/>
        </w:rPr>
        <w:t>）的颗粒。本项目破碎采用湿式破碎法，过程基本无粉尘产生；破碎后进行清洗（清洗工序不添加任何清洗剂）使附着在物料表面的泥土、植物枝叶等杂物脱落，得到干净的塑料片粒、块料，</w:t>
      </w:r>
      <w:r>
        <w:rPr>
          <w:bCs/>
          <w:sz w:val="24"/>
        </w:rPr>
        <w:t>设置一套清洗设备，</w:t>
      </w:r>
      <w:r>
        <w:rPr>
          <w:rFonts w:hint="eastAsia"/>
          <w:bCs/>
          <w:sz w:val="24"/>
        </w:rPr>
        <w:t>清洗后的废料全部进入离心脱水机进行脱水处置，产生的废水进入沉淀池沉淀处置。</w:t>
      </w:r>
    </w:p>
    <w:p>
      <w:pPr>
        <w:autoSpaceDE w:val="0"/>
        <w:autoSpaceDN w:val="0"/>
        <w:spacing w:line="460" w:lineRule="exact"/>
        <w:ind w:firstLine="480" w:firstLineChars="200"/>
        <w:rPr>
          <w:bCs/>
          <w:sz w:val="24"/>
        </w:rPr>
      </w:pPr>
      <w:r>
        <w:rPr>
          <w:bCs/>
          <w:sz w:val="24"/>
        </w:rPr>
        <w:t>2</w:t>
      </w:r>
      <w:r>
        <w:rPr>
          <w:rFonts w:hint="eastAsia"/>
          <w:bCs/>
          <w:sz w:val="24"/>
        </w:rPr>
        <w:t>、熔融挤出工序</w:t>
      </w:r>
    </w:p>
    <w:p>
      <w:pPr>
        <w:autoSpaceDE w:val="0"/>
        <w:autoSpaceDN w:val="0"/>
        <w:spacing w:line="460" w:lineRule="exact"/>
        <w:ind w:firstLine="480" w:firstLineChars="200"/>
        <w:rPr>
          <w:bCs/>
          <w:sz w:val="24"/>
        </w:rPr>
      </w:pPr>
      <w:r>
        <w:rPr>
          <w:rFonts w:hint="eastAsia"/>
          <w:bCs/>
          <w:sz w:val="24"/>
        </w:rPr>
        <w:t>经离心脱水后的塑料碎片送入螺杆挤出机进料斗，通过引料输送螺杆进入热熔挤出机主机，根据产品属性调整各个区段的温度（温度控制在</w:t>
      </w:r>
      <w:r>
        <w:rPr>
          <w:bCs/>
          <w:sz w:val="24"/>
        </w:rPr>
        <w:t>170</w:t>
      </w:r>
      <w:r>
        <w:rPr>
          <w:rFonts w:hint="eastAsia"/>
          <w:bCs/>
          <w:sz w:val="24"/>
        </w:rPr>
        <w:t>～</w:t>
      </w:r>
      <w:r>
        <w:rPr>
          <w:bCs/>
          <w:sz w:val="24"/>
        </w:rPr>
        <w:t>200</w:t>
      </w:r>
      <w:r>
        <w:rPr>
          <w:rFonts w:hint="eastAsia" w:ascii="宋体" w:hAnsi="宋体" w:cs="宋体"/>
          <w:bCs/>
          <w:sz w:val="24"/>
        </w:rPr>
        <w:t>℃</w:t>
      </w:r>
      <w:r>
        <w:rPr>
          <w:rFonts w:hint="eastAsia"/>
          <w:bCs/>
          <w:sz w:val="24"/>
        </w:rPr>
        <w:t>）和螺杆的速度，使得废旧塑料成为熔融状态，并经过热熔机挤出工序经过模头挤出成条状。</w:t>
      </w:r>
    </w:p>
    <w:p>
      <w:pPr>
        <w:autoSpaceDE w:val="0"/>
        <w:autoSpaceDN w:val="0"/>
        <w:spacing w:line="460" w:lineRule="exact"/>
        <w:ind w:firstLine="480" w:firstLineChars="200"/>
        <w:rPr>
          <w:bCs/>
          <w:sz w:val="24"/>
        </w:rPr>
      </w:pPr>
      <w:r>
        <w:rPr>
          <w:bCs/>
          <w:sz w:val="24"/>
        </w:rPr>
        <w:t>3</w:t>
      </w:r>
      <w:r>
        <w:rPr>
          <w:rFonts w:hint="eastAsia"/>
          <w:bCs/>
          <w:sz w:val="24"/>
        </w:rPr>
        <w:t>、冷却成型切粒</w:t>
      </w:r>
    </w:p>
    <w:p>
      <w:pPr>
        <w:autoSpaceDE w:val="0"/>
        <w:autoSpaceDN w:val="0"/>
        <w:spacing w:line="460" w:lineRule="exact"/>
        <w:ind w:firstLine="480" w:firstLineChars="200"/>
        <w:rPr>
          <w:bCs/>
          <w:sz w:val="24"/>
        </w:rPr>
      </w:pPr>
      <w:r>
        <w:rPr>
          <w:rFonts w:hint="eastAsia"/>
          <w:bCs/>
          <w:sz w:val="24"/>
        </w:rPr>
        <w:t>经过挤出机挤出的条状物，再经过冷却循环水槽内的水冷却，最后进入切粒机切成圆柱状颗粒，即为再生聚乙烯颗粒，经过袋装入库待用。</w:t>
      </w:r>
    </w:p>
    <w:p>
      <w:pPr>
        <w:autoSpaceDE w:val="0"/>
        <w:autoSpaceDN w:val="0"/>
        <w:jc w:val="center"/>
        <w:rPr>
          <w:sz w:val="24"/>
        </w:rPr>
      </w:pPr>
      <w:r>
        <w:object>
          <v:shape id="_x0000_i1025" o:spt="75" type="#_x0000_t75" style="height:311.45pt;width:245.3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autoSpaceDE w:val="0"/>
        <w:autoSpaceDN w:val="0"/>
        <w:jc w:val="center"/>
        <w:rPr>
          <w:rFonts w:eastAsia="黑体"/>
        </w:rPr>
      </w:pPr>
      <w:r>
        <w:rPr>
          <w:rFonts w:hint="eastAsia" w:eastAsia="黑体"/>
        </w:rPr>
        <w:t>图4.2-2  废旧滴灌带造粒生产线工艺流程及产污节点图</w:t>
      </w:r>
    </w:p>
    <w:p>
      <w:pPr>
        <w:pStyle w:val="2"/>
        <w:ind w:firstLine="480"/>
        <w:rPr>
          <w:color w:val="auto"/>
        </w:rPr>
      </w:pPr>
      <w:r>
        <w:rPr>
          <w:rFonts w:hint="eastAsia"/>
          <w:color w:val="auto"/>
        </w:rPr>
        <w:t>4.2</w:t>
      </w:r>
      <w:r>
        <w:rPr>
          <w:color w:val="auto"/>
        </w:rPr>
        <w:t xml:space="preserve">.2.2 </w:t>
      </w:r>
      <w:r>
        <w:rPr>
          <w:rFonts w:hint="eastAsia"/>
          <w:color w:val="auto"/>
        </w:rPr>
        <w:t>废旧塑料膜造粒生产线工艺流程</w:t>
      </w:r>
    </w:p>
    <w:p>
      <w:pPr>
        <w:autoSpaceDE w:val="0"/>
        <w:autoSpaceDN w:val="0"/>
        <w:spacing w:line="460" w:lineRule="exact"/>
        <w:ind w:firstLine="480" w:firstLineChars="200"/>
        <w:rPr>
          <w:bCs/>
          <w:sz w:val="24"/>
        </w:rPr>
      </w:pPr>
      <w:r>
        <w:rPr>
          <w:rFonts w:hint="eastAsia"/>
          <w:bCs/>
          <w:sz w:val="24"/>
        </w:rPr>
        <w:t>工艺流程简述：</w:t>
      </w:r>
    </w:p>
    <w:p>
      <w:pPr>
        <w:autoSpaceDE w:val="0"/>
        <w:autoSpaceDN w:val="0"/>
        <w:spacing w:line="460" w:lineRule="exact"/>
        <w:ind w:firstLine="480" w:firstLineChars="200"/>
        <w:rPr>
          <w:bCs/>
          <w:sz w:val="24"/>
        </w:rPr>
      </w:pPr>
      <w:r>
        <w:rPr>
          <w:rFonts w:hint="eastAsia"/>
          <w:bCs/>
          <w:sz w:val="24"/>
        </w:rPr>
        <w:t>本项目回收的废旧塑料膜主要为棚膜等，含尘量较小，回收的废旧塑料不需进行分拣等工序可直接进入破碎清洗环节。</w:t>
      </w:r>
    </w:p>
    <w:p>
      <w:pPr>
        <w:autoSpaceDE w:val="0"/>
        <w:autoSpaceDN w:val="0"/>
        <w:spacing w:line="460" w:lineRule="exact"/>
        <w:ind w:firstLine="480" w:firstLineChars="200"/>
        <w:rPr>
          <w:bCs/>
          <w:sz w:val="24"/>
        </w:rPr>
      </w:pPr>
      <w:r>
        <w:rPr>
          <w:rFonts w:hint="eastAsia"/>
          <w:bCs/>
          <w:sz w:val="24"/>
        </w:rPr>
        <w:t>1、破碎、清洗、</w:t>
      </w:r>
      <w:r>
        <w:rPr>
          <w:bCs/>
          <w:sz w:val="24"/>
        </w:rPr>
        <w:t>脱水</w:t>
      </w:r>
      <w:r>
        <w:rPr>
          <w:rFonts w:hint="eastAsia"/>
          <w:bCs/>
          <w:sz w:val="24"/>
        </w:rPr>
        <w:t>工序</w:t>
      </w:r>
    </w:p>
    <w:p>
      <w:pPr>
        <w:autoSpaceDE w:val="0"/>
        <w:autoSpaceDN w:val="0"/>
        <w:spacing w:line="460" w:lineRule="exact"/>
        <w:ind w:firstLine="480" w:firstLineChars="200"/>
        <w:rPr>
          <w:bCs/>
          <w:sz w:val="24"/>
        </w:rPr>
      </w:pPr>
      <w:r>
        <w:rPr>
          <w:rFonts w:hint="eastAsia"/>
          <w:bCs/>
          <w:sz w:val="24"/>
        </w:rPr>
        <w:t>将回收的废旧塑料膜直接送入破碎机，破碎为较小（粒径≤</w:t>
      </w:r>
      <w:r>
        <w:rPr>
          <w:bCs/>
          <w:sz w:val="24"/>
        </w:rPr>
        <w:t>100mm</w:t>
      </w:r>
      <w:r>
        <w:rPr>
          <w:rFonts w:hint="eastAsia"/>
          <w:bCs/>
          <w:sz w:val="24"/>
        </w:rPr>
        <w:t>）的颗粒，破碎为湿法破碎，过程基本无粉尘产生。破碎后进行清洗（清洗工序不添加任何清洗剂）使附着在物料表面的泥土、植物枝叶等杂物脱落，得到干净的塑料片粒、块料，</w:t>
      </w:r>
      <w:r>
        <w:rPr>
          <w:bCs/>
          <w:sz w:val="24"/>
        </w:rPr>
        <w:t>设置一</w:t>
      </w:r>
      <w:r>
        <w:rPr>
          <w:rFonts w:hint="eastAsia"/>
          <w:bCs/>
          <w:sz w:val="24"/>
        </w:rPr>
        <w:t>套</w:t>
      </w:r>
      <w:r>
        <w:rPr>
          <w:bCs/>
          <w:sz w:val="24"/>
        </w:rPr>
        <w:t>清洗设备</w:t>
      </w:r>
      <w:r>
        <w:rPr>
          <w:rFonts w:hint="eastAsia"/>
          <w:bCs/>
          <w:sz w:val="24"/>
        </w:rPr>
        <w:t>，清洗后的废料全部进入离心脱水机进行脱水处置，产生的废水进入沉淀池沉淀处置。</w:t>
      </w:r>
    </w:p>
    <w:p>
      <w:pPr>
        <w:autoSpaceDE w:val="0"/>
        <w:autoSpaceDN w:val="0"/>
        <w:spacing w:line="460" w:lineRule="exact"/>
        <w:ind w:firstLine="480" w:firstLineChars="200"/>
        <w:rPr>
          <w:bCs/>
          <w:sz w:val="24"/>
        </w:rPr>
      </w:pPr>
      <w:r>
        <w:rPr>
          <w:rFonts w:hint="eastAsia"/>
          <w:bCs/>
          <w:sz w:val="24"/>
        </w:rPr>
        <w:t>2、熔融挤出工序</w:t>
      </w:r>
    </w:p>
    <w:p>
      <w:pPr>
        <w:autoSpaceDE w:val="0"/>
        <w:autoSpaceDN w:val="0"/>
        <w:spacing w:line="460" w:lineRule="exact"/>
        <w:ind w:firstLine="480" w:firstLineChars="200"/>
        <w:rPr>
          <w:bCs/>
          <w:sz w:val="24"/>
        </w:rPr>
      </w:pPr>
      <w:r>
        <w:rPr>
          <w:rFonts w:hint="eastAsia"/>
          <w:bCs/>
          <w:sz w:val="24"/>
        </w:rPr>
        <w:t>经清洗脱水后的塑料碎片送入螺杆挤出机进料斗，通过引料输送螺杆进入热熔挤出机主机，根据产品属性调整各个区段的温度（温度控制在</w:t>
      </w:r>
      <w:r>
        <w:rPr>
          <w:bCs/>
          <w:sz w:val="24"/>
        </w:rPr>
        <w:t>170</w:t>
      </w:r>
      <w:r>
        <w:rPr>
          <w:rFonts w:hint="eastAsia"/>
          <w:bCs/>
          <w:sz w:val="24"/>
        </w:rPr>
        <w:t>～</w:t>
      </w:r>
      <w:r>
        <w:rPr>
          <w:bCs/>
          <w:sz w:val="24"/>
        </w:rPr>
        <w:t>200</w:t>
      </w:r>
      <w:r>
        <w:rPr>
          <w:rFonts w:hint="eastAsia" w:ascii="宋体" w:hAnsi="宋体" w:cs="宋体"/>
          <w:bCs/>
          <w:sz w:val="24"/>
        </w:rPr>
        <w:t>℃</w:t>
      </w:r>
      <w:r>
        <w:rPr>
          <w:rFonts w:hint="eastAsia"/>
          <w:bCs/>
          <w:sz w:val="24"/>
        </w:rPr>
        <w:t>）和螺杆的速度，使得废旧塑料成为熔融状态，并经过热熔机挤出工序经过模头挤出成条状。</w:t>
      </w:r>
    </w:p>
    <w:p>
      <w:pPr>
        <w:autoSpaceDE w:val="0"/>
        <w:autoSpaceDN w:val="0"/>
        <w:spacing w:line="460" w:lineRule="exact"/>
        <w:ind w:firstLine="480" w:firstLineChars="200"/>
        <w:rPr>
          <w:bCs/>
          <w:sz w:val="24"/>
        </w:rPr>
      </w:pPr>
      <w:r>
        <w:rPr>
          <w:rFonts w:hint="eastAsia"/>
          <w:bCs/>
          <w:sz w:val="24"/>
        </w:rPr>
        <w:t>3、</w:t>
      </w:r>
      <w:r>
        <w:rPr>
          <w:bCs/>
          <w:sz w:val="24"/>
        </w:rPr>
        <w:t>冷</w:t>
      </w:r>
      <w:r>
        <w:rPr>
          <w:rFonts w:hint="eastAsia"/>
          <w:bCs/>
          <w:sz w:val="24"/>
        </w:rPr>
        <w:t>却成型切粒</w:t>
      </w:r>
    </w:p>
    <w:p>
      <w:pPr>
        <w:autoSpaceDE w:val="0"/>
        <w:autoSpaceDN w:val="0"/>
        <w:spacing w:line="460" w:lineRule="exact"/>
        <w:ind w:firstLine="480" w:firstLineChars="200"/>
        <w:rPr>
          <w:bCs/>
          <w:sz w:val="24"/>
        </w:rPr>
      </w:pPr>
      <w:r>
        <w:rPr>
          <w:rFonts w:hint="eastAsia"/>
          <w:bCs/>
          <w:sz w:val="24"/>
        </w:rPr>
        <w:t>经过挤出机挤出的条状物，再经过冷却循环水槽内的水冷却，最后进入切粒机切成圆柱状颗粒，即为再生聚乙烯颗粒，经过袋装入库待用。</w:t>
      </w:r>
    </w:p>
    <w:p>
      <w:pPr>
        <w:autoSpaceDE w:val="0"/>
        <w:autoSpaceDN w:val="0"/>
        <w:spacing w:line="460" w:lineRule="exact"/>
        <w:ind w:firstLine="480" w:firstLineChars="200"/>
        <w:rPr>
          <w:bCs/>
          <w:sz w:val="24"/>
        </w:rPr>
      </w:pPr>
      <w:r>
        <w:rPr>
          <w:rFonts w:hint="eastAsia"/>
          <w:bCs/>
          <w:sz w:val="24"/>
        </w:rPr>
        <w:t>项目废旧塑料膜造粒工艺流程图见图4.2-3。</w:t>
      </w:r>
    </w:p>
    <w:p>
      <w:pPr>
        <w:autoSpaceDE w:val="0"/>
        <w:autoSpaceDN w:val="0"/>
        <w:jc w:val="center"/>
        <w:rPr>
          <w:bCs/>
          <w:sz w:val="24"/>
        </w:rPr>
      </w:pPr>
      <w:r>
        <w:object>
          <v:shape id="_x0000_i1026" o:spt="75" type="#_x0000_t75" style="height:297.2pt;width:246.15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pPr>
        <w:autoSpaceDE w:val="0"/>
        <w:autoSpaceDN w:val="0"/>
        <w:jc w:val="center"/>
        <w:rPr>
          <w:rFonts w:eastAsia="黑体"/>
        </w:rPr>
      </w:pPr>
      <w:r>
        <w:rPr>
          <w:rFonts w:hint="eastAsia" w:eastAsia="黑体"/>
        </w:rPr>
        <w:t>图4.2-3  废旧地膜造粒生产线工艺流程及产污节点图</w:t>
      </w:r>
    </w:p>
    <w:p>
      <w:pPr>
        <w:pStyle w:val="2"/>
        <w:ind w:firstLine="480"/>
        <w:rPr>
          <w:color w:val="auto"/>
        </w:rPr>
      </w:pPr>
      <w:r>
        <w:rPr>
          <w:rFonts w:hint="eastAsia"/>
          <w:color w:val="auto"/>
        </w:rPr>
        <w:t>4.2</w:t>
      </w:r>
      <w:r>
        <w:rPr>
          <w:color w:val="auto"/>
        </w:rPr>
        <w:t xml:space="preserve">.2.3 </w:t>
      </w:r>
      <w:r>
        <w:rPr>
          <w:rFonts w:hint="eastAsia"/>
          <w:color w:val="auto"/>
        </w:rPr>
        <w:t>滴灌带生产线工艺流程</w:t>
      </w:r>
    </w:p>
    <w:p>
      <w:pPr>
        <w:autoSpaceDE w:val="0"/>
        <w:autoSpaceDN w:val="0"/>
        <w:spacing w:line="460" w:lineRule="exact"/>
        <w:ind w:firstLine="480" w:firstLineChars="200"/>
        <w:rPr>
          <w:bCs/>
          <w:sz w:val="24"/>
        </w:rPr>
      </w:pPr>
      <w:r>
        <w:rPr>
          <w:rFonts w:hint="eastAsia"/>
          <w:bCs/>
          <w:sz w:val="24"/>
        </w:rPr>
        <w:t>工艺流程简述：</w:t>
      </w:r>
    </w:p>
    <w:p>
      <w:pPr>
        <w:autoSpaceDE w:val="0"/>
        <w:autoSpaceDN w:val="0"/>
        <w:spacing w:line="460" w:lineRule="exact"/>
        <w:ind w:firstLine="480" w:firstLineChars="200"/>
        <w:rPr>
          <w:bCs/>
          <w:sz w:val="24"/>
        </w:rPr>
      </w:pPr>
      <w:r>
        <w:rPr>
          <w:bCs/>
          <w:sz w:val="24"/>
        </w:rPr>
        <w:t>1</w:t>
      </w:r>
      <w:r>
        <w:rPr>
          <w:rFonts w:hint="eastAsia"/>
          <w:bCs/>
          <w:sz w:val="24"/>
        </w:rPr>
        <w:t>、混料</w:t>
      </w:r>
    </w:p>
    <w:p>
      <w:pPr>
        <w:autoSpaceDE w:val="0"/>
        <w:autoSpaceDN w:val="0"/>
        <w:spacing w:line="460" w:lineRule="exact"/>
        <w:ind w:firstLine="480" w:firstLineChars="200"/>
        <w:rPr>
          <w:bCs/>
          <w:sz w:val="24"/>
        </w:rPr>
      </w:pPr>
      <w:r>
        <w:rPr>
          <w:rFonts w:hint="eastAsia"/>
          <w:bCs/>
          <w:sz w:val="24"/>
        </w:rPr>
        <w:t>将废旧塑料造粒生产的再生聚乙烯颗粒料、黑色母料、抗老化剂及新购聚乙烯颗粒料按照配比混合搅拌均匀（再生料占比为85%～90%、新购料占比为10%～15%、抗老化及及黑色母料占比分别为1%～3%</w:t>
      </w:r>
      <w:r>
        <w:rPr>
          <w:bCs/>
          <w:sz w:val="24"/>
        </w:rPr>
        <w:t>，具体</w:t>
      </w:r>
      <w:r>
        <w:rPr>
          <w:rFonts w:hint="eastAsia"/>
          <w:bCs/>
          <w:sz w:val="24"/>
        </w:rPr>
        <w:t>比例</w:t>
      </w:r>
      <w:r>
        <w:rPr>
          <w:bCs/>
          <w:sz w:val="24"/>
        </w:rPr>
        <w:t>根据实际需求在此区间调整</w:t>
      </w:r>
      <w:r>
        <w:rPr>
          <w:rFonts w:hint="eastAsia"/>
          <w:bCs/>
          <w:sz w:val="24"/>
        </w:rPr>
        <w:t>），由螺旋上料机送至挤出机的上料斗。</w:t>
      </w:r>
    </w:p>
    <w:p>
      <w:pPr>
        <w:autoSpaceDE w:val="0"/>
        <w:autoSpaceDN w:val="0"/>
        <w:spacing w:line="460" w:lineRule="exact"/>
        <w:ind w:firstLine="480" w:firstLineChars="200"/>
        <w:rPr>
          <w:bCs/>
          <w:sz w:val="24"/>
        </w:rPr>
      </w:pPr>
      <w:r>
        <w:rPr>
          <w:bCs/>
          <w:sz w:val="24"/>
        </w:rPr>
        <w:t>2</w:t>
      </w:r>
      <w:r>
        <w:rPr>
          <w:rFonts w:hint="eastAsia"/>
          <w:bCs/>
          <w:sz w:val="24"/>
        </w:rPr>
        <w:t>、熔融挤出</w:t>
      </w:r>
    </w:p>
    <w:p>
      <w:pPr>
        <w:autoSpaceDE w:val="0"/>
        <w:autoSpaceDN w:val="0"/>
        <w:spacing w:line="460" w:lineRule="exact"/>
        <w:ind w:firstLine="480" w:firstLineChars="200"/>
        <w:rPr>
          <w:bCs/>
          <w:sz w:val="24"/>
        </w:rPr>
      </w:pPr>
      <w:r>
        <w:rPr>
          <w:rFonts w:hint="eastAsia"/>
          <w:bCs/>
          <w:sz w:val="24"/>
        </w:rPr>
        <w:t>物料从上料斗进入双螺杆挤出机，在挤出机内塑料被加热融化，加热方式为电加热，控制温度在</w:t>
      </w:r>
      <w:r>
        <w:rPr>
          <w:bCs/>
          <w:sz w:val="24"/>
        </w:rPr>
        <w:t>170</w:t>
      </w:r>
      <w:r>
        <w:rPr>
          <w:rFonts w:hint="eastAsia"/>
          <w:bCs/>
          <w:sz w:val="24"/>
        </w:rPr>
        <w:t>～</w:t>
      </w:r>
      <w:r>
        <w:rPr>
          <w:bCs/>
          <w:sz w:val="24"/>
        </w:rPr>
        <w:t>200</w:t>
      </w:r>
      <w:r>
        <w:rPr>
          <w:rFonts w:hint="eastAsia"/>
          <w:bCs/>
          <w:sz w:val="24"/>
        </w:rPr>
        <w:t>℃，颗粒料经加热融化变为可塑性的粘流体，粘流体在螺杆旋转和压力的作用下，通过模具而成为截面与口模形状相仿的连续体，连续体经过冷却，定型为固态，后经切割而得到具有一定几何形状和尺寸的滴灌带成品，最后进行包装入库待售。</w:t>
      </w:r>
    </w:p>
    <w:p>
      <w:pPr>
        <w:autoSpaceDE w:val="0"/>
        <w:autoSpaceDN w:val="0"/>
        <w:spacing w:line="460" w:lineRule="exact"/>
        <w:ind w:firstLine="480" w:firstLineChars="200"/>
        <w:rPr>
          <w:bCs/>
          <w:sz w:val="24"/>
        </w:rPr>
      </w:pPr>
      <w:r>
        <w:rPr>
          <w:bCs/>
          <w:sz w:val="24"/>
        </w:rPr>
        <w:t>3</w:t>
      </w:r>
      <w:r>
        <w:rPr>
          <w:rFonts w:hint="eastAsia"/>
          <w:bCs/>
          <w:sz w:val="24"/>
        </w:rPr>
        <w:t>、冷却</w:t>
      </w:r>
    </w:p>
    <w:p>
      <w:pPr>
        <w:autoSpaceDE w:val="0"/>
        <w:autoSpaceDN w:val="0"/>
        <w:spacing w:line="460" w:lineRule="exact"/>
        <w:ind w:firstLine="480" w:firstLineChars="200"/>
        <w:rPr>
          <w:bCs/>
          <w:sz w:val="24"/>
        </w:rPr>
      </w:pPr>
      <w:r>
        <w:rPr>
          <w:rFonts w:hint="eastAsia"/>
          <w:bCs/>
          <w:sz w:val="24"/>
        </w:rPr>
        <w:t>带料出机头后温度很高，要立即进入水中冷却，将挤出成型的滴灌带在牵引机的作用下通过水箱冷却设备冷却，因为带料在急冷的情况下容易生成酝晶结构，酝晶分子结构较疏松，容易拉伸取向，可获得高质量的产品。冷却水温一般控制在</w:t>
      </w:r>
      <w:r>
        <w:rPr>
          <w:bCs/>
          <w:sz w:val="24"/>
        </w:rPr>
        <w:t>30</w:t>
      </w:r>
      <w:r>
        <w:rPr>
          <w:rFonts w:hint="eastAsia" w:ascii="宋体" w:hAnsi="宋体" w:cs="宋体"/>
          <w:bCs/>
          <w:sz w:val="24"/>
        </w:rPr>
        <w:t>℃</w:t>
      </w:r>
      <w:r>
        <w:rPr>
          <w:bCs/>
          <w:sz w:val="24"/>
        </w:rPr>
        <w:t>~40</w:t>
      </w:r>
      <w:r>
        <w:rPr>
          <w:rFonts w:hint="eastAsia" w:ascii="宋体" w:hAnsi="宋体" w:cs="宋体"/>
          <w:bCs/>
          <w:sz w:val="24"/>
        </w:rPr>
        <w:t>℃</w:t>
      </w:r>
      <w:r>
        <w:rPr>
          <w:rFonts w:hint="eastAsia"/>
          <w:bCs/>
          <w:sz w:val="24"/>
        </w:rPr>
        <w:t>。</w:t>
      </w:r>
    </w:p>
    <w:p>
      <w:pPr>
        <w:autoSpaceDE w:val="0"/>
        <w:autoSpaceDN w:val="0"/>
        <w:spacing w:line="460" w:lineRule="exact"/>
        <w:ind w:firstLine="480" w:firstLineChars="200"/>
        <w:rPr>
          <w:bCs/>
          <w:sz w:val="24"/>
        </w:rPr>
      </w:pPr>
      <w:r>
        <w:rPr>
          <w:bCs/>
          <w:sz w:val="24"/>
        </w:rPr>
        <w:t>4</w:t>
      </w:r>
      <w:r>
        <w:rPr>
          <w:rFonts w:hint="eastAsia"/>
          <w:bCs/>
          <w:sz w:val="24"/>
        </w:rPr>
        <w:t>、卷曲</w:t>
      </w:r>
    </w:p>
    <w:p>
      <w:pPr>
        <w:autoSpaceDE w:val="0"/>
        <w:autoSpaceDN w:val="0"/>
        <w:spacing w:line="460" w:lineRule="exact"/>
        <w:ind w:firstLine="480" w:firstLineChars="200"/>
        <w:rPr>
          <w:bCs/>
          <w:sz w:val="24"/>
        </w:rPr>
      </w:pPr>
      <w:r>
        <w:rPr>
          <w:rFonts w:hint="eastAsia"/>
          <w:bCs/>
          <w:sz w:val="24"/>
        </w:rPr>
        <w:t>通过卷曲机将成品滴灌带收卷。</w:t>
      </w:r>
    </w:p>
    <w:p>
      <w:pPr>
        <w:autoSpaceDE w:val="0"/>
        <w:autoSpaceDN w:val="0"/>
        <w:spacing w:line="460" w:lineRule="exact"/>
        <w:ind w:firstLine="480" w:firstLineChars="200"/>
        <w:rPr>
          <w:bCs/>
          <w:sz w:val="24"/>
        </w:rPr>
      </w:pPr>
      <w:r>
        <w:rPr>
          <w:bCs/>
          <w:sz w:val="24"/>
        </w:rPr>
        <w:t>5</w:t>
      </w:r>
      <w:r>
        <w:rPr>
          <w:rFonts w:hint="eastAsia"/>
          <w:bCs/>
          <w:sz w:val="24"/>
        </w:rPr>
        <w:t>、检验、包装入库</w:t>
      </w:r>
    </w:p>
    <w:p>
      <w:pPr>
        <w:autoSpaceDE w:val="0"/>
        <w:autoSpaceDN w:val="0"/>
        <w:spacing w:line="460" w:lineRule="exact"/>
        <w:ind w:firstLine="480" w:firstLineChars="200"/>
        <w:rPr>
          <w:bCs/>
          <w:sz w:val="24"/>
        </w:rPr>
      </w:pPr>
      <w:r>
        <w:rPr>
          <w:rFonts w:hint="eastAsia"/>
          <w:bCs/>
          <w:sz w:val="24"/>
        </w:rPr>
        <w:t>检验合格的滴灌带包装、入库待售。</w:t>
      </w:r>
    </w:p>
    <w:p>
      <w:pPr>
        <w:autoSpaceDE w:val="0"/>
        <w:autoSpaceDN w:val="0"/>
        <w:spacing w:line="460" w:lineRule="exact"/>
        <w:ind w:firstLine="480" w:firstLineChars="200"/>
        <w:rPr>
          <w:bCs/>
          <w:sz w:val="24"/>
        </w:rPr>
      </w:pPr>
      <w:r>
        <w:rPr>
          <w:rFonts w:hint="eastAsia"/>
          <w:bCs/>
          <w:sz w:val="24"/>
        </w:rPr>
        <w:t>滴灌带生产工艺流程详见图</w:t>
      </w:r>
      <w:r>
        <w:rPr>
          <w:bCs/>
          <w:sz w:val="24"/>
        </w:rPr>
        <w:t>4.2-</w:t>
      </w:r>
      <w:r>
        <w:rPr>
          <w:rFonts w:hint="eastAsia"/>
          <w:bCs/>
          <w:sz w:val="24"/>
        </w:rPr>
        <w:t>4。</w:t>
      </w:r>
    </w:p>
    <w:p>
      <w:pPr>
        <w:autoSpaceDE w:val="0"/>
        <w:autoSpaceDN w:val="0"/>
        <w:jc w:val="center"/>
        <w:rPr>
          <w:kern w:val="0"/>
        </w:rPr>
      </w:pPr>
      <w:r>
        <w:object>
          <v:shape id="_x0000_i1027" o:spt="75" type="#_x0000_t75" style="height:356.65pt;width:253.6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pPr>
        <w:autoSpaceDE w:val="0"/>
        <w:autoSpaceDN w:val="0"/>
        <w:jc w:val="center"/>
        <w:rPr>
          <w:rFonts w:eastAsia="黑体"/>
        </w:rPr>
      </w:pPr>
      <w:r>
        <w:rPr>
          <w:rFonts w:hint="eastAsia" w:eastAsia="黑体"/>
        </w:rPr>
        <w:t>图4.2-4  滴灌带生产线工艺流程及产污环节图</w:t>
      </w:r>
    </w:p>
    <w:p>
      <w:pPr>
        <w:pStyle w:val="2"/>
        <w:ind w:firstLine="480"/>
        <w:rPr>
          <w:color w:val="auto"/>
        </w:rPr>
      </w:pPr>
      <w:r>
        <w:rPr>
          <w:color w:val="auto"/>
        </w:rPr>
        <w:t xml:space="preserve">4.2.2.4 </w:t>
      </w:r>
      <w:r>
        <w:rPr>
          <w:rFonts w:hint="eastAsia"/>
          <w:color w:val="auto"/>
        </w:rPr>
        <w:t>PE管生产工艺流程</w:t>
      </w:r>
    </w:p>
    <w:p>
      <w:pPr>
        <w:autoSpaceDE w:val="0"/>
        <w:autoSpaceDN w:val="0"/>
        <w:spacing w:line="460" w:lineRule="exact"/>
        <w:ind w:firstLine="480" w:firstLineChars="200"/>
        <w:rPr>
          <w:bCs/>
          <w:sz w:val="24"/>
        </w:rPr>
      </w:pPr>
      <w:r>
        <w:rPr>
          <w:rFonts w:hint="eastAsia"/>
          <w:bCs/>
          <w:sz w:val="24"/>
        </w:rPr>
        <w:t>本项目废旧塑料</w:t>
      </w:r>
      <w:r>
        <w:rPr>
          <w:bCs/>
          <w:sz w:val="24"/>
        </w:rPr>
        <w:t>造粒产生的</w:t>
      </w:r>
      <w:r>
        <w:rPr>
          <w:rFonts w:hint="eastAsia"/>
          <w:bCs/>
          <w:sz w:val="24"/>
        </w:rPr>
        <w:t>再生</w:t>
      </w:r>
      <w:r>
        <w:rPr>
          <w:bCs/>
          <w:sz w:val="24"/>
        </w:rPr>
        <w:t>聚乙烯颗粒料其中</w:t>
      </w:r>
      <w:r>
        <w:rPr>
          <w:rFonts w:hint="eastAsia"/>
          <w:bCs/>
          <w:sz w:val="24"/>
        </w:rPr>
        <w:t>1974</w:t>
      </w:r>
      <w:r>
        <w:rPr>
          <w:bCs/>
          <w:sz w:val="24"/>
        </w:rPr>
        <w:t>t用于生产PE管，PE管生产工艺流程与滴灌带类似，主要区别在于最终产品</w:t>
      </w:r>
      <w:r>
        <w:rPr>
          <w:rFonts w:hint="eastAsia"/>
          <w:bCs/>
          <w:sz w:val="24"/>
        </w:rPr>
        <w:t>管壁</w:t>
      </w:r>
      <w:r>
        <w:rPr>
          <w:bCs/>
          <w:sz w:val="24"/>
        </w:rPr>
        <w:t>厚度不一致，PE管比滴灌带管壁厚度较厚</w:t>
      </w:r>
      <w:r>
        <w:rPr>
          <w:rFonts w:hint="eastAsia"/>
          <w:bCs/>
          <w:sz w:val="24"/>
        </w:rPr>
        <w:t>。</w:t>
      </w:r>
    </w:p>
    <w:p>
      <w:pPr>
        <w:autoSpaceDE w:val="0"/>
        <w:autoSpaceDN w:val="0"/>
        <w:spacing w:line="460" w:lineRule="exact"/>
        <w:ind w:firstLine="480" w:firstLineChars="200"/>
        <w:rPr>
          <w:bCs/>
          <w:sz w:val="24"/>
        </w:rPr>
      </w:pPr>
      <w:r>
        <w:rPr>
          <w:rFonts w:hint="eastAsia"/>
          <w:bCs/>
          <w:sz w:val="24"/>
        </w:rPr>
        <w:t>工艺流程简述：</w:t>
      </w:r>
    </w:p>
    <w:p>
      <w:pPr>
        <w:autoSpaceDE w:val="0"/>
        <w:autoSpaceDN w:val="0"/>
        <w:spacing w:line="460" w:lineRule="exact"/>
        <w:ind w:firstLine="480" w:firstLineChars="200"/>
        <w:rPr>
          <w:bCs/>
          <w:sz w:val="24"/>
        </w:rPr>
      </w:pPr>
      <w:r>
        <w:rPr>
          <w:rFonts w:hint="eastAsia"/>
          <w:bCs/>
          <w:sz w:val="24"/>
        </w:rPr>
        <w:t>1、混料</w:t>
      </w:r>
    </w:p>
    <w:p>
      <w:pPr>
        <w:autoSpaceDE w:val="0"/>
        <w:autoSpaceDN w:val="0"/>
        <w:spacing w:line="460" w:lineRule="exact"/>
        <w:ind w:firstLine="480" w:firstLineChars="200"/>
        <w:rPr>
          <w:bCs/>
          <w:sz w:val="24"/>
        </w:rPr>
      </w:pPr>
      <w:r>
        <w:rPr>
          <w:rFonts w:hint="eastAsia"/>
          <w:bCs/>
          <w:sz w:val="24"/>
        </w:rPr>
        <w:t>将再生聚乙烯颗粒料、黑色母料、抗老化剂及新购聚乙烯颗粒料按照配比混合搅拌均匀（再生料占比为75%～80%、新购料占比为15～20%、抗老化及和黑色母料占比分别为2%～5%），由螺旋上料机送至挤出机的上料斗。</w:t>
      </w:r>
    </w:p>
    <w:p>
      <w:pPr>
        <w:autoSpaceDE w:val="0"/>
        <w:autoSpaceDN w:val="0"/>
        <w:spacing w:line="460" w:lineRule="exact"/>
        <w:ind w:firstLine="480" w:firstLineChars="200"/>
        <w:rPr>
          <w:bCs/>
          <w:sz w:val="24"/>
        </w:rPr>
      </w:pPr>
      <w:r>
        <w:rPr>
          <w:rFonts w:hint="eastAsia"/>
          <w:bCs/>
          <w:sz w:val="24"/>
        </w:rPr>
        <w:t>2、熔融挤出</w:t>
      </w:r>
    </w:p>
    <w:p>
      <w:pPr>
        <w:autoSpaceDE w:val="0"/>
        <w:autoSpaceDN w:val="0"/>
        <w:spacing w:line="460" w:lineRule="exact"/>
        <w:ind w:firstLine="480" w:firstLineChars="200"/>
        <w:rPr>
          <w:bCs/>
          <w:sz w:val="24"/>
        </w:rPr>
      </w:pPr>
      <w:r>
        <w:rPr>
          <w:rFonts w:hint="eastAsia"/>
          <w:bCs/>
          <w:sz w:val="24"/>
        </w:rPr>
        <w:t>物料从上料斗进入双螺杆挤出机，在挤出机内塑料被加热融化，加热方式为电加热，控制温度在170～200℃，颗粒料经加热融化变为可塑性的粘流体，粘流体在螺杆旋转和压力的作用下，通过模具而成为截面与口模形状相仿的连续体，连续体经过冷却，定型为固态。</w:t>
      </w:r>
    </w:p>
    <w:p>
      <w:pPr>
        <w:autoSpaceDE w:val="0"/>
        <w:autoSpaceDN w:val="0"/>
        <w:spacing w:line="460" w:lineRule="exact"/>
        <w:ind w:firstLine="480" w:firstLineChars="200"/>
        <w:rPr>
          <w:bCs/>
          <w:sz w:val="24"/>
        </w:rPr>
      </w:pPr>
      <w:r>
        <w:rPr>
          <w:rFonts w:hint="eastAsia"/>
          <w:bCs/>
          <w:sz w:val="24"/>
        </w:rPr>
        <w:t>3、冷却</w:t>
      </w:r>
    </w:p>
    <w:p>
      <w:pPr>
        <w:autoSpaceDE w:val="0"/>
        <w:autoSpaceDN w:val="0"/>
        <w:spacing w:line="460" w:lineRule="exact"/>
        <w:ind w:firstLine="480" w:firstLineChars="200"/>
        <w:rPr>
          <w:bCs/>
          <w:sz w:val="24"/>
        </w:rPr>
      </w:pPr>
      <w:r>
        <w:rPr>
          <w:rFonts w:hint="eastAsia"/>
          <w:bCs/>
          <w:sz w:val="24"/>
        </w:rPr>
        <w:t>带料出机头后温度很高，要立即进入水中冷却，将挤出成型的PE管在牵引机的作用下通过水箱冷却设备冷却，冷却水温一般控制在30℃~40℃。</w:t>
      </w:r>
    </w:p>
    <w:p>
      <w:pPr>
        <w:autoSpaceDE w:val="0"/>
        <w:autoSpaceDN w:val="0"/>
        <w:spacing w:line="460" w:lineRule="exact"/>
        <w:ind w:firstLine="480" w:firstLineChars="200"/>
        <w:rPr>
          <w:bCs/>
          <w:sz w:val="24"/>
        </w:rPr>
      </w:pPr>
      <w:r>
        <w:rPr>
          <w:bCs/>
          <w:sz w:val="24"/>
        </w:rPr>
        <w:t>4</w:t>
      </w:r>
      <w:r>
        <w:rPr>
          <w:rFonts w:hint="eastAsia"/>
          <w:bCs/>
          <w:sz w:val="24"/>
        </w:rPr>
        <w:t>、检验、包装入库</w:t>
      </w:r>
    </w:p>
    <w:p>
      <w:pPr>
        <w:autoSpaceDE w:val="0"/>
        <w:autoSpaceDN w:val="0"/>
        <w:spacing w:line="460" w:lineRule="exact"/>
        <w:ind w:firstLine="480" w:firstLineChars="200"/>
        <w:rPr>
          <w:bCs/>
          <w:sz w:val="24"/>
        </w:rPr>
      </w:pPr>
      <w:r>
        <w:rPr>
          <w:rFonts w:hint="eastAsia"/>
          <w:bCs/>
          <w:sz w:val="24"/>
        </w:rPr>
        <w:t>检验合格的PE管包装、入库待售。</w:t>
      </w:r>
    </w:p>
    <w:p>
      <w:pPr>
        <w:autoSpaceDE w:val="0"/>
        <w:autoSpaceDN w:val="0"/>
        <w:spacing w:line="460" w:lineRule="exact"/>
        <w:ind w:firstLine="480" w:firstLineChars="200"/>
        <w:rPr>
          <w:bCs/>
          <w:sz w:val="24"/>
        </w:rPr>
      </w:pPr>
      <w:r>
        <w:rPr>
          <w:rFonts w:hint="eastAsia"/>
          <w:bCs/>
          <w:sz w:val="24"/>
        </w:rPr>
        <w:t>PE管</w:t>
      </w:r>
      <w:r>
        <w:rPr>
          <w:bCs/>
          <w:sz w:val="24"/>
        </w:rPr>
        <w:t>生产</w:t>
      </w:r>
      <w:r>
        <w:rPr>
          <w:rFonts w:hint="eastAsia"/>
          <w:bCs/>
          <w:sz w:val="24"/>
        </w:rPr>
        <w:t>工艺流程图见图4.2-5。</w:t>
      </w:r>
    </w:p>
    <w:p>
      <w:pPr>
        <w:autoSpaceDE w:val="0"/>
        <w:autoSpaceDN w:val="0"/>
        <w:jc w:val="center"/>
        <w:rPr>
          <w:bCs/>
          <w:sz w:val="24"/>
        </w:rPr>
      </w:pPr>
      <w:r>
        <w:object>
          <v:shape id="_x0000_i1028" o:spt="75" type="#_x0000_t75" style="height:304.75pt;width:247.8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p>
      <w:pPr>
        <w:autoSpaceDE w:val="0"/>
        <w:autoSpaceDN w:val="0"/>
        <w:jc w:val="center"/>
        <w:rPr>
          <w:rFonts w:eastAsia="黑体"/>
          <w:szCs w:val="21"/>
        </w:rPr>
      </w:pPr>
      <w:r>
        <w:rPr>
          <w:rFonts w:hint="eastAsia" w:eastAsia="黑体"/>
          <w:szCs w:val="21"/>
        </w:rPr>
        <w:t>图4.2-5  PE管</w:t>
      </w:r>
      <w:r>
        <w:rPr>
          <w:rFonts w:eastAsia="黑体"/>
          <w:szCs w:val="21"/>
        </w:rPr>
        <w:t>生产</w:t>
      </w:r>
      <w:r>
        <w:rPr>
          <w:rFonts w:hint="eastAsia" w:eastAsia="黑体"/>
          <w:szCs w:val="21"/>
        </w:rPr>
        <w:t>工艺流程及产污环节图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4.2.3产污节点分析</w:t>
      </w:r>
    </w:p>
    <w:p>
      <w:pPr>
        <w:autoSpaceDE w:val="0"/>
        <w:autoSpaceDN w:val="0"/>
        <w:spacing w:line="460" w:lineRule="exact"/>
        <w:ind w:firstLine="480" w:firstLineChars="200"/>
        <w:rPr>
          <w:bCs/>
          <w:sz w:val="24"/>
        </w:rPr>
      </w:pPr>
      <w:r>
        <w:rPr>
          <w:bCs/>
          <w:sz w:val="24"/>
        </w:rPr>
        <w:t>1</w:t>
      </w:r>
      <w:r>
        <w:rPr>
          <w:rFonts w:hint="eastAsia"/>
          <w:bCs/>
          <w:sz w:val="24"/>
        </w:rPr>
        <w:t>、施工期</w:t>
      </w:r>
    </w:p>
    <w:p>
      <w:pPr>
        <w:autoSpaceDE w:val="0"/>
        <w:autoSpaceDN w:val="0"/>
        <w:spacing w:line="460" w:lineRule="exact"/>
        <w:ind w:firstLine="480" w:firstLineChars="200"/>
        <w:rPr>
          <w:bCs/>
          <w:sz w:val="24"/>
        </w:rPr>
      </w:pPr>
      <w:r>
        <w:rPr>
          <w:rFonts w:hint="eastAsia"/>
          <w:bCs/>
          <w:sz w:val="24"/>
        </w:rPr>
        <w:t>本项目施工期工程内容包括对现有厂区的改造，新增部分厂房及设施。施工期将产生噪声、扬尘、废气、固体废弃物、施工废水和生活污水，将对区域环境和居民产生短暂影响。施工期对环境的的影响属于局部、短暂和可恢复性的。</w:t>
      </w:r>
    </w:p>
    <w:p>
      <w:pPr>
        <w:autoSpaceDE w:val="0"/>
        <w:autoSpaceDN w:val="0"/>
        <w:spacing w:line="460" w:lineRule="exact"/>
        <w:ind w:firstLine="480" w:firstLineChars="200"/>
        <w:rPr>
          <w:bCs/>
          <w:sz w:val="24"/>
        </w:rPr>
      </w:pPr>
      <w:r>
        <w:rPr>
          <w:bCs/>
          <w:sz w:val="24"/>
        </w:rPr>
        <w:t>2</w:t>
      </w:r>
      <w:r>
        <w:rPr>
          <w:rFonts w:hint="eastAsia"/>
          <w:bCs/>
          <w:sz w:val="24"/>
        </w:rPr>
        <w:t>、运营期</w:t>
      </w:r>
    </w:p>
    <w:p>
      <w:pPr>
        <w:autoSpaceDE w:val="0"/>
        <w:autoSpaceDN w:val="0"/>
        <w:spacing w:line="460" w:lineRule="exact"/>
        <w:ind w:firstLine="480" w:firstLineChars="200"/>
        <w:rPr>
          <w:bCs/>
          <w:sz w:val="24"/>
        </w:rPr>
      </w:pPr>
      <w:r>
        <w:rPr>
          <w:rFonts w:hint="eastAsia"/>
          <w:bCs/>
          <w:sz w:val="24"/>
        </w:rPr>
        <w:t>项目运营期主要产污环节及排污特征详见表</w:t>
      </w:r>
      <w:r>
        <w:rPr>
          <w:bCs/>
          <w:sz w:val="24"/>
        </w:rPr>
        <w:t>4.2-1</w:t>
      </w:r>
      <w:r>
        <w:rPr>
          <w:rFonts w:hint="eastAsia"/>
          <w:bCs/>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4.2-1               </w:t>
      </w:r>
      <w:r>
        <w:rPr>
          <w:rFonts w:hint="eastAsia" w:hAnsi="黑体" w:eastAsia="黑体"/>
        </w:rPr>
        <w:t>本项目主要产污节点及污染物一览表</w:t>
      </w:r>
    </w:p>
    <w:tbl>
      <w:tblPr>
        <w:tblStyle w:val="658"/>
        <w:tblW w:w="884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2"/>
        <w:gridCol w:w="1772"/>
        <w:gridCol w:w="1081"/>
        <w:gridCol w:w="761"/>
        <w:gridCol w:w="46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pPr>
              <w:jc w:val="center"/>
              <w:rPr>
                <w:bCs/>
                <w:kern w:val="0"/>
                <w:sz w:val="21"/>
                <w:szCs w:val="21"/>
              </w:rPr>
            </w:pPr>
            <w:r>
              <w:rPr>
                <w:rFonts w:hint="eastAsia"/>
                <w:bCs/>
                <w:kern w:val="0"/>
                <w:sz w:val="21"/>
                <w:szCs w:val="21"/>
              </w:rPr>
              <w:t>类别</w:t>
            </w:r>
          </w:p>
        </w:tc>
        <w:tc>
          <w:tcPr>
            <w:tcW w:w="1772" w:type="dxa"/>
            <w:vAlign w:val="center"/>
          </w:tcPr>
          <w:p>
            <w:pPr>
              <w:jc w:val="center"/>
              <w:rPr>
                <w:bCs/>
                <w:kern w:val="0"/>
                <w:sz w:val="21"/>
                <w:szCs w:val="21"/>
              </w:rPr>
            </w:pPr>
            <w:r>
              <w:rPr>
                <w:rFonts w:hint="eastAsia"/>
                <w:bCs/>
                <w:kern w:val="0"/>
                <w:sz w:val="21"/>
                <w:szCs w:val="21"/>
              </w:rPr>
              <w:t>产污节点</w:t>
            </w:r>
          </w:p>
        </w:tc>
        <w:tc>
          <w:tcPr>
            <w:tcW w:w="1081" w:type="dxa"/>
            <w:vAlign w:val="center"/>
          </w:tcPr>
          <w:p>
            <w:pPr>
              <w:jc w:val="center"/>
              <w:rPr>
                <w:bCs/>
                <w:kern w:val="0"/>
                <w:sz w:val="21"/>
                <w:szCs w:val="21"/>
              </w:rPr>
            </w:pPr>
            <w:r>
              <w:rPr>
                <w:rFonts w:hint="eastAsia"/>
                <w:bCs/>
                <w:kern w:val="0"/>
                <w:sz w:val="21"/>
                <w:szCs w:val="21"/>
              </w:rPr>
              <w:t>污染物</w:t>
            </w:r>
          </w:p>
        </w:tc>
        <w:tc>
          <w:tcPr>
            <w:tcW w:w="761" w:type="dxa"/>
            <w:vAlign w:val="center"/>
          </w:tcPr>
          <w:p>
            <w:pPr>
              <w:jc w:val="center"/>
              <w:rPr>
                <w:bCs/>
                <w:kern w:val="0"/>
                <w:sz w:val="21"/>
                <w:szCs w:val="21"/>
              </w:rPr>
            </w:pPr>
            <w:r>
              <w:rPr>
                <w:rFonts w:hint="eastAsia"/>
                <w:bCs/>
                <w:kern w:val="0"/>
                <w:sz w:val="21"/>
                <w:szCs w:val="21"/>
              </w:rPr>
              <w:t>产污特征</w:t>
            </w:r>
          </w:p>
        </w:tc>
        <w:tc>
          <w:tcPr>
            <w:tcW w:w="4678" w:type="dxa"/>
            <w:vAlign w:val="center"/>
          </w:tcPr>
          <w:p>
            <w:pPr>
              <w:jc w:val="center"/>
              <w:rPr>
                <w:bCs/>
                <w:kern w:val="0"/>
                <w:sz w:val="21"/>
                <w:szCs w:val="21"/>
              </w:rPr>
            </w:pPr>
            <w:r>
              <w:rPr>
                <w:rFonts w:hint="eastAsia"/>
                <w:bCs/>
                <w:kern w:val="0"/>
                <w:sz w:val="21"/>
                <w:szCs w:val="21"/>
              </w:rPr>
              <w:t>排污去向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Merge w:val="restart"/>
            <w:vAlign w:val="center"/>
          </w:tcPr>
          <w:p>
            <w:pPr>
              <w:jc w:val="center"/>
              <w:rPr>
                <w:bCs/>
                <w:kern w:val="0"/>
                <w:sz w:val="21"/>
                <w:szCs w:val="21"/>
              </w:rPr>
            </w:pPr>
            <w:r>
              <w:rPr>
                <w:rFonts w:hint="eastAsia"/>
                <w:bCs/>
                <w:kern w:val="0"/>
                <w:sz w:val="21"/>
                <w:szCs w:val="21"/>
              </w:rPr>
              <w:t>废气</w:t>
            </w:r>
          </w:p>
        </w:tc>
        <w:tc>
          <w:tcPr>
            <w:tcW w:w="1772" w:type="dxa"/>
            <w:vAlign w:val="center"/>
          </w:tcPr>
          <w:p>
            <w:pPr>
              <w:jc w:val="center"/>
              <w:rPr>
                <w:bCs/>
                <w:kern w:val="0"/>
                <w:sz w:val="21"/>
                <w:szCs w:val="21"/>
              </w:rPr>
            </w:pPr>
            <w:r>
              <w:rPr>
                <w:rFonts w:hint="eastAsia"/>
                <w:bCs/>
                <w:kern w:val="0"/>
                <w:sz w:val="21"/>
                <w:szCs w:val="21"/>
              </w:rPr>
              <w:t>废旧滴灌带、废旧塑料膜贮存</w:t>
            </w:r>
          </w:p>
        </w:tc>
        <w:tc>
          <w:tcPr>
            <w:tcW w:w="1081" w:type="dxa"/>
            <w:vAlign w:val="center"/>
          </w:tcPr>
          <w:p>
            <w:pPr>
              <w:jc w:val="center"/>
              <w:rPr>
                <w:bCs/>
                <w:kern w:val="0"/>
                <w:sz w:val="21"/>
                <w:szCs w:val="21"/>
              </w:rPr>
            </w:pPr>
            <w:r>
              <w:rPr>
                <w:rFonts w:hint="eastAsia"/>
                <w:bCs/>
                <w:kern w:val="0"/>
                <w:sz w:val="21"/>
                <w:szCs w:val="21"/>
              </w:rPr>
              <w:t>粉尘</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储存于封闭式原料库房内，粉尘产生量很小，无组织排放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废旧滴灌带造粒熔融挤出</w:t>
            </w:r>
            <w:r>
              <w:rPr>
                <w:bCs/>
                <w:kern w:val="0"/>
                <w:sz w:val="21"/>
                <w:szCs w:val="21"/>
              </w:rPr>
              <w:t>G1</w:t>
            </w:r>
          </w:p>
        </w:tc>
        <w:tc>
          <w:tcPr>
            <w:tcW w:w="1081" w:type="dxa"/>
            <w:vAlign w:val="center"/>
          </w:tcPr>
          <w:p>
            <w:pPr>
              <w:jc w:val="center"/>
              <w:rPr>
                <w:bCs/>
                <w:kern w:val="0"/>
                <w:sz w:val="21"/>
                <w:szCs w:val="21"/>
              </w:rPr>
            </w:pPr>
            <w:r>
              <w:rPr>
                <w:rFonts w:hint="eastAsia"/>
                <w:bCs/>
                <w:kern w:val="0"/>
                <w:sz w:val="21"/>
                <w:szCs w:val="21"/>
              </w:rPr>
              <w:t>非甲烷总烃</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设置集气罩收集，经收集的有机废气与滴灌带</w:t>
            </w:r>
            <w:r>
              <w:rPr>
                <w:bCs/>
                <w:kern w:val="0"/>
                <w:sz w:val="21"/>
                <w:szCs w:val="21"/>
              </w:rPr>
              <w:t>生产线</w:t>
            </w:r>
            <w:r>
              <w:rPr>
                <w:rFonts w:hint="eastAsia"/>
                <w:bCs/>
                <w:kern w:val="0"/>
                <w:sz w:val="21"/>
                <w:szCs w:val="21"/>
              </w:rPr>
              <w:t>共用一套活性炭吸附+催化燃烧（CO）处置后通过一根15m高排气筒（DA001）外排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废旧塑料膜造粒熔融挤出G2</w:t>
            </w:r>
          </w:p>
        </w:tc>
        <w:tc>
          <w:tcPr>
            <w:tcW w:w="1081" w:type="dxa"/>
            <w:vAlign w:val="center"/>
          </w:tcPr>
          <w:p>
            <w:pPr>
              <w:jc w:val="center"/>
              <w:rPr>
                <w:bCs/>
                <w:kern w:val="0"/>
                <w:sz w:val="21"/>
                <w:szCs w:val="21"/>
              </w:rPr>
            </w:pPr>
            <w:r>
              <w:rPr>
                <w:rFonts w:hint="eastAsia"/>
                <w:bCs/>
                <w:kern w:val="0"/>
                <w:sz w:val="21"/>
                <w:szCs w:val="21"/>
              </w:rPr>
              <w:t>非甲烷总烃</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设置集气罩收集，将产生的有机废气集中收集后与PE管生产线产生有机废气经</w:t>
            </w:r>
            <w:r>
              <w:rPr>
                <w:bCs/>
                <w:kern w:val="0"/>
                <w:sz w:val="21"/>
                <w:szCs w:val="21"/>
              </w:rPr>
              <w:t>一套活性炭吸附</w:t>
            </w:r>
            <w:r>
              <w:rPr>
                <w:rFonts w:hint="eastAsia"/>
                <w:bCs/>
                <w:kern w:val="0"/>
                <w:sz w:val="21"/>
                <w:szCs w:val="21"/>
              </w:rPr>
              <w:t>+催化燃烧（CO）</w:t>
            </w:r>
            <w:r>
              <w:rPr>
                <w:bCs/>
                <w:kern w:val="0"/>
                <w:sz w:val="21"/>
                <w:szCs w:val="21"/>
              </w:rPr>
              <w:t>处置后</w:t>
            </w:r>
            <w:r>
              <w:rPr>
                <w:rFonts w:hint="eastAsia"/>
                <w:bCs/>
                <w:kern w:val="0"/>
                <w:sz w:val="21"/>
                <w:szCs w:val="21"/>
              </w:rPr>
              <w:t>通过</w:t>
            </w:r>
            <w:r>
              <w:rPr>
                <w:bCs/>
                <w:kern w:val="0"/>
                <w:sz w:val="21"/>
                <w:szCs w:val="21"/>
              </w:rPr>
              <w:t>一根</w:t>
            </w:r>
            <w:r>
              <w:rPr>
                <w:rFonts w:hint="eastAsia"/>
                <w:bCs/>
                <w:kern w:val="0"/>
                <w:sz w:val="21"/>
                <w:szCs w:val="21"/>
              </w:rPr>
              <w:t>15m高排气筒（DA002）外排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1"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滴灌带生产混料均料器G3</w:t>
            </w:r>
          </w:p>
        </w:tc>
        <w:tc>
          <w:tcPr>
            <w:tcW w:w="1081" w:type="dxa"/>
            <w:vAlign w:val="center"/>
          </w:tcPr>
          <w:p>
            <w:pPr>
              <w:jc w:val="center"/>
              <w:rPr>
                <w:bCs/>
                <w:kern w:val="0"/>
                <w:sz w:val="21"/>
                <w:szCs w:val="21"/>
              </w:rPr>
            </w:pPr>
            <w:r>
              <w:rPr>
                <w:rFonts w:hint="eastAsia"/>
                <w:bCs/>
                <w:kern w:val="0"/>
                <w:sz w:val="21"/>
                <w:szCs w:val="21"/>
              </w:rPr>
              <w:t>粉尘</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粉尘产生量很小，无组织排放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滴灌带生产熔融挤出</w:t>
            </w:r>
            <w:r>
              <w:rPr>
                <w:bCs/>
                <w:kern w:val="0"/>
                <w:sz w:val="21"/>
                <w:szCs w:val="21"/>
              </w:rPr>
              <w:t>G</w:t>
            </w:r>
            <w:r>
              <w:rPr>
                <w:rFonts w:hint="eastAsia"/>
                <w:bCs/>
                <w:kern w:val="0"/>
                <w:sz w:val="21"/>
                <w:szCs w:val="21"/>
              </w:rPr>
              <w:t>4</w:t>
            </w:r>
          </w:p>
        </w:tc>
        <w:tc>
          <w:tcPr>
            <w:tcW w:w="1081" w:type="dxa"/>
            <w:vAlign w:val="center"/>
          </w:tcPr>
          <w:p>
            <w:pPr>
              <w:jc w:val="center"/>
              <w:rPr>
                <w:bCs/>
                <w:kern w:val="0"/>
                <w:sz w:val="21"/>
                <w:szCs w:val="21"/>
              </w:rPr>
            </w:pPr>
            <w:r>
              <w:rPr>
                <w:rFonts w:hint="eastAsia"/>
                <w:bCs/>
                <w:kern w:val="0"/>
                <w:sz w:val="21"/>
                <w:szCs w:val="21"/>
              </w:rPr>
              <w:t>非甲烷总烃</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设置集气罩收集（将现有4条生产线废气与本次扩建项目废气收集后一起处置），经收集的有机废气通过通风管道接入设置的一套活性炭吸附+催化燃烧（C</w:t>
            </w:r>
            <w:r>
              <w:rPr>
                <w:bCs/>
                <w:kern w:val="0"/>
                <w:sz w:val="21"/>
                <w:szCs w:val="21"/>
              </w:rPr>
              <w:t>O</w:t>
            </w:r>
            <w:r>
              <w:rPr>
                <w:rFonts w:hint="eastAsia"/>
                <w:bCs/>
                <w:kern w:val="0"/>
                <w:sz w:val="21"/>
                <w:szCs w:val="21"/>
              </w:rPr>
              <w:t>）处置后通过一根15m高排气筒（DA001）外排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PE管生产混料均料器</w:t>
            </w:r>
            <w:r>
              <w:rPr>
                <w:bCs/>
                <w:kern w:val="0"/>
                <w:sz w:val="21"/>
                <w:szCs w:val="21"/>
              </w:rPr>
              <w:t>G</w:t>
            </w:r>
            <w:r>
              <w:rPr>
                <w:rFonts w:hint="eastAsia"/>
                <w:bCs/>
                <w:kern w:val="0"/>
                <w:sz w:val="21"/>
                <w:szCs w:val="21"/>
              </w:rPr>
              <w:t>5</w:t>
            </w:r>
          </w:p>
        </w:tc>
        <w:tc>
          <w:tcPr>
            <w:tcW w:w="1081" w:type="dxa"/>
            <w:vAlign w:val="center"/>
          </w:tcPr>
          <w:p>
            <w:pPr>
              <w:jc w:val="center"/>
              <w:rPr>
                <w:bCs/>
                <w:kern w:val="0"/>
                <w:sz w:val="21"/>
                <w:szCs w:val="21"/>
              </w:rPr>
            </w:pPr>
            <w:r>
              <w:rPr>
                <w:rFonts w:hint="eastAsia"/>
                <w:bCs/>
                <w:kern w:val="0"/>
                <w:sz w:val="21"/>
                <w:szCs w:val="21"/>
              </w:rPr>
              <w:t>粉尘</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产生量极少，无组织形式外排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bCs/>
                <w:kern w:val="0"/>
                <w:sz w:val="21"/>
                <w:szCs w:val="21"/>
              </w:rPr>
              <w:t>PE管生产熔融机G</w:t>
            </w:r>
            <w:r>
              <w:rPr>
                <w:rFonts w:hint="eastAsia"/>
                <w:bCs/>
                <w:kern w:val="0"/>
                <w:sz w:val="21"/>
                <w:szCs w:val="21"/>
              </w:rPr>
              <w:t>6</w:t>
            </w:r>
          </w:p>
        </w:tc>
        <w:tc>
          <w:tcPr>
            <w:tcW w:w="1081" w:type="dxa"/>
            <w:vAlign w:val="center"/>
          </w:tcPr>
          <w:p>
            <w:pPr>
              <w:jc w:val="center"/>
              <w:rPr>
                <w:bCs/>
                <w:kern w:val="0"/>
                <w:sz w:val="21"/>
                <w:szCs w:val="21"/>
              </w:rPr>
            </w:pPr>
            <w:r>
              <w:rPr>
                <w:rFonts w:hint="eastAsia"/>
                <w:bCs/>
                <w:kern w:val="0"/>
                <w:sz w:val="21"/>
                <w:szCs w:val="21"/>
              </w:rPr>
              <w:t>非甲烷总烃</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设置集气罩收集（将现有3条生产线废气与本次扩建项目废气收集后一起处置），经收集的有机废气与废旧塑料膜造粒</w:t>
            </w:r>
            <w:r>
              <w:rPr>
                <w:bCs/>
                <w:kern w:val="0"/>
                <w:sz w:val="21"/>
                <w:szCs w:val="21"/>
              </w:rPr>
              <w:t>生产</w:t>
            </w:r>
            <w:r>
              <w:rPr>
                <w:rFonts w:hint="eastAsia"/>
                <w:bCs/>
                <w:kern w:val="0"/>
                <w:sz w:val="21"/>
                <w:szCs w:val="21"/>
              </w:rPr>
              <w:t>线有机废气</w:t>
            </w:r>
            <w:r>
              <w:rPr>
                <w:bCs/>
                <w:kern w:val="0"/>
                <w:sz w:val="21"/>
                <w:szCs w:val="21"/>
              </w:rPr>
              <w:t>共用一套</w:t>
            </w:r>
            <w:r>
              <w:rPr>
                <w:rFonts w:hint="eastAsia"/>
                <w:bCs/>
                <w:kern w:val="0"/>
                <w:sz w:val="21"/>
                <w:szCs w:val="21"/>
              </w:rPr>
              <w:t>活性炭吸附+催化燃烧（CO）处置后通过一根15m高排气筒（DA002）外排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Merge w:val="restart"/>
            <w:vAlign w:val="center"/>
          </w:tcPr>
          <w:p>
            <w:pPr>
              <w:jc w:val="center"/>
              <w:rPr>
                <w:bCs/>
                <w:kern w:val="0"/>
                <w:sz w:val="21"/>
                <w:szCs w:val="21"/>
              </w:rPr>
            </w:pPr>
            <w:r>
              <w:rPr>
                <w:rFonts w:hint="eastAsia"/>
                <w:bCs/>
                <w:kern w:val="0"/>
                <w:sz w:val="21"/>
                <w:szCs w:val="21"/>
              </w:rPr>
              <w:t>废水</w:t>
            </w:r>
          </w:p>
        </w:tc>
        <w:tc>
          <w:tcPr>
            <w:tcW w:w="1772" w:type="dxa"/>
            <w:vAlign w:val="center"/>
          </w:tcPr>
          <w:p>
            <w:pPr>
              <w:jc w:val="center"/>
              <w:rPr>
                <w:bCs/>
                <w:kern w:val="0"/>
                <w:sz w:val="21"/>
                <w:szCs w:val="21"/>
              </w:rPr>
            </w:pPr>
            <w:r>
              <w:rPr>
                <w:rFonts w:hint="eastAsia"/>
                <w:bCs/>
                <w:kern w:val="0"/>
                <w:sz w:val="21"/>
                <w:szCs w:val="21"/>
              </w:rPr>
              <w:t>废旧滴灌带破碎、清洗、脱水</w:t>
            </w:r>
            <w:r>
              <w:rPr>
                <w:bCs/>
                <w:kern w:val="0"/>
                <w:sz w:val="21"/>
                <w:szCs w:val="21"/>
              </w:rPr>
              <w:t>W1</w:t>
            </w:r>
            <w:r>
              <w:rPr>
                <w:rFonts w:hint="eastAsia"/>
                <w:bCs/>
                <w:kern w:val="0"/>
                <w:sz w:val="21"/>
                <w:szCs w:val="21"/>
              </w:rPr>
              <w:t>、</w:t>
            </w:r>
            <w:r>
              <w:rPr>
                <w:bCs/>
                <w:kern w:val="0"/>
                <w:sz w:val="21"/>
                <w:szCs w:val="21"/>
              </w:rPr>
              <w:t>W2</w:t>
            </w:r>
          </w:p>
        </w:tc>
        <w:tc>
          <w:tcPr>
            <w:tcW w:w="1081" w:type="dxa"/>
            <w:vAlign w:val="center"/>
          </w:tcPr>
          <w:p>
            <w:pPr>
              <w:jc w:val="center"/>
              <w:rPr>
                <w:bCs/>
                <w:kern w:val="0"/>
                <w:sz w:val="21"/>
                <w:szCs w:val="21"/>
              </w:rPr>
            </w:pPr>
            <w:r>
              <w:rPr>
                <w:rFonts w:hint="eastAsia"/>
                <w:bCs/>
                <w:kern w:val="0"/>
                <w:sz w:val="21"/>
                <w:szCs w:val="21"/>
              </w:rPr>
              <w:t>清洗废水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设置有一座三级沉淀池沉淀后循环使用，不外排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废旧滴灌带造粒冷却</w:t>
            </w:r>
            <w:r>
              <w:rPr>
                <w:bCs/>
                <w:kern w:val="0"/>
                <w:sz w:val="21"/>
                <w:szCs w:val="21"/>
              </w:rPr>
              <w:t>W3</w:t>
            </w:r>
          </w:p>
        </w:tc>
        <w:tc>
          <w:tcPr>
            <w:tcW w:w="1081" w:type="dxa"/>
            <w:vAlign w:val="center"/>
          </w:tcPr>
          <w:p>
            <w:pPr>
              <w:jc w:val="center"/>
              <w:rPr>
                <w:bCs/>
                <w:kern w:val="0"/>
                <w:sz w:val="21"/>
                <w:szCs w:val="21"/>
              </w:rPr>
            </w:pPr>
            <w:r>
              <w:rPr>
                <w:rFonts w:hint="eastAsia"/>
                <w:bCs/>
                <w:kern w:val="0"/>
                <w:sz w:val="21"/>
                <w:szCs w:val="21"/>
              </w:rPr>
              <w:t>冷却水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冷却水经设置的循环池循环使用，不外排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废旧塑料膜破碎、清洗、脱水W</w:t>
            </w:r>
            <w:r>
              <w:rPr>
                <w:bCs/>
                <w:kern w:val="0"/>
                <w:sz w:val="21"/>
                <w:szCs w:val="21"/>
              </w:rPr>
              <w:t>4</w:t>
            </w:r>
            <w:r>
              <w:rPr>
                <w:rFonts w:hint="eastAsia"/>
                <w:bCs/>
                <w:kern w:val="0"/>
                <w:sz w:val="21"/>
                <w:szCs w:val="21"/>
              </w:rPr>
              <w:t>、W</w:t>
            </w:r>
            <w:r>
              <w:rPr>
                <w:bCs/>
                <w:kern w:val="0"/>
                <w:sz w:val="21"/>
                <w:szCs w:val="21"/>
              </w:rPr>
              <w:t>5</w:t>
            </w:r>
          </w:p>
        </w:tc>
        <w:tc>
          <w:tcPr>
            <w:tcW w:w="1081" w:type="dxa"/>
            <w:vAlign w:val="center"/>
          </w:tcPr>
          <w:p>
            <w:pPr>
              <w:jc w:val="center"/>
              <w:rPr>
                <w:bCs/>
                <w:kern w:val="0"/>
                <w:sz w:val="21"/>
                <w:szCs w:val="21"/>
              </w:rPr>
            </w:pPr>
            <w:r>
              <w:rPr>
                <w:rFonts w:hint="eastAsia"/>
                <w:bCs/>
                <w:kern w:val="0"/>
                <w:sz w:val="21"/>
                <w:szCs w:val="21"/>
              </w:rPr>
              <w:t>清洗废水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与废旧</w:t>
            </w:r>
            <w:r>
              <w:rPr>
                <w:bCs/>
                <w:kern w:val="0"/>
                <w:sz w:val="21"/>
                <w:szCs w:val="21"/>
              </w:rPr>
              <w:t>滴灌带共用</w:t>
            </w:r>
            <w:r>
              <w:rPr>
                <w:rFonts w:hint="eastAsia"/>
                <w:bCs/>
                <w:kern w:val="0"/>
                <w:sz w:val="21"/>
                <w:szCs w:val="21"/>
              </w:rPr>
              <w:t>一座三级沉淀池沉淀后循环使用，不外排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废旧塑料膜造粒冷却W</w:t>
            </w:r>
            <w:r>
              <w:rPr>
                <w:bCs/>
                <w:kern w:val="0"/>
                <w:sz w:val="21"/>
                <w:szCs w:val="21"/>
              </w:rPr>
              <w:t>6</w:t>
            </w:r>
          </w:p>
        </w:tc>
        <w:tc>
          <w:tcPr>
            <w:tcW w:w="1081" w:type="dxa"/>
            <w:vAlign w:val="center"/>
          </w:tcPr>
          <w:p>
            <w:pPr>
              <w:jc w:val="center"/>
              <w:rPr>
                <w:bCs/>
                <w:kern w:val="0"/>
                <w:sz w:val="21"/>
                <w:szCs w:val="21"/>
              </w:rPr>
            </w:pPr>
            <w:r>
              <w:rPr>
                <w:rFonts w:hint="eastAsia"/>
                <w:bCs/>
                <w:kern w:val="0"/>
                <w:sz w:val="21"/>
                <w:szCs w:val="21"/>
              </w:rPr>
              <w:t>冷却水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冷却水经设置的循环池循环使用，不外排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滴灌带生产冷却水</w:t>
            </w:r>
            <w:r>
              <w:rPr>
                <w:bCs/>
                <w:kern w:val="0"/>
                <w:sz w:val="21"/>
                <w:szCs w:val="21"/>
              </w:rPr>
              <w:t>W7</w:t>
            </w:r>
          </w:p>
        </w:tc>
        <w:tc>
          <w:tcPr>
            <w:tcW w:w="1081" w:type="dxa"/>
            <w:vAlign w:val="center"/>
          </w:tcPr>
          <w:p>
            <w:pPr>
              <w:jc w:val="center"/>
              <w:rPr>
                <w:bCs/>
                <w:kern w:val="0"/>
                <w:sz w:val="21"/>
                <w:szCs w:val="21"/>
              </w:rPr>
            </w:pPr>
            <w:r>
              <w:rPr>
                <w:rFonts w:hint="eastAsia"/>
                <w:bCs/>
                <w:kern w:val="0"/>
                <w:sz w:val="21"/>
                <w:szCs w:val="21"/>
              </w:rPr>
              <w:t>冷却水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冷却水经循环池循环使用，不外排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PE管</w:t>
            </w:r>
            <w:r>
              <w:rPr>
                <w:bCs/>
                <w:kern w:val="0"/>
                <w:sz w:val="21"/>
                <w:szCs w:val="21"/>
              </w:rPr>
              <w:t>生产</w:t>
            </w:r>
            <w:r>
              <w:rPr>
                <w:rFonts w:hint="eastAsia"/>
                <w:bCs/>
                <w:kern w:val="0"/>
                <w:sz w:val="21"/>
                <w:szCs w:val="21"/>
              </w:rPr>
              <w:t>冷却W</w:t>
            </w:r>
            <w:r>
              <w:rPr>
                <w:bCs/>
                <w:kern w:val="0"/>
                <w:sz w:val="21"/>
                <w:szCs w:val="21"/>
              </w:rPr>
              <w:t>8</w:t>
            </w:r>
          </w:p>
        </w:tc>
        <w:tc>
          <w:tcPr>
            <w:tcW w:w="1081" w:type="dxa"/>
            <w:vAlign w:val="center"/>
          </w:tcPr>
          <w:p>
            <w:pPr>
              <w:jc w:val="center"/>
              <w:rPr>
                <w:bCs/>
                <w:kern w:val="0"/>
                <w:sz w:val="21"/>
                <w:szCs w:val="21"/>
              </w:rPr>
            </w:pPr>
            <w:r>
              <w:rPr>
                <w:rFonts w:hint="eastAsia"/>
                <w:bCs/>
                <w:kern w:val="0"/>
                <w:sz w:val="21"/>
                <w:szCs w:val="21"/>
              </w:rPr>
              <w:t>冷却水</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冷却水经设置的循环池循环使用，不外排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生活办公区</w:t>
            </w:r>
          </w:p>
        </w:tc>
        <w:tc>
          <w:tcPr>
            <w:tcW w:w="1081" w:type="dxa"/>
            <w:vAlign w:val="center"/>
          </w:tcPr>
          <w:p>
            <w:pPr>
              <w:jc w:val="center"/>
              <w:rPr>
                <w:bCs/>
                <w:kern w:val="0"/>
                <w:sz w:val="21"/>
                <w:szCs w:val="21"/>
              </w:rPr>
            </w:pPr>
            <w:r>
              <w:rPr>
                <w:rFonts w:hint="eastAsia"/>
                <w:bCs/>
                <w:kern w:val="0"/>
                <w:sz w:val="21"/>
                <w:szCs w:val="21"/>
              </w:rPr>
              <w:t>生活污水</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全部排入已建防渗化粪池暂存后定期拉运至昌吉市污水处理厂处置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pPr>
              <w:jc w:val="center"/>
              <w:rPr>
                <w:bCs/>
                <w:kern w:val="0"/>
                <w:sz w:val="21"/>
                <w:szCs w:val="21"/>
              </w:rPr>
            </w:pPr>
            <w:r>
              <w:rPr>
                <w:rFonts w:hint="eastAsia"/>
                <w:bCs/>
                <w:kern w:val="0"/>
                <w:sz w:val="21"/>
                <w:szCs w:val="21"/>
              </w:rPr>
              <w:t>噪声</w:t>
            </w:r>
          </w:p>
        </w:tc>
        <w:tc>
          <w:tcPr>
            <w:tcW w:w="1772" w:type="dxa"/>
            <w:vAlign w:val="center"/>
          </w:tcPr>
          <w:p>
            <w:pPr>
              <w:jc w:val="center"/>
              <w:rPr>
                <w:bCs/>
                <w:kern w:val="0"/>
                <w:sz w:val="21"/>
                <w:szCs w:val="21"/>
              </w:rPr>
            </w:pPr>
            <w:r>
              <w:rPr>
                <w:rFonts w:hint="eastAsia"/>
                <w:bCs/>
                <w:kern w:val="0"/>
                <w:sz w:val="21"/>
                <w:szCs w:val="21"/>
              </w:rPr>
              <w:t>生产设备</w:t>
            </w:r>
            <w:r>
              <w:rPr>
                <w:bCs/>
                <w:kern w:val="0"/>
                <w:sz w:val="21"/>
                <w:szCs w:val="21"/>
              </w:rPr>
              <w:t xml:space="preserve">   N1</w:t>
            </w:r>
            <w:r>
              <w:rPr>
                <w:rFonts w:hint="eastAsia"/>
                <w:bCs/>
                <w:kern w:val="0"/>
                <w:sz w:val="21"/>
                <w:szCs w:val="21"/>
              </w:rPr>
              <w:t>～</w:t>
            </w:r>
            <w:r>
              <w:rPr>
                <w:bCs/>
                <w:kern w:val="0"/>
                <w:sz w:val="21"/>
                <w:szCs w:val="21"/>
              </w:rPr>
              <w:t>N16</w:t>
            </w:r>
          </w:p>
        </w:tc>
        <w:tc>
          <w:tcPr>
            <w:tcW w:w="1081" w:type="dxa"/>
            <w:vAlign w:val="center"/>
          </w:tcPr>
          <w:p>
            <w:pPr>
              <w:jc w:val="center"/>
              <w:rPr>
                <w:bCs/>
                <w:kern w:val="0"/>
                <w:sz w:val="21"/>
                <w:szCs w:val="21"/>
              </w:rPr>
            </w:pPr>
            <w:r>
              <w:rPr>
                <w:rFonts w:hint="eastAsia"/>
                <w:bCs/>
                <w:kern w:val="0"/>
                <w:sz w:val="21"/>
                <w:szCs w:val="21"/>
              </w:rPr>
              <w:t>机械噪声</w:t>
            </w:r>
          </w:p>
        </w:tc>
        <w:tc>
          <w:tcPr>
            <w:tcW w:w="761" w:type="dxa"/>
            <w:vAlign w:val="center"/>
          </w:tcPr>
          <w:p>
            <w:pPr>
              <w:jc w:val="center"/>
              <w:rPr>
                <w:bCs/>
                <w:kern w:val="0"/>
                <w:sz w:val="21"/>
                <w:szCs w:val="21"/>
              </w:rPr>
            </w:pPr>
            <w:r>
              <w:rPr>
                <w:rFonts w:hint="eastAsia"/>
                <w:bCs/>
                <w:kern w:val="0"/>
                <w:sz w:val="21"/>
                <w:szCs w:val="21"/>
              </w:rPr>
              <w:t>连续</w:t>
            </w:r>
          </w:p>
        </w:tc>
        <w:tc>
          <w:tcPr>
            <w:tcW w:w="4678" w:type="dxa"/>
            <w:vAlign w:val="center"/>
          </w:tcPr>
          <w:p>
            <w:pPr>
              <w:jc w:val="center"/>
              <w:rPr>
                <w:bCs/>
                <w:kern w:val="0"/>
                <w:sz w:val="21"/>
                <w:szCs w:val="21"/>
              </w:rPr>
            </w:pPr>
            <w:r>
              <w:rPr>
                <w:rFonts w:hint="eastAsia"/>
                <w:bCs/>
                <w:kern w:val="0"/>
                <w:sz w:val="21"/>
                <w:szCs w:val="21"/>
              </w:rPr>
              <w:t>车间隔声、基础减震，柔性连接、加装消声器等措施降噪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Merge w:val="restart"/>
            <w:vAlign w:val="center"/>
          </w:tcPr>
          <w:p>
            <w:pPr>
              <w:jc w:val="center"/>
              <w:rPr>
                <w:bCs/>
                <w:kern w:val="0"/>
                <w:sz w:val="21"/>
                <w:szCs w:val="21"/>
              </w:rPr>
            </w:pPr>
            <w:r>
              <w:rPr>
                <w:rFonts w:hint="eastAsia"/>
                <w:bCs/>
                <w:kern w:val="0"/>
                <w:sz w:val="21"/>
                <w:szCs w:val="21"/>
              </w:rPr>
              <w:t>固废</w:t>
            </w:r>
          </w:p>
        </w:tc>
        <w:tc>
          <w:tcPr>
            <w:tcW w:w="1772" w:type="dxa"/>
            <w:vAlign w:val="center"/>
          </w:tcPr>
          <w:p>
            <w:pPr>
              <w:jc w:val="center"/>
              <w:rPr>
                <w:bCs/>
                <w:kern w:val="0"/>
                <w:sz w:val="21"/>
                <w:szCs w:val="21"/>
              </w:rPr>
            </w:pPr>
            <w:r>
              <w:rPr>
                <w:rFonts w:hint="eastAsia"/>
                <w:bCs/>
                <w:kern w:val="0"/>
                <w:sz w:val="21"/>
                <w:szCs w:val="21"/>
              </w:rPr>
              <w:t>沉淀池泥沙</w:t>
            </w:r>
            <w:r>
              <w:rPr>
                <w:bCs/>
                <w:kern w:val="0"/>
                <w:sz w:val="21"/>
                <w:szCs w:val="21"/>
              </w:rPr>
              <w:t>S1</w:t>
            </w:r>
          </w:p>
        </w:tc>
        <w:tc>
          <w:tcPr>
            <w:tcW w:w="1081" w:type="dxa"/>
            <w:vAlign w:val="center"/>
          </w:tcPr>
          <w:p>
            <w:pPr>
              <w:jc w:val="center"/>
              <w:rPr>
                <w:bCs/>
                <w:kern w:val="0"/>
                <w:sz w:val="21"/>
                <w:szCs w:val="21"/>
              </w:rPr>
            </w:pPr>
            <w:r>
              <w:rPr>
                <w:rFonts w:hint="eastAsia"/>
                <w:bCs/>
                <w:kern w:val="0"/>
                <w:sz w:val="21"/>
                <w:szCs w:val="21"/>
              </w:rPr>
              <w:t>泥沙</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定期清掏，经自然干化后拉运至当地一般固废填埋场处置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废旧塑料造粒生产线</w:t>
            </w:r>
            <w:r>
              <w:rPr>
                <w:bCs/>
                <w:kern w:val="0"/>
                <w:sz w:val="21"/>
                <w:szCs w:val="21"/>
              </w:rPr>
              <w:t>S2</w:t>
            </w:r>
            <w:r>
              <w:rPr>
                <w:rFonts w:hint="eastAsia"/>
                <w:bCs/>
                <w:kern w:val="0"/>
                <w:sz w:val="21"/>
                <w:szCs w:val="21"/>
              </w:rPr>
              <w:t>、S3</w:t>
            </w:r>
          </w:p>
        </w:tc>
        <w:tc>
          <w:tcPr>
            <w:tcW w:w="1081" w:type="dxa"/>
            <w:vAlign w:val="center"/>
          </w:tcPr>
          <w:p>
            <w:pPr>
              <w:jc w:val="center"/>
              <w:rPr>
                <w:bCs/>
                <w:kern w:val="0"/>
                <w:sz w:val="21"/>
                <w:szCs w:val="21"/>
              </w:rPr>
            </w:pPr>
            <w:r>
              <w:rPr>
                <w:rFonts w:hint="eastAsia"/>
                <w:bCs/>
                <w:kern w:val="0"/>
                <w:sz w:val="21"/>
                <w:szCs w:val="21"/>
              </w:rPr>
              <w:t>废滤网</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收集后运至固废填埋场处置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滴灌带生产线</w:t>
            </w:r>
            <w:r>
              <w:rPr>
                <w:bCs/>
                <w:kern w:val="0"/>
                <w:sz w:val="21"/>
                <w:szCs w:val="21"/>
              </w:rPr>
              <w:t>S</w:t>
            </w:r>
            <w:r>
              <w:rPr>
                <w:rFonts w:hint="eastAsia"/>
                <w:bCs/>
                <w:kern w:val="0"/>
                <w:sz w:val="21"/>
                <w:szCs w:val="21"/>
              </w:rPr>
              <w:t>4</w:t>
            </w:r>
          </w:p>
        </w:tc>
        <w:tc>
          <w:tcPr>
            <w:tcW w:w="1081" w:type="dxa"/>
            <w:vAlign w:val="center"/>
          </w:tcPr>
          <w:p>
            <w:pPr>
              <w:jc w:val="center"/>
              <w:rPr>
                <w:bCs/>
                <w:kern w:val="0"/>
                <w:sz w:val="21"/>
                <w:szCs w:val="21"/>
              </w:rPr>
            </w:pPr>
            <w:r>
              <w:rPr>
                <w:rFonts w:hint="eastAsia"/>
                <w:bCs/>
                <w:kern w:val="0"/>
                <w:sz w:val="21"/>
                <w:szCs w:val="21"/>
              </w:rPr>
              <w:t>不合格产品</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返回废旧滴灌带造粒生产线熔融造粒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PE管生产线</w:t>
            </w:r>
            <w:r>
              <w:rPr>
                <w:bCs/>
                <w:kern w:val="0"/>
                <w:sz w:val="21"/>
                <w:szCs w:val="21"/>
              </w:rPr>
              <w:t>S</w:t>
            </w:r>
            <w:r>
              <w:rPr>
                <w:rFonts w:hint="eastAsia"/>
                <w:bCs/>
                <w:kern w:val="0"/>
                <w:sz w:val="21"/>
                <w:szCs w:val="21"/>
              </w:rPr>
              <w:t>5</w:t>
            </w:r>
          </w:p>
        </w:tc>
        <w:tc>
          <w:tcPr>
            <w:tcW w:w="1081" w:type="dxa"/>
            <w:vAlign w:val="center"/>
          </w:tcPr>
          <w:p>
            <w:pPr>
              <w:jc w:val="center"/>
              <w:rPr>
                <w:bCs/>
                <w:kern w:val="0"/>
                <w:sz w:val="21"/>
                <w:szCs w:val="21"/>
              </w:rPr>
            </w:pPr>
            <w:r>
              <w:rPr>
                <w:rFonts w:hint="eastAsia"/>
                <w:bCs/>
                <w:kern w:val="0"/>
                <w:sz w:val="21"/>
                <w:szCs w:val="21"/>
              </w:rPr>
              <w:t>不合格产品</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返回废旧滴灌带造粒生产线熔融造粒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有机废气</w:t>
            </w:r>
            <w:r>
              <w:rPr>
                <w:bCs/>
                <w:kern w:val="0"/>
                <w:sz w:val="21"/>
                <w:szCs w:val="21"/>
              </w:rPr>
              <w:t>处置</w:t>
            </w:r>
          </w:p>
        </w:tc>
        <w:tc>
          <w:tcPr>
            <w:tcW w:w="1081" w:type="dxa"/>
            <w:vAlign w:val="center"/>
          </w:tcPr>
          <w:p>
            <w:pPr>
              <w:jc w:val="center"/>
              <w:rPr>
                <w:bCs/>
                <w:kern w:val="0"/>
                <w:sz w:val="21"/>
                <w:szCs w:val="21"/>
              </w:rPr>
            </w:pPr>
            <w:r>
              <w:rPr>
                <w:rFonts w:hint="eastAsia"/>
                <w:bCs/>
                <w:kern w:val="0"/>
                <w:sz w:val="21"/>
                <w:szCs w:val="21"/>
              </w:rPr>
              <w:t>废</w:t>
            </w:r>
            <w:r>
              <w:rPr>
                <w:bCs/>
                <w:kern w:val="0"/>
                <w:sz w:val="21"/>
                <w:szCs w:val="21"/>
              </w:rPr>
              <w:t>催化剂、废活性炭</w:t>
            </w:r>
          </w:p>
        </w:tc>
        <w:tc>
          <w:tcPr>
            <w:tcW w:w="761" w:type="dxa"/>
            <w:vAlign w:val="center"/>
          </w:tcPr>
          <w:p>
            <w:pPr>
              <w:jc w:val="center"/>
              <w:rPr>
                <w:bCs/>
                <w:kern w:val="0"/>
                <w:sz w:val="21"/>
                <w:szCs w:val="21"/>
              </w:rPr>
            </w:pPr>
            <w:r>
              <w:rPr>
                <w:rFonts w:hint="eastAsia"/>
                <w:bCs/>
                <w:kern w:val="0"/>
                <w:sz w:val="21"/>
                <w:szCs w:val="21"/>
              </w:rPr>
              <w:t>间歇</w:t>
            </w:r>
          </w:p>
        </w:tc>
        <w:tc>
          <w:tcPr>
            <w:tcW w:w="4678" w:type="dxa"/>
            <w:vMerge w:val="restart"/>
            <w:vAlign w:val="center"/>
          </w:tcPr>
          <w:p>
            <w:pPr>
              <w:jc w:val="center"/>
              <w:rPr>
                <w:bCs/>
                <w:kern w:val="0"/>
                <w:sz w:val="21"/>
                <w:szCs w:val="21"/>
              </w:rPr>
            </w:pPr>
            <w:r>
              <w:rPr>
                <w:rFonts w:hint="eastAsia"/>
                <w:bCs/>
                <w:kern w:val="0"/>
                <w:sz w:val="21"/>
                <w:szCs w:val="21"/>
              </w:rPr>
              <w:t>设置</w:t>
            </w:r>
            <w:r>
              <w:rPr>
                <w:bCs/>
                <w:kern w:val="0"/>
                <w:sz w:val="21"/>
                <w:szCs w:val="21"/>
              </w:rPr>
              <w:t>危废暂存间暂存后定期交由有资质单位处置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机械保养</w:t>
            </w:r>
          </w:p>
        </w:tc>
        <w:tc>
          <w:tcPr>
            <w:tcW w:w="1081" w:type="dxa"/>
            <w:vAlign w:val="center"/>
          </w:tcPr>
          <w:p>
            <w:pPr>
              <w:jc w:val="center"/>
              <w:rPr>
                <w:bCs/>
                <w:kern w:val="0"/>
                <w:sz w:val="21"/>
                <w:szCs w:val="21"/>
              </w:rPr>
            </w:pPr>
            <w:r>
              <w:rPr>
                <w:rFonts w:hint="eastAsia"/>
                <w:bCs/>
                <w:kern w:val="0"/>
                <w:sz w:val="21"/>
                <w:szCs w:val="21"/>
              </w:rPr>
              <w:t>废润滑油及桶</w:t>
            </w:r>
          </w:p>
        </w:tc>
        <w:tc>
          <w:tcPr>
            <w:tcW w:w="761" w:type="dxa"/>
            <w:vAlign w:val="center"/>
          </w:tcPr>
          <w:p>
            <w:pPr>
              <w:jc w:val="center"/>
              <w:rPr>
                <w:bCs/>
                <w:kern w:val="0"/>
                <w:sz w:val="21"/>
                <w:szCs w:val="21"/>
              </w:rPr>
            </w:pPr>
            <w:r>
              <w:rPr>
                <w:rFonts w:hint="eastAsia"/>
                <w:bCs/>
                <w:kern w:val="0"/>
                <w:sz w:val="21"/>
                <w:szCs w:val="21"/>
              </w:rPr>
              <w:t>间歇</w:t>
            </w:r>
          </w:p>
        </w:tc>
        <w:tc>
          <w:tcPr>
            <w:tcW w:w="0" w:type="auto"/>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jc w:val="center"/>
              <w:rPr>
                <w:bCs/>
                <w:kern w:val="0"/>
                <w:sz w:val="21"/>
                <w:szCs w:val="21"/>
              </w:rPr>
            </w:pPr>
          </w:p>
        </w:tc>
        <w:tc>
          <w:tcPr>
            <w:tcW w:w="1772" w:type="dxa"/>
            <w:vAlign w:val="center"/>
          </w:tcPr>
          <w:p>
            <w:pPr>
              <w:jc w:val="center"/>
              <w:rPr>
                <w:bCs/>
                <w:kern w:val="0"/>
                <w:sz w:val="21"/>
                <w:szCs w:val="21"/>
              </w:rPr>
            </w:pPr>
            <w:r>
              <w:rPr>
                <w:rFonts w:hint="eastAsia"/>
                <w:bCs/>
                <w:kern w:val="0"/>
                <w:sz w:val="21"/>
                <w:szCs w:val="21"/>
              </w:rPr>
              <w:t>生活办公区</w:t>
            </w:r>
          </w:p>
        </w:tc>
        <w:tc>
          <w:tcPr>
            <w:tcW w:w="1081" w:type="dxa"/>
            <w:vAlign w:val="center"/>
          </w:tcPr>
          <w:p>
            <w:pPr>
              <w:jc w:val="center"/>
              <w:rPr>
                <w:bCs/>
                <w:kern w:val="0"/>
                <w:sz w:val="21"/>
                <w:szCs w:val="21"/>
              </w:rPr>
            </w:pPr>
            <w:r>
              <w:rPr>
                <w:rFonts w:hint="eastAsia"/>
                <w:bCs/>
                <w:kern w:val="0"/>
                <w:sz w:val="21"/>
                <w:szCs w:val="21"/>
              </w:rPr>
              <w:t>生活垃圾</w:t>
            </w:r>
          </w:p>
        </w:tc>
        <w:tc>
          <w:tcPr>
            <w:tcW w:w="761" w:type="dxa"/>
            <w:vAlign w:val="center"/>
          </w:tcPr>
          <w:p>
            <w:pPr>
              <w:jc w:val="center"/>
              <w:rPr>
                <w:bCs/>
                <w:kern w:val="0"/>
                <w:sz w:val="21"/>
                <w:szCs w:val="21"/>
              </w:rPr>
            </w:pPr>
            <w:r>
              <w:rPr>
                <w:rFonts w:hint="eastAsia"/>
                <w:bCs/>
                <w:kern w:val="0"/>
                <w:sz w:val="21"/>
                <w:szCs w:val="21"/>
              </w:rPr>
              <w:t>间歇</w:t>
            </w:r>
          </w:p>
        </w:tc>
        <w:tc>
          <w:tcPr>
            <w:tcW w:w="4678" w:type="dxa"/>
            <w:vAlign w:val="center"/>
          </w:tcPr>
          <w:p>
            <w:pPr>
              <w:jc w:val="center"/>
              <w:rPr>
                <w:bCs/>
                <w:kern w:val="0"/>
                <w:sz w:val="21"/>
                <w:szCs w:val="21"/>
              </w:rPr>
            </w:pPr>
            <w:r>
              <w:rPr>
                <w:rFonts w:hint="eastAsia"/>
                <w:bCs/>
                <w:kern w:val="0"/>
                <w:sz w:val="21"/>
                <w:szCs w:val="21"/>
              </w:rPr>
              <w:t>集中收集后交由环卫部门处置</w:t>
            </w:r>
          </w:p>
        </w:tc>
      </w:tr>
    </w:tbl>
    <w:p>
      <w:pPr>
        <w:pStyle w:val="4"/>
        <w:adjustRightInd w:val="0"/>
        <w:spacing w:before="120" w:after="120" w:line="460" w:lineRule="exact"/>
        <w:textAlignment w:val="baseline"/>
        <w:rPr>
          <w:rFonts w:ascii="Times New Roman" w:hAnsi="Times New Roman"/>
          <w:b w:val="0"/>
          <w:szCs w:val="28"/>
        </w:rPr>
      </w:pPr>
      <w:bookmarkStart w:id="147" w:name="_Toc165386224"/>
      <w:r>
        <w:rPr>
          <w:rFonts w:hint="eastAsia" w:ascii="Times New Roman" w:hAnsi="Times New Roman"/>
          <w:b w:val="0"/>
          <w:szCs w:val="28"/>
        </w:rPr>
        <w:t>4.3 平衡分析</w:t>
      </w:r>
      <w:bookmarkEnd w:id="147"/>
    </w:p>
    <w:p>
      <w:pPr>
        <w:autoSpaceDE w:val="0"/>
        <w:autoSpaceDN w:val="0"/>
        <w:spacing w:line="460" w:lineRule="exact"/>
        <w:ind w:firstLine="480" w:firstLineChars="200"/>
        <w:rPr>
          <w:sz w:val="24"/>
        </w:rPr>
      </w:pPr>
      <w:r>
        <w:rPr>
          <w:rFonts w:hint="eastAsia"/>
          <w:sz w:val="24"/>
        </w:rPr>
        <w:t>根据《昌吉市昊慧盛塑料制品厂地膜滴灌带及PE管材生产加工项目环境影响报告表》及昌农科环函﹝2019﹞12号批复，项目已建滴灌带及PE管生产线原料使用聚乙烯颗粒新料，不使用回收再生颗粒料，实际运行中，由于生产成本等，使用新料无法满足运行要求，因此本次扩建完成后，全厂滴灌带及PE管生产均采用本次扩建造粒生产线生产再生聚乙烯颗粒料为原料，因此本次物料平衡按照扩建完成后全厂规模进行分析平衡。</w:t>
      </w:r>
    </w:p>
    <w:p>
      <w:pPr>
        <w:pStyle w:val="5"/>
        <w:numPr>
          <w:ilvl w:val="0"/>
          <w:numId w:val="0"/>
        </w:numPr>
        <w:adjustRightInd w:val="0"/>
        <w:spacing w:before="0" w:line="460" w:lineRule="exact"/>
        <w:ind w:left="113"/>
        <w:textAlignment w:val="baseline"/>
      </w:pPr>
      <w:r>
        <w:rPr>
          <w:rFonts w:hint="eastAsia" w:ascii="Times New Roman"/>
          <w:spacing w:val="12"/>
          <w:w w:val="95"/>
          <w:kern w:val="0"/>
          <w:szCs w:val="26"/>
        </w:rPr>
        <w:t>4.3.1废旧滴灌带</w:t>
      </w:r>
      <w:r>
        <w:rPr>
          <w:rFonts w:ascii="Times New Roman"/>
          <w:spacing w:val="12"/>
          <w:w w:val="95"/>
          <w:kern w:val="0"/>
          <w:szCs w:val="26"/>
        </w:rPr>
        <w:t>造粒</w:t>
      </w:r>
      <w:r>
        <w:rPr>
          <w:rFonts w:hint="eastAsia" w:ascii="Times New Roman"/>
          <w:spacing w:val="12"/>
          <w:w w:val="95"/>
          <w:kern w:val="0"/>
          <w:szCs w:val="26"/>
        </w:rPr>
        <w:t>生产线物料平衡</w:t>
      </w:r>
    </w:p>
    <w:p>
      <w:pPr>
        <w:autoSpaceDE w:val="0"/>
        <w:autoSpaceDN w:val="0"/>
        <w:spacing w:line="460" w:lineRule="exact"/>
        <w:ind w:firstLine="480" w:firstLineChars="200"/>
        <w:rPr>
          <w:sz w:val="24"/>
        </w:rPr>
      </w:pPr>
      <w:r>
        <w:rPr>
          <w:rFonts w:hint="eastAsia"/>
          <w:sz w:val="24"/>
        </w:rPr>
        <w:t>本项目回收的废旧滴灌带经造粒生产为再生聚乙烯颗粒。废旧滴灌带</w:t>
      </w:r>
      <w:r>
        <w:rPr>
          <w:sz w:val="24"/>
        </w:rPr>
        <w:t>造粒</w:t>
      </w:r>
      <w:r>
        <w:rPr>
          <w:rFonts w:hint="eastAsia"/>
          <w:sz w:val="24"/>
        </w:rPr>
        <w:t>生产线物料平衡见表</w:t>
      </w:r>
      <w:r>
        <w:rPr>
          <w:sz w:val="24"/>
        </w:rPr>
        <w:t>4.3-1</w:t>
      </w:r>
      <w:r>
        <w:rPr>
          <w:rFonts w:hint="eastAsia"/>
          <w:sz w:val="24"/>
        </w:rPr>
        <w:t>及图</w:t>
      </w:r>
      <w:r>
        <w:rPr>
          <w:sz w:val="24"/>
        </w:rPr>
        <w:t>4.3-1</w:t>
      </w:r>
      <w:r>
        <w:rPr>
          <w:rFonts w:hint="eastAsia"/>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4.3-1             </w:t>
      </w:r>
      <w:r>
        <w:rPr>
          <w:rFonts w:hint="eastAsia" w:hAnsi="黑体" w:eastAsia="黑体"/>
        </w:rPr>
        <w:t xml:space="preserve">    废旧滴灌带</w:t>
      </w:r>
      <w:r>
        <w:rPr>
          <w:rFonts w:hAnsi="黑体" w:eastAsia="黑体"/>
        </w:rPr>
        <w:t>造粒</w:t>
      </w:r>
      <w:r>
        <w:rPr>
          <w:rFonts w:hint="eastAsia" w:hAnsi="黑体" w:eastAsia="黑体"/>
        </w:rPr>
        <w:t>生产线物料平衡表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4" w:type="dxa"/>
            <w:gridSpan w:val="2"/>
            <w:vAlign w:val="center"/>
          </w:tcPr>
          <w:p>
            <w:pPr>
              <w:jc w:val="center"/>
              <w:rPr>
                <w:bCs/>
                <w:kern w:val="0"/>
                <w:sz w:val="21"/>
                <w:szCs w:val="21"/>
              </w:rPr>
            </w:pPr>
            <w:r>
              <w:rPr>
                <w:rFonts w:hint="eastAsia"/>
                <w:bCs/>
                <w:kern w:val="0"/>
                <w:sz w:val="21"/>
                <w:szCs w:val="21"/>
              </w:rPr>
              <w:t>投入（</w:t>
            </w:r>
            <w:r>
              <w:rPr>
                <w:bCs/>
                <w:kern w:val="0"/>
                <w:sz w:val="21"/>
                <w:szCs w:val="21"/>
              </w:rPr>
              <w:t>t/a</w:t>
            </w:r>
            <w:r>
              <w:rPr>
                <w:rFonts w:hint="eastAsia"/>
                <w:bCs/>
                <w:kern w:val="0"/>
                <w:sz w:val="21"/>
                <w:szCs w:val="21"/>
              </w:rPr>
              <w:t>）</w:t>
            </w:r>
          </w:p>
        </w:tc>
        <w:tc>
          <w:tcPr>
            <w:tcW w:w="5062" w:type="dxa"/>
            <w:gridSpan w:val="3"/>
            <w:vAlign w:val="center"/>
          </w:tcPr>
          <w:p>
            <w:pPr>
              <w:jc w:val="center"/>
              <w:rPr>
                <w:bCs/>
                <w:kern w:val="0"/>
                <w:sz w:val="21"/>
                <w:szCs w:val="21"/>
              </w:rPr>
            </w:pPr>
            <w:r>
              <w:rPr>
                <w:rFonts w:hint="eastAsia"/>
                <w:bCs/>
                <w:kern w:val="0"/>
                <w:sz w:val="21"/>
                <w:szCs w:val="21"/>
              </w:rPr>
              <w:t>产出（</w:t>
            </w:r>
            <w:r>
              <w:rPr>
                <w:bCs/>
                <w:kern w:val="0"/>
                <w:sz w:val="21"/>
                <w:szCs w:val="21"/>
              </w:rPr>
              <w:t>t/a</w:t>
            </w: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名称</w:t>
            </w:r>
          </w:p>
        </w:tc>
        <w:tc>
          <w:tcPr>
            <w:tcW w:w="1687" w:type="dxa"/>
            <w:vAlign w:val="center"/>
          </w:tcPr>
          <w:p>
            <w:pPr>
              <w:jc w:val="center"/>
              <w:rPr>
                <w:bCs/>
                <w:kern w:val="0"/>
                <w:sz w:val="21"/>
                <w:szCs w:val="21"/>
              </w:rPr>
            </w:pPr>
            <w:r>
              <w:rPr>
                <w:rFonts w:hint="eastAsia"/>
                <w:bCs/>
                <w:kern w:val="0"/>
                <w:sz w:val="21"/>
                <w:szCs w:val="21"/>
              </w:rPr>
              <w:t>数量</w:t>
            </w:r>
          </w:p>
        </w:tc>
        <w:tc>
          <w:tcPr>
            <w:tcW w:w="1687" w:type="dxa"/>
            <w:vAlign w:val="center"/>
          </w:tcPr>
          <w:p>
            <w:pPr>
              <w:jc w:val="center"/>
              <w:rPr>
                <w:bCs/>
                <w:kern w:val="0"/>
                <w:sz w:val="21"/>
                <w:szCs w:val="21"/>
              </w:rPr>
            </w:pPr>
            <w:r>
              <w:rPr>
                <w:rFonts w:hint="eastAsia"/>
                <w:bCs/>
                <w:kern w:val="0"/>
                <w:sz w:val="21"/>
                <w:szCs w:val="21"/>
              </w:rPr>
              <w:t>名称</w:t>
            </w:r>
          </w:p>
        </w:tc>
        <w:tc>
          <w:tcPr>
            <w:tcW w:w="1687" w:type="dxa"/>
            <w:vAlign w:val="center"/>
          </w:tcPr>
          <w:p>
            <w:pPr>
              <w:jc w:val="center"/>
              <w:rPr>
                <w:bCs/>
                <w:kern w:val="0"/>
                <w:sz w:val="21"/>
                <w:szCs w:val="21"/>
              </w:rPr>
            </w:pPr>
            <w:r>
              <w:rPr>
                <w:rFonts w:hint="eastAsia"/>
                <w:bCs/>
                <w:kern w:val="0"/>
                <w:sz w:val="21"/>
                <w:szCs w:val="21"/>
              </w:rPr>
              <w:t>数量</w:t>
            </w:r>
          </w:p>
        </w:tc>
        <w:tc>
          <w:tcPr>
            <w:tcW w:w="1688" w:type="dxa"/>
            <w:vAlign w:val="center"/>
          </w:tcPr>
          <w:p>
            <w:pPr>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废旧滴灌带</w:t>
            </w:r>
          </w:p>
        </w:tc>
        <w:tc>
          <w:tcPr>
            <w:tcW w:w="1687" w:type="dxa"/>
            <w:vAlign w:val="center"/>
          </w:tcPr>
          <w:p>
            <w:pPr>
              <w:jc w:val="center"/>
              <w:rPr>
                <w:bCs/>
                <w:kern w:val="0"/>
                <w:sz w:val="21"/>
                <w:szCs w:val="21"/>
              </w:rPr>
            </w:pPr>
            <w:r>
              <w:rPr>
                <w:rFonts w:hint="eastAsia"/>
                <w:bCs/>
                <w:kern w:val="0"/>
                <w:sz w:val="21"/>
                <w:szCs w:val="21"/>
              </w:rPr>
              <w:t>3500</w:t>
            </w:r>
          </w:p>
        </w:tc>
        <w:tc>
          <w:tcPr>
            <w:tcW w:w="1687" w:type="dxa"/>
            <w:vAlign w:val="center"/>
          </w:tcPr>
          <w:p>
            <w:pPr>
              <w:jc w:val="center"/>
              <w:rPr>
                <w:bCs/>
                <w:kern w:val="0"/>
                <w:sz w:val="21"/>
                <w:szCs w:val="21"/>
              </w:rPr>
            </w:pPr>
            <w:r>
              <w:rPr>
                <w:rFonts w:hint="eastAsia"/>
                <w:bCs/>
                <w:kern w:val="0"/>
                <w:sz w:val="21"/>
                <w:szCs w:val="21"/>
              </w:rPr>
              <w:t>再生聚乙烯颗粒</w:t>
            </w:r>
          </w:p>
        </w:tc>
        <w:tc>
          <w:tcPr>
            <w:tcW w:w="1687" w:type="dxa"/>
            <w:vAlign w:val="center"/>
          </w:tcPr>
          <w:p>
            <w:pPr>
              <w:jc w:val="center"/>
              <w:rPr>
                <w:bCs/>
                <w:kern w:val="0"/>
                <w:sz w:val="21"/>
                <w:szCs w:val="21"/>
              </w:rPr>
            </w:pPr>
            <w:r>
              <w:rPr>
                <w:rFonts w:hint="eastAsia"/>
                <w:bCs/>
                <w:kern w:val="0"/>
                <w:sz w:val="21"/>
                <w:szCs w:val="21"/>
              </w:rPr>
              <w:t>3450</w:t>
            </w:r>
          </w:p>
        </w:tc>
        <w:tc>
          <w:tcPr>
            <w:tcW w:w="1688" w:type="dxa"/>
            <w:vAlign w:val="center"/>
          </w:tcPr>
          <w:p>
            <w:pPr>
              <w:jc w:val="center"/>
              <w:rPr>
                <w:bCs/>
                <w:kern w:val="0"/>
                <w:sz w:val="21"/>
                <w:szCs w:val="21"/>
              </w:rPr>
            </w:pPr>
            <w:r>
              <w:rPr>
                <w:rFonts w:hint="eastAsia"/>
                <w:bCs/>
                <w:kern w:val="0"/>
                <w:sz w:val="21"/>
                <w:szCs w:val="21"/>
              </w:rPr>
              <w:t>中间产品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滴灌带</w:t>
            </w:r>
            <w:r>
              <w:rPr>
                <w:bCs/>
                <w:kern w:val="0"/>
                <w:sz w:val="21"/>
                <w:szCs w:val="21"/>
              </w:rPr>
              <w:t>不合格品</w:t>
            </w:r>
          </w:p>
        </w:tc>
        <w:tc>
          <w:tcPr>
            <w:tcW w:w="1687" w:type="dxa"/>
            <w:vAlign w:val="center"/>
          </w:tcPr>
          <w:p>
            <w:pPr>
              <w:jc w:val="center"/>
              <w:rPr>
                <w:bCs/>
                <w:kern w:val="0"/>
                <w:sz w:val="21"/>
                <w:szCs w:val="21"/>
              </w:rPr>
            </w:pPr>
            <w:r>
              <w:rPr>
                <w:rFonts w:hint="eastAsia"/>
                <w:bCs/>
                <w:kern w:val="0"/>
                <w:sz w:val="21"/>
                <w:szCs w:val="21"/>
              </w:rPr>
              <w:t>200</w:t>
            </w:r>
          </w:p>
        </w:tc>
        <w:tc>
          <w:tcPr>
            <w:tcW w:w="1687" w:type="dxa"/>
            <w:vAlign w:val="center"/>
          </w:tcPr>
          <w:p>
            <w:pPr>
              <w:jc w:val="center"/>
              <w:rPr>
                <w:bCs/>
                <w:kern w:val="0"/>
                <w:sz w:val="21"/>
                <w:szCs w:val="21"/>
              </w:rPr>
            </w:pPr>
            <w:r>
              <w:rPr>
                <w:rFonts w:hint="eastAsia"/>
                <w:bCs/>
                <w:kern w:val="0"/>
                <w:sz w:val="21"/>
                <w:szCs w:val="21"/>
              </w:rPr>
              <w:t>沉淀池泥沙</w:t>
            </w:r>
          </w:p>
        </w:tc>
        <w:tc>
          <w:tcPr>
            <w:tcW w:w="1687" w:type="dxa"/>
            <w:vAlign w:val="center"/>
          </w:tcPr>
          <w:p>
            <w:pPr>
              <w:jc w:val="center"/>
              <w:rPr>
                <w:bCs/>
                <w:kern w:val="0"/>
                <w:sz w:val="21"/>
                <w:szCs w:val="21"/>
              </w:rPr>
            </w:pPr>
            <w:r>
              <w:rPr>
                <w:rFonts w:hint="eastAsia"/>
                <w:bCs/>
                <w:kern w:val="0"/>
                <w:sz w:val="21"/>
                <w:szCs w:val="21"/>
              </w:rPr>
              <w:t>294.94</w:t>
            </w:r>
          </w:p>
        </w:tc>
        <w:tc>
          <w:tcPr>
            <w:tcW w:w="1688" w:type="dxa"/>
            <w:vAlign w:val="center"/>
          </w:tcPr>
          <w:p>
            <w:pPr>
              <w:jc w:val="center"/>
              <w:rPr>
                <w:bCs/>
                <w:kern w:val="0"/>
                <w:sz w:val="21"/>
                <w:szCs w:val="21"/>
              </w:rPr>
            </w:pPr>
            <w:r>
              <w:rPr>
                <w:rFonts w:hint="eastAsia"/>
                <w:bCs/>
                <w:kern w:val="0"/>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PE</w:t>
            </w:r>
            <w:r>
              <w:rPr>
                <w:bCs/>
                <w:kern w:val="0"/>
                <w:sz w:val="21"/>
                <w:szCs w:val="21"/>
              </w:rPr>
              <w:t>管不合格品</w:t>
            </w:r>
          </w:p>
        </w:tc>
        <w:tc>
          <w:tcPr>
            <w:tcW w:w="1687" w:type="dxa"/>
            <w:vAlign w:val="center"/>
          </w:tcPr>
          <w:p>
            <w:pPr>
              <w:jc w:val="center"/>
              <w:rPr>
                <w:bCs/>
                <w:kern w:val="0"/>
                <w:sz w:val="21"/>
                <w:szCs w:val="21"/>
              </w:rPr>
            </w:pPr>
            <w:r>
              <w:rPr>
                <w:rFonts w:hint="eastAsia"/>
                <w:bCs/>
                <w:kern w:val="0"/>
                <w:sz w:val="21"/>
                <w:szCs w:val="21"/>
              </w:rPr>
              <w:t>46.25</w:t>
            </w:r>
          </w:p>
        </w:tc>
        <w:tc>
          <w:tcPr>
            <w:tcW w:w="1687" w:type="dxa"/>
            <w:vAlign w:val="center"/>
          </w:tcPr>
          <w:p>
            <w:pPr>
              <w:jc w:val="center"/>
              <w:rPr>
                <w:bCs/>
                <w:kern w:val="0"/>
                <w:sz w:val="21"/>
                <w:szCs w:val="21"/>
              </w:rPr>
            </w:pPr>
            <w:r>
              <w:rPr>
                <w:rFonts w:hint="eastAsia"/>
                <w:bCs/>
                <w:kern w:val="0"/>
                <w:sz w:val="21"/>
                <w:szCs w:val="21"/>
              </w:rPr>
              <w:t>非甲烷总烃</w:t>
            </w:r>
          </w:p>
        </w:tc>
        <w:tc>
          <w:tcPr>
            <w:tcW w:w="1687" w:type="dxa"/>
            <w:vAlign w:val="center"/>
          </w:tcPr>
          <w:p>
            <w:pPr>
              <w:jc w:val="center"/>
              <w:rPr>
                <w:bCs/>
                <w:kern w:val="0"/>
                <w:sz w:val="21"/>
                <w:szCs w:val="21"/>
              </w:rPr>
            </w:pPr>
            <w:r>
              <w:rPr>
                <w:rFonts w:hint="eastAsia"/>
                <w:bCs/>
                <w:kern w:val="0"/>
                <w:sz w:val="21"/>
                <w:szCs w:val="21"/>
              </w:rPr>
              <w:t>1.31</w:t>
            </w:r>
          </w:p>
        </w:tc>
        <w:tc>
          <w:tcPr>
            <w:tcW w:w="1688" w:type="dxa"/>
            <w:vAlign w:val="center"/>
          </w:tcPr>
          <w:p>
            <w:pPr>
              <w:jc w:val="center"/>
              <w:rPr>
                <w:bCs/>
                <w:kern w:val="0"/>
                <w:sz w:val="21"/>
                <w:szCs w:val="21"/>
              </w:rPr>
            </w:pPr>
            <w:r>
              <w:rPr>
                <w:rFonts w:hint="eastAsia"/>
                <w:bCs/>
                <w:kern w:val="0"/>
                <w:sz w:val="21"/>
                <w:szCs w:val="21"/>
              </w:rPr>
              <w:t>废气（处理前）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小计</w:t>
            </w:r>
          </w:p>
        </w:tc>
        <w:tc>
          <w:tcPr>
            <w:tcW w:w="1687" w:type="dxa"/>
            <w:vAlign w:val="center"/>
          </w:tcPr>
          <w:p>
            <w:pPr>
              <w:jc w:val="center"/>
              <w:rPr>
                <w:bCs/>
                <w:kern w:val="0"/>
                <w:sz w:val="21"/>
                <w:szCs w:val="21"/>
              </w:rPr>
            </w:pPr>
            <w:r>
              <w:rPr>
                <w:rFonts w:hint="eastAsia"/>
                <w:bCs/>
                <w:kern w:val="0"/>
                <w:sz w:val="21"/>
                <w:szCs w:val="21"/>
              </w:rPr>
              <w:t>3746.25</w:t>
            </w:r>
          </w:p>
        </w:tc>
        <w:tc>
          <w:tcPr>
            <w:tcW w:w="1687" w:type="dxa"/>
            <w:vAlign w:val="center"/>
          </w:tcPr>
          <w:p>
            <w:pPr>
              <w:jc w:val="center"/>
              <w:rPr>
                <w:bCs/>
                <w:kern w:val="0"/>
                <w:sz w:val="21"/>
                <w:szCs w:val="21"/>
              </w:rPr>
            </w:pPr>
          </w:p>
        </w:tc>
        <w:tc>
          <w:tcPr>
            <w:tcW w:w="1687" w:type="dxa"/>
            <w:vAlign w:val="center"/>
          </w:tcPr>
          <w:p>
            <w:pPr>
              <w:jc w:val="center"/>
              <w:rPr>
                <w:bCs/>
                <w:kern w:val="0"/>
                <w:sz w:val="21"/>
                <w:szCs w:val="21"/>
              </w:rPr>
            </w:pPr>
            <w:r>
              <w:rPr>
                <w:rFonts w:hint="eastAsia"/>
                <w:bCs/>
                <w:kern w:val="0"/>
                <w:sz w:val="21"/>
                <w:szCs w:val="21"/>
              </w:rPr>
              <w:t>3746.25</w:t>
            </w:r>
          </w:p>
        </w:tc>
        <w:tc>
          <w:tcPr>
            <w:tcW w:w="1688" w:type="dxa"/>
            <w:vAlign w:val="center"/>
          </w:tcPr>
          <w:p>
            <w:pPr>
              <w:jc w:val="center"/>
              <w:rPr>
                <w:bCs/>
                <w:kern w:val="0"/>
                <w:sz w:val="21"/>
                <w:szCs w:val="21"/>
              </w:rPr>
            </w:pPr>
          </w:p>
        </w:tc>
      </w:tr>
    </w:tbl>
    <w:p>
      <w:pPr>
        <w:autoSpaceDE w:val="0"/>
        <w:autoSpaceDN w:val="0"/>
        <w:jc w:val="center"/>
        <w:rPr>
          <w:rFonts w:ascii="黑体" w:hAnsi="黑体" w:eastAsia="黑体"/>
          <w:b/>
        </w:rPr>
      </w:pPr>
    </w:p>
    <w:p>
      <w:pPr>
        <w:autoSpaceDE w:val="0"/>
        <w:autoSpaceDN w:val="0"/>
        <w:jc w:val="center"/>
        <w:rPr>
          <w:sz w:val="24"/>
        </w:rPr>
      </w:pPr>
      <w:r>
        <w:object>
          <v:shape id="_x0000_i1029" o:spt="75" type="#_x0000_t75" style="height:196.75pt;width:205.1pt;" o:ole="t" filled="f" o:preferrelative="t" stroked="f" coordsize="21600,21600">
            <v:path/>
            <v:fill on="f" focussize="0,0"/>
            <v:stroke on="f" joinstyle="miter"/>
            <v:imagedata r:id="rId17" o:title=""/>
            <o:lock v:ext="edit" aspectratio="t"/>
            <w10:wrap type="none"/>
            <w10:anchorlock/>
          </v:shape>
          <o:OLEObject Type="Embed" ProgID="Visio.Drawing.15" ShapeID="_x0000_i1029" DrawAspect="Content" ObjectID="_1468075729" r:id="rId16">
            <o:LockedField>false</o:LockedField>
          </o:OLEObject>
        </w:object>
      </w:r>
    </w:p>
    <w:p>
      <w:pPr>
        <w:autoSpaceDE w:val="0"/>
        <w:autoSpaceDN w:val="0"/>
        <w:jc w:val="center"/>
        <w:rPr>
          <w:rFonts w:eastAsia="黑体"/>
          <w:szCs w:val="21"/>
        </w:rPr>
      </w:pPr>
      <w:r>
        <w:rPr>
          <w:rFonts w:hint="eastAsia" w:eastAsia="黑体"/>
          <w:szCs w:val="21"/>
        </w:rPr>
        <w:t>图</w:t>
      </w:r>
      <w:r>
        <w:rPr>
          <w:rFonts w:eastAsia="黑体"/>
          <w:szCs w:val="21"/>
        </w:rPr>
        <w:t xml:space="preserve">4.3-1   </w:t>
      </w:r>
      <w:r>
        <w:rPr>
          <w:rFonts w:hint="eastAsia" w:eastAsia="黑体"/>
          <w:szCs w:val="21"/>
        </w:rPr>
        <w:t>废旧滴灌带</w:t>
      </w:r>
      <w:r>
        <w:rPr>
          <w:rFonts w:eastAsia="黑体"/>
          <w:szCs w:val="21"/>
        </w:rPr>
        <w:t>造粒</w:t>
      </w:r>
      <w:r>
        <w:rPr>
          <w:rFonts w:hint="eastAsia" w:eastAsia="黑体"/>
          <w:szCs w:val="21"/>
        </w:rPr>
        <w:t>生产线物料平衡图</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pacing w:val="12"/>
          <w:w w:val="95"/>
          <w:kern w:val="0"/>
          <w:szCs w:val="26"/>
        </w:rPr>
        <w:t>4.3</w:t>
      </w:r>
      <w:r>
        <w:rPr>
          <w:rFonts w:ascii="Times New Roman"/>
          <w:spacing w:val="12"/>
          <w:w w:val="95"/>
          <w:kern w:val="0"/>
          <w:szCs w:val="26"/>
        </w:rPr>
        <w:t>.2</w:t>
      </w:r>
      <w:r>
        <w:rPr>
          <w:rFonts w:hint="eastAsia" w:ascii="Times New Roman"/>
          <w:spacing w:val="12"/>
          <w:w w:val="95"/>
          <w:kern w:val="0"/>
          <w:szCs w:val="26"/>
        </w:rPr>
        <w:t>废旧塑料膜</w:t>
      </w:r>
      <w:r>
        <w:rPr>
          <w:rFonts w:ascii="Times New Roman"/>
          <w:spacing w:val="12"/>
          <w:w w:val="95"/>
          <w:kern w:val="0"/>
          <w:szCs w:val="26"/>
        </w:rPr>
        <w:t>造粒</w:t>
      </w:r>
      <w:r>
        <w:rPr>
          <w:rFonts w:hint="eastAsia" w:ascii="Times New Roman"/>
          <w:spacing w:val="12"/>
          <w:w w:val="95"/>
          <w:kern w:val="0"/>
          <w:szCs w:val="26"/>
        </w:rPr>
        <w:t>生产线物料平衡</w:t>
      </w:r>
    </w:p>
    <w:p>
      <w:pPr>
        <w:autoSpaceDE w:val="0"/>
        <w:autoSpaceDN w:val="0"/>
        <w:spacing w:line="460" w:lineRule="exact"/>
        <w:ind w:firstLine="480" w:firstLineChars="200"/>
        <w:rPr>
          <w:sz w:val="24"/>
        </w:rPr>
      </w:pPr>
      <w:r>
        <w:rPr>
          <w:rFonts w:hint="eastAsia"/>
          <w:sz w:val="24"/>
        </w:rPr>
        <w:t>本项目回收的废旧塑料膜经造粒生产为再生聚乙烯颗粒，废旧塑料膜</w:t>
      </w:r>
      <w:r>
        <w:rPr>
          <w:sz w:val="24"/>
        </w:rPr>
        <w:t>造粒</w:t>
      </w:r>
      <w:r>
        <w:rPr>
          <w:rFonts w:hint="eastAsia"/>
          <w:sz w:val="24"/>
        </w:rPr>
        <w:t>生产线物料平衡见表</w:t>
      </w:r>
      <w:r>
        <w:rPr>
          <w:sz w:val="24"/>
        </w:rPr>
        <w:t>4.3-2</w:t>
      </w:r>
      <w:r>
        <w:rPr>
          <w:rFonts w:hint="eastAsia"/>
          <w:sz w:val="24"/>
        </w:rPr>
        <w:t>及图</w:t>
      </w:r>
      <w:r>
        <w:rPr>
          <w:sz w:val="24"/>
        </w:rPr>
        <w:t>4.3-2</w:t>
      </w:r>
      <w:r>
        <w:rPr>
          <w:rFonts w:hint="eastAsia"/>
          <w:sz w:val="24"/>
        </w:rPr>
        <w:t>。</w:t>
      </w:r>
    </w:p>
    <w:p>
      <w:pPr>
        <w:autoSpaceDE w:val="0"/>
        <w:autoSpaceDN w:val="0"/>
        <w:ind w:firstLine="420" w:firstLineChars="200"/>
        <w:rPr>
          <w:rFonts w:hAnsi="黑体" w:eastAsia="黑体"/>
        </w:rPr>
      </w:pPr>
    </w:p>
    <w:p>
      <w:pPr>
        <w:autoSpaceDE w:val="0"/>
        <w:autoSpaceDN w:val="0"/>
        <w:ind w:firstLine="420" w:firstLineChars="200"/>
        <w:rPr>
          <w:rFonts w:hAnsi="黑体" w:eastAsia="黑体"/>
        </w:rPr>
      </w:pP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4.3-2             </w:t>
      </w:r>
      <w:r>
        <w:rPr>
          <w:rFonts w:hint="eastAsia" w:hAnsi="黑体" w:eastAsia="黑体"/>
        </w:rPr>
        <w:t xml:space="preserve">    废旧塑料膜造粒生产线物料平衡表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4" w:type="dxa"/>
            <w:gridSpan w:val="2"/>
            <w:vAlign w:val="center"/>
          </w:tcPr>
          <w:p>
            <w:pPr>
              <w:jc w:val="center"/>
              <w:rPr>
                <w:bCs/>
                <w:kern w:val="0"/>
                <w:sz w:val="21"/>
                <w:szCs w:val="21"/>
              </w:rPr>
            </w:pPr>
            <w:r>
              <w:rPr>
                <w:rFonts w:hint="eastAsia"/>
                <w:bCs/>
                <w:kern w:val="0"/>
                <w:sz w:val="21"/>
                <w:szCs w:val="21"/>
              </w:rPr>
              <w:t>投入（</w:t>
            </w:r>
            <w:r>
              <w:rPr>
                <w:bCs/>
                <w:kern w:val="0"/>
                <w:sz w:val="21"/>
                <w:szCs w:val="21"/>
              </w:rPr>
              <w:t>t/a</w:t>
            </w:r>
            <w:r>
              <w:rPr>
                <w:rFonts w:hint="eastAsia"/>
                <w:bCs/>
                <w:kern w:val="0"/>
                <w:sz w:val="21"/>
                <w:szCs w:val="21"/>
              </w:rPr>
              <w:t>）</w:t>
            </w:r>
          </w:p>
        </w:tc>
        <w:tc>
          <w:tcPr>
            <w:tcW w:w="5062" w:type="dxa"/>
            <w:gridSpan w:val="3"/>
            <w:vAlign w:val="center"/>
          </w:tcPr>
          <w:p>
            <w:pPr>
              <w:jc w:val="center"/>
              <w:rPr>
                <w:bCs/>
                <w:kern w:val="0"/>
                <w:sz w:val="21"/>
                <w:szCs w:val="21"/>
              </w:rPr>
            </w:pPr>
            <w:r>
              <w:rPr>
                <w:rFonts w:hint="eastAsia"/>
                <w:bCs/>
                <w:kern w:val="0"/>
                <w:sz w:val="21"/>
                <w:szCs w:val="21"/>
              </w:rPr>
              <w:t>产出（</w:t>
            </w:r>
            <w:r>
              <w:rPr>
                <w:bCs/>
                <w:kern w:val="0"/>
                <w:sz w:val="21"/>
                <w:szCs w:val="21"/>
              </w:rPr>
              <w:t>t/a</w:t>
            </w: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名称</w:t>
            </w:r>
          </w:p>
        </w:tc>
        <w:tc>
          <w:tcPr>
            <w:tcW w:w="1687" w:type="dxa"/>
            <w:vAlign w:val="center"/>
          </w:tcPr>
          <w:p>
            <w:pPr>
              <w:jc w:val="center"/>
              <w:rPr>
                <w:bCs/>
                <w:kern w:val="0"/>
                <w:sz w:val="21"/>
                <w:szCs w:val="21"/>
              </w:rPr>
            </w:pPr>
            <w:r>
              <w:rPr>
                <w:rFonts w:hint="eastAsia"/>
                <w:bCs/>
                <w:kern w:val="0"/>
                <w:sz w:val="21"/>
                <w:szCs w:val="21"/>
              </w:rPr>
              <w:t>数量</w:t>
            </w:r>
          </w:p>
        </w:tc>
        <w:tc>
          <w:tcPr>
            <w:tcW w:w="1687" w:type="dxa"/>
            <w:vAlign w:val="center"/>
          </w:tcPr>
          <w:p>
            <w:pPr>
              <w:jc w:val="center"/>
              <w:rPr>
                <w:bCs/>
                <w:kern w:val="0"/>
                <w:sz w:val="21"/>
                <w:szCs w:val="21"/>
              </w:rPr>
            </w:pPr>
            <w:r>
              <w:rPr>
                <w:rFonts w:hint="eastAsia"/>
                <w:bCs/>
                <w:kern w:val="0"/>
                <w:sz w:val="21"/>
                <w:szCs w:val="21"/>
              </w:rPr>
              <w:t>名称</w:t>
            </w:r>
          </w:p>
        </w:tc>
        <w:tc>
          <w:tcPr>
            <w:tcW w:w="1687" w:type="dxa"/>
            <w:vAlign w:val="center"/>
          </w:tcPr>
          <w:p>
            <w:pPr>
              <w:jc w:val="center"/>
              <w:rPr>
                <w:bCs/>
                <w:kern w:val="0"/>
                <w:sz w:val="21"/>
                <w:szCs w:val="21"/>
              </w:rPr>
            </w:pPr>
            <w:r>
              <w:rPr>
                <w:rFonts w:hint="eastAsia"/>
                <w:bCs/>
                <w:kern w:val="0"/>
                <w:sz w:val="21"/>
                <w:szCs w:val="21"/>
              </w:rPr>
              <w:t>数量</w:t>
            </w:r>
          </w:p>
        </w:tc>
        <w:tc>
          <w:tcPr>
            <w:tcW w:w="1688" w:type="dxa"/>
            <w:vAlign w:val="center"/>
          </w:tcPr>
          <w:p>
            <w:pPr>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废旧塑料膜</w:t>
            </w:r>
          </w:p>
        </w:tc>
        <w:tc>
          <w:tcPr>
            <w:tcW w:w="1687" w:type="dxa"/>
            <w:vAlign w:val="center"/>
          </w:tcPr>
          <w:p>
            <w:pPr>
              <w:jc w:val="center"/>
              <w:rPr>
                <w:bCs/>
                <w:kern w:val="0"/>
                <w:sz w:val="21"/>
                <w:szCs w:val="21"/>
              </w:rPr>
            </w:pPr>
            <w:r>
              <w:rPr>
                <w:rFonts w:hint="eastAsia"/>
                <w:bCs/>
                <w:kern w:val="0"/>
                <w:sz w:val="21"/>
                <w:szCs w:val="21"/>
              </w:rPr>
              <w:t>2000</w:t>
            </w:r>
          </w:p>
        </w:tc>
        <w:tc>
          <w:tcPr>
            <w:tcW w:w="1687" w:type="dxa"/>
            <w:vAlign w:val="center"/>
          </w:tcPr>
          <w:p>
            <w:pPr>
              <w:jc w:val="center"/>
              <w:rPr>
                <w:bCs/>
                <w:kern w:val="0"/>
                <w:sz w:val="21"/>
                <w:szCs w:val="21"/>
              </w:rPr>
            </w:pPr>
            <w:r>
              <w:rPr>
                <w:rFonts w:hint="eastAsia"/>
                <w:bCs/>
                <w:kern w:val="0"/>
                <w:sz w:val="21"/>
                <w:szCs w:val="21"/>
              </w:rPr>
              <w:t>再生聚乙烯颗粒</w:t>
            </w:r>
          </w:p>
        </w:tc>
        <w:tc>
          <w:tcPr>
            <w:tcW w:w="1687" w:type="dxa"/>
            <w:vAlign w:val="center"/>
          </w:tcPr>
          <w:p>
            <w:pPr>
              <w:jc w:val="center"/>
              <w:rPr>
                <w:bCs/>
                <w:kern w:val="0"/>
                <w:sz w:val="21"/>
                <w:szCs w:val="21"/>
              </w:rPr>
            </w:pPr>
            <w:r>
              <w:rPr>
                <w:rFonts w:hint="eastAsia"/>
                <w:bCs/>
                <w:kern w:val="0"/>
                <w:sz w:val="21"/>
                <w:szCs w:val="21"/>
              </w:rPr>
              <w:t>1930</w:t>
            </w:r>
          </w:p>
        </w:tc>
        <w:tc>
          <w:tcPr>
            <w:tcW w:w="1688" w:type="dxa"/>
            <w:vAlign w:val="center"/>
          </w:tcPr>
          <w:p>
            <w:pPr>
              <w:jc w:val="center"/>
              <w:rPr>
                <w:bCs/>
                <w:kern w:val="0"/>
                <w:sz w:val="21"/>
                <w:szCs w:val="21"/>
              </w:rPr>
            </w:pPr>
            <w:r>
              <w:rPr>
                <w:rFonts w:hint="eastAsia"/>
                <w:bCs/>
                <w:kern w:val="0"/>
                <w:sz w:val="21"/>
                <w:szCs w:val="21"/>
              </w:rPr>
              <w:t>中间产品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0"/>
                <w:szCs w:val="21"/>
              </w:rPr>
            </w:pPr>
          </w:p>
        </w:tc>
        <w:tc>
          <w:tcPr>
            <w:tcW w:w="1687" w:type="dxa"/>
            <w:vAlign w:val="center"/>
          </w:tcPr>
          <w:p>
            <w:pPr>
              <w:jc w:val="center"/>
              <w:rPr>
                <w:bCs/>
                <w:kern w:val="0"/>
                <w:sz w:val="21"/>
                <w:szCs w:val="21"/>
              </w:rPr>
            </w:pPr>
          </w:p>
        </w:tc>
        <w:tc>
          <w:tcPr>
            <w:tcW w:w="1687" w:type="dxa"/>
            <w:vAlign w:val="center"/>
          </w:tcPr>
          <w:p>
            <w:pPr>
              <w:jc w:val="center"/>
              <w:rPr>
                <w:bCs/>
                <w:kern w:val="0"/>
                <w:sz w:val="21"/>
                <w:szCs w:val="21"/>
              </w:rPr>
            </w:pPr>
            <w:r>
              <w:rPr>
                <w:rFonts w:hint="eastAsia"/>
                <w:bCs/>
                <w:kern w:val="0"/>
                <w:sz w:val="21"/>
                <w:szCs w:val="21"/>
              </w:rPr>
              <w:t>沉淀池泥沙</w:t>
            </w:r>
          </w:p>
        </w:tc>
        <w:tc>
          <w:tcPr>
            <w:tcW w:w="1687" w:type="dxa"/>
            <w:vAlign w:val="center"/>
          </w:tcPr>
          <w:p>
            <w:pPr>
              <w:jc w:val="center"/>
              <w:rPr>
                <w:bCs/>
                <w:kern w:val="0"/>
                <w:sz w:val="21"/>
                <w:szCs w:val="21"/>
              </w:rPr>
            </w:pPr>
            <w:r>
              <w:rPr>
                <w:rFonts w:hint="eastAsia"/>
                <w:bCs/>
                <w:kern w:val="0"/>
                <w:sz w:val="21"/>
                <w:szCs w:val="21"/>
              </w:rPr>
              <w:t>69.59</w:t>
            </w:r>
          </w:p>
        </w:tc>
        <w:tc>
          <w:tcPr>
            <w:tcW w:w="1688" w:type="dxa"/>
            <w:vAlign w:val="center"/>
          </w:tcPr>
          <w:p>
            <w:pPr>
              <w:jc w:val="center"/>
              <w:rPr>
                <w:bCs/>
                <w:kern w:val="0"/>
                <w:sz w:val="21"/>
                <w:szCs w:val="21"/>
              </w:rPr>
            </w:pPr>
            <w:r>
              <w:rPr>
                <w:rFonts w:hint="eastAsia"/>
                <w:bCs/>
                <w:kern w:val="0"/>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p>
        </w:tc>
        <w:tc>
          <w:tcPr>
            <w:tcW w:w="1687" w:type="dxa"/>
            <w:vAlign w:val="center"/>
          </w:tcPr>
          <w:p>
            <w:pPr>
              <w:jc w:val="center"/>
              <w:rPr>
                <w:bCs/>
                <w:kern w:val="0"/>
                <w:sz w:val="21"/>
                <w:szCs w:val="21"/>
              </w:rPr>
            </w:pPr>
          </w:p>
        </w:tc>
        <w:tc>
          <w:tcPr>
            <w:tcW w:w="1687" w:type="dxa"/>
            <w:vAlign w:val="center"/>
          </w:tcPr>
          <w:p>
            <w:pPr>
              <w:jc w:val="center"/>
              <w:rPr>
                <w:bCs/>
                <w:kern w:val="0"/>
                <w:sz w:val="21"/>
                <w:szCs w:val="21"/>
              </w:rPr>
            </w:pPr>
            <w:r>
              <w:rPr>
                <w:rFonts w:hint="eastAsia"/>
                <w:bCs/>
                <w:kern w:val="0"/>
                <w:sz w:val="21"/>
                <w:szCs w:val="21"/>
              </w:rPr>
              <w:t>非甲烷总烃</w:t>
            </w:r>
          </w:p>
        </w:tc>
        <w:tc>
          <w:tcPr>
            <w:tcW w:w="1687" w:type="dxa"/>
            <w:vAlign w:val="center"/>
          </w:tcPr>
          <w:p>
            <w:pPr>
              <w:jc w:val="center"/>
              <w:rPr>
                <w:bCs/>
                <w:kern w:val="0"/>
                <w:sz w:val="21"/>
                <w:szCs w:val="21"/>
              </w:rPr>
            </w:pPr>
            <w:r>
              <w:rPr>
                <w:rFonts w:hint="eastAsia"/>
                <w:bCs/>
                <w:kern w:val="0"/>
                <w:sz w:val="21"/>
                <w:szCs w:val="21"/>
              </w:rPr>
              <w:t>0.41</w:t>
            </w:r>
          </w:p>
        </w:tc>
        <w:tc>
          <w:tcPr>
            <w:tcW w:w="1688" w:type="dxa"/>
            <w:vAlign w:val="center"/>
          </w:tcPr>
          <w:p>
            <w:pPr>
              <w:jc w:val="center"/>
              <w:rPr>
                <w:bCs/>
                <w:kern w:val="0"/>
                <w:sz w:val="21"/>
                <w:szCs w:val="21"/>
              </w:rPr>
            </w:pPr>
            <w:r>
              <w:rPr>
                <w:rFonts w:hint="eastAsia"/>
                <w:bCs/>
                <w:kern w:val="0"/>
                <w:sz w:val="21"/>
                <w:szCs w:val="21"/>
              </w:rPr>
              <w:t>废气（处理前）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jc w:val="center"/>
              <w:rPr>
                <w:bCs/>
                <w:kern w:val="0"/>
                <w:sz w:val="21"/>
                <w:szCs w:val="21"/>
              </w:rPr>
            </w:pPr>
            <w:r>
              <w:rPr>
                <w:rFonts w:hint="eastAsia"/>
                <w:bCs/>
                <w:kern w:val="0"/>
                <w:sz w:val="21"/>
                <w:szCs w:val="21"/>
              </w:rPr>
              <w:t>小计</w:t>
            </w:r>
          </w:p>
        </w:tc>
        <w:tc>
          <w:tcPr>
            <w:tcW w:w="1687" w:type="dxa"/>
            <w:vAlign w:val="center"/>
          </w:tcPr>
          <w:p>
            <w:pPr>
              <w:jc w:val="center"/>
              <w:rPr>
                <w:bCs/>
                <w:kern w:val="0"/>
                <w:sz w:val="21"/>
                <w:szCs w:val="21"/>
              </w:rPr>
            </w:pPr>
            <w:r>
              <w:rPr>
                <w:rFonts w:hint="eastAsia"/>
                <w:bCs/>
                <w:kern w:val="0"/>
                <w:sz w:val="21"/>
                <w:szCs w:val="21"/>
              </w:rPr>
              <w:t>2000</w:t>
            </w:r>
          </w:p>
        </w:tc>
        <w:tc>
          <w:tcPr>
            <w:tcW w:w="1687" w:type="dxa"/>
            <w:vAlign w:val="center"/>
          </w:tcPr>
          <w:p>
            <w:pPr>
              <w:jc w:val="center"/>
              <w:rPr>
                <w:bCs/>
                <w:kern w:val="0"/>
                <w:sz w:val="21"/>
                <w:szCs w:val="21"/>
              </w:rPr>
            </w:pPr>
          </w:p>
        </w:tc>
        <w:tc>
          <w:tcPr>
            <w:tcW w:w="1687" w:type="dxa"/>
            <w:vAlign w:val="center"/>
          </w:tcPr>
          <w:p>
            <w:pPr>
              <w:jc w:val="center"/>
              <w:rPr>
                <w:bCs/>
                <w:kern w:val="0"/>
                <w:sz w:val="21"/>
                <w:szCs w:val="21"/>
              </w:rPr>
            </w:pPr>
            <w:r>
              <w:rPr>
                <w:rFonts w:hint="eastAsia"/>
                <w:bCs/>
                <w:kern w:val="0"/>
                <w:sz w:val="21"/>
                <w:szCs w:val="21"/>
              </w:rPr>
              <w:t>2000</w:t>
            </w:r>
          </w:p>
        </w:tc>
        <w:tc>
          <w:tcPr>
            <w:tcW w:w="1688" w:type="dxa"/>
            <w:vAlign w:val="center"/>
          </w:tcPr>
          <w:p>
            <w:pPr>
              <w:jc w:val="center"/>
              <w:rPr>
                <w:bCs/>
                <w:kern w:val="0"/>
                <w:sz w:val="21"/>
                <w:szCs w:val="21"/>
              </w:rPr>
            </w:pPr>
          </w:p>
        </w:tc>
      </w:tr>
    </w:tbl>
    <w:p>
      <w:pPr>
        <w:autoSpaceDE w:val="0"/>
        <w:autoSpaceDN w:val="0"/>
        <w:jc w:val="center"/>
      </w:pPr>
    </w:p>
    <w:p>
      <w:pPr>
        <w:autoSpaceDE w:val="0"/>
        <w:autoSpaceDN w:val="0"/>
        <w:jc w:val="center"/>
        <w:rPr>
          <w:sz w:val="24"/>
        </w:rPr>
      </w:pPr>
      <w:r>
        <w:object>
          <v:shape id="_x0000_i1030" o:spt="75" type="#_x0000_t75" style="height:196.75pt;width:205.1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r:id="rId18">
            <o:LockedField>false</o:LockedField>
          </o:OLEObject>
        </w:object>
      </w:r>
    </w:p>
    <w:p>
      <w:pPr>
        <w:autoSpaceDE w:val="0"/>
        <w:autoSpaceDN w:val="0"/>
        <w:jc w:val="center"/>
        <w:rPr>
          <w:rFonts w:eastAsia="黑体"/>
          <w:szCs w:val="21"/>
        </w:rPr>
      </w:pPr>
      <w:r>
        <w:rPr>
          <w:rFonts w:hint="eastAsia" w:eastAsia="黑体"/>
          <w:szCs w:val="21"/>
        </w:rPr>
        <w:t>图4.3-</w:t>
      </w:r>
      <w:r>
        <w:rPr>
          <w:rFonts w:eastAsia="黑体"/>
          <w:szCs w:val="21"/>
        </w:rPr>
        <w:t>2</w:t>
      </w:r>
      <w:r>
        <w:rPr>
          <w:rFonts w:hint="eastAsia" w:eastAsia="黑体"/>
          <w:szCs w:val="21"/>
        </w:rPr>
        <w:t xml:space="preserve">  废旧塑料膜</w:t>
      </w:r>
      <w:r>
        <w:rPr>
          <w:rFonts w:eastAsia="黑体"/>
          <w:szCs w:val="21"/>
        </w:rPr>
        <w:t>造粒</w:t>
      </w:r>
      <w:r>
        <w:rPr>
          <w:rFonts w:hint="eastAsia" w:eastAsia="黑体"/>
          <w:szCs w:val="21"/>
        </w:rPr>
        <w:t>生产线物料平衡图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4.3.3滴灌带生产线物料平衡</w:t>
      </w:r>
    </w:p>
    <w:p>
      <w:pPr>
        <w:autoSpaceDE w:val="0"/>
        <w:autoSpaceDN w:val="0"/>
        <w:spacing w:line="460" w:lineRule="exact"/>
        <w:ind w:firstLine="480" w:firstLineChars="200"/>
        <w:rPr>
          <w:sz w:val="24"/>
        </w:rPr>
      </w:pPr>
      <w:r>
        <w:rPr>
          <w:rFonts w:hint="eastAsia"/>
          <w:sz w:val="24"/>
        </w:rPr>
        <w:t>本项目滴灌带</w:t>
      </w:r>
      <w:r>
        <w:rPr>
          <w:sz w:val="24"/>
        </w:rPr>
        <w:t>生产</w:t>
      </w:r>
      <w:r>
        <w:rPr>
          <w:rFonts w:hint="eastAsia"/>
          <w:sz w:val="24"/>
        </w:rPr>
        <w:t>原料</w:t>
      </w:r>
      <w:r>
        <w:rPr>
          <w:sz w:val="24"/>
        </w:rPr>
        <w:t>利用</w:t>
      </w:r>
      <w:r>
        <w:rPr>
          <w:rFonts w:hint="eastAsia"/>
          <w:sz w:val="24"/>
        </w:rPr>
        <w:t>废旧塑料造粒生产的再生聚乙烯颗粒料其中3736t，</w:t>
      </w:r>
      <w:r>
        <w:rPr>
          <w:sz w:val="24"/>
        </w:rPr>
        <w:t>与新购聚乙烯颗粒料、黑色母料、抗老化剂</w:t>
      </w:r>
      <w:r>
        <w:rPr>
          <w:rFonts w:hint="eastAsia"/>
          <w:sz w:val="24"/>
        </w:rPr>
        <w:t>等</w:t>
      </w:r>
      <w:r>
        <w:rPr>
          <w:sz w:val="24"/>
        </w:rPr>
        <w:t>按照</w:t>
      </w:r>
      <w:bookmarkStart w:id="148" w:name="_Hlk164696778"/>
      <w:r>
        <w:rPr>
          <w:rFonts w:hint="eastAsia"/>
          <w:sz w:val="24"/>
        </w:rPr>
        <w:t>再生料占比为85%～90%、新购料占比为10%～15%、抗老化及及黑色母料占比分别为1%～3%</w:t>
      </w:r>
      <w:bookmarkEnd w:id="148"/>
      <w:r>
        <w:rPr>
          <w:rFonts w:hint="eastAsia"/>
          <w:sz w:val="24"/>
        </w:rPr>
        <w:t>进行</w:t>
      </w:r>
      <w:r>
        <w:rPr>
          <w:sz w:val="24"/>
        </w:rPr>
        <w:t>混合</w:t>
      </w:r>
      <w:r>
        <w:rPr>
          <w:rFonts w:hint="eastAsia"/>
          <w:sz w:val="24"/>
        </w:rPr>
        <w:t>，具体比例根据实际需求在此区间调整。滴灌带生产线物料平衡见表</w:t>
      </w:r>
      <w:r>
        <w:rPr>
          <w:sz w:val="24"/>
        </w:rPr>
        <w:t>4.3-3</w:t>
      </w:r>
      <w:r>
        <w:rPr>
          <w:rFonts w:hint="eastAsia"/>
          <w:sz w:val="24"/>
        </w:rPr>
        <w:t>及图</w:t>
      </w:r>
      <w:r>
        <w:rPr>
          <w:sz w:val="24"/>
        </w:rPr>
        <w:t>4.3-3</w:t>
      </w:r>
      <w:r>
        <w:rPr>
          <w:rFonts w:hint="eastAsia"/>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4.3-3             </w:t>
      </w:r>
      <w:r>
        <w:rPr>
          <w:rFonts w:hint="eastAsia" w:hAnsi="黑体" w:eastAsia="黑体"/>
        </w:rPr>
        <w:t xml:space="preserve">    滴灌带生产线物料平衡表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4" w:type="dxa"/>
            <w:gridSpan w:val="2"/>
            <w:tcBorders>
              <w:top w:val="single" w:color="auto" w:sz="12"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投入（</w:t>
            </w:r>
            <w:r>
              <w:rPr>
                <w:bCs/>
                <w:kern w:val="0"/>
                <w:sz w:val="21"/>
                <w:szCs w:val="21"/>
              </w:rPr>
              <w:t>t/a</w:t>
            </w:r>
            <w:r>
              <w:rPr>
                <w:rFonts w:hint="eastAsia"/>
                <w:bCs/>
                <w:kern w:val="0"/>
                <w:sz w:val="21"/>
                <w:szCs w:val="21"/>
              </w:rPr>
              <w:t>）</w:t>
            </w:r>
          </w:p>
        </w:tc>
        <w:tc>
          <w:tcPr>
            <w:tcW w:w="5062" w:type="dxa"/>
            <w:gridSpan w:val="3"/>
            <w:tcBorders>
              <w:top w:val="single" w:color="auto" w:sz="12"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产出（</w:t>
            </w:r>
            <w:r>
              <w:rPr>
                <w:bCs/>
                <w:kern w:val="0"/>
                <w:sz w:val="21"/>
                <w:szCs w:val="21"/>
              </w:rPr>
              <w:t>t/a</w:t>
            </w: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名称</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数量</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名称</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数量</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再生聚乙烯颗粒</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3406</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滴灌带</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4000</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聚乙烯颗粒新料</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630</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不合格品</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200</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抗老化剂</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85</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非甲烷总烃</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6</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废气（处理前）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黑色母料</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85</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小计</w:t>
            </w: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4206</w:t>
            </w: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4206</w:t>
            </w:r>
          </w:p>
        </w:tc>
        <w:tc>
          <w:tcPr>
            <w:tcW w:w="1688" w:type="dxa"/>
            <w:tcBorders>
              <w:top w:val="single" w:color="auto" w:sz="4" w:space="0"/>
              <w:left w:val="single" w:color="auto" w:sz="4" w:space="0"/>
              <w:bottom w:val="single" w:color="auto" w:sz="12" w:space="0"/>
              <w:right w:val="nil"/>
            </w:tcBorders>
            <w:vAlign w:val="center"/>
          </w:tcPr>
          <w:p>
            <w:pPr>
              <w:jc w:val="center"/>
              <w:rPr>
                <w:bCs/>
                <w:kern w:val="0"/>
                <w:sz w:val="21"/>
                <w:szCs w:val="21"/>
              </w:rPr>
            </w:pPr>
          </w:p>
        </w:tc>
      </w:tr>
    </w:tbl>
    <w:p>
      <w:pPr>
        <w:autoSpaceDE w:val="0"/>
        <w:autoSpaceDN w:val="0"/>
        <w:rPr>
          <w:rFonts w:ascii="黑体" w:hAnsi="黑体" w:eastAsia="黑体"/>
          <w:b/>
        </w:rPr>
      </w:pPr>
    </w:p>
    <w:p>
      <w:pPr>
        <w:autoSpaceDE w:val="0"/>
        <w:autoSpaceDN w:val="0"/>
        <w:jc w:val="center"/>
        <w:rPr>
          <w:sz w:val="24"/>
        </w:rPr>
      </w:pPr>
      <w:r>
        <w:object>
          <v:shape id="_x0000_i1031" o:spt="75" type="#_x0000_t75" style="height:205.95pt;width:226.9pt;" o:ole="t" filled="f" o:preferrelative="t" stroked="f" coordsize="21600,21600">
            <v:path/>
            <v:fill on="f" focussize="0,0"/>
            <v:stroke on="f" joinstyle="miter"/>
            <v:imagedata r:id="rId21" o:title=""/>
            <o:lock v:ext="edit" aspectratio="t"/>
            <w10:wrap type="none"/>
            <w10:anchorlock/>
          </v:shape>
          <o:OLEObject Type="Embed" ProgID="Visio.Drawing.15" ShapeID="_x0000_i1031" DrawAspect="Content" ObjectID="_1468075731" r:id="rId20">
            <o:LockedField>false</o:LockedField>
          </o:OLEObject>
        </w:object>
      </w:r>
    </w:p>
    <w:p>
      <w:pPr>
        <w:autoSpaceDE w:val="0"/>
        <w:autoSpaceDN w:val="0"/>
        <w:jc w:val="center"/>
        <w:rPr>
          <w:rFonts w:eastAsia="黑体"/>
          <w:szCs w:val="21"/>
        </w:rPr>
      </w:pPr>
      <w:r>
        <w:rPr>
          <w:rFonts w:hint="eastAsia" w:eastAsia="黑体"/>
          <w:szCs w:val="21"/>
        </w:rPr>
        <w:t>图</w:t>
      </w:r>
      <w:r>
        <w:rPr>
          <w:rFonts w:eastAsia="黑体"/>
          <w:szCs w:val="21"/>
        </w:rPr>
        <w:t>4.3-</w:t>
      </w:r>
      <w:r>
        <w:rPr>
          <w:rFonts w:hint="eastAsia" w:eastAsia="黑体"/>
          <w:szCs w:val="21"/>
        </w:rPr>
        <w:t>3</w:t>
      </w:r>
      <w:r>
        <w:rPr>
          <w:rFonts w:eastAsia="黑体"/>
          <w:szCs w:val="21"/>
        </w:rPr>
        <w:t xml:space="preserve">   </w:t>
      </w:r>
      <w:r>
        <w:rPr>
          <w:rFonts w:hint="eastAsia" w:eastAsia="黑体"/>
          <w:szCs w:val="21"/>
        </w:rPr>
        <w:t>滴灌带生产线物料平衡图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4.3.4</w:t>
      </w:r>
      <w:r>
        <w:rPr>
          <w:rFonts w:ascii="Times New Roman"/>
          <w:spacing w:val="12"/>
          <w:w w:val="95"/>
          <w:kern w:val="0"/>
          <w:szCs w:val="26"/>
        </w:rPr>
        <w:t xml:space="preserve"> PE管</w:t>
      </w:r>
      <w:r>
        <w:rPr>
          <w:rFonts w:hint="eastAsia" w:ascii="Times New Roman"/>
          <w:spacing w:val="12"/>
          <w:w w:val="95"/>
          <w:kern w:val="0"/>
          <w:szCs w:val="26"/>
        </w:rPr>
        <w:t>生产线物料平衡</w:t>
      </w:r>
    </w:p>
    <w:p>
      <w:pPr>
        <w:autoSpaceDE w:val="0"/>
        <w:autoSpaceDN w:val="0"/>
        <w:spacing w:line="460" w:lineRule="exact"/>
        <w:ind w:firstLine="480" w:firstLineChars="200"/>
        <w:rPr>
          <w:sz w:val="24"/>
        </w:rPr>
      </w:pPr>
      <w:r>
        <w:rPr>
          <w:rFonts w:hint="eastAsia"/>
          <w:sz w:val="24"/>
        </w:rPr>
        <w:t>本项目扩建后全厂PE管</w:t>
      </w:r>
      <w:r>
        <w:rPr>
          <w:sz w:val="24"/>
        </w:rPr>
        <w:t>生产</w:t>
      </w:r>
      <w:r>
        <w:rPr>
          <w:rFonts w:hint="eastAsia"/>
          <w:sz w:val="24"/>
        </w:rPr>
        <w:t>原料均</w:t>
      </w:r>
      <w:r>
        <w:rPr>
          <w:sz w:val="24"/>
        </w:rPr>
        <w:t>利用</w:t>
      </w:r>
      <w:r>
        <w:rPr>
          <w:rFonts w:hint="eastAsia"/>
          <w:sz w:val="24"/>
        </w:rPr>
        <w:t>本项目废旧滴灌带及废旧塑料膜造粒生产的再生聚乙烯颗粒料1974t，</w:t>
      </w:r>
      <w:r>
        <w:rPr>
          <w:sz w:val="24"/>
        </w:rPr>
        <w:t>与新购聚乙烯颗粒料、黑色母料、抗老化剂</w:t>
      </w:r>
      <w:r>
        <w:rPr>
          <w:rFonts w:hint="eastAsia"/>
          <w:sz w:val="24"/>
        </w:rPr>
        <w:t>等</w:t>
      </w:r>
      <w:r>
        <w:rPr>
          <w:sz w:val="24"/>
        </w:rPr>
        <w:t>按照</w:t>
      </w:r>
      <w:bookmarkStart w:id="149" w:name="_Hlk164696895"/>
      <w:r>
        <w:rPr>
          <w:rFonts w:hint="eastAsia"/>
          <w:sz w:val="24"/>
        </w:rPr>
        <w:t>再生料占比为75%～80%、新购料占比为15～20%、抗老化及和黑色母料占比分别为2%～5%</w:t>
      </w:r>
      <w:bookmarkEnd w:id="149"/>
      <w:r>
        <w:rPr>
          <w:rFonts w:hint="eastAsia"/>
          <w:sz w:val="24"/>
        </w:rPr>
        <w:t>进行</w:t>
      </w:r>
      <w:r>
        <w:rPr>
          <w:sz w:val="24"/>
        </w:rPr>
        <w:t>混合</w:t>
      </w:r>
      <w:r>
        <w:rPr>
          <w:rFonts w:hint="eastAsia"/>
          <w:sz w:val="24"/>
        </w:rPr>
        <w:t>。PE管生产线物料平衡见表</w:t>
      </w:r>
      <w:r>
        <w:rPr>
          <w:sz w:val="24"/>
        </w:rPr>
        <w:t>4.3-4</w:t>
      </w:r>
      <w:r>
        <w:rPr>
          <w:rFonts w:hint="eastAsia"/>
          <w:sz w:val="24"/>
        </w:rPr>
        <w:t>及图</w:t>
      </w:r>
      <w:r>
        <w:rPr>
          <w:sz w:val="24"/>
        </w:rPr>
        <w:t>4.3-4</w:t>
      </w:r>
      <w:r>
        <w:rPr>
          <w:rFonts w:hint="eastAsia"/>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4.3-4             </w:t>
      </w:r>
      <w:r>
        <w:rPr>
          <w:rFonts w:hint="eastAsia" w:hAnsi="黑体" w:eastAsia="黑体"/>
        </w:rPr>
        <w:t xml:space="preserve">    PE管生产线物料平衡表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4" w:type="dxa"/>
            <w:gridSpan w:val="2"/>
            <w:tcBorders>
              <w:top w:val="single" w:color="auto" w:sz="12"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投入（</w:t>
            </w:r>
            <w:r>
              <w:rPr>
                <w:bCs/>
                <w:kern w:val="0"/>
                <w:sz w:val="21"/>
                <w:szCs w:val="21"/>
              </w:rPr>
              <w:t>t/a</w:t>
            </w:r>
            <w:r>
              <w:rPr>
                <w:rFonts w:hint="eastAsia"/>
                <w:bCs/>
                <w:kern w:val="0"/>
                <w:sz w:val="21"/>
                <w:szCs w:val="21"/>
              </w:rPr>
              <w:t>）</w:t>
            </w:r>
          </w:p>
        </w:tc>
        <w:tc>
          <w:tcPr>
            <w:tcW w:w="5062" w:type="dxa"/>
            <w:gridSpan w:val="3"/>
            <w:tcBorders>
              <w:top w:val="single" w:color="auto" w:sz="12"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产出（</w:t>
            </w:r>
            <w:r>
              <w:rPr>
                <w:bCs/>
                <w:kern w:val="0"/>
                <w:sz w:val="21"/>
                <w:szCs w:val="21"/>
              </w:rPr>
              <w:t>t/a</w:t>
            </w: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名称</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数量</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名称</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数量</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再生聚乙烯颗粒</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1974</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PE管</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2500</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聚乙烯颗粒新料</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420</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不合格品</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46.25</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抗老化剂</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78</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非甲烷总烃</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3.75</w:t>
            </w: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r>
              <w:rPr>
                <w:rFonts w:hint="eastAsia"/>
                <w:bCs/>
                <w:kern w:val="0"/>
                <w:sz w:val="21"/>
                <w:szCs w:val="21"/>
              </w:rPr>
              <w:t>废气（治理前）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4" w:space="0"/>
              <w:right w:val="single" w:color="auto" w:sz="4" w:space="0"/>
            </w:tcBorders>
            <w:vAlign w:val="center"/>
          </w:tcPr>
          <w:p>
            <w:pPr>
              <w:jc w:val="center"/>
              <w:rPr>
                <w:bCs/>
                <w:kern w:val="0"/>
                <w:sz w:val="21"/>
                <w:szCs w:val="21"/>
              </w:rPr>
            </w:pPr>
            <w:r>
              <w:rPr>
                <w:rFonts w:hint="eastAsia"/>
                <w:bCs/>
                <w:kern w:val="0"/>
                <w:sz w:val="21"/>
                <w:szCs w:val="21"/>
              </w:rPr>
              <w:t>黑色母料</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78</w:t>
            </w: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p>
        </w:tc>
        <w:tc>
          <w:tcPr>
            <w:tcW w:w="1687"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p>
        </w:tc>
        <w:tc>
          <w:tcPr>
            <w:tcW w:w="1688" w:type="dxa"/>
            <w:tcBorders>
              <w:top w:val="single" w:color="auto" w:sz="4" w:space="0"/>
              <w:left w:val="single" w:color="auto" w:sz="4" w:space="0"/>
              <w:bottom w:val="single" w:color="auto" w:sz="4" w:space="0"/>
              <w:right w:val="nil"/>
            </w:tcBorders>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tcBorders>
              <w:top w:val="single" w:color="auto" w:sz="4" w:space="0"/>
              <w:left w:val="nil"/>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小计</w:t>
            </w: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2550</w:t>
            </w: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p>
        </w:tc>
        <w:tc>
          <w:tcPr>
            <w:tcW w:w="1687" w:type="dxa"/>
            <w:tcBorders>
              <w:top w:val="single" w:color="auto" w:sz="4" w:space="0"/>
              <w:left w:val="single" w:color="auto" w:sz="4" w:space="0"/>
              <w:bottom w:val="single" w:color="auto" w:sz="12" w:space="0"/>
              <w:right w:val="single" w:color="auto" w:sz="4" w:space="0"/>
            </w:tcBorders>
            <w:vAlign w:val="center"/>
          </w:tcPr>
          <w:p>
            <w:pPr>
              <w:jc w:val="center"/>
              <w:rPr>
                <w:bCs/>
                <w:kern w:val="0"/>
                <w:sz w:val="21"/>
                <w:szCs w:val="21"/>
              </w:rPr>
            </w:pPr>
            <w:r>
              <w:rPr>
                <w:rFonts w:hint="eastAsia"/>
                <w:bCs/>
                <w:kern w:val="0"/>
                <w:sz w:val="21"/>
                <w:szCs w:val="21"/>
              </w:rPr>
              <w:t>2550</w:t>
            </w:r>
          </w:p>
        </w:tc>
        <w:tc>
          <w:tcPr>
            <w:tcW w:w="1688" w:type="dxa"/>
            <w:tcBorders>
              <w:top w:val="single" w:color="auto" w:sz="4" w:space="0"/>
              <w:left w:val="single" w:color="auto" w:sz="4" w:space="0"/>
              <w:bottom w:val="single" w:color="auto" w:sz="12" w:space="0"/>
              <w:right w:val="nil"/>
            </w:tcBorders>
            <w:vAlign w:val="center"/>
          </w:tcPr>
          <w:p>
            <w:pPr>
              <w:jc w:val="center"/>
              <w:rPr>
                <w:bCs/>
                <w:kern w:val="0"/>
                <w:sz w:val="21"/>
                <w:szCs w:val="21"/>
              </w:rPr>
            </w:pPr>
          </w:p>
        </w:tc>
      </w:tr>
    </w:tbl>
    <w:p>
      <w:pPr>
        <w:autoSpaceDE w:val="0"/>
        <w:autoSpaceDN w:val="0"/>
        <w:rPr>
          <w:rFonts w:ascii="黑体" w:hAnsi="黑体" w:eastAsia="黑体"/>
          <w:b/>
        </w:rPr>
      </w:pPr>
    </w:p>
    <w:p>
      <w:pPr>
        <w:autoSpaceDE w:val="0"/>
        <w:autoSpaceDN w:val="0"/>
      </w:pPr>
    </w:p>
    <w:p>
      <w:pPr>
        <w:autoSpaceDE w:val="0"/>
        <w:autoSpaceDN w:val="0"/>
        <w:jc w:val="center"/>
        <w:rPr>
          <w:sz w:val="24"/>
        </w:rPr>
      </w:pPr>
      <w:r>
        <w:object>
          <v:shape id="_x0000_i1032" o:spt="75" type="#_x0000_t75" style="height:205.95pt;width:226.9pt;" o:ole="t" filled="f" o:preferrelative="t" stroked="f" coordsize="21600,21600">
            <v:path/>
            <v:fill on="f" focussize="0,0"/>
            <v:stroke on="f" joinstyle="miter"/>
            <v:imagedata r:id="rId23" o:title=""/>
            <o:lock v:ext="edit" aspectratio="t"/>
            <w10:wrap type="none"/>
            <w10:anchorlock/>
          </v:shape>
          <o:OLEObject Type="Embed" ProgID="Visio.Drawing.15" ShapeID="_x0000_i1032" DrawAspect="Content" ObjectID="_1468075732" r:id="rId22">
            <o:LockedField>false</o:LockedField>
          </o:OLEObject>
        </w:object>
      </w:r>
    </w:p>
    <w:p>
      <w:pPr>
        <w:autoSpaceDE w:val="0"/>
        <w:autoSpaceDN w:val="0"/>
        <w:jc w:val="center"/>
        <w:rPr>
          <w:rFonts w:eastAsia="黑体"/>
          <w:szCs w:val="21"/>
        </w:rPr>
      </w:pPr>
      <w:r>
        <w:rPr>
          <w:rFonts w:hint="eastAsia" w:eastAsia="黑体"/>
          <w:szCs w:val="21"/>
        </w:rPr>
        <w:t>图</w:t>
      </w:r>
      <w:r>
        <w:rPr>
          <w:rFonts w:eastAsia="黑体"/>
          <w:szCs w:val="21"/>
        </w:rPr>
        <w:t xml:space="preserve">4.3-4   </w:t>
      </w:r>
      <w:r>
        <w:rPr>
          <w:rFonts w:hint="eastAsia" w:eastAsia="黑体"/>
          <w:szCs w:val="21"/>
        </w:rPr>
        <w:t>PE管生产线物料平衡图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4.3.</w:t>
      </w:r>
      <w:r>
        <w:rPr>
          <w:rFonts w:ascii="Times New Roman"/>
          <w:spacing w:val="12"/>
          <w:w w:val="95"/>
          <w:kern w:val="0"/>
          <w:szCs w:val="26"/>
        </w:rPr>
        <w:t>5</w:t>
      </w:r>
      <w:r>
        <w:rPr>
          <w:rFonts w:hint="eastAsia" w:ascii="Times New Roman"/>
          <w:spacing w:val="12"/>
          <w:w w:val="95"/>
          <w:kern w:val="0"/>
          <w:szCs w:val="26"/>
        </w:rPr>
        <w:t>水平衡</w:t>
      </w:r>
    </w:p>
    <w:p>
      <w:pPr>
        <w:autoSpaceDE w:val="0"/>
        <w:autoSpaceDN w:val="0"/>
        <w:spacing w:line="460" w:lineRule="exact"/>
        <w:ind w:firstLine="480" w:firstLineChars="200"/>
        <w:rPr>
          <w:sz w:val="24"/>
        </w:rPr>
      </w:pPr>
      <w:r>
        <w:rPr>
          <w:rFonts w:hint="eastAsia"/>
          <w:sz w:val="24"/>
        </w:rPr>
        <w:t>本项目水平衡见图</w:t>
      </w:r>
      <w:r>
        <w:rPr>
          <w:sz w:val="24"/>
        </w:rPr>
        <w:t>4.3-5</w:t>
      </w:r>
      <w:r>
        <w:rPr>
          <w:rFonts w:hint="eastAsia"/>
          <w:sz w:val="24"/>
        </w:rPr>
        <w:t>。</w:t>
      </w:r>
    </w:p>
    <w:p>
      <w:pPr>
        <w:autoSpaceDE w:val="0"/>
        <w:autoSpaceDN w:val="0"/>
        <w:jc w:val="center"/>
        <w:rPr>
          <w:sz w:val="24"/>
        </w:rPr>
      </w:pPr>
      <w:bookmarkStart w:id="150" w:name="_Hlk168305424"/>
      <w:r>
        <w:object>
          <v:shape id="_x0000_i1033" o:spt="75" type="#_x0000_t75" style="height:385.1pt;width:411.05pt;" o:ole="t" filled="f" o:preferrelative="t" stroked="f" coordsize="21600,21600">
            <v:path/>
            <v:fill on="f" focussize="0,0"/>
            <v:stroke on="f" joinstyle="miter"/>
            <v:imagedata r:id="rId25" o:title=""/>
            <o:lock v:ext="edit" aspectratio="t"/>
            <w10:wrap type="none"/>
            <w10:anchorlock/>
          </v:shape>
          <o:OLEObject Type="Embed" ProgID="Visio.Drawing.15" ShapeID="_x0000_i1033" DrawAspect="Content" ObjectID="_1468075733" r:id="rId24">
            <o:LockedField>false</o:LockedField>
          </o:OLEObject>
        </w:object>
      </w:r>
      <w:bookmarkEnd w:id="150"/>
    </w:p>
    <w:p>
      <w:pPr>
        <w:autoSpaceDE w:val="0"/>
        <w:autoSpaceDN w:val="0"/>
        <w:jc w:val="center"/>
        <w:rPr>
          <w:rFonts w:eastAsia="黑体"/>
          <w:szCs w:val="21"/>
        </w:rPr>
      </w:pPr>
      <w:r>
        <w:rPr>
          <w:rFonts w:hint="eastAsia" w:eastAsia="黑体"/>
          <w:szCs w:val="21"/>
        </w:rPr>
        <w:t>图</w:t>
      </w:r>
      <w:r>
        <w:rPr>
          <w:rFonts w:eastAsia="黑体"/>
          <w:szCs w:val="21"/>
        </w:rPr>
        <w:t xml:space="preserve">4.3-5    </w:t>
      </w:r>
      <w:r>
        <w:rPr>
          <w:rFonts w:hint="eastAsia" w:eastAsia="黑体"/>
          <w:szCs w:val="21"/>
        </w:rPr>
        <w:t>水平衡图</w:t>
      </w:r>
    </w:p>
    <w:p>
      <w:pPr>
        <w:pStyle w:val="4"/>
        <w:adjustRightInd w:val="0"/>
        <w:spacing w:before="120" w:after="120" w:line="460" w:lineRule="exact"/>
        <w:textAlignment w:val="baseline"/>
        <w:rPr>
          <w:rFonts w:ascii="Times New Roman" w:hAnsi="Times New Roman"/>
          <w:b w:val="0"/>
          <w:szCs w:val="28"/>
        </w:rPr>
      </w:pPr>
      <w:bookmarkStart w:id="151" w:name="_Toc165386225"/>
      <w:r>
        <w:rPr>
          <w:rFonts w:hint="eastAsia" w:ascii="Times New Roman" w:hAnsi="Times New Roman"/>
          <w:b w:val="0"/>
          <w:szCs w:val="28"/>
        </w:rPr>
        <w:t>4.4 主要污染源及污染物分析</w:t>
      </w:r>
      <w:bookmarkEnd w:id="151"/>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4.4.1施工期污染源及污染物分析</w:t>
      </w:r>
    </w:p>
    <w:p>
      <w:pPr>
        <w:autoSpaceDE w:val="0"/>
        <w:autoSpaceDN w:val="0"/>
        <w:spacing w:line="460" w:lineRule="exact"/>
        <w:ind w:firstLine="480" w:firstLineChars="200"/>
        <w:rPr>
          <w:sz w:val="24"/>
        </w:rPr>
      </w:pPr>
      <w:r>
        <w:rPr>
          <w:rFonts w:hint="eastAsia"/>
          <w:sz w:val="24"/>
        </w:rPr>
        <w:t>1、大气污染源分析</w:t>
      </w:r>
    </w:p>
    <w:p>
      <w:pPr>
        <w:autoSpaceDE w:val="0"/>
        <w:autoSpaceDN w:val="0"/>
        <w:spacing w:line="460" w:lineRule="exact"/>
        <w:ind w:firstLine="480" w:firstLineChars="200"/>
        <w:rPr>
          <w:sz w:val="24"/>
        </w:rPr>
      </w:pPr>
      <w:r>
        <w:rPr>
          <w:rFonts w:hint="eastAsia"/>
          <w:sz w:val="24"/>
        </w:rPr>
        <w:t>本项目施工期主要进行设备安装等，无大型土建工程，因此废气主要为设备运输车辆、吊装车辆等产生机械废气，但本项目设备数量有限，运输、安装等工作量极小，产生机械废气很小，可忽略不计</w:t>
      </w:r>
    </w:p>
    <w:p>
      <w:pPr>
        <w:autoSpaceDE w:val="0"/>
        <w:autoSpaceDN w:val="0"/>
        <w:spacing w:line="460" w:lineRule="exact"/>
        <w:ind w:firstLine="480" w:firstLineChars="200"/>
        <w:rPr>
          <w:sz w:val="24"/>
        </w:rPr>
      </w:pPr>
      <w:r>
        <w:rPr>
          <w:rFonts w:hint="eastAsia"/>
          <w:sz w:val="24"/>
        </w:rPr>
        <w:t>2、水污染源分析</w:t>
      </w:r>
    </w:p>
    <w:p>
      <w:pPr>
        <w:autoSpaceDE w:val="0"/>
        <w:autoSpaceDN w:val="0"/>
        <w:spacing w:line="460" w:lineRule="exact"/>
        <w:ind w:firstLine="480" w:firstLineChars="200"/>
        <w:rPr>
          <w:sz w:val="24"/>
        </w:rPr>
      </w:pPr>
      <w:r>
        <w:rPr>
          <w:rFonts w:hint="eastAsia"/>
          <w:sz w:val="24"/>
        </w:rPr>
        <w:t>项目施工过程仅为设备安装，不产生施工废水，施工人员均不在厂区食宿，无生活污水产生。</w:t>
      </w:r>
    </w:p>
    <w:p>
      <w:pPr>
        <w:autoSpaceDE w:val="0"/>
        <w:autoSpaceDN w:val="0"/>
        <w:spacing w:line="460" w:lineRule="exact"/>
        <w:ind w:firstLine="480" w:firstLineChars="200"/>
        <w:rPr>
          <w:sz w:val="24"/>
        </w:rPr>
      </w:pPr>
      <w:r>
        <w:rPr>
          <w:rFonts w:hint="eastAsia"/>
          <w:sz w:val="24"/>
        </w:rPr>
        <w:t>3、噪声污染源分析</w:t>
      </w:r>
    </w:p>
    <w:p>
      <w:pPr>
        <w:autoSpaceDE w:val="0"/>
        <w:autoSpaceDN w:val="0"/>
        <w:spacing w:line="460" w:lineRule="exact"/>
        <w:ind w:firstLine="480" w:firstLineChars="200"/>
        <w:rPr>
          <w:sz w:val="24"/>
        </w:rPr>
      </w:pPr>
      <w:r>
        <w:rPr>
          <w:rFonts w:hint="eastAsia"/>
          <w:sz w:val="24"/>
        </w:rPr>
        <w:t>建设期噪声主要来自运输车辆噪声以及安装噪声。但本项目设备量较少，运输量极小，无大型运输车辆，也不需要长期作业，施工期产生噪声极小，且为间歇排放，对周围环境影响不大。</w:t>
      </w:r>
    </w:p>
    <w:p>
      <w:pPr>
        <w:autoSpaceDE w:val="0"/>
        <w:autoSpaceDN w:val="0"/>
        <w:spacing w:line="460" w:lineRule="exact"/>
        <w:ind w:firstLine="480" w:firstLineChars="200"/>
        <w:rPr>
          <w:sz w:val="24"/>
        </w:rPr>
      </w:pPr>
      <w:r>
        <w:rPr>
          <w:rFonts w:hint="eastAsia"/>
          <w:sz w:val="24"/>
        </w:rPr>
        <w:t>4、固体废物</w:t>
      </w:r>
    </w:p>
    <w:p>
      <w:pPr>
        <w:autoSpaceDE w:val="0"/>
        <w:autoSpaceDN w:val="0"/>
        <w:spacing w:line="460" w:lineRule="exact"/>
        <w:ind w:firstLine="480" w:firstLineChars="200"/>
        <w:rPr>
          <w:sz w:val="24"/>
        </w:rPr>
      </w:pPr>
      <w:r>
        <w:rPr>
          <w:rFonts w:hint="eastAsia"/>
          <w:sz w:val="24"/>
        </w:rPr>
        <w:t>本项目厂房均已建设完成，后期主要进行设备安装，厂房封闭，地坪硬化等，施工量较小，且施工人员不在施工区设置食宿区，因此施工过程基本无固废产生。</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4.4.2运营期污染源及污染物分析</w:t>
      </w:r>
    </w:p>
    <w:p>
      <w:pPr>
        <w:autoSpaceDE w:val="0"/>
        <w:autoSpaceDN w:val="0"/>
        <w:spacing w:line="460" w:lineRule="exact"/>
        <w:ind w:firstLine="480" w:firstLineChars="200"/>
        <w:rPr>
          <w:sz w:val="24"/>
        </w:rPr>
      </w:pPr>
      <w:r>
        <w:rPr>
          <w:rFonts w:hint="eastAsia"/>
          <w:sz w:val="24"/>
        </w:rPr>
        <w:t>根据《昌吉市昊慧盛塑料制品厂地膜滴灌带及PE管材生产加工项目环境影响报告表》及昌农科环函﹝2019﹞12号批复，项目已建滴灌带及PE管生产线原料使用聚乙烯颗粒新料，不使用回收再生颗粒料，实际运行中，由于生产成本等，使用新料无法满足运行要求，因此本次扩建完成后，全厂滴灌带及PE管生产均采用本次扩建造粒生产线生产再生聚乙烯颗粒料为原料，因此本次环评污染源核算按照扩建完成后全厂生产规模进行核算，原有污染物排放情况作为本次“以新带老”削减量核算。</w:t>
      </w:r>
    </w:p>
    <w:p>
      <w:pPr>
        <w:pStyle w:val="2"/>
        <w:ind w:firstLine="480"/>
        <w:rPr>
          <w:color w:val="auto"/>
        </w:rPr>
      </w:pPr>
      <w:r>
        <w:rPr>
          <w:color w:val="auto"/>
        </w:rPr>
        <w:t>4.4.2.1</w:t>
      </w:r>
      <w:r>
        <w:rPr>
          <w:rFonts w:hint="eastAsia"/>
          <w:color w:val="auto"/>
        </w:rPr>
        <w:t>废气污染源及</w:t>
      </w:r>
      <w:r>
        <w:rPr>
          <w:color w:val="auto"/>
        </w:rPr>
        <w:t>污染物</w:t>
      </w:r>
      <w:r>
        <w:rPr>
          <w:rFonts w:hint="eastAsia"/>
          <w:color w:val="auto"/>
        </w:rPr>
        <w:t>分析</w:t>
      </w:r>
    </w:p>
    <w:p>
      <w:pPr>
        <w:autoSpaceDE w:val="0"/>
        <w:autoSpaceDN w:val="0"/>
        <w:spacing w:line="460" w:lineRule="exact"/>
        <w:ind w:firstLine="480" w:firstLineChars="200"/>
        <w:rPr>
          <w:sz w:val="24"/>
        </w:rPr>
      </w:pPr>
      <w:r>
        <w:rPr>
          <w:rFonts w:hint="eastAsia"/>
          <w:sz w:val="24"/>
        </w:rPr>
        <w:t>1、粉尘</w:t>
      </w:r>
    </w:p>
    <w:p>
      <w:pPr>
        <w:autoSpaceDE w:val="0"/>
        <w:autoSpaceDN w:val="0"/>
        <w:spacing w:line="460" w:lineRule="exact"/>
        <w:ind w:firstLine="480" w:firstLineChars="200"/>
        <w:rPr>
          <w:sz w:val="24"/>
        </w:rPr>
      </w:pPr>
      <w:r>
        <w:rPr>
          <w:rFonts w:hint="eastAsia"/>
          <w:sz w:val="24"/>
        </w:rPr>
        <w:t>（1）装卸及物料堆存粉尘</w:t>
      </w:r>
    </w:p>
    <w:p>
      <w:pPr>
        <w:autoSpaceDE w:val="0"/>
        <w:autoSpaceDN w:val="0"/>
        <w:spacing w:line="460" w:lineRule="exact"/>
        <w:ind w:firstLine="480" w:firstLineChars="200"/>
        <w:rPr>
          <w:sz w:val="24"/>
        </w:rPr>
      </w:pPr>
      <w:r>
        <w:rPr>
          <w:rFonts w:hint="eastAsia"/>
          <w:sz w:val="24"/>
        </w:rPr>
        <w:t>本项目回收的废旧滴灌带、废旧塑料膜运至厂区内暂存至封闭式原料库房，废旧塑料表面会有少量泥土及杂质，如遇大风天气会产生少量的扬尘。评价要求建设单位对废旧塑料库房严格管理，对库房内的废旧滴灌带、废旧塑料膜分区存放，禁止露天堆放。对运输车辆采用篷布遮盖，防止运输过程中大风起尘。在采取上述措施后，可有效降低废旧塑料堆场起尘。</w:t>
      </w:r>
    </w:p>
    <w:p>
      <w:pPr>
        <w:autoSpaceDE w:val="0"/>
        <w:autoSpaceDN w:val="0"/>
        <w:spacing w:line="460" w:lineRule="exact"/>
        <w:ind w:firstLine="480" w:firstLineChars="200"/>
        <w:rPr>
          <w:sz w:val="24"/>
        </w:rPr>
      </w:pPr>
      <w:r>
        <w:rPr>
          <w:rFonts w:hint="eastAsia"/>
          <w:sz w:val="24"/>
        </w:rPr>
        <w:t>（2）滴灌带生产均料器粉尘</w:t>
      </w:r>
    </w:p>
    <w:p>
      <w:pPr>
        <w:autoSpaceDE w:val="0"/>
        <w:autoSpaceDN w:val="0"/>
        <w:spacing w:line="460" w:lineRule="exact"/>
        <w:ind w:firstLine="480" w:firstLineChars="200"/>
        <w:rPr>
          <w:sz w:val="24"/>
        </w:rPr>
      </w:pPr>
      <w:r>
        <w:rPr>
          <w:rFonts w:hint="eastAsia"/>
          <w:sz w:val="24"/>
        </w:rPr>
        <w:t>滴灌带生产均料器在运行过程会产生少量粉尘，本项目滴灌带生产原料为再生聚乙烯颗粒料、新购聚乙烯颗粒料、黑色母粒、抗老化剂，均为颗粒状，因此产生的粉尘量极少，均以无组织形式外排。</w:t>
      </w:r>
    </w:p>
    <w:p>
      <w:pPr>
        <w:autoSpaceDE w:val="0"/>
        <w:autoSpaceDN w:val="0"/>
        <w:spacing w:line="460" w:lineRule="exact"/>
        <w:ind w:firstLine="480" w:firstLineChars="200"/>
        <w:rPr>
          <w:sz w:val="24"/>
        </w:rPr>
      </w:pPr>
      <w:r>
        <w:rPr>
          <w:rFonts w:hint="eastAsia"/>
          <w:sz w:val="24"/>
        </w:rPr>
        <w:t>（3）PE管生产均料器粉尘</w:t>
      </w:r>
    </w:p>
    <w:p>
      <w:pPr>
        <w:autoSpaceDE w:val="0"/>
        <w:autoSpaceDN w:val="0"/>
        <w:spacing w:line="460" w:lineRule="exact"/>
        <w:ind w:firstLine="480" w:firstLineChars="200"/>
        <w:rPr>
          <w:sz w:val="24"/>
        </w:rPr>
      </w:pPr>
      <w:r>
        <w:rPr>
          <w:rFonts w:hint="eastAsia"/>
          <w:sz w:val="24"/>
        </w:rPr>
        <w:t>PE管生产均料器在运行过程会产生少量粉尘，本项目PE管生产原料为再生聚乙烯颗粒料、新购聚乙烯颗粒料、黑色母粒、抗老化剂，因此产生的粉尘量极少，均以无组织形式外排。</w:t>
      </w:r>
    </w:p>
    <w:p>
      <w:pPr>
        <w:autoSpaceDE w:val="0"/>
        <w:autoSpaceDN w:val="0"/>
        <w:spacing w:line="460" w:lineRule="exact"/>
        <w:ind w:firstLine="480" w:firstLineChars="200"/>
        <w:rPr>
          <w:sz w:val="24"/>
        </w:rPr>
      </w:pPr>
      <w:r>
        <w:rPr>
          <w:rFonts w:hint="eastAsia"/>
          <w:sz w:val="24"/>
        </w:rPr>
        <w:t>2、挥发性有机废气（非甲烷总烃）</w:t>
      </w:r>
    </w:p>
    <w:p>
      <w:pPr>
        <w:autoSpaceDE w:val="0"/>
        <w:autoSpaceDN w:val="0"/>
        <w:spacing w:line="460" w:lineRule="exact"/>
        <w:ind w:firstLine="480" w:firstLineChars="200"/>
        <w:rPr>
          <w:sz w:val="24"/>
        </w:rPr>
      </w:pPr>
      <w:r>
        <w:rPr>
          <w:rFonts w:hint="eastAsia"/>
          <w:sz w:val="24"/>
        </w:rPr>
        <w:t>根据《污染源源强核算技术指南 准则》（HJ884-2018）中污染源源强核算可采用实测法、物料衡算法、产污系数法、排污系数法、类比法、实验法等，本项目污染物核算采用产污系数法。</w:t>
      </w:r>
    </w:p>
    <w:p>
      <w:pPr>
        <w:autoSpaceDE w:val="0"/>
        <w:autoSpaceDN w:val="0"/>
        <w:spacing w:line="460" w:lineRule="exact"/>
        <w:ind w:firstLine="480" w:firstLineChars="200"/>
        <w:rPr>
          <w:sz w:val="24"/>
        </w:rPr>
      </w:pPr>
      <w:r>
        <w:rPr>
          <w:rFonts w:hint="eastAsia"/>
          <w:sz w:val="24"/>
        </w:rPr>
        <w:t>本项目针对生产过程有机废气收集主要采用集气罩收集，集气罩设置要求如下：</w:t>
      </w:r>
    </w:p>
    <w:p>
      <w:pPr>
        <w:autoSpaceDE w:val="0"/>
        <w:autoSpaceDN w:val="0"/>
        <w:spacing w:line="460" w:lineRule="exact"/>
        <w:ind w:firstLine="480" w:firstLineChars="200"/>
        <w:rPr>
          <w:sz w:val="24"/>
        </w:rPr>
      </w:pPr>
      <w:r>
        <w:rPr>
          <w:rFonts w:hint="eastAsia"/>
          <w:sz w:val="24"/>
        </w:rPr>
        <w:t>根据《排风罩的分类及技术条件》（GB/T 16758-2008），本项目集气罩采取的均为上吸罩，并提出以下要求：</w:t>
      </w:r>
    </w:p>
    <w:p>
      <w:pPr>
        <w:autoSpaceDE w:val="0"/>
        <w:autoSpaceDN w:val="0"/>
        <w:spacing w:line="460" w:lineRule="exact"/>
        <w:ind w:firstLine="480" w:firstLineChars="200"/>
        <w:rPr>
          <w:sz w:val="24"/>
        </w:rPr>
      </w:pPr>
      <w:r>
        <w:rPr>
          <w:rFonts w:hint="eastAsia"/>
          <w:sz w:val="24"/>
        </w:rPr>
        <w:t>a、集气罩应坚固耐用。其材料应有足够的强度，避免在拆装或受到振动、温度剧烈变化时变形和损坏；</w:t>
      </w:r>
    </w:p>
    <w:p>
      <w:pPr>
        <w:autoSpaceDE w:val="0"/>
        <w:autoSpaceDN w:val="0"/>
        <w:spacing w:line="460" w:lineRule="exact"/>
        <w:ind w:firstLine="480" w:firstLineChars="200"/>
        <w:rPr>
          <w:sz w:val="24"/>
        </w:rPr>
      </w:pPr>
      <w:r>
        <w:rPr>
          <w:rFonts w:hint="eastAsia"/>
          <w:sz w:val="24"/>
        </w:rPr>
        <w:t>b、集气罩罩口与罩子连接管面积之比不应超过16:1，罩子的扩张角度宜小于60°，不应大于90°；</w:t>
      </w:r>
    </w:p>
    <w:p>
      <w:pPr>
        <w:autoSpaceDE w:val="0"/>
        <w:autoSpaceDN w:val="0"/>
        <w:spacing w:line="460" w:lineRule="exact"/>
        <w:ind w:firstLine="480" w:firstLineChars="200"/>
        <w:rPr>
          <w:sz w:val="24"/>
        </w:rPr>
      </w:pPr>
      <w:r>
        <w:rPr>
          <w:rFonts w:hint="eastAsia"/>
          <w:sz w:val="24"/>
        </w:rPr>
        <w:t>c、为提高捕集率和控制效果，集气罩可加法兰边；</w:t>
      </w:r>
    </w:p>
    <w:p>
      <w:pPr>
        <w:autoSpaceDE w:val="0"/>
        <w:autoSpaceDN w:val="0"/>
        <w:spacing w:line="460" w:lineRule="exact"/>
        <w:ind w:firstLine="480" w:firstLineChars="200"/>
        <w:rPr>
          <w:sz w:val="24"/>
        </w:rPr>
      </w:pPr>
      <w:r>
        <w:rPr>
          <w:rFonts w:hint="eastAsia"/>
          <w:sz w:val="24"/>
        </w:rPr>
        <w:t>d、集气罩的罩体应规则、无缝隙、无毛刺；罩体内壁应平整、光滑。</w:t>
      </w:r>
    </w:p>
    <w:p>
      <w:pPr>
        <w:autoSpaceDE w:val="0"/>
        <w:autoSpaceDN w:val="0"/>
        <w:spacing w:line="460" w:lineRule="exact"/>
        <w:ind w:firstLine="480" w:firstLineChars="200"/>
        <w:rPr>
          <w:sz w:val="24"/>
        </w:rPr>
      </w:pPr>
      <w:r>
        <w:rPr>
          <w:rFonts w:hint="eastAsia"/>
          <w:sz w:val="24"/>
        </w:rPr>
        <w:t>采取上述措施，项目集气罩设置满足《排风罩的分类及技术条件》（GB/T 16758-2008）中相关要求，本项目设置集气罩收集废气，收集效率均以90%计。</w:t>
      </w:r>
    </w:p>
    <w:p>
      <w:pPr>
        <w:autoSpaceDE w:val="0"/>
        <w:autoSpaceDN w:val="0"/>
        <w:spacing w:line="460" w:lineRule="exact"/>
        <w:ind w:firstLine="480" w:firstLineChars="200"/>
        <w:rPr>
          <w:sz w:val="24"/>
        </w:rPr>
      </w:pPr>
      <w:r>
        <w:rPr>
          <w:rFonts w:hint="eastAsia"/>
          <w:sz w:val="24"/>
        </w:rPr>
        <w:t>（1）废旧滴灌带造粒及滴灌带生产有机废气</w:t>
      </w:r>
    </w:p>
    <w:p>
      <w:pPr>
        <w:autoSpaceDE w:val="0"/>
        <w:autoSpaceDN w:val="0"/>
        <w:spacing w:line="460" w:lineRule="exact"/>
        <w:ind w:firstLine="480" w:firstLineChars="200"/>
        <w:rPr>
          <w:sz w:val="24"/>
        </w:rPr>
      </w:pPr>
      <w:r>
        <w:rPr>
          <w:rFonts w:hint="eastAsia"/>
          <w:sz w:val="24"/>
        </w:rPr>
        <w:t>废旧滴灌带造粒非甲烷总烃</w:t>
      </w:r>
    </w:p>
    <w:p>
      <w:pPr>
        <w:autoSpaceDE w:val="0"/>
        <w:autoSpaceDN w:val="0"/>
        <w:spacing w:line="460" w:lineRule="exact"/>
        <w:ind w:firstLine="480" w:firstLineChars="200"/>
        <w:rPr>
          <w:sz w:val="24"/>
        </w:rPr>
      </w:pPr>
      <w:r>
        <w:rPr>
          <w:rFonts w:hint="eastAsia"/>
          <w:sz w:val="24"/>
        </w:rPr>
        <w:t>本项目废旧滴灌带造粒生产线使用的原料废旧滴灌带主要为聚乙烯材料，采用电加热方式对料筒进行加热，热熔挤出工序不添加任何阻燃剂、增塑剂等添加剂，采用直接再生方式，挤出造粒、成型过程为单纯物理熔融变化过程，聚乙烯加热温度控制在1</w:t>
      </w:r>
      <w:r>
        <w:rPr>
          <w:sz w:val="24"/>
        </w:rPr>
        <w:t>7</w:t>
      </w:r>
      <w:r>
        <w:rPr>
          <w:rFonts w:hint="eastAsia"/>
          <w:sz w:val="24"/>
        </w:rPr>
        <w:t>0～200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w:t>
      </w:r>
    </w:p>
    <w:p>
      <w:pPr>
        <w:autoSpaceDE w:val="0"/>
        <w:autoSpaceDN w:val="0"/>
        <w:spacing w:line="460" w:lineRule="exact"/>
        <w:ind w:firstLine="480" w:firstLineChars="200"/>
        <w:rPr>
          <w:sz w:val="24"/>
        </w:rPr>
      </w:pPr>
      <w:r>
        <w:rPr>
          <w:rFonts w:hint="eastAsia"/>
          <w:sz w:val="24"/>
        </w:rPr>
        <w:t>根据</w:t>
      </w:r>
      <w:bookmarkStart w:id="152" w:name="_Hlk168305275"/>
      <w:r>
        <w:rPr>
          <w:rFonts w:hint="eastAsia"/>
          <w:sz w:val="24"/>
        </w:rPr>
        <w:t>《排放源统计调查产排污核算方法和系数手册》中《42 废弃资源综合利用行业系数手册》</w:t>
      </w:r>
      <w:bookmarkEnd w:id="152"/>
      <w:r>
        <w:rPr>
          <w:rFonts w:hint="eastAsia"/>
          <w:sz w:val="24"/>
        </w:rPr>
        <w:t>4220 非金属废料和碎屑加工处理行业系数表 废PE</w:t>
      </w:r>
      <w:r>
        <w:rPr>
          <w:sz w:val="24"/>
        </w:rPr>
        <w:t>/</w:t>
      </w:r>
      <w:r>
        <w:rPr>
          <w:rFonts w:hint="eastAsia"/>
          <w:sz w:val="24"/>
        </w:rPr>
        <w:t>PP挤出造粒工序</w:t>
      </w:r>
      <w:bookmarkStart w:id="153" w:name="_Hlk168305293"/>
      <w:r>
        <w:rPr>
          <w:rFonts w:hint="eastAsia"/>
          <w:sz w:val="24"/>
        </w:rPr>
        <w:t>挥发性有机物产生系数为3</w:t>
      </w:r>
      <w:r>
        <w:rPr>
          <w:sz w:val="24"/>
        </w:rPr>
        <w:t>50</w:t>
      </w:r>
      <w:r>
        <w:rPr>
          <w:rFonts w:hint="eastAsia"/>
          <w:sz w:val="24"/>
        </w:rPr>
        <w:t>g</w:t>
      </w:r>
      <w:r>
        <w:rPr>
          <w:sz w:val="24"/>
        </w:rPr>
        <w:t>/</w:t>
      </w:r>
      <w:r>
        <w:rPr>
          <w:rFonts w:hint="eastAsia"/>
          <w:sz w:val="24"/>
        </w:rPr>
        <w:t>t</w:t>
      </w:r>
      <w:r>
        <w:rPr>
          <w:sz w:val="24"/>
        </w:rPr>
        <w:t>-</w:t>
      </w:r>
      <w:r>
        <w:rPr>
          <w:rFonts w:hint="eastAsia"/>
          <w:sz w:val="24"/>
        </w:rPr>
        <w:t>原料</w:t>
      </w:r>
      <w:bookmarkEnd w:id="153"/>
      <w:r>
        <w:rPr>
          <w:rFonts w:hint="eastAsia"/>
          <w:sz w:val="24"/>
        </w:rPr>
        <w:t>，本项目废旧塑料处理量为3746.25t</w:t>
      </w:r>
      <w:r>
        <w:rPr>
          <w:sz w:val="24"/>
        </w:rPr>
        <w:t>/</w:t>
      </w:r>
      <w:r>
        <w:rPr>
          <w:rFonts w:hint="eastAsia"/>
          <w:sz w:val="24"/>
        </w:rPr>
        <w:t>a（其中废旧滴灌带35</w:t>
      </w:r>
      <w:r>
        <w:rPr>
          <w:sz w:val="24"/>
        </w:rPr>
        <w:t>00</w:t>
      </w:r>
      <w:r>
        <w:rPr>
          <w:rFonts w:hint="eastAsia"/>
          <w:sz w:val="24"/>
        </w:rPr>
        <w:t>t/a、滴灌带不合格品200t/a、PE管不合格品46.25t</w:t>
      </w:r>
      <w:r>
        <w:rPr>
          <w:sz w:val="24"/>
        </w:rPr>
        <w:t>/</w:t>
      </w:r>
      <w:r>
        <w:rPr>
          <w:rFonts w:hint="eastAsia"/>
          <w:sz w:val="24"/>
        </w:rPr>
        <w:t>a），则挤出造粒工序非甲烷总烃产生量为1.31t/a。</w:t>
      </w:r>
    </w:p>
    <w:p>
      <w:pPr>
        <w:autoSpaceDE w:val="0"/>
        <w:autoSpaceDN w:val="0"/>
        <w:spacing w:line="460" w:lineRule="exact"/>
        <w:ind w:firstLine="480" w:firstLineChars="200"/>
        <w:rPr>
          <w:sz w:val="24"/>
        </w:rPr>
      </w:pPr>
      <w:r>
        <w:rPr>
          <w:rFonts w:hint="eastAsia"/>
          <w:sz w:val="24"/>
        </w:rPr>
        <w:t>②</w:t>
      </w:r>
      <w:r>
        <w:rPr>
          <w:sz w:val="24"/>
        </w:rPr>
        <w:t>滴灌带生产非甲烷总烃</w:t>
      </w:r>
    </w:p>
    <w:p>
      <w:pPr>
        <w:autoSpaceDE w:val="0"/>
        <w:autoSpaceDN w:val="0"/>
        <w:spacing w:line="460" w:lineRule="exact"/>
        <w:ind w:firstLine="480" w:firstLineChars="200"/>
        <w:rPr>
          <w:sz w:val="24"/>
        </w:rPr>
      </w:pPr>
      <w:r>
        <w:rPr>
          <w:rFonts w:hint="eastAsia"/>
          <w:sz w:val="24"/>
        </w:rPr>
        <w:t>本项目滴灌带生产线使用的原料再生聚乙烯</w:t>
      </w:r>
      <w:r>
        <w:rPr>
          <w:sz w:val="24"/>
        </w:rPr>
        <w:t>颗粒料</w:t>
      </w:r>
      <w:r>
        <w:rPr>
          <w:rFonts w:hint="eastAsia"/>
          <w:sz w:val="24"/>
        </w:rPr>
        <w:t>、</w:t>
      </w:r>
      <w:r>
        <w:rPr>
          <w:sz w:val="24"/>
        </w:rPr>
        <w:t>新购聚乙烯颗粒料</w:t>
      </w:r>
      <w:r>
        <w:rPr>
          <w:rFonts w:hint="eastAsia"/>
          <w:sz w:val="24"/>
        </w:rPr>
        <w:t>主要为聚乙烯材料，采用电加热方式对料筒进行加热，热熔挤出工序不添加任何阻燃剂、增塑剂等添加剂，采用直接挤出成型过程为单纯物理熔融变化过程，聚乙烯加热温度控制在1</w:t>
      </w:r>
      <w:r>
        <w:rPr>
          <w:sz w:val="24"/>
        </w:rPr>
        <w:t>7</w:t>
      </w:r>
      <w:r>
        <w:rPr>
          <w:rFonts w:hint="eastAsia"/>
          <w:sz w:val="24"/>
        </w:rPr>
        <w:t>0～200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w:t>
      </w:r>
    </w:p>
    <w:p>
      <w:pPr>
        <w:autoSpaceDE w:val="0"/>
        <w:autoSpaceDN w:val="0"/>
        <w:spacing w:line="460" w:lineRule="exact"/>
        <w:ind w:firstLine="480" w:firstLineChars="200"/>
        <w:rPr>
          <w:sz w:val="24"/>
        </w:rPr>
      </w:pPr>
      <w:r>
        <w:rPr>
          <w:rFonts w:hint="eastAsia"/>
          <w:sz w:val="24"/>
        </w:rPr>
        <w:t>《排放源统计调查产排污核算方法和系数手册》中《292 塑料制品行业系数手册》2922 塑料板、管、型材制造行业系数表 塑料</w:t>
      </w:r>
      <w:r>
        <w:rPr>
          <w:sz w:val="24"/>
        </w:rPr>
        <w:t>板</w:t>
      </w:r>
      <w:r>
        <w:rPr>
          <w:rFonts w:hint="eastAsia"/>
          <w:sz w:val="24"/>
        </w:rPr>
        <w:t>、</w:t>
      </w:r>
      <w:r>
        <w:rPr>
          <w:sz w:val="24"/>
        </w:rPr>
        <w:t>管、型材</w:t>
      </w:r>
      <w:bookmarkStart w:id="154" w:name="_Hlk168305313"/>
      <w:r>
        <w:rPr>
          <w:rFonts w:hint="eastAsia"/>
          <w:sz w:val="24"/>
        </w:rPr>
        <w:t>挤出</w:t>
      </w:r>
      <w:r>
        <w:rPr>
          <w:sz w:val="24"/>
        </w:rPr>
        <w:t>工序</w:t>
      </w:r>
      <w:r>
        <w:rPr>
          <w:rFonts w:hint="eastAsia"/>
          <w:sz w:val="24"/>
        </w:rPr>
        <w:t>挥发性有机物</w:t>
      </w:r>
      <w:r>
        <w:rPr>
          <w:sz w:val="24"/>
        </w:rPr>
        <w:t>产生系数为</w:t>
      </w:r>
      <w:r>
        <w:rPr>
          <w:rFonts w:hint="eastAsia"/>
          <w:sz w:val="24"/>
        </w:rPr>
        <w:t>1.5</w:t>
      </w:r>
      <w:r>
        <w:rPr>
          <w:sz w:val="24"/>
        </w:rPr>
        <w:t>kg/t-</w:t>
      </w:r>
      <w:r>
        <w:rPr>
          <w:rFonts w:hint="eastAsia"/>
          <w:sz w:val="24"/>
        </w:rPr>
        <w:t>产品</w:t>
      </w:r>
      <w:bookmarkEnd w:id="154"/>
      <w:r>
        <w:rPr>
          <w:rFonts w:hint="eastAsia"/>
          <w:sz w:val="24"/>
        </w:rPr>
        <w:t>，</w:t>
      </w:r>
      <w:r>
        <w:rPr>
          <w:sz w:val="24"/>
        </w:rPr>
        <w:t>本项目滴灌带产量为</w:t>
      </w:r>
      <w:r>
        <w:rPr>
          <w:rFonts w:hint="eastAsia"/>
          <w:sz w:val="24"/>
        </w:rPr>
        <w:t>4000</w:t>
      </w:r>
      <w:r>
        <w:rPr>
          <w:sz w:val="24"/>
        </w:rPr>
        <w:t>t/a，</w:t>
      </w:r>
      <w:r>
        <w:rPr>
          <w:rFonts w:hint="eastAsia"/>
          <w:sz w:val="24"/>
        </w:rPr>
        <w:t>则非甲烷总烃</w:t>
      </w:r>
      <w:r>
        <w:rPr>
          <w:sz w:val="24"/>
        </w:rPr>
        <w:t>产生量为</w:t>
      </w:r>
      <w:r>
        <w:rPr>
          <w:rFonts w:hint="eastAsia"/>
          <w:sz w:val="24"/>
        </w:rPr>
        <w:t>6</w:t>
      </w:r>
      <w:r>
        <w:rPr>
          <w:sz w:val="24"/>
        </w:rPr>
        <w:t>t/a</w:t>
      </w:r>
      <w:r>
        <w:rPr>
          <w:rFonts w:hint="eastAsia"/>
          <w:sz w:val="24"/>
        </w:rPr>
        <w:t>。</w:t>
      </w:r>
    </w:p>
    <w:p>
      <w:pPr>
        <w:autoSpaceDE w:val="0"/>
        <w:autoSpaceDN w:val="0"/>
        <w:spacing w:line="460" w:lineRule="exact"/>
        <w:ind w:firstLine="480" w:firstLineChars="200"/>
        <w:rPr>
          <w:sz w:val="24"/>
        </w:rPr>
      </w:pPr>
      <w:r>
        <w:rPr>
          <w:rFonts w:hint="eastAsia"/>
          <w:sz w:val="24"/>
        </w:rPr>
        <w:t>本次</w:t>
      </w:r>
      <w:r>
        <w:rPr>
          <w:sz w:val="24"/>
        </w:rPr>
        <w:t>环评针对现有工程</w:t>
      </w:r>
      <w:r>
        <w:rPr>
          <w:rFonts w:hint="eastAsia"/>
          <w:sz w:val="24"/>
        </w:rPr>
        <w:t>滴灌带</w:t>
      </w:r>
      <w:r>
        <w:rPr>
          <w:sz w:val="24"/>
        </w:rPr>
        <w:t>生产线</w:t>
      </w:r>
      <w:r>
        <w:rPr>
          <w:rFonts w:hint="eastAsia"/>
          <w:sz w:val="24"/>
        </w:rPr>
        <w:t>有机废气</w:t>
      </w:r>
      <w:r>
        <w:rPr>
          <w:sz w:val="24"/>
        </w:rPr>
        <w:t>处置措施提出“</w:t>
      </w:r>
      <w:r>
        <w:rPr>
          <w:rFonts w:hint="eastAsia"/>
          <w:sz w:val="24"/>
        </w:rPr>
        <w:t>以新带老</w:t>
      </w:r>
      <w:r>
        <w:rPr>
          <w:sz w:val="24"/>
        </w:rPr>
        <w:t>”</w:t>
      </w:r>
      <w:r>
        <w:rPr>
          <w:rFonts w:hint="eastAsia"/>
          <w:sz w:val="24"/>
        </w:rPr>
        <w:t>措施</w:t>
      </w:r>
      <w:r>
        <w:rPr>
          <w:sz w:val="24"/>
        </w:rPr>
        <w:t>，</w:t>
      </w:r>
      <w:r>
        <w:rPr>
          <w:rFonts w:hint="eastAsia"/>
          <w:sz w:val="24"/>
        </w:rPr>
        <w:t>将</w:t>
      </w:r>
      <w:r>
        <w:rPr>
          <w:sz w:val="24"/>
        </w:rPr>
        <w:t>现有工程</w:t>
      </w:r>
      <w:r>
        <w:rPr>
          <w:rFonts w:hint="eastAsia"/>
          <w:sz w:val="24"/>
        </w:rPr>
        <w:t>滴灌带</w:t>
      </w:r>
      <w:r>
        <w:rPr>
          <w:sz w:val="24"/>
        </w:rPr>
        <w:t>生产线有机废气集中收集后与本次扩建工程</w:t>
      </w:r>
      <w:r>
        <w:rPr>
          <w:rFonts w:hint="eastAsia"/>
          <w:sz w:val="24"/>
        </w:rPr>
        <w:t>滴灌带生产线及废旧滴灌带造粒生产线</w:t>
      </w:r>
      <w:r>
        <w:rPr>
          <w:sz w:val="24"/>
        </w:rPr>
        <w:t>共用一套活性炭</w:t>
      </w:r>
      <w:r>
        <w:rPr>
          <w:rFonts w:hint="eastAsia"/>
          <w:sz w:val="24"/>
        </w:rPr>
        <w:t>吸附+催化燃烧</w:t>
      </w:r>
      <w:r>
        <w:rPr>
          <w:sz w:val="24"/>
        </w:rPr>
        <w:t>装置</w:t>
      </w:r>
      <w:r>
        <w:rPr>
          <w:rFonts w:hint="eastAsia"/>
          <w:sz w:val="24"/>
        </w:rPr>
        <w:t>（CO）</w:t>
      </w:r>
      <w:r>
        <w:rPr>
          <w:sz w:val="24"/>
        </w:rPr>
        <w:t>处置后经过一根</w:t>
      </w:r>
      <w:r>
        <w:rPr>
          <w:rFonts w:hint="eastAsia"/>
          <w:sz w:val="24"/>
        </w:rPr>
        <w:t>15</w:t>
      </w:r>
      <w:r>
        <w:rPr>
          <w:sz w:val="24"/>
        </w:rPr>
        <w:t>m高排气筒</w:t>
      </w:r>
      <w:r>
        <w:rPr>
          <w:rFonts w:hint="eastAsia"/>
          <w:sz w:val="24"/>
        </w:rPr>
        <w:t>（DA001）</w:t>
      </w:r>
      <w:r>
        <w:rPr>
          <w:sz w:val="24"/>
        </w:rPr>
        <w:t>外排。</w:t>
      </w:r>
    </w:p>
    <w:p>
      <w:pPr>
        <w:autoSpaceDE w:val="0"/>
        <w:autoSpaceDN w:val="0"/>
        <w:spacing w:line="460" w:lineRule="exact"/>
        <w:ind w:firstLine="480" w:firstLineChars="200"/>
        <w:rPr>
          <w:sz w:val="24"/>
        </w:rPr>
      </w:pPr>
      <w:bookmarkStart w:id="155" w:name="_Hlk168305694"/>
      <w:r>
        <w:rPr>
          <w:rFonts w:hint="eastAsia"/>
          <w:sz w:val="24"/>
        </w:rPr>
        <w:t>本次环评要求在造粒机挤出机及滴灌带挤出机上方0.8m高位置设置集气罩，集气罩尺寸设置为1.5m×1m，本项目扩建完成后共有废旧滴灌带造粒机1台，滴灌带挤出机14台</w:t>
      </w:r>
      <w:r>
        <w:rPr>
          <w:sz w:val="24"/>
        </w:rPr>
        <w:t>，</w:t>
      </w:r>
      <w:r>
        <w:rPr>
          <w:rFonts w:hint="eastAsia"/>
          <w:sz w:val="24"/>
        </w:rPr>
        <w:t>则共设置15个集气罩，单个集气罩风量按照3500m</w:t>
      </w:r>
      <w:r>
        <w:rPr>
          <w:rFonts w:hint="eastAsia"/>
          <w:sz w:val="24"/>
          <w:vertAlign w:val="superscript"/>
        </w:rPr>
        <w:t>3</w:t>
      </w:r>
      <w:r>
        <w:rPr>
          <w:rFonts w:hint="eastAsia"/>
          <w:sz w:val="24"/>
        </w:rPr>
        <w:t>/h设计，</w:t>
      </w:r>
      <w:bookmarkEnd w:id="155"/>
      <w:r>
        <w:rPr>
          <w:rFonts w:hint="eastAsia"/>
          <w:sz w:val="24"/>
        </w:rPr>
        <w:t>则设置引风机（风量</w:t>
      </w:r>
      <w:r>
        <w:rPr>
          <w:sz w:val="24"/>
        </w:rPr>
        <w:t>为</w:t>
      </w:r>
      <w:r>
        <w:rPr>
          <w:rFonts w:hint="eastAsia"/>
          <w:sz w:val="24"/>
        </w:rPr>
        <w:t>52500</w:t>
      </w:r>
      <w:r>
        <w:rPr>
          <w:sz w:val="24"/>
        </w:rPr>
        <w:t>m</w:t>
      </w:r>
      <w:r>
        <w:rPr>
          <w:sz w:val="24"/>
          <w:vertAlign w:val="superscript"/>
        </w:rPr>
        <w:t>3</w:t>
      </w:r>
      <w:r>
        <w:rPr>
          <w:sz w:val="24"/>
        </w:rPr>
        <w:t>/h</w:t>
      </w:r>
      <w:r>
        <w:rPr>
          <w:rFonts w:hint="eastAsia"/>
          <w:sz w:val="24"/>
        </w:rPr>
        <w:t>）将收集后的废气引至车间外设置的一套活性炭吸附</w:t>
      </w:r>
      <w:r>
        <w:rPr>
          <w:sz w:val="24"/>
        </w:rPr>
        <w:t>+</w:t>
      </w:r>
      <w:r>
        <w:rPr>
          <w:rFonts w:hint="eastAsia"/>
          <w:sz w:val="24"/>
        </w:rPr>
        <w:t>催化燃烧（CO）处置措施处置后通过</w:t>
      </w:r>
      <w:r>
        <w:rPr>
          <w:sz w:val="24"/>
        </w:rPr>
        <w:t>1</w:t>
      </w:r>
      <w:r>
        <w:rPr>
          <w:rFonts w:hint="eastAsia"/>
          <w:sz w:val="24"/>
        </w:rPr>
        <w:t>根</w:t>
      </w:r>
      <w:r>
        <w:rPr>
          <w:sz w:val="24"/>
        </w:rPr>
        <w:t>15m</w:t>
      </w:r>
      <w:r>
        <w:rPr>
          <w:rFonts w:hint="eastAsia"/>
          <w:sz w:val="24"/>
        </w:rPr>
        <w:t>高排气筒（DA001）外排。集气罩废气收集效率要求不低于9</w:t>
      </w:r>
      <w:r>
        <w:rPr>
          <w:sz w:val="24"/>
        </w:rPr>
        <w:t>0</w:t>
      </w:r>
      <w:r>
        <w:rPr>
          <w:rFonts w:hint="eastAsia"/>
          <w:sz w:val="24"/>
        </w:rPr>
        <w:t>%，剩余</w:t>
      </w:r>
      <w:r>
        <w:rPr>
          <w:sz w:val="24"/>
        </w:rPr>
        <w:t>10%</w:t>
      </w:r>
      <w:r>
        <w:rPr>
          <w:rFonts w:hint="eastAsia"/>
          <w:sz w:val="24"/>
        </w:rPr>
        <w:t>废气呈无组织排放。</w:t>
      </w:r>
      <w:bookmarkStart w:id="156" w:name="_Hlk168303431"/>
      <w:r>
        <w:rPr>
          <w:rFonts w:hint="eastAsia"/>
          <w:sz w:val="24"/>
        </w:rPr>
        <w:t>根据《催化燃烧法工业有机废气治理工程技术规范》(HJ 2027-2013)催化燃烧装置净化效率不低于97%，参考同行业实际运行效果，结合</w:t>
      </w:r>
      <w:bookmarkStart w:id="157" w:name="_Hlk166254355"/>
      <w:r>
        <w:rPr>
          <w:rFonts w:hint="eastAsia"/>
          <w:sz w:val="24"/>
        </w:rPr>
        <w:t>《排放源统计调查产排污核算方法和系数手册》中《42 废弃资源综合利用行业系数手册》</w:t>
      </w:r>
      <w:bookmarkEnd w:id="157"/>
      <w:r>
        <w:rPr>
          <w:rFonts w:hint="eastAsia"/>
          <w:sz w:val="24"/>
        </w:rPr>
        <w:t>活性炭吸附+催化燃烧（CO）处置措施有机废气处置效率保守核算按照8</w:t>
      </w:r>
      <w:r>
        <w:rPr>
          <w:sz w:val="24"/>
        </w:rPr>
        <w:t>5</w:t>
      </w:r>
      <w:r>
        <w:rPr>
          <w:rFonts w:hint="eastAsia"/>
          <w:sz w:val="24"/>
        </w:rPr>
        <w:t>%计，</w:t>
      </w:r>
      <w:bookmarkEnd w:id="156"/>
      <w:r>
        <w:rPr>
          <w:rFonts w:hint="eastAsia"/>
          <w:sz w:val="24"/>
        </w:rPr>
        <w:t>项目年生产</w:t>
      </w:r>
      <w:r>
        <w:rPr>
          <w:sz w:val="24"/>
        </w:rPr>
        <w:t>4320h</w:t>
      </w:r>
      <w:r>
        <w:rPr>
          <w:rFonts w:hint="eastAsia"/>
          <w:sz w:val="24"/>
        </w:rPr>
        <w:t>。</w:t>
      </w:r>
    </w:p>
    <w:p>
      <w:pPr>
        <w:autoSpaceDE w:val="0"/>
        <w:autoSpaceDN w:val="0"/>
        <w:spacing w:line="460" w:lineRule="exact"/>
        <w:ind w:firstLine="480" w:firstLineChars="200"/>
        <w:rPr>
          <w:sz w:val="24"/>
        </w:rPr>
      </w:pPr>
      <w:r>
        <w:rPr>
          <w:rFonts w:hint="eastAsia"/>
          <w:sz w:val="24"/>
        </w:rPr>
        <w:t>则项目废旧滴灌带造粒及滴灌带生产挥发性有机物非甲烷总烃产生及</w:t>
      </w:r>
      <w:r>
        <w:rPr>
          <w:sz w:val="24"/>
        </w:rPr>
        <w:t>排放</w:t>
      </w:r>
      <w:r>
        <w:rPr>
          <w:rFonts w:hint="eastAsia"/>
          <w:sz w:val="24"/>
        </w:rPr>
        <w:t>情况见表</w:t>
      </w:r>
      <w:r>
        <w:rPr>
          <w:sz w:val="24"/>
        </w:rPr>
        <w:t>4.4-3</w:t>
      </w:r>
      <w:r>
        <w:rPr>
          <w:rFonts w:hint="eastAsia"/>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 xml:space="preserve">4.4-3     </w:t>
      </w:r>
      <w:r>
        <w:rPr>
          <w:rFonts w:hint="eastAsia" w:hAnsi="黑体" w:eastAsia="黑体"/>
        </w:rPr>
        <w:t>废旧滴灌带造粒及滴灌带生产非甲烷总烃产生及</w:t>
      </w:r>
      <w:r>
        <w:rPr>
          <w:rFonts w:hAnsi="黑体" w:eastAsia="黑体"/>
        </w:rPr>
        <w:t>排放</w:t>
      </w:r>
      <w:r>
        <w:rPr>
          <w:rFonts w:hint="eastAsia" w:hAnsi="黑体" w:eastAsia="黑体"/>
        </w:rPr>
        <w:t>情况一览表</w:t>
      </w:r>
    </w:p>
    <w:tbl>
      <w:tblPr>
        <w:tblStyle w:val="60"/>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09"/>
        <w:gridCol w:w="850"/>
        <w:gridCol w:w="1278"/>
        <w:gridCol w:w="655"/>
        <w:gridCol w:w="849"/>
        <w:gridCol w:w="1197"/>
        <w:gridCol w:w="1010"/>
        <w:gridCol w:w="9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Align w:val="center"/>
          </w:tcPr>
          <w:p>
            <w:pPr>
              <w:jc w:val="center"/>
              <w:rPr>
                <w:bCs/>
                <w:kern w:val="0"/>
                <w:sz w:val="21"/>
                <w:szCs w:val="21"/>
              </w:rPr>
            </w:pPr>
            <w:r>
              <w:rPr>
                <w:rFonts w:hint="eastAsia"/>
                <w:bCs/>
                <w:kern w:val="0"/>
                <w:sz w:val="21"/>
                <w:szCs w:val="21"/>
              </w:rPr>
              <w:t>污染源</w:t>
            </w:r>
          </w:p>
        </w:tc>
        <w:tc>
          <w:tcPr>
            <w:tcW w:w="709" w:type="dxa"/>
            <w:vAlign w:val="center"/>
          </w:tcPr>
          <w:p>
            <w:pPr>
              <w:jc w:val="center"/>
              <w:rPr>
                <w:bCs/>
                <w:kern w:val="0"/>
                <w:sz w:val="21"/>
                <w:szCs w:val="21"/>
              </w:rPr>
            </w:pPr>
            <w:r>
              <w:rPr>
                <w:rFonts w:hint="eastAsia"/>
                <w:bCs/>
                <w:kern w:val="0"/>
                <w:sz w:val="21"/>
                <w:szCs w:val="21"/>
              </w:rPr>
              <w:t>污染物</w:t>
            </w:r>
          </w:p>
        </w:tc>
        <w:tc>
          <w:tcPr>
            <w:tcW w:w="850" w:type="dxa"/>
            <w:vAlign w:val="center"/>
          </w:tcPr>
          <w:p>
            <w:pPr>
              <w:jc w:val="center"/>
              <w:rPr>
                <w:bCs/>
                <w:kern w:val="0"/>
                <w:sz w:val="21"/>
                <w:szCs w:val="21"/>
              </w:rPr>
            </w:pPr>
            <w:r>
              <w:rPr>
                <w:rFonts w:hint="eastAsia"/>
                <w:bCs/>
                <w:kern w:val="0"/>
                <w:sz w:val="21"/>
                <w:szCs w:val="21"/>
              </w:rPr>
              <w:t>产生量（</w:t>
            </w:r>
            <w:r>
              <w:rPr>
                <w:bCs/>
                <w:kern w:val="0"/>
                <w:sz w:val="21"/>
                <w:szCs w:val="21"/>
              </w:rPr>
              <w:t>t/a</w:t>
            </w:r>
            <w:r>
              <w:rPr>
                <w:rFonts w:hint="eastAsia"/>
                <w:bCs/>
                <w:kern w:val="0"/>
                <w:sz w:val="21"/>
                <w:szCs w:val="21"/>
              </w:rPr>
              <w:t>）</w:t>
            </w:r>
          </w:p>
        </w:tc>
        <w:tc>
          <w:tcPr>
            <w:tcW w:w="1278" w:type="dxa"/>
            <w:vAlign w:val="center"/>
          </w:tcPr>
          <w:p>
            <w:pPr>
              <w:jc w:val="center"/>
              <w:rPr>
                <w:bCs/>
                <w:kern w:val="0"/>
                <w:sz w:val="21"/>
                <w:szCs w:val="21"/>
              </w:rPr>
            </w:pPr>
            <w:r>
              <w:rPr>
                <w:rFonts w:hint="eastAsia"/>
                <w:bCs/>
                <w:kern w:val="0"/>
                <w:sz w:val="21"/>
                <w:szCs w:val="21"/>
              </w:rPr>
              <w:t>处置措施</w:t>
            </w:r>
          </w:p>
        </w:tc>
        <w:tc>
          <w:tcPr>
            <w:tcW w:w="655" w:type="dxa"/>
            <w:vAlign w:val="center"/>
          </w:tcPr>
          <w:p>
            <w:pPr>
              <w:jc w:val="center"/>
              <w:rPr>
                <w:bCs/>
                <w:kern w:val="0"/>
                <w:sz w:val="21"/>
                <w:szCs w:val="21"/>
              </w:rPr>
            </w:pPr>
            <w:r>
              <w:rPr>
                <w:rFonts w:hint="eastAsia"/>
                <w:bCs/>
                <w:kern w:val="0"/>
                <w:sz w:val="21"/>
                <w:szCs w:val="21"/>
              </w:rPr>
              <w:t>排放形式</w:t>
            </w:r>
          </w:p>
        </w:tc>
        <w:tc>
          <w:tcPr>
            <w:tcW w:w="849" w:type="dxa"/>
            <w:vAlign w:val="center"/>
          </w:tcPr>
          <w:p>
            <w:pPr>
              <w:jc w:val="center"/>
              <w:rPr>
                <w:bCs/>
                <w:kern w:val="0"/>
                <w:sz w:val="21"/>
                <w:szCs w:val="21"/>
              </w:rPr>
            </w:pPr>
            <w:r>
              <w:rPr>
                <w:rFonts w:hint="eastAsia"/>
                <w:bCs/>
                <w:kern w:val="0"/>
                <w:sz w:val="21"/>
                <w:szCs w:val="21"/>
              </w:rPr>
              <w:t>排放量（</w:t>
            </w:r>
            <w:r>
              <w:rPr>
                <w:bCs/>
                <w:kern w:val="0"/>
                <w:sz w:val="21"/>
                <w:szCs w:val="21"/>
              </w:rPr>
              <w:t>t/a</w:t>
            </w:r>
            <w:r>
              <w:rPr>
                <w:rFonts w:hint="eastAsia"/>
                <w:bCs/>
                <w:kern w:val="0"/>
                <w:sz w:val="21"/>
                <w:szCs w:val="21"/>
              </w:rPr>
              <w:t>）</w:t>
            </w:r>
          </w:p>
        </w:tc>
        <w:tc>
          <w:tcPr>
            <w:tcW w:w="1197" w:type="dxa"/>
            <w:vAlign w:val="center"/>
          </w:tcPr>
          <w:p>
            <w:pPr>
              <w:jc w:val="center"/>
              <w:rPr>
                <w:bCs/>
                <w:kern w:val="0"/>
                <w:sz w:val="21"/>
                <w:szCs w:val="21"/>
              </w:rPr>
            </w:pPr>
            <w:r>
              <w:rPr>
                <w:rFonts w:hint="eastAsia"/>
                <w:bCs/>
                <w:kern w:val="0"/>
                <w:sz w:val="21"/>
                <w:szCs w:val="21"/>
              </w:rPr>
              <w:t>排放浓度（</w:t>
            </w:r>
            <w:r>
              <w:rPr>
                <w:bCs/>
                <w:kern w:val="0"/>
                <w:sz w:val="21"/>
                <w:szCs w:val="21"/>
              </w:rPr>
              <w:t>mg/m</w:t>
            </w:r>
            <w:r>
              <w:rPr>
                <w:bCs/>
                <w:kern w:val="0"/>
                <w:sz w:val="21"/>
                <w:szCs w:val="21"/>
                <w:vertAlign w:val="superscript"/>
              </w:rPr>
              <w:t>3</w:t>
            </w: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排放速率（</w:t>
            </w:r>
            <w:r>
              <w:rPr>
                <w:bCs/>
                <w:kern w:val="0"/>
                <w:sz w:val="21"/>
                <w:szCs w:val="21"/>
              </w:rPr>
              <w:t>kg/h</w:t>
            </w:r>
            <w:r>
              <w:rPr>
                <w:rFonts w:hint="eastAsia"/>
                <w:bCs/>
                <w:kern w:val="0"/>
                <w:sz w:val="21"/>
                <w:szCs w:val="21"/>
              </w:rPr>
              <w:t>）</w:t>
            </w:r>
          </w:p>
        </w:tc>
        <w:tc>
          <w:tcPr>
            <w:tcW w:w="929" w:type="dxa"/>
            <w:vAlign w:val="center"/>
          </w:tcPr>
          <w:p>
            <w:pPr>
              <w:jc w:val="center"/>
              <w:rPr>
                <w:bCs/>
                <w:kern w:val="0"/>
                <w:sz w:val="21"/>
                <w:szCs w:val="21"/>
              </w:rPr>
            </w:pPr>
            <w:r>
              <w:rPr>
                <w:rFonts w:hint="eastAsia"/>
                <w:bCs/>
                <w:kern w:val="0"/>
                <w:sz w:val="21"/>
                <w:szCs w:val="21"/>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959" w:type="dxa"/>
            <w:vAlign w:val="center"/>
          </w:tcPr>
          <w:p>
            <w:pPr>
              <w:jc w:val="center"/>
              <w:rPr>
                <w:bCs/>
                <w:kern w:val="0"/>
                <w:sz w:val="21"/>
                <w:szCs w:val="21"/>
              </w:rPr>
            </w:pPr>
            <w:r>
              <w:rPr>
                <w:rFonts w:hint="eastAsia"/>
                <w:bCs/>
                <w:kern w:val="0"/>
                <w:sz w:val="21"/>
                <w:szCs w:val="21"/>
              </w:rPr>
              <w:t>废旧滴灌带造粒</w:t>
            </w:r>
          </w:p>
        </w:tc>
        <w:tc>
          <w:tcPr>
            <w:tcW w:w="709" w:type="dxa"/>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1.18</w:t>
            </w:r>
          </w:p>
        </w:tc>
        <w:tc>
          <w:tcPr>
            <w:tcW w:w="1278" w:type="dxa"/>
            <w:vMerge w:val="restart"/>
            <w:vAlign w:val="center"/>
          </w:tcPr>
          <w:p>
            <w:pPr>
              <w:jc w:val="center"/>
              <w:rPr>
                <w:bCs/>
                <w:kern w:val="0"/>
                <w:sz w:val="21"/>
                <w:szCs w:val="21"/>
              </w:rPr>
            </w:pPr>
            <w:r>
              <w:rPr>
                <w:rFonts w:hint="eastAsia"/>
                <w:bCs/>
                <w:kern w:val="0"/>
                <w:sz w:val="21"/>
                <w:szCs w:val="21"/>
              </w:rPr>
              <w:t>每台造粒机及挤出机上方分别设置</w:t>
            </w:r>
            <w:r>
              <w:rPr>
                <w:bCs/>
                <w:kern w:val="0"/>
                <w:sz w:val="21"/>
                <w:szCs w:val="21"/>
              </w:rPr>
              <w:t>1</w:t>
            </w:r>
            <w:r>
              <w:rPr>
                <w:rFonts w:hint="eastAsia"/>
                <w:bCs/>
                <w:kern w:val="0"/>
                <w:sz w:val="21"/>
                <w:szCs w:val="21"/>
              </w:rPr>
              <w:t>个集气罩（共设置15个集气罩），设置引风机将</w:t>
            </w:r>
            <w:r>
              <w:rPr>
                <w:bCs/>
                <w:kern w:val="0"/>
                <w:sz w:val="21"/>
                <w:szCs w:val="21"/>
              </w:rPr>
              <w:t>有机废气</w:t>
            </w:r>
            <w:r>
              <w:rPr>
                <w:rFonts w:hint="eastAsia"/>
                <w:bCs/>
                <w:kern w:val="0"/>
                <w:sz w:val="21"/>
                <w:szCs w:val="21"/>
              </w:rPr>
              <w:t>引至车间外设置的一套活性炭吸附+催化燃烧（CO）处置措施处置后通过1根15m高排气筒外排</w:t>
            </w:r>
          </w:p>
        </w:tc>
        <w:tc>
          <w:tcPr>
            <w:tcW w:w="655" w:type="dxa"/>
            <w:vMerge w:val="restart"/>
            <w:vAlign w:val="center"/>
          </w:tcPr>
          <w:p>
            <w:pPr>
              <w:jc w:val="center"/>
              <w:rPr>
                <w:bCs/>
                <w:kern w:val="0"/>
                <w:sz w:val="21"/>
                <w:szCs w:val="21"/>
              </w:rPr>
            </w:pPr>
            <w:r>
              <w:rPr>
                <w:rFonts w:hint="eastAsia"/>
                <w:bCs/>
                <w:kern w:val="0"/>
                <w:sz w:val="21"/>
                <w:szCs w:val="21"/>
              </w:rPr>
              <w:t>有组织</w:t>
            </w:r>
          </w:p>
        </w:tc>
        <w:tc>
          <w:tcPr>
            <w:tcW w:w="849" w:type="dxa"/>
            <w:vMerge w:val="restart"/>
            <w:vAlign w:val="center"/>
          </w:tcPr>
          <w:p>
            <w:pPr>
              <w:jc w:val="center"/>
              <w:rPr>
                <w:bCs/>
                <w:kern w:val="0"/>
                <w:sz w:val="21"/>
                <w:szCs w:val="21"/>
              </w:rPr>
            </w:pPr>
            <w:r>
              <w:rPr>
                <w:rFonts w:hint="eastAsia"/>
                <w:bCs/>
                <w:kern w:val="0"/>
                <w:sz w:val="21"/>
                <w:szCs w:val="21"/>
              </w:rPr>
              <w:t>0.99</w:t>
            </w:r>
          </w:p>
        </w:tc>
        <w:tc>
          <w:tcPr>
            <w:tcW w:w="1197" w:type="dxa"/>
            <w:vMerge w:val="restart"/>
            <w:vAlign w:val="center"/>
          </w:tcPr>
          <w:p>
            <w:pPr>
              <w:jc w:val="center"/>
              <w:rPr>
                <w:bCs/>
                <w:kern w:val="0"/>
                <w:sz w:val="21"/>
                <w:szCs w:val="21"/>
              </w:rPr>
            </w:pPr>
            <w:r>
              <w:rPr>
                <w:rFonts w:hint="eastAsia"/>
                <w:bCs/>
                <w:kern w:val="0"/>
                <w:sz w:val="21"/>
                <w:szCs w:val="21"/>
              </w:rPr>
              <w:t>4.38</w:t>
            </w:r>
          </w:p>
        </w:tc>
        <w:tc>
          <w:tcPr>
            <w:tcW w:w="1010" w:type="dxa"/>
            <w:vMerge w:val="restart"/>
            <w:vAlign w:val="center"/>
          </w:tcPr>
          <w:p>
            <w:pPr>
              <w:jc w:val="center"/>
              <w:rPr>
                <w:bCs/>
                <w:kern w:val="0"/>
                <w:sz w:val="21"/>
                <w:szCs w:val="21"/>
              </w:rPr>
            </w:pPr>
            <w:r>
              <w:rPr>
                <w:rFonts w:hint="eastAsia"/>
                <w:bCs/>
                <w:kern w:val="0"/>
                <w:sz w:val="21"/>
                <w:szCs w:val="21"/>
              </w:rPr>
              <w:t>0.23</w:t>
            </w:r>
          </w:p>
        </w:tc>
        <w:tc>
          <w:tcPr>
            <w:tcW w:w="929" w:type="dxa"/>
            <w:vMerge w:val="restart"/>
            <w:vAlign w:val="center"/>
          </w:tcPr>
          <w:p>
            <w:pPr>
              <w:jc w:val="center"/>
              <w:rPr>
                <w:bCs/>
                <w:kern w:val="0"/>
                <w:sz w:val="21"/>
                <w:szCs w:val="21"/>
              </w:rPr>
            </w:pPr>
            <w:r>
              <w:rPr>
                <w:rFonts w:hint="eastAsia"/>
                <w:bCs/>
                <w:kern w:val="0"/>
                <w:sz w:val="21"/>
                <w:szCs w:val="21"/>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959" w:type="dxa"/>
            <w:vAlign w:val="center"/>
          </w:tcPr>
          <w:p>
            <w:pPr>
              <w:jc w:val="center"/>
              <w:rPr>
                <w:bCs/>
                <w:kern w:val="0"/>
                <w:sz w:val="21"/>
                <w:szCs w:val="21"/>
              </w:rPr>
            </w:pPr>
            <w:r>
              <w:rPr>
                <w:rFonts w:hint="eastAsia"/>
                <w:bCs/>
                <w:kern w:val="0"/>
                <w:sz w:val="21"/>
                <w:szCs w:val="21"/>
              </w:rPr>
              <w:t>滴灌带生产</w:t>
            </w:r>
          </w:p>
        </w:tc>
        <w:tc>
          <w:tcPr>
            <w:tcW w:w="709" w:type="dxa"/>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5.40</w:t>
            </w:r>
          </w:p>
        </w:tc>
        <w:tc>
          <w:tcPr>
            <w:tcW w:w="1278" w:type="dxa"/>
            <w:vMerge w:val="continue"/>
            <w:vAlign w:val="center"/>
          </w:tcPr>
          <w:p>
            <w:pPr>
              <w:jc w:val="center"/>
              <w:rPr>
                <w:bCs/>
                <w:kern w:val="0"/>
                <w:sz w:val="21"/>
                <w:szCs w:val="21"/>
              </w:rPr>
            </w:pPr>
          </w:p>
        </w:tc>
        <w:tc>
          <w:tcPr>
            <w:tcW w:w="655" w:type="dxa"/>
            <w:vMerge w:val="continue"/>
            <w:vAlign w:val="center"/>
          </w:tcPr>
          <w:p>
            <w:pPr>
              <w:jc w:val="center"/>
              <w:rPr>
                <w:bCs/>
                <w:kern w:val="0"/>
                <w:sz w:val="21"/>
                <w:szCs w:val="21"/>
              </w:rPr>
            </w:pPr>
          </w:p>
        </w:tc>
        <w:tc>
          <w:tcPr>
            <w:tcW w:w="849" w:type="dxa"/>
            <w:vMerge w:val="continue"/>
            <w:vAlign w:val="center"/>
          </w:tcPr>
          <w:p>
            <w:pPr>
              <w:jc w:val="center"/>
              <w:rPr>
                <w:bCs/>
                <w:kern w:val="0"/>
                <w:sz w:val="21"/>
                <w:szCs w:val="21"/>
              </w:rPr>
            </w:pPr>
          </w:p>
        </w:tc>
        <w:tc>
          <w:tcPr>
            <w:tcW w:w="1197"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929"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959" w:type="dxa"/>
            <w:vAlign w:val="center"/>
          </w:tcPr>
          <w:p>
            <w:pPr>
              <w:jc w:val="center"/>
              <w:rPr>
                <w:bCs/>
                <w:kern w:val="0"/>
                <w:sz w:val="21"/>
                <w:szCs w:val="21"/>
              </w:rPr>
            </w:pPr>
            <w:r>
              <w:rPr>
                <w:rFonts w:hint="eastAsia"/>
                <w:bCs/>
                <w:kern w:val="0"/>
                <w:sz w:val="21"/>
                <w:szCs w:val="21"/>
              </w:rPr>
              <w:t>废旧滴灌带</w:t>
            </w:r>
            <w:r>
              <w:rPr>
                <w:bCs/>
                <w:kern w:val="0"/>
                <w:sz w:val="21"/>
                <w:szCs w:val="21"/>
              </w:rPr>
              <w:t>造粒</w:t>
            </w:r>
            <w:r>
              <w:rPr>
                <w:rFonts w:hint="eastAsia"/>
                <w:bCs/>
                <w:kern w:val="0"/>
                <w:sz w:val="21"/>
                <w:szCs w:val="21"/>
              </w:rPr>
              <w:t>及滴灌带生产</w:t>
            </w:r>
            <w:r>
              <w:rPr>
                <w:bCs/>
                <w:kern w:val="0"/>
                <w:sz w:val="21"/>
                <w:szCs w:val="21"/>
              </w:rPr>
              <w:t>车间</w:t>
            </w:r>
          </w:p>
        </w:tc>
        <w:tc>
          <w:tcPr>
            <w:tcW w:w="709" w:type="dxa"/>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0.73</w:t>
            </w:r>
          </w:p>
        </w:tc>
        <w:tc>
          <w:tcPr>
            <w:tcW w:w="1278" w:type="dxa"/>
            <w:vAlign w:val="center"/>
          </w:tcPr>
          <w:p>
            <w:pPr>
              <w:jc w:val="center"/>
              <w:rPr>
                <w:bCs/>
                <w:kern w:val="0"/>
                <w:sz w:val="21"/>
                <w:szCs w:val="21"/>
              </w:rPr>
            </w:pPr>
            <w:r>
              <w:rPr>
                <w:rFonts w:hint="eastAsia"/>
                <w:bCs/>
                <w:kern w:val="0"/>
                <w:sz w:val="21"/>
                <w:szCs w:val="21"/>
              </w:rPr>
              <w:t>/</w:t>
            </w:r>
          </w:p>
        </w:tc>
        <w:tc>
          <w:tcPr>
            <w:tcW w:w="655" w:type="dxa"/>
            <w:vAlign w:val="center"/>
          </w:tcPr>
          <w:p>
            <w:pPr>
              <w:jc w:val="center"/>
              <w:rPr>
                <w:bCs/>
                <w:kern w:val="0"/>
                <w:sz w:val="21"/>
                <w:szCs w:val="21"/>
              </w:rPr>
            </w:pPr>
            <w:r>
              <w:rPr>
                <w:rFonts w:hint="eastAsia"/>
                <w:bCs/>
                <w:kern w:val="0"/>
                <w:sz w:val="21"/>
                <w:szCs w:val="21"/>
              </w:rPr>
              <w:t>无组织</w:t>
            </w:r>
          </w:p>
        </w:tc>
        <w:tc>
          <w:tcPr>
            <w:tcW w:w="849" w:type="dxa"/>
            <w:vAlign w:val="center"/>
          </w:tcPr>
          <w:p>
            <w:pPr>
              <w:jc w:val="center"/>
              <w:rPr>
                <w:bCs/>
                <w:kern w:val="0"/>
                <w:sz w:val="21"/>
                <w:szCs w:val="21"/>
              </w:rPr>
            </w:pPr>
            <w:r>
              <w:rPr>
                <w:rFonts w:hint="eastAsia"/>
                <w:bCs/>
                <w:kern w:val="0"/>
                <w:sz w:val="21"/>
                <w:szCs w:val="21"/>
              </w:rPr>
              <w:t>0.73</w:t>
            </w:r>
          </w:p>
        </w:tc>
        <w:tc>
          <w:tcPr>
            <w:tcW w:w="1197" w:type="dxa"/>
            <w:vAlign w:val="center"/>
          </w:tcPr>
          <w:p>
            <w:pPr>
              <w:jc w:val="center"/>
              <w:rPr>
                <w:bCs/>
                <w:kern w:val="0"/>
                <w:sz w:val="21"/>
                <w:szCs w:val="21"/>
              </w:rPr>
            </w:pP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0.17</w:t>
            </w:r>
          </w:p>
        </w:tc>
        <w:tc>
          <w:tcPr>
            <w:tcW w:w="929" w:type="dxa"/>
            <w:vAlign w:val="center"/>
          </w:tcPr>
          <w:p>
            <w:pPr>
              <w:jc w:val="center"/>
              <w:rPr>
                <w:bCs/>
                <w:kern w:val="0"/>
                <w:sz w:val="21"/>
                <w:szCs w:val="21"/>
              </w:rPr>
            </w:pPr>
            <w:r>
              <w:rPr>
                <w:rFonts w:hint="eastAsia"/>
                <w:bCs/>
                <w:kern w:val="0"/>
                <w:sz w:val="21"/>
                <w:szCs w:val="21"/>
              </w:rPr>
              <w:t>/</w:t>
            </w:r>
          </w:p>
        </w:tc>
      </w:tr>
    </w:tbl>
    <w:p>
      <w:pPr>
        <w:autoSpaceDE w:val="0"/>
        <w:autoSpaceDN w:val="0"/>
        <w:spacing w:line="460" w:lineRule="exact"/>
        <w:ind w:firstLine="480" w:firstLineChars="200"/>
        <w:rPr>
          <w:sz w:val="24"/>
        </w:rPr>
      </w:pPr>
      <w:r>
        <w:rPr>
          <w:rFonts w:hint="eastAsia"/>
          <w:sz w:val="24"/>
        </w:rPr>
        <w:t>（2）废旧塑料膜造粒及</w:t>
      </w:r>
      <w:r>
        <w:rPr>
          <w:sz w:val="24"/>
        </w:rPr>
        <w:t>PE管</w:t>
      </w:r>
      <w:r>
        <w:rPr>
          <w:rFonts w:hint="eastAsia"/>
          <w:sz w:val="24"/>
        </w:rPr>
        <w:t>生产车间挥发性有机</w:t>
      </w:r>
      <w:r>
        <w:rPr>
          <w:sz w:val="24"/>
        </w:rPr>
        <w:t>废气</w:t>
      </w:r>
    </w:p>
    <w:p>
      <w:pPr>
        <w:autoSpaceDE w:val="0"/>
        <w:autoSpaceDN w:val="0"/>
        <w:spacing w:line="460" w:lineRule="exact"/>
        <w:ind w:firstLine="480" w:firstLineChars="200"/>
        <w:rPr>
          <w:sz w:val="24"/>
        </w:rPr>
      </w:pPr>
      <w:r>
        <w:rPr>
          <w:rFonts w:hint="eastAsia"/>
          <w:sz w:val="24"/>
        </w:rPr>
        <w:t>①废旧塑料膜造粒非甲烷总烃</w:t>
      </w:r>
    </w:p>
    <w:p>
      <w:pPr>
        <w:autoSpaceDE w:val="0"/>
        <w:autoSpaceDN w:val="0"/>
        <w:spacing w:line="460" w:lineRule="exact"/>
        <w:ind w:firstLine="480" w:firstLineChars="200"/>
        <w:rPr>
          <w:sz w:val="24"/>
        </w:rPr>
      </w:pPr>
      <w:r>
        <w:rPr>
          <w:rFonts w:hint="eastAsia"/>
          <w:sz w:val="24"/>
        </w:rPr>
        <w:t>本项目废旧地膜造粒生产线使用的原料废旧地膜主要为聚乙烯材料，采用电加热方式对料筒进行加热，热熔挤出工序不添加任何阻燃剂、增塑剂等添加剂，采用直接再生方式，挤出造粒、成型过程为单纯物理熔融变化过程，聚乙烯加热温度控制在1</w:t>
      </w:r>
      <w:r>
        <w:rPr>
          <w:sz w:val="24"/>
        </w:rPr>
        <w:t>7</w:t>
      </w:r>
      <w:r>
        <w:rPr>
          <w:rFonts w:hint="eastAsia"/>
          <w:sz w:val="24"/>
        </w:rPr>
        <w:t>0～200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w:t>
      </w:r>
    </w:p>
    <w:p>
      <w:pPr>
        <w:autoSpaceDE w:val="0"/>
        <w:autoSpaceDN w:val="0"/>
        <w:spacing w:line="460" w:lineRule="exact"/>
        <w:ind w:firstLine="480" w:firstLineChars="200"/>
        <w:rPr>
          <w:sz w:val="24"/>
        </w:rPr>
      </w:pPr>
      <w:r>
        <w:rPr>
          <w:rFonts w:hint="eastAsia"/>
          <w:sz w:val="24"/>
        </w:rPr>
        <w:t xml:space="preserve">根据《排放源统计调查产排污核算方法和系数手册》中《42 废弃资源综合利用行业系数手册》4220 非金属废料和碎屑加工处理行业系数表 </w:t>
      </w:r>
      <w:bookmarkStart w:id="158" w:name="_Hlk168305330"/>
      <w:r>
        <w:rPr>
          <w:rFonts w:hint="eastAsia"/>
          <w:sz w:val="24"/>
        </w:rPr>
        <w:t>塑料薄膜挤出造粒工序挥发性有机物产生系数为</w:t>
      </w:r>
      <w:r>
        <w:rPr>
          <w:sz w:val="24"/>
        </w:rPr>
        <w:t>205</w:t>
      </w:r>
      <w:r>
        <w:rPr>
          <w:rFonts w:hint="eastAsia"/>
          <w:sz w:val="24"/>
        </w:rPr>
        <w:t>g</w:t>
      </w:r>
      <w:r>
        <w:rPr>
          <w:sz w:val="24"/>
        </w:rPr>
        <w:t>/</w:t>
      </w:r>
      <w:r>
        <w:rPr>
          <w:rFonts w:hint="eastAsia"/>
          <w:sz w:val="24"/>
        </w:rPr>
        <w:t>t</w:t>
      </w:r>
      <w:r>
        <w:rPr>
          <w:sz w:val="24"/>
        </w:rPr>
        <w:t>-</w:t>
      </w:r>
      <w:r>
        <w:rPr>
          <w:rFonts w:hint="eastAsia"/>
          <w:sz w:val="24"/>
        </w:rPr>
        <w:t>原料</w:t>
      </w:r>
      <w:bookmarkEnd w:id="158"/>
      <w:r>
        <w:rPr>
          <w:rFonts w:hint="eastAsia"/>
          <w:sz w:val="24"/>
        </w:rPr>
        <w:t>，本项目废旧塑料膜处理量为2000t/a，则挤出造粒工序非甲烷总烃产生量为0.41t/a。</w:t>
      </w:r>
    </w:p>
    <w:p>
      <w:pPr>
        <w:autoSpaceDE w:val="0"/>
        <w:autoSpaceDN w:val="0"/>
        <w:spacing w:line="460" w:lineRule="exact"/>
        <w:ind w:firstLine="480" w:firstLineChars="200"/>
        <w:rPr>
          <w:sz w:val="24"/>
        </w:rPr>
      </w:pPr>
      <w:r>
        <w:rPr>
          <w:rFonts w:hint="eastAsia"/>
          <w:sz w:val="24"/>
        </w:rPr>
        <w:t>②</w:t>
      </w:r>
      <w:r>
        <w:rPr>
          <w:sz w:val="24"/>
        </w:rPr>
        <w:t>PE管生产非甲烷总烃</w:t>
      </w:r>
    </w:p>
    <w:p>
      <w:pPr>
        <w:autoSpaceDE w:val="0"/>
        <w:autoSpaceDN w:val="0"/>
        <w:spacing w:line="460" w:lineRule="exact"/>
        <w:ind w:firstLine="480" w:firstLineChars="200"/>
        <w:rPr>
          <w:sz w:val="24"/>
        </w:rPr>
      </w:pPr>
      <w:r>
        <w:rPr>
          <w:rFonts w:hint="eastAsia"/>
          <w:sz w:val="24"/>
        </w:rPr>
        <w:t>本项目PE管生产线使用的原料再生聚乙烯</w:t>
      </w:r>
      <w:r>
        <w:rPr>
          <w:sz w:val="24"/>
        </w:rPr>
        <w:t>颗粒料</w:t>
      </w:r>
      <w:r>
        <w:rPr>
          <w:rFonts w:hint="eastAsia"/>
          <w:sz w:val="24"/>
        </w:rPr>
        <w:t>、</w:t>
      </w:r>
      <w:r>
        <w:rPr>
          <w:sz w:val="24"/>
        </w:rPr>
        <w:t>新购聚乙烯颗粒料</w:t>
      </w:r>
      <w:r>
        <w:rPr>
          <w:rFonts w:hint="eastAsia"/>
          <w:sz w:val="24"/>
        </w:rPr>
        <w:t>主要为聚乙烯材料，采用电加热方式对料筒进行加热，热熔挤出工序不添加任何阻燃剂、增塑剂等添加剂，采用直接挤出成型过程为单纯物理熔融变化过程，聚乙烯加热温度控制在1</w:t>
      </w:r>
      <w:r>
        <w:rPr>
          <w:sz w:val="24"/>
        </w:rPr>
        <w:t>7</w:t>
      </w:r>
      <w:r>
        <w:rPr>
          <w:rFonts w:hint="eastAsia"/>
          <w:sz w:val="24"/>
        </w:rPr>
        <w:t>0～200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w:t>
      </w:r>
    </w:p>
    <w:p>
      <w:pPr>
        <w:autoSpaceDE w:val="0"/>
        <w:autoSpaceDN w:val="0"/>
        <w:spacing w:line="460" w:lineRule="exact"/>
        <w:ind w:firstLine="480" w:firstLineChars="200"/>
        <w:rPr>
          <w:sz w:val="24"/>
        </w:rPr>
      </w:pPr>
      <w:r>
        <w:rPr>
          <w:rFonts w:hint="eastAsia"/>
          <w:sz w:val="24"/>
        </w:rPr>
        <w:t>《排放源统计调查产排污核算方法和系数手册》中《292 塑料制品行业系数手册》2922 塑料板、管、型材制造行业系数表 塑料</w:t>
      </w:r>
      <w:r>
        <w:rPr>
          <w:sz w:val="24"/>
        </w:rPr>
        <w:t>板</w:t>
      </w:r>
      <w:r>
        <w:rPr>
          <w:rFonts w:hint="eastAsia"/>
          <w:sz w:val="24"/>
        </w:rPr>
        <w:t>、</w:t>
      </w:r>
      <w:r>
        <w:rPr>
          <w:sz w:val="24"/>
        </w:rPr>
        <w:t>管、型材</w:t>
      </w:r>
      <w:r>
        <w:rPr>
          <w:rFonts w:hint="eastAsia"/>
          <w:sz w:val="24"/>
        </w:rPr>
        <w:t>挤出</w:t>
      </w:r>
      <w:r>
        <w:rPr>
          <w:sz w:val="24"/>
        </w:rPr>
        <w:t>工序</w:t>
      </w:r>
      <w:r>
        <w:rPr>
          <w:rFonts w:hint="eastAsia"/>
          <w:sz w:val="24"/>
        </w:rPr>
        <w:t>挥发性有机物</w:t>
      </w:r>
      <w:r>
        <w:rPr>
          <w:sz w:val="24"/>
        </w:rPr>
        <w:t>产生系数为</w:t>
      </w:r>
      <w:r>
        <w:rPr>
          <w:rFonts w:hint="eastAsia"/>
          <w:sz w:val="24"/>
        </w:rPr>
        <w:t>1.5</w:t>
      </w:r>
      <w:r>
        <w:rPr>
          <w:sz w:val="24"/>
        </w:rPr>
        <w:t>kg/t-</w:t>
      </w:r>
      <w:r>
        <w:rPr>
          <w:rFonts w:hint="eastAsia"/>
          <w:sz w:val="24"/>
        </w:rPr>
        <w:t>产品，</w:t>
      </w:r>
      <w:r>
        <w:rPr>
          <w:sz w:val="24"/>
        </w:rPr>
        <w:t>本项目</w:t>
      </w:r>
      <w:r>
        <w:rPr>
          <w:rFonts w:hint="eastAsia"/>
          <w:sz w:val="24"/>
        </w:rPr>
        <w:t>PE管</w:t>
      </w:r>
      <w:r>
        <w:rPr>
          <w:sz w:val="24"/>
        </w:rPr>
        <w:t>产量为2</w:t>
      </w:r>
      <w:r>
        <w:rPr>
          <w:rFonts w:hint="eastAsia"/>
          <w:sz w:val="24"/>
        </w:rPr>
        <w:t>500</w:t>
      </w:r>
      <w:r>
        <w:rPr>
          <w:sz w:val="24"/>
        </w:rPr>
        <w:t>t/a，</w:t>
      </w:r>
      <w:r>
        <w:rPr>
          <w:rFonts w:hint="eastAsia"/>
          <w:sz w:val="24"/>
        </w:rPr>
        <w:t>则非甲烷总烃</w:t>
      </w:r>
      <w:r>
        <w:rPr>
          <w:sz w:val="24"/>
        </w:rPr>
        <w:t>产生量为</w:t>
      </w:r>
      <w:r>
        <w:rPr>
          <w:rFonts w:hint="eastAsia"/>
          <w:sz w:val="24"/>
        </w:rPr>
        <w:t>3.75</w:t>
      </w:r>
      <w:r>
        <w:rPr>
          <w:sz w:val="24"/>
        </w:rPr>
        <w:t>t/a</w:t>
      </w:r>
      <w:r>
        <w:rPr>
          <w:rFonts w:hint="eastAsia"/>
          <w:sz w:val="24"/>
        </w:rPr>
        <w:t>。</w:t>
      </w:r>
    </w:p>
    <w:p>
      <w:pPr>
        <w:autoSpaceDE w:val="0"/>
        <w:autoSpaceDN w:val="0"/>
        <w:spacing w:line="460" w:lineRule="exact"/>
        <w:ind w:firstLine="480" w:firstLineChars="200"/>
        <w:rPr>
          <w:sz w:val="24"/>
        </w:rPr>
      </w:pPr>
      <w:bookmarkStart w:id="159" w:name="_Hlk168305720"/>
      <w:r>
        <w:rPr>
          <w:rFonts w:hint="eastAsia"/>
          <w:sz w:val="24"/>
        </w:rPr>
        <w:t>本次环评要求分别在现有3条以及新增5条</w:t>
      </w:r>
      <w:r>
        <w:rPr>
          <w:sz w:val="24"/>
        </w:rPr>
        <w:t>PE管生产线</w:t>
      </w:r>
      <w:r>
        <w:rPr>
          <w:rFonts w:hint="eastAsia"/>
          <w:sz w:val="24"/>
        </w:rPr>
        <w:t>每台熔融挤出机上方0.8m处设置集气罩、在新增1台废旧塑料膜造粒机上方0.8m处设置集气罩，集气罩尺寸设置为1.5m×1m，则要求设置9个集气罩，单个集气罩风量按照3500m</w:t>
      </w:r>
      <w:r>
        <w:rPr>
          <w:rFonts w:hint="eastAsia"/>
          <w:sz w:val="24"/>
          <w:vertAlign w:val="superscript"/>
        </w:rPr>
        <w:t>3</w:t>
      </w:r>
      <w:r>
        <w:rPr>
          <w:rFonts w:hint="eastAsia"/>
          <w:sz w:val="24"/>
        </w:rPr>
        <w:t>/h计，</w:t>
      </w:r>
      <w:bookmarkEnd w:id="159"/>
      <w:r>
        <w:rPr>
          <w:rFonts w:hint="eastAsia"/>
          <w:sz w:val="24"/>
        </w:rPr>
        <w:t>设置引风机（风量</w:t>
      </w:r>
      <w:r>
        <w:rPr>
          <w:sz w:val="24"/>
        </w:rPr>
        <w:t>为</w:t>
      </w:r>
      <w:r>
        <w:rPr>
          <w:rFonts w:hint="eastAsia"/>
          <w:sz w:val="24"/>
        </w:rPr>
        <w:t>31500</w:t>
      </w:r>
      <w:r>
        <w:rPr>
          <w:sz w:val="24"/>
        </w:rPr>
        <w:t>m</w:t>
      </w:r>
      <w:r>
        <w:rPr>
          <w:sz w:val="24"/>
          <w:vertAlign w:val="superscript"/>
        </w:rPr>
        <w:t>3</w:t>
      </w:r>
      <w:r>
        <w:rPr>
          <w:sz w:val="24"/>
        </w:rPr>
        <w:t>/h</w:t>
      </w:r>
      <w:r>
        <w:rPr>
          <w:rFonts w:hint="eastAsia"/>
          <w:sz w:val="24"/>
        </w:rPr>
        <w:t>）将收集后的废气引至车间</w:t>
      </w:r>
      <w:r>
        <w:rPr>
          <w:sz w:val="24"/>
        </w:rPr>
        <w:t>外设置的</w:t>
      </w:r>
      <w:r>
        <w:rPr>
          <w:rFonts w:hint="eastAsia"/>
          <w:sz w:val="24"/>
        </w:rPr>
        <w:t>一套活性炭吸附+催化燃烧处置措施处置后通过1根15m高排气筒（DA002）外排。集气罩废气收集效率要求不低于90%，剩余10%废气呈无组织排放。根据《催化燃烧法工业有机废气治理工程技术规范》(HJ 2027-2013)催化燃烧装置净化效率不低于97%，参考同行业实际运行效果，结合《排放源统计调查产排污核算方法和系数手册》中《42 废弃资源综合利用行业系数手册》活性炭吸附+催化燃烧（CO）处置措施有机废气处置效率保守核算按照85%计，项目年生产4320h。</w:t>
      </w:r>
    </w:p>
    <w:p>
      <w:pPr>
        <w:autoSpaceDE w:val="0"/>
        <w:autoSpaceDN w:val="0"/>
        <w:spacing w:line="460" w:lineRule="exact"/>
        <w:ind w:firstLine="480" w:firstLineChars="200"/>
        <w:rPr>
          <w:sz w:val="24"/>
        </w:rPr>
      </w:pPr>
      <w:r>
        <w:rPr>
          <w:rFonts w:hint="eastAsia"/>
          <w:sz w:val="24"/>
        </w:rPr>
        <w:t>则项目废旧塑料膜造粒及PE</w:t>
      </w:r>
      <w:r>
        <w:rPr>
          <w:sz w:val="24"/>
        </w:rPr>
        <w:t>管生产车间</w:t>
      </w:r>
      <w:r>
        <w:rPr>
          <w:rFonts w:hint="eastAsia"/>
          <w:sz w:val="24"/>
        </w:rPr>
        <w:t>非甲烷总烃产生及排放情况详见表</w:t>
      </w:r>
      <w:r>
        <w:rPr>
          <w:sz w:val="24"/>
        </w:rPr>
        <w:t>4.4-4</w:t>
      </w:r>
      <w:r>
        <w:rPr>
          <w:rFonts w:hint="eastAsia"/>
          <w:sz w:val="24"/>
        </w:rPr>
        <w:t>。</w:t>
      </w:r>
    </w:p>
    <w:p>
      <w:pPr>
        <w:autoSpaceDE w:val="0"/>
        <w:autoSpaceDN w:val="0"/>
        <w:ind w:firstLine="420" w:firstLineChars="200"/>
        <w:rPr>
          <w:rFonts w:hAnsi="黑体" w:eastAsia="黑体"/>
        </w:rPr>
      </w:pPr>
      <w:r>
        <w:rPr>
          <w:rFonts w:hint="eastAsia" w:hAnsi="黑体" w:eastAsia="黑体"/>
        </w:rPr>
        <w:t>表</w:t>
      </w:r>
      <w:r>
        <w:rPr>
          <w:rFonts w:hAnsi="黑体" w:eastAsia="黑体"/>
        </w:rPr>
        <w:t>4.4-</w:t>
      </w:r>
      <w:r>
        <w:rPr>
          <w:rFonts w:hint="eastAsia" w:hAnsi="黑体" w:eastAsia="黑体"/>
        </w:rPr>
        <w:t>4</w:t>
      </w:r>
      <w:r>
        <w:rPr>
          <w:rFonts w:hAnsi="黑体" w:eastAsia="黑体"/>
        </w:rPr>
        <w:t xml:space="preserve">     </w:t>
      </w:r>
      <w:r>
        <w:rPr>
          <w:rFonts w:hint="eastAsia" w:hAnsi="黑体" w:eastAsia="黑体"/>
        </w:rPr>
        <w:t>废旧塑料膜造粒及PE管生产车间非甲烷总烃产生及排放情况一览表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07"/>
        <w:gridCol w:w="849"/>
        <w:gridCol w:w="1412"/>
        <w:gridCol w:w="637"/>
        <w:gridCol w:w="849"/>
        <w:gridCol w:w="1197"/>
        <w:gridCol w:w="1010"/>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Align w:val="center"/>
          </w:tcPr>
          <w:p>
            <w:pPr>
              <w:jc w:val="center"/>
              <w:rPr>
                <w:bCs/>
                <w:kern w:val="0"/>
                <w:sz w:val="21"/>
                <w:szCs w:val="21"/>
              </w:rPr>
            </w:pPr>
            <w:r>
              <w:rPr>
                <w:rFonts w:hint="eastAsia"/>
                <w:bCs/>
                <w:kern w:val="0"/>
                <w:sz w:val="21"/>
                <w:szCs w:val="21"/>
              </w:rPr>
              <w:t>污染源</w:t>
            </w:r>
          </w:p>
        </w:tc>
        <w:tc>
          <w:tcPr>
            <w:tcW w:w="707" w:type="dxa"/>
            <w:vAlign w:val="center"/>
          </w:tcPr>
          <w:p>
            <w:pPr>
              <w:jc w:val="center"/>
              <w:rPr>
                <w:bCs/>
                <w:kern w:val="0"/>
                <w:sz w:val="21"/>
                <w:szCs w:val="21"/>
              </w:rPr>
            </w:pPr>
            <w:r>
              <w:rPr>
                <w:rFonts w:hint="eastAsia"/>
                <w:bCs/>
                <w:kern w:val="0"/>
                <w:sz w:val="21"/>
                <w:szCs w:val="21"/>
              </w:rPr>
              <w:t>污染物</w:t>
            </w:r>
          </w:p>
        </w:tc>
        <w:tc>
          <w:tcPr>
            <w:tcW w:w="849" w:type="dxa"/>
            <w:vAlign w:val="center"/>
          </w:tcPr>
          <w:p>
            <w:pPr>
              <w:jc w:val="center"/>
              <w:rPr>
                <w:bCs/>
                <w:kern w:val="0"/>
                <w:sz w:val="21"/>
                <w:szCs w:val="21"/>
              </w:rPr>
            </w:pPr>
            <w:r>
              <w:rPr>
                <w:rFonts w:hint="eastAsia"/>
                <w:bCs/>
                <w:kern w:val="0"/>
                <w:sz w:val="21"/>
                <w:szCs w:val="21"/>
              </w:rPr>
              <w:t>产生量（</w:t>
            </w:r>
            <w:r>
              <w:rPr>
                <w:bCs/>
                <w:kern w:val="0"/>
                <w:sz w:val="21"/>
                <w:szCs w:val="21"/>
              </w:rPr>
              <w:t>t/a</w:t>
            </w:r>
            <w:r>
              <w:rPr>
                <w:rFonts w:hint="eastAsia"/>
                <w:bCs/>
                <w:kern w:val="0"/>
                <w:sz w:val="21"/>
                <w:szCs w:val="21"/>
              </w:rPr>
              <w:t>）</w:t>
            </w:r>
          </w:p>
        </w:tc>
        <w:tc>
          <w:tcPr>
            <w:tcW w:w="1412" w:type="dxa"/>
            <w:vAlign w:val="center"/>
          </w:tcPr>
          <w:p>
            <w:pPr>
              <w:jc w:val="center"/>
              <w:rPr>
                <w:bCs/>
                <w:kern w:val="0"/>
                <w:sz w:val="21"/>
                <w:szCs w:val="21"/>
              </w:rPr>
            </w:pPr>
            <w:r>
              <w:rPr>
                <w:rFonts w:hint="eastAsia"/>
                <w:bCs/>
                <w:kern w:val="0"/>
                <w:sz w:val="21"/>
                <w:szCs w:val="21"/>
              </w:rPr>
              <w:t>处置措施</w:t>
            </w:r>
          </w:p>
        </w:tc>
        <w:tc>
          <w:tcPr>
            <w:tcW w:w="637" w:type="dxa"/>
            <w:vAlign w:val="center"/>
          </w:tcPr>
          <w:p>
            <w:pPr>
              <w:jc w:val="center"/>
              <w:rPr>
                <w:bCs/>
                <w:kern w:val="0"/>
                <w:sz w:val="21"/>
                <w:szCs w:val="21"/>
              </w:rPr>
            </w:pPr>
            <w:r>
              <w:rPr>
                <w:rFonts w:hint="eastAsia"/>
                <w:bCs/>
                <w:kern w:val="0"/>
                <w:sz w:val="21"/>
                <w:szCs w:val="21"/>
              </w:rPr>
              <w:t>排放形式</w:t>
            </w:r>
          </w:p>
        </w:tc>
        <w:tc>
          <w:tcPr>
            <w:tcW w:w="849" w:type="dxa"/>
            <w:vAlign w:val="center"/>
          </w:tcPr>
          <w:p>
            <w:pPr>
              <w:jc w:val="center"/>
              <w:rPr>
                <w:bCs/>
                <w:kern w:val="0"/>
                <w:sz w:val="21"/>
                <w:szCs w:val="21"/>
              </w:rPr>
            </w:pPr>
            <w:r>
              <w:rPr>
                <w:rFonts w:hint="eastAsia"/>
                <w:bCs/>
                <w:kern w:val="0"/>
                <w:sz w:val="21"/>
                <w:szCs w:val="21"/>
              </w:rPr>
              <w:t>排放量（</w:t>
            </w:r>
            <w:r>
              <w:rPr>
                <w:bCs/>
                <w:kern w:val="0"/>
                <w:sz w:val="21"/>
                <w:szCs w:val="21"/>
              </w:rPr>
              <w:t>t/a</w:t>
            </w:r>
            <w:r>
              <w:rPr>
                <w:rFonts w:hint="eastAsia"/>
                <w:bCs/>
                <w:kern w:val="0"/>
                <w:sz w:val="21"/>
                <w:szCs w:val="21"/>
              </w:rPr>
              <w:t>）</w:t>
            </w:r>
          </w:p>
        </w:tc>
        <w:tc>
          <w:tcPr>
            <w:tcW w:w="1197" w:type="dxa"/>
            <w:vAlign w:val="center"/>
          </w:tcPr>
          <w:p>
            <w:pPr>
              <w:jc w:val="center"/>
              <w:rPr>
                <w:bCs/>
                <w:kern w:val="0"/>
                <w:sz w:val="21"/>
                <w:szCs w:val="21"/>
              </w:rPr>
            </w:pPr>
            <w:r>
              <w:rPr>
                <w:rFonts w:hint="eastAsia"/>
                <w:bCs/>
                <w:kern w:val="0"/>
                <w:sz w:val="21"/>
                <w:szCs w:val="21"/>
              </w:rPr>
              <w:t>排放浓度（</w:t>
            </w:r>
            <w:r>
              <w:rPr>
                <w:bCs/>
                <w:kern w:val="0"/>
                <w:sz w:val="21"/>
                <w:szCs w:val="21"/>
              </w:rPr>
              <w:t>mg/m</w:t>
            </w:r>
            <w:r>
              <w:rPr>
                <w:bCs/>
                <w:kern w:val="0"/>
                <w:sz w:val="21"/>
                <w:szCs w:val="21"/>
                <w:vertAlign w:val="superscript"/>
              </w:rPr>
              <w:t>3</w:t>
            </w: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排放速率（</w:t>
            </w:r>
            <w:r>
              <w:rPr>
                <w:bCs/>
                <w:kern w:val="0"/>
                <w:sz w:val="21"/>
                <w:szCs w:val="21"/>
              </w:rPr>
              <w:t>kg/h</w:t>
            </w:r>
            <w:r>
              <w:rPr>
                <w:rFonts w:hint="eastAsia"/>
                <w:bCs/>
                <w:kern w:val="0"/>
                <w:sz w:val="21"/>
                <w:szCs w:val="21"/>
              </w:rPr>
              <w:t>）</w:t>
            </w:r>
          </w:p>
        </w:tc>
        <w:tc>
          <w:tcPr>
            <w:tcW w:w="926" w:type="dxa"/>
            <w:vAlign w:val="center"/>
          </w:tcPr>
          <w:p>
            <w:pPr>
              <w:jc w:val="center"/>
              <w:rPr>
                <w:bCs/>
                <w:kern w:val="0"/>
                <w:sz w:val="21"/>
                <w:szCs w:val="21"/>
              </w:rPr>
            </w:pPr>
            <w:r>
              <w:rPr>
                <w:rFonts w:hint="eastAsia"/>
                <w:bCs/>
                <w:kern w:val="0"/>
                <w:sz w:val="21"/>
                <w:szCs w:val="21"/>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Align w:val="center"/>
          </w:tcPr>
          <w:p>
            <w:pPr>
              <w:jc w:val="center"/>
              <w:rPr>
                <w:bCs/>
                <w:kern w:val="0"/>
                <w:sz w:val="21"/>
                <w:szCs w:val="21"/>
              </w:rPr>
            </w:pPr>
            <w:r>
              <w:rPr>
                <w:rFonts w:hint="eastAsia"/>
                <w:bCs/>
                <w:kern w:val="0"/>
                <w:sz w:val="21"/>
                <w:szCs w:val="21"/>
              </w:rPr>
              <w:t>废旧塑料膜造粒</w:t>
            </w:r>
          </w:p>
        </w:tc>
        <w:tc>
          <w:tcPr>
            <w:tcW w:w="707" w:type="dxa"/>
            <w:vAlign w:val="center"/>
          </w:tcPr>
          <w:p>
            <w:pPr>
              <w:jc w:val="center"/>
              <w:rPr>
                <w:bCs/>
                <w:kern w:val="0"/>
                <w:sz w:val="21"/>
                <w:szCs w:val="21"/>
              </w:rPr>
            </w:pPr>
            <w:r>
              <w:rPr>
                <w:rFonts w:hint="eastAsia"/>
                <w:bCs/>
                <w:kern w:val="0"/>
                <w:sz w:val="21"/>
                <w:szCs w:val="21"/>
              </w:rPr>
              <w:t>非甲烷总烃</w:t>
            </w:r>
          </w:p>
        </w:tc>
        <w:tc>
          <w:tcPr>
            <w:tcW w:w="849" w:type="dxa"/>
            <w:vAlign w:val="center"/>
          </w:tcPr>
          <w:p>
            <w:pPr>
              <w:jc w:val="center"/>
              <w:rPr>
                <w:bCs/>
                <w:kern w:val="0"/>
                <w:sz w:val="21"/>
                <w:szCs w:val="21"/>
              </w:rPr>
            </w:pPr>
            <w:r>
              <w:rPr>
                <w:rFonts w:hint="eastAsia"/>
                <w:bCs/>
                <w:kern w:val="0"/>
                <w:sz w:val="21"/>
                <w:szCs w:val="21"/>
              </w:rPr>
              <w:t>0.37</w:t>
            </w:r>
          </w:p>
        </w:tc>
        <w:tc>
          <w:tcPr>
            <w:tcW w:w="1412" w:type="dxa"/>
            <w:vMerge w:val="restart"/>
            <w:vAlign w:val="center"/>
          </w:tcPr>
          <w:p>
            <w:pPr>
              <w:jc w:val="center"/>
              <w:rPr>
                <w:bCs/>
                <w:kern w:val="0"/>
                <w:sz w:val="21"/>
                <w:szCs w:val="21"/>
              </w:rPr>
            </w:pPr>
            <w:r>
              <w:rPr>
                <w:rFonts w:hint="eastAsia"/>
                <w:bCs/>
                <w:kern w:val="0"/>
                <w:sz w:val="21"/>
                <w:szCs w:val="21"/>
              </w:rPr>
              <w:t>每台熔融挤出机及造粒机上方分别设置</w:t>
            </w:r>
            <w:r>
              <w:rPr>
                <w:bCs/>
                <w:kern w:val="0"/>
                <w:sz w:val="21"/>
                <w:szCs w:val="21"/>
              </w:rPr>
              <w:t>1</w:t>
            </w:r>
            <w:r>
              <w:rPr>
                <w:rFonts w:hint="eastAsia"/>
                <w:bCs/>
                <w:kern w:val="0"/>
                <w:sz w:val="21"/>
                <w:szCs w:val="21"/>
              </w:rPr>
              <w:t>个集气罩（共设置9个集气罩），设置引风机将收集废气引至车间外设置的一套活性炭吸附+催化燃烧（CO）措施处置后通过1根15m高排气筒外排</w:t>
            </w:r>
          </w:p>
        </w:tc>
        <w:tc>
          <w:tcPr>
            <w:tcW w:w="637" w:type="dxa"/>
            <w:vMerge w:val="restart"/>
            <w:vAlign w:val="center"/>
          </w:tcPr>
          <w:p>
            <w:pPr>
              <w:jc w:val="center"/>
              <w:rPr>
                <w:bCs/>
                <w:kern w:val="0"/>
                <w:sz w:val="21"/>
                <w:szCs w:val="21"/>
              </w:rPr>
            </w:pPr>
            <w:r>
              <w:rPr>
                <w:rFonts w:hint="eastAsia"/>
                <w:bCs/>
                <w:kern w:val="0"/>
                <w:sz w:val="21"/>
                <w:szCs w:val="21"/>
              </w:rPr>
              <w:t>有组织</w:t>
            </w:r>
          </w:p>
        </w:tc>
        <w:tc>
          <w:tcPr>
            <w:tcW w:w="849" w:type="dxa"/>
            <w:vMerge w:val="restart"/>
            <w:vAlign w:val="center"/>
          </w:tcPr>
          <w:p>
            <w:pPr>
              <w:jc w:val="center"/>
              <w:rPr>
                <w:bCs/>
                <w:kern w:val="0"/>
                <w:sz w:val="21"/>
                <w:szCs w:val="21"/>
              </w:rPr>
            </w:pPr>
            <w:r>
              <w:rPr>
                <w:rFonts w:hint="eastAsia"/>
                <w:bCs/>
                <w:kern w:val="0"/>
                <w:sz w:val="21"/>
                <w:szCs w:val="21"/>
              </w:rPr>
              <w:t>0.56</w:t>
            </w:r>
          </w:p>
        </w:tc>
        <w:tc>
          <w:tcPr>
            <w:tcW w:w="1197" w:type="dxa"/>
            <w:vMerge w:val="restart"/>
            <w:vAlign w:val="center"/>
          </w:tcPr>
          <w:p>
            <w:pPr>
              <w:jc w:val="center"/>
              <w:rPr>
                <w:bCs/>
                <w:kern w:val="0"/>
                <w:sz w:val="21"/>
                <w:szCs w:val="21"/>
              </w:rPr>
            </w:pPr>
            <w:r>
              <w:rPr>
                <w:rFonts w:hint="eastAsia"/>
                <w:bCs/>
                <w:kern w:val="0"/>
                <w:sz w:val="21"/>
                <w:szCs w:val="21"/>
              </w:rPr>
              <w:t>4.13</w:t>
            </w:r>
          </w:p>
        </w:tc>
        <w:tc>
          <w:tcPr>
            <w:tcW w:w="1010" w:type="dxa"/>
            <w:vMerge w:val="restart"/>
            <w:vAlign w:val="center"/>
          </w:tcPr>
          <w:p>
            <w:pPr>
              <w:jc w:val="center"/>
              <w:rPr>
                <w:bCs/>
                <w:kern w:val="0"/>
                <w:sz w:val="21"/>
                <w:szCs w:val="21"/>
              </w:rPr>
            </w:pPr>
            <w:r>
              <w:rPr>
                <w:rFonts w:hint="eastAsia"/>
                <w:bCs/>
                <w:kern w:val="0"/>
                <w:sz w:val="21"/>
                <w:szCs w:val="21"/>
              </w:rPr>
              <w:t>0.13</w:t>
            </w:r>
          </w:p>
        </w:tc>
        <w:tc>
          <w:tcPr>
            <w:tcW w:w="926" w:type="dxa"/>
            <w:vMerge w:val="restart"/>
            <w:vAlign w:val="center"/>
          </w:tcPr>
          <w:p>
            <w:pPr>
              <w:jc w:val="center"/>
              <w:rPr>
                <w:bCs/>
                <w:kern w:val="0"/>
                <w:sz w:val="21"/>
                <w:szCs w:val="21"/>
              </w:rPr>
            </w:pPr>
            <w:r>
              <w:rPr>
                <w:bCs/>
                <w:kern w:val="0"/>
                <w:sz w:val="21"/>
                <w:szCs w:val="21"/>
              </w:rPr>
              <w:t>DA00</w:t>
            </w:r>
            <w:r>
              <w:rPr>
                <w:rFonts w:hint="eastAsia"/>
                <w:bCs/>
                <w:kern w:val="0"/>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849" w:type="dxa"/>
            <w:vAlign w:val="center"/>
          </w:tcPr>
          <w:p>
            <w:pPr>
              <w:jc w:val="center"/>
              <w:rPr>
                <w:bCs/>
                <w:kern w:val="0"/>
                <w:sz w:val="21"/>
                <w:szCs w:val="21"/>
              </w:rPr>
            </w:pPr>
            <w:r>
              <w:rPr>
                <w:rFonts w:hint="eastAsia"/>
                <w:bCs/>
                <w:kern w:val="0"/>
                <w:sz w:val="21"/>
                <w:szCs w:val="21"/>
              </w:rPr>
              <w:t>PE</w:t>
            </w:r>
            <w:r>
              <w:rPr>
                <w:bCs/>
                <w:kern w:val="0"/>
                <w:sz w:val="21"/>
                <w:szCs w:val="21"/>
              </w:rPr>
              <w:t>管熔融挤出</w:t>
            </w:r>
          </w:p>
        </w:tc>
        <w:tc>
          <w:tcPr>
            <w:tcW w:w="707" w:type="dxa"/>
            <w:vAlign w:val="center"/>
          </w:tcPr>
          <w:p>
            <w:pPr>
              <w:jc w:val="center"/>
              <w:rPr>
                <w:bCs/>
                <w:kern w:val="0"/>
                <w:sz w:val="21"/>
                <w:szCs w:val="21"/>
              </w:rPr>
            </w:pPr>
            <w:r>
              <w:rPr>
                <w:rFonts w:hint="eastAsia"/>
                <w:bCs/>
                <w:kern w:val="0"/>
                <w:sz w:val="21"/>
                <w:szCs w:val="21"/>
              </w:rPr>
              <w:t>非甲烷总烃</w:t>
            </w:r>
          </w:p>
        </w:tc>
        <w:tc>
          <w:tcPr>
            <w:tcW w:w="849" w:type="dxa"/>
            <w:vAlign w:val="center"/>
          </w:tcPr>
          <w:p>
            <w:pPr>
              <w:jc w:val="center"/>
              <w:rPr>
                <w:bCs/>
                <w:kern w:val="0"/>
                <w:sz w:val="21"/>
                <w:szCs w:val="21"/>
              </w:rPr>
            </w:pPr>
            <w:r>
              <w:rPr>
                <w:rFonts w:hint="eastAsia"/>
                <w:bCs/>
                <w:kern w:val="0"/>
                <w:sz w:val="21"/>
                <w:szCs w:val="21"/>
              </w:rPr>
              <w:t>3.38</w:t>
            </w:r>
          </w:p>
        </w:tc>
        <w:tc>
          <w:tcPr>
            <w:tcW w:w="1412" w:type="dxa"/>
            <w:vMerge w:val="continue"/>
            <w:vAlign w:val="center"/>
          </w:tcPr>
          <w:p>
            <w:pPr>
              <w:jc w:val="center"/>
              <w:rPr>
                <w:bCs/>
                <w:kern w:val="0"/>
                <w:sz w:val="21"/>
                <w:szCs w:val="21"/>
              </w:rPr>
            </w:pPr>
          </w:p>
        </w:tc>
        <w:tc>
          <w:tcPr>
            <w:tcW w:w="637" w:type="dxa"/>
            <w:vMerge w:val="continue"/>
            <w:vAlign w:val="center"/>
          </w:tcPr>
          <w:p>
            <w:pPr>
              <w:jc w:val="center"/>
              <w:rPr>
                <w:bCs/>
                <w:kern w:val="0"/>
                <w:sz w:val="21"/>
                <w:szCs w:val="21"/>
              </w:rPr>
            </w:pPr>
          </w:p>
        </w:tc>
        <w:tc>
          <w:tcPr>
            <w:tcW w:w="849" w:type="dxa"/>
            <w:vMerge w:val="continue"/>
            <w:vAlign w:val="center"/>
          </w:tcPr>
          <w:p>
            <w:pPr>
              <w:jc w:val="center"/>
              <w:rPr>
                <w:bCs/>
                <w:kern w:val="0"/>
                <w:sz w:val="21"/>
                <w:szCs w:val="21"/>
              </w:rPr>
            </w:pPr>
          </w:p>
        </w:tc>
        <w:tc>
          <w:tcPr>
            <w:tcW w:w="1197"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926"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73" w:hRule="atLeast"/>
          <w:jc w:val="center"/>
        </w:trPr>
        <w:tc>
          <w:tcPr>
            <w:tcW w:w="849" w:type="dxa"/>
            <w:vAlign w:val="center"/>
          </w:tcPr>
          <w:p>
            <w:pPr>
              <w:jc w:val="center"/>
              <w:rPr>
                <w:bCs/>
                <w:kern w:val="0"/>
                <w:sz w:val="21"/>
                <w:szCs w:val="21"/>
              </w:rPr>
            </w:pPr>
            <w:r>
              <w:rPr>
                <w:rFonts w:hint="eastAsia"/>
                <w:bCs/>
                <w:kern w:val="0"/>
                <w:sz w:val="21"/>
                <w:szCs w:val="21"/>
              </w:rPr>
              <w:t>废旧塑料膜造粒及PE管生产车间</w:t>
            </w:r>
          </w:p>
        </w:tc>
        <w:tc>
          <w:tcPr>
            <w:tcW w:w="707" w:type="dxa"/>
            <w:vAlign w:val="center"/>
          </w:tcPr>
          <w:p>
            <w:pPr>
              <w:jc w:val="center"/>
              <w:rPr>
                <w:bCs/>
                <w:kern w:val="0"/>
                <w:sz w:val="21"/>
                <w:szCs w:val="21"/>
              </w:rPr>
            </w:pPr>
            <w:r>
              <w:rPr>
                <w:rFonts w:hint="eastAsia"/>
                <w:bCs/>
                <w:kern w:val="0"/>
                <w:sz w:val="21"/>
                <w:szCs w:val="21"/>
              </w:rPr>
              <w:t>非甲烷总烃</w:t>
            </w:r>
          </w:p>
        </w:tc>
        <w:tc>
          <w:tcPr>
            <w:tcW w:w="849" w:type="dxa"/>
            <w:vAlign w:val="center"/>
          </w:tcPr>
          <w:p>
            <w:pPr>
              <w:jc w:val="center"/>
              <w:rPr>
                <w:bCs/>
                <w:kern w:val="0"/>
                <w:sz w:val="21"/>
                <w:szCs w:val="21"/>
              </w:rPr>
            </w:pPr>
            <w:r>
              <w:rPr>
                <w:rFonts w:hint="eastAsia"/>
                <w:bCs/>
                <w:kern w:val="0"/>
                <w:sz w:val="21"/>
                <w:szCs w:val="21"/>
              </w:rPr>
              <w:t>0.41</w:t>
            </w:r>
          </w:p>
        </w:tc>
        <w:tc>
          <w:tcPr>
            <w:tcW w:w="1412" w:type="dxa"/>
            <w:vAlign w:val="center"/>
          </w:tcPr>
          <w:p>
            <w:pPr>
              <w:jc w:val="center"/>
              <w:rPr>
                <w:bCs/>
                <w:kern w:val="0"/>
                <w:sz w:val="21"/>
                <w:szCs w:val="21"/>
              </w:rPr>
            </w:pPr>
            <w:r>
              <w:rPr>
                <w:rFonts w:hint="eastAsia"/>
                <w:bCs/>
                <w:kern w:val="0"/>
                <w:sz w:val="21"/>
                <w:szCs w:val="21"/>
              </w:rPr>
              <w:t>/</w:t>
            </w:r>
          </w:p>
        </w:tc>
        <w:tc>
          <w:tcPr>
            <w:tcW w:w="637" w:type="dxa"/>
            <w:vAlign w:val="center"/>
          </w:tcPr>
          <w:p>
            <w:pPr>
              <w:jc w:val="center"/>
              <w:rPr>
                <w:bCs/>
                <w:kern w:val="0"/>
                <w:sz w:val="21"/>
                <w:szCs w:val="21"/>
              </w:rPr>
            </w:pPr>
            <w:r>
              <w:rPr>
                <w:rFonts w:hint="eastAsia"/>
                <w:bCs/>
                <w:kern w:val="0"/>
                <w:sz w:val="21"/>
                <w:szCs w:val="21"/>
              </w:rPr>
              <w:t>无组织</w:t>
            </w:r>
          </w:p>
        </w:tc>
        <w:tc>
          <w:tcPr>
            <w:tcW w:w="849" w:type="dxa"/>
            <w:vAlign w:val="center"/>
          </w:tcPr>
          <w:p>
            <w:pPr>
              <w:jc w:val="center"/>
              <w:rPr>
                <w:bCs/>
                <w:kern w:val="0"/>
                <w:sz w:val="21"/>
                <w:szCs w:val="21"/>
              </w:rPr>
            </w:pPr>
            <w:r>
              <w:rPr>
                <w:rFonts w:hint="eastAsia"/>
                <w:bCs/>
                <w:kern w:val="0"/>
                <w:sz w:val="21"/>
                <w:szCs w:val="21"/>
              </w:rPr>
              <w:t>0.41</w:t>
            </w:r>
          </w:p>
        </w:tc>
        <w:tc>
          <w:tcPr>
            <w:tcW w:w="1197" w:type="dxa"/>
            <w:vAlign w:val="center"/>
          </w:tcPr>
          <w:p>
            <w:pPr>
              <w:jc w:val="center"/>
              <w:rPr>
                <w:bCs/>
                <w:kern w:val="0"/>
                <w:sz w:val="21"/>
                <w:szCs w:val="21"/>
              </w:rPr>
            </w:pP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0.09</w:t>
            </w:r>
          </w:p>
        </w:tc>
        <w:tc>
          <w:tcPr>
            <w:tcW w:w="926" w:type="dxa"/>
            <w:vAlign w:val="center"/>
          </w:tcPr>
          <w:p>
            <w:pPr>
              <w:jc w:val="center"/>
              <w:rPr>
                <w:bCs/>
                <w:kern w:val="0"/>
                <w:sz w:val="21"/>
                <w:szCs w:val="21"/>
              </w:rPr>
            </w:pPr>
            <w:r>
              <w:rPr>
                <w:rFonts w:hint="eastAsia"/>
                <w:bCs/>
                <w:kern w:val="0"/>
                <w:sz w:val="21"/>
                <w:szCs w:val="21"/>
              </w:rPr>
              <w:t>/</w:t>
            </w:r>
          </w:p>
        </w:tc>
      </w:tr>
    </w:tbl>
    <w:p>
      <w:pPr>
        <w:autoSpaceDE w:val="0"/>
        <w:autoSpaceDN w:val="0"/>
        <w:spacing w:line="460" w:lineRule="exact"/>
        <w:ind w:firstLine="480" w:firstLineChars="200"/>
        <w:rPr>
          <w:sz w:val="24"/>
        </w:rPr>
      </w:pPr>
      <w:r>
        <w:rPr>
          <w:rFonts w:hint="eastAsia"/>
          <w:sz w:val="24"/>
        </w:rPr>
        <w:t>3、臭气浓度</w:t>
      </w:r>
    </w:p>
    <w:p>
      <w:pPr>
        <w:autoSpaceDE w:val="0"/>
        <w:autoSpaceDN w:val="0"/>
        <w:spacing w:line="460" w:lineRule="exact"/>
        <w:ind w:firstLine="480" w:firstLineChars="200"/>
        <w:rPr>
          <w:sz w:val="24"/>
        </w:rPr>
      </w:pPr>
      <w:r>
        <w:rPr>
          <w:rFonts w:hint="eastAsia"/>
          <w:sz w:val="24"/>
        </w:rPr>
        <w:t>本项目产生的臭气浓度主要为塑料产品在加热熔融过程挥发的各类物质混合产生的异味，物质较多，难以定量分析，均以臭气计，项目设置的集气罩及有机废气处置措施对其有一定的去除作用，因此臭气浓度进行定性说明，根据同类项目类比分析，项目运营期在针对有机废气采取有效治理措施后，臭气浓度较小。</w:t>
      </w:r>
    </w:p>
    <w:p>
      <w:pPr>
        <w:autoSpaceDE w:val="0"/>
        <w:autoSpaceDN w:val="0"/>
        <w:spacing w:line="460" w:lineRule="exact"/>
        <w:ind w:firstLine="480" w:firstLineChars="200"/>
        <w:rPr>
          <w:sz w:val="24"/>
        </w:rPr>
      </w:pPr>
      <w:bookmarkStart w:id="160" w:name="_Hlk168302609"/>
      <w:r>
        <w:rPr>
          <w:rFonts w:hint="eastAsia"/>
          <w:sz w:val="24"/>
        </w:rPr>
        <w:t>4、单位产品非甲烷总烃排放量核算</w:t>
      </w:r>
    </w:p>
    <w:p>
      <w:pPr>
        <w:autoSpaceDE w:val="0"/>
        <w:autoSpaceDN w:val="0"/>
        <w:spacing w:line="460" w:lineRule="exact"/>
        <w:ind w:firstLine="480" w:firstLineChars="200"/>
        <w:rPr>
          <w:sz w:val="24"/>
        </w:rPr>
      </w:pPr>
      <w:r>
        <w:rPr>
          <w:rFonts w:hint="eastAsia"/>
          <w:sz w:val="24"/>
        </w:rPr>
        <w:t>根据分析，本项目运营期有组织非甲烷总烃排放量为1.55t/a，项目建成后全厂生产规模为滴灌带4000t/a、PE管2500t/a，则单位产品非甲烷总烃排放量为0.24kg/t-产品。</w:t>
      </w:r>
      <w:bookmarkEnd w:id="160"/>
    </w:p>
    <w:p>
      <w:pPr>
        <w:autoSpaceDE w:val="0"/>
        <w:autoSpaceDN w:val="0"/>
        <w:spacing w:line="460" w:lineRule="exact"/>
        <w:ind w:firstLine="480" w:firstLineChars="200"/>
        <w:rPr>
          <w:sz w:val="24"/>
        </w:rPr>
      </w:pPr>
      <w:r>
        <w:rPr>
          <w:rFonts w:hint="eastAsia"/>
          <w:sz w:val="24"/>
        </w:rPr>
        <w:t>5、项目废气产生情况统计</w:t>
      </w:r>
    </w:p>
    <w:p>
      <w:pPr>
        <w:autoSpaceDE w:val="0"/>
        <w:autoSpaceDN w:val="0"/>
        <w:spacing w:line="460" w:lineRule="exact"/>
        <w:ind w:firstLine="480" w:firstLineChars="200"/>
        <w:rPr>
          <w:sz w:val="24"/>
        </w:rPr>
      </w:pPr>
      <w:r>
        <w:rPr>
          <w:rFonts w:hint="eastAsia"/>
          <w:sz w:val="24"/>
        </w:rPr>
        <w:t>项目废气产生及排放情况详见表</w:t>
      </w:r>
      <w:r>
        <w:rPr>
          <w:sz w:val="24"/>
        </w:rPr>
        <w:t>4.4-5</w:t>
      </w:r>
      <w:r>
        <w:rPr>
          <w:rFonts w:hint="eastAsia"/>
          <w:sz w:val="24"/>
        </w:rPr>
        <w:t>。</w:t>
      </w:r>
    </w:p>
    <w:p>
      <w:pPr>
        <w:autoSpaceDE w:val="0"/>
        <w:autoSpaceDN w:val="0"/>
        <w:spacing w:line="460" w:lineRule="exact"/>
        <w:ind w:firstLine="480" w:firstLineChars="200"/>
        <w:rPr>
          <w:sz w:val="24"/>
        </w:rPr>
      </w:pPr>
    </w:p>
    <w:p>
      <w:pPr>
        <w:autoSpaceDE w:val="0"/>
        <w:autoSpaceDN w:val="0"/>
        <w:spacing w:line="460" w:lineRule="exact"/>
        <w:ind w:firstLine="480" w:firstLineChars="200"/>
        <w:rPr>
          <w:sz w:val="24"/>
        </w:rPr>
        <w:sectPr>
          <w:footerReference r:id="rId5" w:type="default"/>
          <w:pgSz w:w="11906" w:h="16838"/>
          <w:pgMar w:top="1440" w:right="1701" w:bottom="1440" w:left="1985" w:header="851" w:footer="992" w:gutter="0"/>
          <w:pgNumType w:start="1"/>
          <w:cols w:space="720" w:num="1"/>
          <w:docGrid w:linePitch="312" w:charSpace="0"/>
        </w:sectPr>
      </w:pPr>
    </w:p>
    <w:p>
      <w:pPr>
        <w:autoSpaceDE w:val="0"/>
        <w:autoSpaceDN w:val="0"/>
        <w:ind w:firstLine="420" w:firstLineChars="200"/>
        <w:rPr>
          <w:rFonts w:eastAsia="黑体"/>
        </w:rPr>
      </w:pPr>
      <w:r>
        <w:rPr>
          <w:rFonts w:hint="eastAsia" w:eastAsia="黑体"/>
        </w:rPr>
        <w:t>表</w:t>
      </w:r>
      <w:r>
        <w:rPr>
          <w:rFonts w:eastAsia="黑体"/>
        </w:rPr>
        <w:t xml:space="preserve">4.4-5                                    </w:t>
      </w:r>
      <w:r>
        <w:rPr>
          <w:rFonts w:hint="eastAsia" w:eastAsia="黑体"/>
        </w:rPr>
        <w:t>项目废气产生及排放情况一览表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651"/>
        <w:gridCol w:w="853"/>
        <w:gridCol w:w="657"/>
        <w:gridCol w:w="658"/>
        <w:gridCol w:w="1078"/>
        <w:gridCol w:w="1197"/>
        <w:gridCol w:w="1010"/>
        <w:gridCol w:w="928"/>
        <w:gridCol w:w="827"/>
        <w:gridCol w:w="642"/>
        <w:gridCol w:w="1098"/>
        <w:gridCol w:w="1200"/>
        <w:gridCol w:w="1010"/>
        <w:gridCol w:w="772"/>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restart"/>
            <w:vAlign w:val="center"/>
          </w:tcPr>
          <w:p>
            <w:pPr>
              <w:jc w:val="center"/>
              <w:rPr>
                <w:bCs/>
                <w:kern w:val="0"/>
                <w:sz w:val="21"/>
                <w:szCs w:val="21"/>
              </w:rPr>
            </w:pPr>
            <w:r>
              <w:rPr>
                <w:rFonts w:hint="eastAsia"/>
                <w:bCs/>
                <w:kern w:val="0"/>
                <w:sz w:val="21"/>
                <w:szCs w:val="21"/>
              </w:rPr>
              <w:t>生产线</w:t>
            </w:r>
          </w:p>
        </w:tc>
        <w:tc>
          <w:tcPr>
            <w:tcW w:w="651" w:type="dxa"/>
            <w:vMerge w:val="restart"/>
            <w:vAlign w:val="center"/>
          </w:tcPr>
          <w:p>
            <w:pPr>
              <w:jc w:val="center"/>
              <w:rPr>
                <w:bCs/>
                <w:kern w:val="0"/>
                <w:sz w:val="21"/>
                <w:szCs w:val="21"/>
              </w:rPr>
            </w:pPr>
            <w:r>
              <w:rPr>
                <w:rFonts w:hint="eastAsia"/>
                <w:bCs/>
                <w:kern w:val="0"/>
                <w:sz w:val="21"/>
                <w:szCs w:val="21"/>
              </w:rPr>
              <w:t>装置</w:t>
            </w:r>
          </w:p>
        </w:tc>
        <w:tc>
          <w:tcPr>
            <w:tcW w:w="853" w:type="dxa"/>
            <w:vMerge w:val="restart"/>
            <w:vAlign w:val="center"/>
          </w:tcPr>
          <w:p>
            <w:pPr>
              <w:jc w:val="center"/>
              <w:rPr>
                <w:bCs/>
                <w:kern w:val="0"/>
                <w:sz w:val="21"/>
                <w:szCs w:val="21"/>
              </w:rPr>
            </w:pPr>
            <w:r>
              <w:rPr>
                <w:rFonts w:hint="eastAsia"/>
                <w:bCs/>
                <w:kern w:val="0"/>
                <w:sz w:val="21"/>
                <w:szCs w:val="21"/>
              </w:rPr>
              <w:t>污染源</w:t>
            </w:r>
          </w:p>
        </w:tc>
        <w:tc>
          <w:tcPr>
            <w:tcW w:w="657" w:type="dxa"/>
            <w:vMerge w:val="restart"/>
            <w:vAlign w:val="center"/>
          </w:tcPr>
          <w:p>
            <w:pPr>
              <w:jc w:val="center"/>
              <w:rPr>
                <w:bCs/>
                <w:kern w:val="0"/>
                <w:sz w:val="21"/>
                <w:szCs w:val="21"/>
              </w:rPr>
            </w:pPr>
            <w:r>
              <w:rPr>
                <w:rFonts w:hint="eastAsia"/>
                <w:bCs/>
                <w:kern w:val="0"/>
                <w:sz w:val="21"/>
                <w:szCs w:val="21"/>
              </w:rPr>
              <w:t>污染物</w:t>
            </w:r>
          </w:p>
        </w:tc>
        <w:tc>
          <w:tcPr>
            <w:tcW w:w="3943" w:type="dxa"/>
            <w:gridSpan w:val="4"/>
            <w:vAlign w:val="center"/>
          </w:tcPr>
          <w:p>
            <w:pPr>
              <w:jc w:val="center"/>
              <w:rPr>
                <w:bCs/>
                <w:kern w:val="0"/>
                <w:sz w:val="21"/>
                <w:szCs w:val="21"/>
              </w:rPr>
            </w:pPr>
            <w:r>
              <w:rPr>
                <w:rFonts w:hint="eastAsia"/>
                <w:bCs/>
                <w:kern w:val="0"/>
                <w:sz w:val="21"/>
                <w:szCs w:val="21"/>
              </w:rPr>
              <w:t>污染物产生</w:t>
            </w:r>
          </w:p>
        </w:tc>
        <w:tc>
          <w:tcPr>
            <w:tcW w:w="1755" w:type="dxa"/>
            <w:gridSpan w:val="2"/>
            <w:vAlign w:val="center"/>
          </w:tcPr>
          <w:p>
            <w:pPr>
              <w:jc w:val="center"/>
              <w:rPr>
                <w:bCs/>
                <w:kern w:val="0"/>
                <w:sz w:val="21"/>
                <w:szCs w:val="21"/>
              </w:rPr>
            </w:pPr>
            <w:r>
              <w:rPr>
                <w:rFonts w:hint="eastAsia"/>
                <w:bCs/>
                <w:kern w:val="0"/>
                <w:sz w:val="21"/>
                <w:szCs w:val="21"/>
              </w:rPr>
              <w:t>治理措施</w:t>
            </w:r>
          </w:p>
        </w:tc>
        <w:tc>
          <w:tcPr>
            <w:tcW w:w="3950" w:type="dxa"/>
            <w:gridSpan w:val="4"/>
            <w:vAlign w:val="center"/>
          </w:tcPr>
          <w:p>
            <w:pPr>
              <w:jc w:val="center"/>
              <w:rPr>
                <w:bCs/>
                <w:kern w:val="0"/>
                <w:sz w:val="21"/>
                <w:szCs w:val="21"/>
              </w:rPr>
            </w:pPr>
            <w:r>
              <w:rPr>
                <w:rFonts w:hint="eastAsia"/>
                <w:bCs/>
                <w:kern w:val="0"/>
                <w:sz w:val="21"/>
                <w:szCs w:val="21"/>
              </w:rPr>
              <w:t>污染物排放</w:t>
            </w:r>
          </w:p>
        </w:tc>
        <w:tc>
          <w:tcPr>
            <w:tcW w:w="772" w:type="dxa"/>
            <w:vMerge w:val="restart"/>
            <w:vAlign w:val="center"/>
          </w:tcPr>
          <w:p>
            <w:pPr>
              <w:jc w:val="center"/>
              <w:rPr>
                <w:bCs/>
                <w:kern w:val="0"/>
                <w:sz w:val="21"/>
                <w:szCs w:val="21"/>
              </w:rPr>
            </w:pPr>
            <w:r>
              <w:rPr>
                <w:rFonts w:hint="eastAsia"/>
                <w:bCs/>
                <w:kern w:val="0"/>
                <w:sz w:val="21"/>
                <w:szCs w:val="21"/>
              </w:rPr>
              <w:t>排放时间（h）</w:t>
            </w:r>
          </w:p>
        </w:tc>
        <w:tc>
          <w:tcPr>
            <w:tcW w:w="835" w:type="dxa"/>
            <w:vMerge w:val="restart"/>
            <w:vAlign w:val="center"/>
          </w:tcPr>
          <w:p>
            <w:pPr>
              <w:jc w:val="center"/>
              <w:rPr>
                <w:bCs/>
                <w:kern w:val="0"/>
                <w:sz w:val="21"/>
                <w:szCs w:val="21"/>
              </w:rPr>
            </w:pPr>
            <w:r>
              <w:rPr>
                <w:rFonts w:hint="eastAsia"/>
                <w:bCs/>
                <w:kern w:val="0"/>
                <w:sz w:val="21"/>
                <w:szCs w:val="21"/>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vAlign w:val="center"/>
          </w:tcPr>
          <w:p>
            <w:pPr>
              <w:jc w:val="center"/>
              <w:rPr>
                <w:bCs/>
                <w:kern w:val="0"/>
                <w:sz w:val="21"/>
                <w:szCs w:val="21"/>
              </w:rPr>
            </w:pPr>
          </w:p>
        </w:tc>
        <w:tc>
          <w:tcPr>
            <w:tcW w:w="651" w:type="dxa"/>
            <w:vMerge w:val="continue"/>
            <w:vAlign w:val="center"/>
          </w:tcPr>
          <w:p>
            <w:pPr>
              <w:jc w:val="center"/>
              <w:rPr>
                <w:bCs/>
                <w:kern w:val="0"/>
                <w:sz w:val="21"/>
                <w:szCs w:val="21"/>
              </w:rPr>
            </w:pPr>
          </w:p>
        </w:tc>
        <w:tc>
          <w:tcPr>
            <w:tcW w:w="853" w:type="dxa"/>
            <w:vMerge w:val="continue"/>
            <w:vAlign w:val="center"/>
          </w:tcPr>
          <w:p>
            <w:pPr>
              <w:jc w:val="center"/>
              <w:rPr>
                <w:bCs/>
                <w:kern w:val="0"/>
                <w:sz w:val="21"/>
                <w:szCs w:val="21"/>
              </w:rPr>
            </w:pPr>
          </w:p>
        </w:tc>
        <w:tc>
          <w:tcPr>
            <w:tcW w:w="657" w:type="dxa"/>
            <w:vMerge w:val="continue"/>
            <w:vAlign w:val="center"/>
          </w:tcPr>
          <w:p>
            <w:pPr>
              <w:jc w:val="center"/>
              <w:rPr>
                <w:bCs/>
                <w:kern w:val="0"/>
                <w:sz w:val="21"/>
                <w:szCs w:val="21"/>
              </w:rPr>
            </w:pPr>
          </w:p>
        </w:tc>
        <w:tc>
          <w:tcPr>
            <w:tcW w:w="658" w:type="dxa"/>
            <w:vAlign w:val="center"/>
          </w:tcPr>
          <w:p>
            <w:pPr>
              <w:jc w:val="center"/>
              <w:rPr>
                <w:bCs/>
                <w:kern w:val="0"/>
                <w:sz w:val="21"/>
                <w:szCs w:val="21"/>
              </w:rPr>
            </w:pPr>
            <w:r>
              <w:rPr>
                <w:rFonts w:hint="eastAsia"/>
                <w:bCs/>
                <w:kern w:val="0"/>
                <w:sz w:val="21"/>
                <w:szCs w:val="21"/>
              </w:rPr>
              <w:t>核算方法</w:t>
            </w:r>
          </w:p>
        </w:tc>
        <w:tc>
          <w:tcPr>
            <w:tcW w:w="1078" w:type="dxa"/>
            <w:vAlign w:val="center"/>
          </w:tcPr>
          <w:p>
            <w:pPr>
              <w:jc w:val="center"/>
              <w:rPr>
                <w:bCs/>
                <w:kern w:val="0"/>
                <w:sz w:val="21"/>
                <w:szCs w:val="21"/>
              </w:rPr>
            </w:pPr>
            <w:r>
              <w:rPr>
                <w:rFonts w:hint="eastAsia"/>
                <w:bCs/>
                <w:kern w:val="0"/>
                <w:sz w:val="21"/>
                <w:szCs w:val="21"/>
              </w:rPr>
              <w:t>废气产生量（m</w:t>
            </w:r>
            <w:r>
              <w:rPr>
                <w:rFonts w:hint="eastAsia"/>
                <w:bCs/>
                <w:kern w:val="0"/>
                <w:sz w:val="21"/>
                <w:szCs w:val="21"/>
                <w:vertAlign w:val="superscript"/>
              </w:rPr>
              <w:t>3</w:t>
            </w:r>
            <w:r>
              <w:rPr>
                <w:rFonts w:hint="eastAsia"/>
                <w:bCs/>
                <w:kern w:val="0"/>
                <w:sz w:val="21"/>
                <w:szCs w:val="21"/>
              </w:rPr>
              <w:t>/h）</w:t>
            </w:r>
          </w:p>
        </w:tc>
        <w:tc>
          <w:tcPr>
            <w:tcW w:w="1197" w:type="dxa"/>
            <w:vAlign w:val="center"/>
          </w:tcPr>
          <w:p>
            <w:pPr>
              <w:jc w:val="center"/>
              <w:rPr>
                <w:bCs/>
                <w:kern w:val="0"/>
                <w:sz w:val="21"/>
                <w:szCs w:val="21"/>
              </w:rPr>
            </w:pPr>
            <w:r>
              <w:rPr>
                <w:rFonts w:hint="eastAsia"/>
                <w:bCs/>
                <w:kern w:val="0"/>
                <w:sz w:val="21"/>
                <w:szCs w:val="21"/>
              </w:rPr>
              <w:t>产生浓度（mg/m</w:t>
            </w:r>
            <w:r>
              <w:rPr>
                <w:rFonts w:hint="eastAsia"/>
                <w:bCs/>
                <w:kern w:val="0"/>
                <w:sz w:val="21"/>
                <w:szCs w:val="21"/>
                <w:vertAlign w:val="superscript"/>
              </w:rPr>
              <w:t>3</w:t>
            </w: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产生量（kg/h）</w:t>
            </w:r>
          </w:p>
        </w:tc>
        <w:tc>
          <w:tcPr>
            <w:tcW w:w="928" w:type="dxa"/>
            <w:vAlign w:val="center"/>
          </w:tcPr>
          <w:p>
            <w:pPr>
              <w:jc w:val="center"/>
              <w:rPr>
                <w:bCs/>
                <w:kern w:val="0"/>
                <w:sz w:val="21"/>
                <w:szCs w:val="21"/>
              </w:rPr>
            </w:pPr>
            <w:r>
              <w:rPr>
                <w:rFonts w:hint="eastAsia"/>
                <w:bCs/>
                <w:kern w:val="0"/>
                <w:sz w:val="21"/>
                <w:szCs w:val="21"/>
              </w:rPr>
              <w:t>工艺</w:t>
            </w:r>
          </w:p>
        </w:tc>
        <w:tc>
          <w:tcPr>
            <w:tcW w:w="827" w:type="dxa"/>
            <w:vAlign w:val="center"/>
          </w:tcPr>
          <w:p>
            <w:pPr>
              <w:jc w:val="center"/>
              <w:rPr>
                <w:bCs/>
                <w:kern w:val="0"/>
                <w:sz w:val="21"/>
                <w:szCs w:val="21"/>
              </w:rPr>
            </w:pPr>
            <w:r>
              <w:rPr>
                <w:rFonts w:hint="eastAsia"/>
                <w:bCs/>
                <w:kern w:val="0"/>
                <w:sz w:val="21"/>
                <w:szCs w:val="21"/>
              </w:rPr>
              <w:t>效率（%）</w:t>
            </w:r>
          </w:p>
        </w:tc>
        <w:tc>
          <w:tcPr>
            <w:tcW w:w="642" w:type="dxa"/>
            <w:vAlign w:val="center"/>
          </w:tcPr>
          <w:p>
            <w:pPr>
              <w:jc w:val="center"/>
              <w:rPr>
                <w:bCs/>
                <w:kern w:val="0"/>
                <w:sz w:val="21"/>
                <w:szCs w:val="21"/>
              </w:rPr>
            </w:pPr>
            <w:r>
              <w:rPr>
                <w:rFonts w:hint="eastAsia"/>
                <w:bCs/>
                <w:kern w:val="0"/>
                <w:sz w:val="21"/>
                <w:szCs w:val="21"/>
              </w:rPr>
              <w:t>核算方法</w:t>
            </w:r>
          </w:p>
        </w:tc>
        <w:tc>
          <w:tcPr>
            <w:tcW w:w="1098" w:type="dxa"/>
            <w:vAlign w:val="center"/>
          </w:tcPr>
          <w:p>
            <w:pPr>
              <w:jc w:val="center"/>
              <w:rPr>
                <w:bCs/>
                <w:kern w:val="0"/>
                <w:sz w:val="21"/>
                <w:szCs w:val="21"/>
              </w:rPr>
            </w:pPr>
            <w:r>
              <w:rPr>
                <w:rFonts w:hint="eastAsia"/>
                <w:bCs/>
                <w:kern w:val="0"/>
                <w:sz w:val="21"/>
                <w:szCs w:val="21"/>
              </w:rPr>
              <w:t>废气排放量（m</w:t>
            </w:r>
            <w:r>
              <w:rPr>
                <w:rFonts w:hint="eastAsia"/>
                <w:bCs/>
                <w:kern w:val="0"/>
                <w:sz w:val="21"/>
                <w:szCs w:val="21"/>
                <w:vertAlign w:val="superscript"/>
              </w:rPr>
              <w:t>3</w:t>
            </w:r>
            <w:r>
              <w:rPr>
                <w:rFonts w:hint="eastAsia"/>
                <w:bCs/>
                <w:kern w:val="0"/>
                <w:sz w:val="21"/>
                <w:szCs w:val="21"/>
              </w:rPr>
              <w:t>/h）</w:t>
            </w:r>
          </w:p>
        </w:tc>
        <w:tc>
          <w:tcPr>
            <w:tcW w:w="1200" w:type="dxa"/>
            <w:vAlign w:val="center"/>
          </w:tcPr>
          <w:p>
            <w:pPr>
              <w:jc w:val="center"/>
              <w:rPr>
                <w:bCs/>
                <w:kern w:val="0"/>
                <w:sz w:val="21"/>
                <w:szCs w:val="21"/>
              </w:rPr>
            </w:pPr>
            <w:r>
              <w:rPr>
                <w:rFonts w:hint="eastAsia"/>
                <w:bCs/>
                <w:kern w:val="0"/>
                <w:sz w:val="21"/>
                <w:szCs w:val="21"/>
              </w:rPr>
              <w:t>排放浓度（mg/m</w:t>
            </w:r>
            <w:r>
              <w:rPr>
                <w:rFonts w:hint="eastAsia"/>
                <w:bCs/>
                <w:kern w:val="0"/>
                <w:sz w:val="21"/>
                <w:szCs w:val="21"/>
                <w:vertAlign w:val="superscript"/>
              </w:rPr>
              <w:t>3</w:t>
            </w:r>
            <w:r>
              <w:rPr>
                <w:rFonts w:hint="eastAsia"/>
                <w:bCs/>
                <w:kern w:val="0"/>
                <w:sz w:val="21"/>
                <w:szCs w:val="21"/>
              </w:rPr>
              <w:t>）</w:t>
            </w:r>
          </w:p>
        </w:tc>
        <w:tc>
          <w:tcPr>
            <w:tcW w:w="1010" w:type="dxa"/>
            <w:vAlign w:val="center"/>
          </w:tcPr>
          <w:p>
            <w:pPr>
              <w:jc w:val="center"/>
              <w:rPr>
                <w:bCs/>
                <w:kern w:val="0"/>
                <w:sz w:val="21"/>
                <w:szCs w:val="21"/>
              </w:rPr>
            </w:pPr>
            <w:r>
              <w:rPr>
                <w:rFonts w:hint="eastAsia"/>
                <w:bCs/>
                <w:kern w:val="0"/>
                <w:sz w:val="21"/>
                <w:szCs w:val="21"/>
              </w:rPr>
              <w:t>排放量（kg/h）</w:t>
            </w:r>
          </w:p>
        </w:tc>
        <w:tc>
          <w:tcPr>
            <w:tcW w:w="772" w:type="dxa"/>
            <w:vMerge w:val="continue"/>
            <w:vAlign w:val="center"/>
          </w:tcPr>
          <w:p>
            <w:pPr>
              <w:jc w:val="center"/>
              <w:rPr>
                <w:bCs/>
                <w:kern w:val="0"/>
                <w:sz w:val="21"/>
                <w:szCs w:val="21"/>
              </w:rPr>
            </w:pPr>
          </w:p>
        </w:tc>
        <w:tc>
          <w:tcPr>
            <w:tcW w:w="835"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废旧滴灌带造粒造粒</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Align w:val="center"/>
          </w:tcPr>
          <w:p>
            <w:pPr>
              <w:jc w:val="center"/>
              <w:rPr>
                <w:bCs/>
                <w:kern w:val="0"/>
                <w:sz w:val="21"/>
                <w:szCs w:val="21"/>
              </w:rPr>
            </w:pPr>
            <w:r>
              <w:rPr>
                <w:rFonts w:hint="eastAsia"/>
                <w:bCs/>
                <w:kern w:val="0"/>
                <w:sz w:val="21"/>
                <w:szCs w:val="21"/>
              </w:rPr>
              <w:t>废旧滴灌带造粒熔融挤出</w:t>
            </w:r>
          </w:p>
        </w:tc>
        <w:tc>
          <w:tcPr>
            <w:tcW w:w="657" w:type="dxa"/>
            <w:vAlign w:val="center"/>
          </w:tcPr>
          <w:p>
            <w:pPr>
              <w:jc w:val="center"/>
              <w:rPr>
                <w:bCs/>
                <w:kern w:val="0"/>
                <w:sz w:val="21"/>
                <w:szCs w:val="21"/>
              </w:rPr>
            </w:pPr>
            <w:r>
              <w:rPr>
                <w:rFonts w:hint="eastAsia"/>
                <w:bCs/>
                <w:kern w:val="0"/>
                <w:sz w:val="21"/>
                <w:szCs w:val="21"/>
              </w:rPr>
              <w:t>非甲烷总烃</w:t>
            </w:r>
          </w:p>
        </w:tc>
        <w:tc>
          <w:tcPr>
            <w:tcW w:w="658" w:type="dxa"/>
            <w:vAlign w:val="center"/>
          </w:tcPr>
          <w:p>
            <w:pPr>
              <w:jc w:val="center"/>
              <w:rPr>
                <w:bCs/>
                <w:kern w:val="0"/>
                <w:sz w:val="21"/>
                <w:szCs w:val="21"/>
              </w:rPr>
            </w:pPr>
            <w:r>
              <w:rPr>
                <w:rFonts w:hint="eastAsia"/>
                <w:bCs/>
                <w:kern w:val="0"/>
                <w:sz w:val="21"/>
                <w:szCs w:val="21"/>
              </w:rPr>
              <w:t>产污系数法</w:t>
            </w:r>
          </w:p>
        </w:tc>
        <w:tc>
          <w:tcPr>
            <w:tcW w:w="1078" w:type="dxa"/>
            <w:vAlign w:val="center"/>
          </w:tcPr>
          <w:p>
            <w:pPr>
              <w:jc w:val="center"/>
              <w:rPr>
                <w:bCs/>
                <w:kern w:val="0"/>
                <w:sz w:val="21"/>
                <w:szCs w:val="21"/>
              </w:rPr>
            </w:pPr>
            <w:r>
              <w:rPr>
                <w:rFonts w:hint="eastAsia"/>
                <w:bCs/>
                <w:kern w:val="0"/>
                <w:sz w:val="21"/>
                <w:szCs w:val="21"/>
              </w:rPr>
              <w:t>3500</w:t>
            </w:r>
          </w:p>
        </w:tc>
        <w:tc>
          <w:tcPr>
            <w:tcW w:w="1197" w:type="dxa"/>
            <w:vAlign w:val="center"/>
          </w:tcPr>
          <w:p>
            <w:pPr>
              <w:jc w:val="center"/>
              <w:rPr>
                <w:bCs/>
                <w:kern w:val="0"/>
                <w:sz w:val="21"/>
                <w:szCs w:val="21"/>
              </w:rPr>
            </w:pPr>
            <w:r>
              <w:rPr>
                <w:rFonts w:hint="eastAsia"/>
                <w:bCs/>
                <w:kern w:val="0"/>
                <w:sz w:val="21"/>
                <w:szCs w:val="21"/>
              </w:rPr>
              <w:t>77.14</w:t>
            </w:r>
          </w:p>
        </w:tc>
        <w:tc>
          <w:tcPr>
            <w:tcW w:w="1010" w:type="dxa"/>
            <w:vAlign w:val="center"/>
          </w:tcPr>
          <w:p>
            <w:pPr>
              <w:jc w:val="center"/>
              <w:rPr>
                <w:bCs/>
                <w:kern w:val="0"/>
                <w:sz w:val="21"/>
                <w:szCs w:val="21"/>
              </w:rPr>
            </w:pPr>
            <w:r>
              <w:rPr>
                <w:rFonts w:hint="eastAsia"/>
                <w:bCs/>
                <w:kern w:val="0"/>
                <w:sz w:val="21"/>
                <w:szCs w:val="21"/>
              </w:rPr>
              <w:t>0.27</w:t>
            </w:r>
          </w:p>
        </w:tc>
        <w:tc>
          <w:tcPr>
            <w:tcW w:w="928" w:type="dxa"/>
            <w:vMerge w:val="restart"/>
            <w:vAlign w:val="center"/>
          </w:tcPr>
          <w:p>
            <w:pPr>
              <w:jc w:val="center"/>
              <w:rPr>
                <w:bCs/>
                <w:kern w:val="0"/>
                <w:sz w:val="21"/>
                <w:szCs w:val="21"/>
              </w:rPr>
            </w:pPr>
            <w:r>
              <w:rPr>
                <w:rFonts w:hint="eastAsia"/>
                <w:bCs/>
                <w:kern w:val="0"/>
                <w:sz w:val="21"/>
                <w:szCs w:val="21"/>
              </w:rPr>
              <w:t>活性炭吸附+催化燃烧（CO）</w:t>
            </w:r>
          </w:p>
        </w:tc>
        <w:tc>
          <w:tcPr>
            <w:tcW w:w="827" w:type="dxa"/>
            <w:vMerge w:val="restart"/>
            <w:vAlign w:val="center"/>
          </w:tcPr>
          <w:p>
            <w:pPr>
              <w:jc w:val="center"/>
              <w:rPr>
                <w:bCs/>
                <w:kern w:val="0"/>
                <w:sz w:val="21"/>
                <w:szCs w:val="21"/>
              </w:rPr>
            </w:pPr>
            <w:r>
              <w:rPr>
                <w:rFonts w:hint="eastAsia"/>
                <w:bCs/>
                <w:kern w:val="0"/>
                <w:sz w:val="21"/>
                <w:szCs w:val="21"/>
              </w:rPr>
              <w:t>85</w:t>
            </w:r>
          </w:p>
        </w:tc>
        <w:tc>
          <w:tcPr>
            <w:tcW w:w="642" w:type="dxa"/>
            <w:vMerge w:val="restart"/>
            <w:vAlign w:val="center"/>
          </w:tcPr>
          <w:p>
            <w:pPr>
              <w:jc w:val="center"/>
              <w:rPr>
                <w:bCs/>
                <w:kern w:val="0"/>
                <w:sz w:val="21"/>
                <w:szCs w:val="21"/>
              </w:rPr>
            </w:pPr>
            <w:r>
              <w:rPr>
                <w:rFonts w:hint="eastAsia"/>
                <w:bCs/>
                <w:kern w:val="0"/>
                <w:sz w:val="21"/>
                <w:szCs w:val="21"/>
              </w:rPr>
              <w:t>产污系数法</w:t>
            </w:r>
          </w:p>
        </w:tc>
        <w:tc>
          <w:tcPr>
            <w:tcW w:w="1098" w:type="dxa"/>
            <w:vMerge w:val="restart"/>
            <w:vAlign w:val="center"/>
          </w:tcPr>
          <w:p>
            <w:pPr>
              <w:jc w:val="center"/>
              <w:rPr>
                <w:bCs/>
                <w:kern w:val="0"/>
                <w:sz w:val="21"/>
                <w:szCs w:val="21"/>
              </w:rPr>
            </w:pPr>
            <w:r>
              <w:rPr>
                <w:rFonts w:hint="eastAsia"/>
                <w:bCs/>
                <w:kern w:val="0"/>
                <w:sz w:val="21"/>
                <w:szCs w:val="21"/>
              </w:rPr>
              <w:t>52500</w:t>
            </w:r>
          </w:p>
        </w:tc>
        <w:tc>
          <w:tcPr>
            <w:tcW w:w="1200" w:type="dxa"/>
            <w:vMerge w:val="restart"/>
            <w:vAlign w:val="center"/>
          </w:tcPr>
          <w:p>
            <w:pPr>
              <w:jc w:val="center"/>
              <w:rPr>
                <w:bCs/>
                <w:kern w:val="0"/>
                <w:sz w:val="21"/>
                <w:szCs w:val="21"/>
              </w:rPr>
            </w:pPr>
            <w:r>
              <w:rPr>
                <w:rFonts w:hint="eastAsia"/>
                <w:bCs/>
                <w:kern w:val="0"/>
                <w:sz w:val="21"/>
                <w:szCs w:val="21"/>
              </w:rPr>
              <w:t>4.38</w:t>
            </w:r>
          </w:p>
        </w:tc>
        <w:tc>
          <w:tcPr>
            <w:tcW w:w="1010" w:type="dxa"/>
            <w:vMerge w:val="restart"/>
            <w:vAlign w:val="center"/>
          </w:tcPr>
          <w:p>
            <w:pPr>
              <w:jc w:val="center"/>
              <w:rPr>
                <w:bCs/>
                <w:kern w:val="0"/>
                <w:sz w:val="21"/>
                <w:szCs w:val="21"/>
              </w:rPr>
            </w:pPr>
            <w:r>
              <w:rPr>
                <w:rFonts w:hint="eastAsia"/>
                <w:bCs/>
                <w:kern w:val="0"/>
                <w:sz w:val="21"/>
                <w:szCs w:val="21"/>
              </w:rPr>
              <w:t>0.23</w:t>
            </w:r>
          </w:p>
        </w:tc>
        <w:tc>
          <w:tcPr>
            <w:tcW w:w="772" w:type="dxa"/>
            <w:vMerge w:val="restart"/>
            <w:vAlign w:val="center"/>
          </w:tcPr>
          <w:p>
            <w:pPr>
              <w:jc w:val="center"/>
              <w:rPr>
                <w:bCs/>
                <w:kern w:val="0"/>
                <w:sz w:val="21"/>
                <w:szCs w:val="21"/>
              </w:rPr>
            </w:pPr>
            <w:r>
              <w:rPr>
                <w:rFonts w:hint="eastAsia"/>
                <w:bCs/>
                <w:kern w:val="0"/>
                <w:sz w:val="21"/>
                <w:szCs w:val="21"/>
              </w:rPr>
              <w:t>4320</w:t>
            </w:r>
          </w:p>
        </w:tc>
        <w:tc>
          <w:tcPr>
            <w:tcW w:w="835" w:type="dxa"/>
            <w:vMerge w:val="restart"/>
            <w:vAlign w:val="center"/>
          </w:tcPr>
          <w:p>
            <w:pPr>
              <w:jc w:val="center"/>
              <w:rPr>
                <w:bCs/>
                <w:kern w:val="0"/>
                <w:sz w:val="21"/>
                <w:szCs w:val="21"/>
              </w:rPr>
            </w:pPr>
            <w:r>
              <w:rPr>
                <w:rFonts w:hint="eastAsia"/>
                <w:bCs/>
                <w:kern w:val="0"/>
                <w:sz w:val="21"/>
                <w:szCs w:val="21"/>
              </w:rPr>
              <w:t>DA</w:t>
            </w:r>
            <w:r>
              <w:rPr>
                <w:bCs/>
                <w:kern w:val="0"/>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滴灌带生产（包括现有）</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Align w:val="center"/>
          </w:tcPr>
          <w:p>
            <w:pPr>
              <w:jc w:val="center"/>
              <w:rPr>
                <w:bCs/>
                <w:kern w:val="0"/>
                <w:sz w:val="21"/>
                <w:szCs w:val="21"/>
              </w:rPr>
            </w:pPr>
            <w:r>
              <w:rPr>
                <w:rFonts w:hint="eastAsia"/>
                <w:bCs/>
                <w:kern w:val="0"/>
                <w:sz w:val="21"/>
                <w:szCs w:val="21"/>
              </w:rPr>
              <w:t>滴灌带熔融挤出</w:t>
            </w:r>
          </w:p>
        </w:tc>
        <w:tc>
          <w:tcPr>
            <w:tcW w:w="657" w:type="dxa"/>
            <w:vAlign w:val="center"/>
          </w:tcPr>
          <w:p>
            <w:pPr>
              <w:jc w:val="center"/>
              <w:rPr>
                <w:bCs/>
                <w:kern w:val="0"/>
                <w:sz w:val="21"/>
                <w:szCs w:val="21"/>
              </w:rPr>
            </w:pPr>
            <w:r>
              <w:rPr>
                <w:rFonts w:hint="eastAsia"/>
                <w:bCs/>
                <w:kern w:val="0"/>
                <w:sz w:val="21"/>
                <w:szCs w:val="21"/>
              </w:rPr>
              <w:t>非甲烷总烃</w:t>
            </w:r>
          </w:p>
        </w:tc>
        <w:tc>
          <w:tcPr>
            <w:tcW w:w="658" w:type="dxa"/>
            <w:vAlign w:val="center"/>
          </w:tcPr>
          <w:p>
            <w:pPr>
              <w:jc w:val="center"/>
              <w:rPr>
                <w:bCs/>
                <w:kern w:val="0"/>
                <w:sz w:val="21"/>
                <w:szCs w:val="21"/>
              </w:rPr>
            </w:pPr>
            <w:r>
              <w:rPr>
                <w:rFonts w:hint="eastAsia"/>
                <w:bCs/>
                <w:kern w:val="0"/>
                <w:sz w:val="21"/>
                <w:szCs w:val="21"/>
              </w:rPr>
              <w:t>产污系数法</w:t>
            </w:r>
          </w:p>
        </w:tc>
        <w:tc>
          <w:tcPr>
            <w:tcW w:w="1078" w:type="dxa"/>
            <w:vAlign w:val="center"/>
          </w:tcPr>
          <w:p>
            <w:pPr>
              <w:jc w:val="center"/>
              <w:rPr>
                <w:bCs/>
                <w:kern w:val="0"/>
                <w:sz w:val="21"/>
                <w:szCs w:val="21"/>
              </w:rPr>
            </w:pPr>
            <w:r>
              <w:rPr>
                <w:rFonts w:hint="eastAsia"/>
                <w:bCs/>
                <w:kern w:val="0"/>
                <w:sz w:val="21"/>
                <w:szCs w:val="21"/>
              </w:rPr>
              <w:t>49000</w:t>
            </w:r>
          </w:p>
        </w:tc>
        <w:tc>
          <w:tcPr>
            <w:tcW w:w="1197" w:type="dxa"/>
            <w:vAlign w:val="center"/>
          </w:tcPr>
          <w:p>
            <w:pPr>
              <w:jc w:val="center"/>
              <w:rPr>
                <w:bCs/>
                <w:kern w:val="0"/>
                <w:sz w:val="21"/>
                <w:szCs w:val="21"/>
              </w:rPr>
            </w:pPr>
            <w:r>
              <w:rPr>
                <w:rFonts w:hint="eastAsia"/>
                <w:bCs/>
                <w:kern w:val="0"/>
                <w:sz w:val="21"/>
                <w:szCs w:val="21"/>
              </w:rPr>
              <w:t>25.51</w:t>
            </w:r>
          </w:p>
        </w:tc>
        <w:tc>
          <w:tcPr>
            <w:tcW w:w="1010" w:type="dxa"/>
            <w:vAlign w:val="center"/>
          </w:tcPr>
          <w:p>
            <w:pPr>
              <w:jc w:val="center"/>
              <w:rPr>
                <w:bCs/>
                <w:kern w:val="0"/>
                <w:sz w:val="21"/>
                <w:szCs w:val="21"/>
              </w:rPr>
            </w:pPr>
            <w:r>
              <w:rPr>
                <w:rFonts w:hint="eastAsia"/>
                <w:bCs/>
                <w:kern w:val="0"/>
                <w:sz w:val="21"/>
                <w:szCs w:val="21"/>
              </w:rPr>
              <w:t>1.25</w:t>
            </w:r>
          </w:p>
        </w:tc>
        <w:tc>
          <w:tcPr>
            <w:tcW w:w="928" w:type="dxa"/>
            <w:vMerge w:val="continue"/>
            <w:vAlign w:val="center"/>
          </w:tcPr>
          <w:p>
            <w:pPr>
              <w:jc w:val="center"/>
              <w:rPr>
                <w:bCs/>
                <w:kern w:val="0"/>
                <w:sz w:val="21"/>
                <w:szCs w:val="21"/>
              </w:rPr>
            </w:pPr>
          </w:p>
        </w:tc>
        <w:tc>
          <w:tcPr>
            <w:tcW w:w="827" w:type="dxa"/>
            <w:vMerge w:val="continue"/>
            <w:vAlign w:val="center"/>
          </w:tcPr>
          <w:p>
            <w:pPr>
              <w:jc w:val="center"/>
              <w:rPr>
                <w:bCs/>
                <w:kern w:val="0"/>
                <w:sz w:val="21"/>
                <w:szCs w:val="21"/>
              </w:rPr>
            </w:pPr>
          </w:p>
        </w:tc>
        <w:tc>
          <w:tcPr>
            <w:tcW w:w="642" w:type="dxa"/>
            <w:vMerge w:val="continue"/>
            <w:vAlign w:val="center"/>
          </w:tcPr>
          <w:p>
            <w:pPr>
              <w:jc w:val="center"/>
              <w:rPr>
                <w:bCs/>
                <w:kern w:val="0"/>
                <w:sz w:val="21"/>
                <w:szCs w:val="21"/>
              </w:rPr>
            </w:pPr>
          </w:p>
        </w:tc>
        <w:tc>
          <w:tcPr>
            <w:tcW w:w="1098" w:type="dxa"/>
            <w:vMerge w:val="continue"/>
            <w:vAlign w:val="center"/>
          </w:tcPr>
          <w:p>
            <w:pPr>
              <w:jc w:val="center"/>
              <w:rPr>
                <w:bCs/>
                <w:kern w:val="0"/>
                <w:sz w:val="21"/>
                <w:szCs w:val="21"/>
              </w:rPr>
            </w:pPr>
          </w:p>
        </w:tc>
        <w:tc>
          <w:tcPr>
            <w:tcW w:w="1200"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772" w:type="dxa"/>
            <w:vMerge w:val="continue"/>
            <w:vAlign w:val="center"/>
          </w:tcPr>
          <w:p>
            <w:pPr>
              <w:jc w:val="center"/>
              <w:rPr>
                <w:bCs/>
                <w:kern w:val="0"/>
                <w:sz w:val="21"/>
                <w:szCs w:val="21"/>
              </w:rPr>
            </w:pPr>
          </w:p>
        </w:tc>
        <w:tc>
          <w:tcPr>
            <w:tcW w:w="835"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废旧塑料膜造粒</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Align w:val="center"/>
          </w:tcPr>
          <w:p>
            <w:pPr>
              <w:jc w:val="center"/>
              <w:rPr>
                <w:bCs/>
                <w:kern w:val="0"/>
                <w:sz w:val="21"/>
                <w:szCs w:val="21"/>
              </w:rPr>
            </w:pPr>
            <w:r>
              <w:rPr>
                <w:rFonts w:hint="eastAsia"/>
                <w:bCs/>
                <w:kern w:val="0"/>
                <w:sz w:val="21"/>
                <w:szCs w:val="21"/>
              </w:rPr>
              <w:t>废旧塑料膜熔融挤出</w:t>
            </w:r>
          </w:p>
        </w:tc>
        <w:tc>
          <w:tcPr>
            <w:tcW w:w="657" w:type="dxa"/>
            <w:vAlign w:val="center"/>
          </w:tcPr>
          <w:p>
            <w:pPr>
              <w:jc w:val="center"/>
              <w:rPr>
                <w:bCs/>
                <w:kern w:val="0"/>
                <w:sz w:val="21"/>
                <w:szCs w:val="21"/>
              </w:rPr>
            </w:pPr>
            <w:r>
              <w:rPr>
                <w:rFonts w:hint="eastAsia"/>
                <w:bCs/>
                <w:kern w:val="0"/>
                <w:sz w:val="21"/>
                <w:szCs w:val="21"/>
              </w:rPr>
              <w:t>非甲烷总烃</w:t>
            </w:r>
          </w:p>
        </w:tc>
        <w:tc>
          <w:tcPr>
            <w:tcW w:w="658" w:type="dxa"/>
            <w:vAlign w:val="center"/>
          </w:tcPr>
          <w:p>
            <w:pPr>
              <w:jc w:val="center"/>
              <w:rPr>
                <w:bCs/>
                <w:kern w:val="0"/>
                <w:sz w:val="21"/>
                <w:szCs w:val="21"/>
              </w:rPr>
            </w:pPr>
            <w:r>
              <w:rPr>
                <w:rFonts w:hint="eastAsia"/>
                <w:bCs/>
                <w:kern w:val="0"/>
                <w:sz w:val="21"/>
                <w:szCs w:val="21"/>
              </w:rPr>
              <w:t>产污系数法</w:t>
            </w:r>
          </w:p>
        </w:tc>
        <w:tc>
          <w:tcPr>
            <w:tcW w:w="1078" w:type="dxa"/>
            <w:vAlign w:val="center"/>
          </w:tcPr>
          <w:p>
            <w:pPr>
              <w:jc w:val="center"/>
              <w:rPr>
                <w:bCs/>
                <w:kern w:val="0"/>
                <w:sz w:val="21"/>
                <w:szCs w:val="21"/>
              </w:rPr>
            </w:pPr>
            <w:r>
              <w:rPr>
                <w:rFonts w:hint="eastAsia"/>
                <w:bCs/>
                <w:kern w:val="0"/>
                <w:sz w:val="21"/>
                <w:szCs w:val="21"/>
              </w:rPr>
              <w:t>3500</w:t>
            </w:r>
          </w:p>
        </w:tc>
        <w:tc>
          <w:tcPr>
            <w:tcW w:w="1197" w:type="dxa"/>
            <w:vAlign w:val="center"/>
          </w:tcPr>
          <w:p>
            <w:pPr>
              <w:jc w:val="center"/>
              <w:rPr>
                <w:bCs/>
                <w:kern w:val="0"/>
                <w:sz w:val="21"/>
                <w:szCs w:val="21"/>
              </w:rPr>
            </w:pPr>
            <w:r>
              <w:rPr>
                <w:rFonts w:hint="eastAsia"/>
                <w:bCs/>
                <w:kern w:val="0"/>
                <w:sz w:val="21"/>
                <w:szCs w:val="21"/>
              </w:rPr>
              <w:t>25.71</w:t>
            </w:r>
          </w:p>
        </w:tc>
        <w:tc>
          <w:tcPr>
            <w:tcW w:w="1010" w:type="dxa"/>
            <w:vAlign w:val="center"/>
          </w:tcPr>
          <w:p>
            <w:pPr>
              <w:jc w:val="center"/>
              <w:rPr>
                <w:bCs/>
                <w:kern w:val="0"/>
                <w:sz w:val="21"/>
                <w:szCs w:val="21"/>
              </w:rPr>
            </w:pPr>
            <w:r>
              <w:rPr>
                <w:rFonts w:hint="eastAsia"/>
                <w:bCs/>
                <w:kern w:val="0"/>
                <w:sz w:val="21"/>
                <w:szCs w:val="21"/>
              </w:rPr>
              <w:t>0.09</w:t>
            </w:r>
          </w:p>
        </w:tc>
        <w:tc>
          <w:tcPr>
            <w:tcW w:w="928" w:type="dxa"/>
            <w:vMerge w:val="restart"/>
            <w:vAlign w:val="center"/>
          </w:tcPr>
          <w:p>
            <w:pPr>
              <w:jc w:val="center"/>
              <w:rPr>
                <w:bCs/>
                <w:kern w:val="0"/>
                <w:sz w:val="21"/>
                <w:szCs w:val="21"/>
              </w:rPr>
            </w:pPr>
            <w:r>
              <w:rPr>
                <w:rFonts w:hint="eastAsia"/>
                <w:bCs/>
                <w:kern w:val="0"/>
                <w:sz w:val="21"/>
                <w:szCs w:val="21"/>
              </w:rPr>
              <w:t>活性炭吸附+催化燃烧（CO）</w:t>
            </w:r>
          </w:p>
        </w:tc>
        <w:tc>
          <w:tcPr>
            <w:tcW w:w="827" w:type="dxa"/>
            <w:vMerge w:val="restart"/>
            <w:vAlign w:val="center"/>
          </w:tcPr>
          <w:p>
            <w:pPr>
              <w:jc w:val="center"/>
              <w:rPr>
                <w:bCs/>
                <w:kern w:val="0"/>
                <w:sz w:val="21"/>
                <w:szCs w:val="21"/>
              </w:rPr>
            </w:pPr>
            <w:r>
              <w:rPr>
                <w:rFonts w:hint="eastAsia"/>
                <w:bCs/>
                <w:kern w:val="0"/>
                <w:sz w:val="21"/>
                <w:szCs w:val="21"/>
              </w:rPr>
              <w:t>85</w:t>
            </w:r>
          </w:p>
        </w:tc>
        <w:tc>
          <w:tcPr>
            <w:tcW w:w="642" w:type="dxa"/>
            <w:vMerge w:val="restart"/>
            <w:vAlign w:val="center"/>
          </w:tcPr>
          <w:p>
            <w:pPr>
              <w:jc w:val="center"/>
              <w:rPr>
                <w:bCs/>
                <w:kern w:val="0"/>
                <w:sz w:val="21"/>
                <w:szCs w:val="21"/>
              </w:rPr>
            </w:pPr>
            <w:r>
              <w:rPr>
                <w:rFonts w:hint="eastAsia"/>
                <w:bCs/>
                <w:kern w:val="0"/>
                <w:sz w:val="21"/>
                <w:szCs w:val="21"/>
              </w:rPr>
              <w:t>产污系数法</w:t>
            </w:r>
          </w:p>
        </w:tc>
        <w:tc>
          <w:tcPr>
            <w:tcW w:w="1098" w:type="dxa"/>
            <w:vMerge w:val="restart"/>
            <w:vAlign w:val="center"/>
          </w:tcPr>
          <w:p>
            <w:pPr>
              <w:jc w:val="center"/>
              <w:rPr>
                <w:bCs/>
                <w:kern w:val="0"/>
                <w:sz w:val="21"/>
                <w:szCs w:val="21"/>
              </w:rPr>
            </w:pPr>
            <w:r>
              <w:rPr>
                <w:rFonts w:hint="eastAsia"/>
                <w:bCs/>
                <w:kern w:val="0"/>
                <w:sz w:val="21"/>
                <w:szCs w:val="21"/>
              </w:rPr>
              <w:t>31500</w:t>
            </w:r>
          </w:p>
        </w:tc>
        <w:tc>
          <w:tcPr>
            <w:tcW w:w="1200" w:type="dxa"/>
            <w:vMerge w:val="restart"/>
            <w:vAlign w:val="center"/>
          </w:tcPr>
          <w:p>
            <w:pPr>
              <w:jc w:val="center"/>
              <w:rPr>
                <w:bCs/>
                <w:kern w:val="0"/>
                <w:sz w:val="21"/>
                <w:szCs w:val="21"/>
              </w:rPr>
            </w:pPr>
            <w:r>
              <w:rPr>
                <w:rFonts w:hint="eastAsia"/>
                <w:bCs/>
                <w:kern w:val="0"/>
                <w:sz w:val="21"/>
                <w:szCs w:val="21"/>
              </w:rPr>
              <w:t>4.13</w:t>
            </w:r>
          </w:p>
        </w:tc>
        <w:tc>
          <w:tcPr>
            <w:tcW w:w="1010" w:type="dxa"/>
            <w:vMerge w:val="restart"/>
            <w:vAlign w:val="center"/>
          </w:tcPr>
          <w:p>
            <w:pPr>
              <w:jc w:val="center"/>
              <w:rPr>
                <w:kern w:val="0"/>
                <w:sz w:val="20"/>
              </w:rPr>
            </w:pPr>
            <w:r>
              <w:rPr>
                <w:rFonts w:hint="eastAsia"/>
                <w:bCs/>
                <w:kern w:val="0"/>
                <w:sz w:val="21"/>
                <w:szCs w:val="21"/>
              </w:rPr>
              <w:t>0.13</w:t>
            </w:r>
          </w:p>
        </w:tc>
        <w:tc>
          <w:tcPr>
            <w:tcW w:w="772" w:type="dxa"/>
            <w:vMerge w:val="restart"/>
            <w:vAlign w:val="center"/>
          </w:tcPr>
          <w:p>
            <w:pPr>
              <w:jc w:val="center"/>
              <w:rPr>
                <w:bCs/>
                <w:kern w:val="0"/>
                <w:sz w:val="21"/>
                <w:szCs w:val="21"/>
              </w:rPr>
            </w:pPr>
            <w:r>
              <w:rPr>
                <w:rFonts w:hint="eastAsia"/>
                <w:bCs/>
                <w:kern w:val="0"/>
                <w:sz w:val="21"/>
                <w:szCs w:val="21"/>
              </w:rPr>
              <w:t>4320</w:t>
            </w:r>
          </w:p>
        </w:tc>
        <w:tc>
          <w:tcPr>
            <w:tcW w:w="835" w:type="dxa"/>
            <w:vMerge w:val="restart"/>
            <w:vAlign w:val="center"/>
          </w:tcPr>
          <w:p>
            <w:pPr>
              <w:jc w:val="center"/>
              <w:rPr>
                <w:bCs/>
                <w:kern w:val="0"/>
                <w:sz w:val="21"/>
                <w:szCs w:val="21"/>
              </w:rPr>
            </w:pPr>
            <w:r>
              <w:rPr>
                <w:rFonts w:hint="eastAsia"/>
                <w:bCs/>
                <w:kern w:val="0"/>
                <w:sz w:val="21"/>
                <w:szCs w:val="21"/>
              </w:rPr>
              <w:t>DA</w:t>
            </w:r>
            <w:r>
              <w:rPr>
                <w:bCs/>
                <w:kern w:val="0"/>
                <w:sz w:val="21"/>
                <w:szCs w:val="21"/>
              </w:rPr>
              <w:t>00</w:t>
            </w:r>
            <w:r>
              <w:rPr>
                <w:rFonts w:hint="eastAsia"/>
                <w:bCs/>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PE</w:t>
            </w:r>
            <w:r>
              <w:rPr>
                <w:bCs/>
                <w:kern w:val="0"/>
                <w:sz w:val="21"/>
                <w:szCs w:val="21"/>
              </w:rPr>
              <w:t>管生产</w:t>
            </w:r>
            <w:r>
              <w:rPr>
                <w:rFonts w:hint="eastAsia"/>
                <w:bCs/>
                <w:kern w:val="0"/>
                <w:sz w:val="21"/>
                <w:szCs w:val="21"/>
              </w:rPr>
              <w:t>（包括现有）</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Align w:val="center"/>
          </w:tcPr>
          <w:p>
            <w:pPr>
              <w:jc w:val="center"/>
              <w:rPr>
                <w:bCs/>
                <w:kern w:val="0"/>
                <w:sz w:val="21"/>
                <w:szCs w:val="21"/>
              </w:rPr>
            </w:pPr>
            <w:r>
              <w:rPr>
                <w:rFonts w:hint="eastAsia"/>
                <w:bCs/>
                <w:kern w:val="0"/>
                <w:sz w:val="21"/>
                <w:szCs w:val="21"/>
              </w:rPr>
              <w:t>PE</w:t>
            </w:r>
            <w:r>
              <w:rPr>
                <w:bCs/>
                <w:kern w:val="0"/>
                <w:sz w:val="21"/>
                <w:szCs w:val="21"/>
              </w:rPr>
              <w:t>管熔融挤出</w:t>
            </w:r>
          </w:p>
        </w:tc>
        <w:tc>
          <w:tcPr>
            <w:tcW w:w="657" w:type="dxa"/>
            <w:vAlign w:val="center"/>
          </w:tcPr>
          <w:p>
            <w:pPr>
              <w:jc w:val="center"/>
              <w:rPr>
                <w:bCs/>
                <w:kern w:val="0"/>
                <w:sz w:val="21"/>
                <w:szCs w:val="21"/>
              </w:rPr>
            </w:pPr>
            <w:r>
              <w:rPr>
                <w:rFonts w:hint="eastAsia"/>
                <w:bCs/>
                <w:kern w:val="0"/>
                <w:sz w:val="21"/>
                <w:szCs w:val="21"/>
              </w:rPr>
              <w:t>非甲烷总烃</w:t>
            </w:r>
          </w:p>
        </w:tc>
        <w:tc>
          <w:tcPr>
            <w:tcW w:w="658" w:type="dxa"/>
            <w:vAlign w:val="center"/>
          </w:tcPr>
          <w:p>
            <w:pPr>
              <w:jc w:val="center"/>
              <w:rPr>
                <w:bCs/>
                <w:kern w:val="0"/>
                <w:sz w:val="21"/>
                <w:szCs w:val="21"/>
              </w:rPr>
            </w:pPr>
            <w:r>
              <w:rPr>
                <w:rFonts w:hint="eastAsia"/>
                <w:bCs/>
                <w:kern w:val="0"/>
                <w:sz w:val="21"/>
                <w:szCs w:val="21"/>
              </w:rPr>
              <w:t>产污系数法</w:t>
            </w:r>
          </w:p>
        </w:tc>
        <w:tc>
          <w:tcPr>
            <w:tcW w:w="1078" w:type="dxa"/>
            <w:vAlign w:val="center"/>
          </w:tcPr>
          <w:p>
            <w:pPr>
              <w:jc w:val="center"/>
              <w:rPr>
                <w:bCs/>
                <w:kern w:val="0"/>
                <w:sz w:val="21"/>
                <w:szCs w:val="21"/>
              </w:rPr>
            </w:pPr>
            <w:r>
              <w:rPr>
                <w:rFonts w:hint="eastAsia"/>
                <w:bCs/>
                <w:kern w:val="0"/>
                <w:sz w:val="21"/>
                <w:szCs w:val="21"/>
              </w:rPr>
              <w:t>28000</w:t>
            </w:r>
          </w:p>
        </w:tc>
        <w:tc>
          <w:tcPr>
            <w:tcW w:w="1197" w:type="dxa"/>
            <w:vAlign w:val="center"/>
          </w:tcPr>
          <w:p>
            <w:pPr>
              <w:jc w:val="center"/>
              <w:rPr>
                <w:bCs/>
                <w:kern w:val="0"/>
                <w:sz w:val="21"/>
                <w:szCs w:val="21"/>
              </w:rPr>
            </w:pPr>
            <w:r>
              <w:rPr>
                <w:rFonts w:hint="eastAsia"/>
                <w:bCs/>
                <w:kern w:val="0"/>
                <w:sz w:val="21"/>
                <w:szCs w:val="21"/>
              </w:rPr>
              <w:t>27.86</w:t>
            </w:r>
          </w:p>
        </w:tc>
        <w:tc>
          <w:tcPr>
            <w:tcW w:w="1010" w:type="dxa"/>
            <w:vAlign w:val="center"/>
          </w:tcPr>
          <w:p>
            <w:pPr>
              <w:jc w:val="center"/>
              <w:rPr>
                <w:bCs/>
                <w:kern w:val="0"/>
                <w:sz w:val="21"/>
                <w:szCs w:val="21"/>
              </w:rPr>
            </w:pPr>
            <w:r>
              <w:rPr>
                <w:rFonts w:hint="eastAsia"/>
                <w:bCs/>
                <w:kern w:val="0"/>
                <w:sz w:val="21"/>
                <w:szCs w:val="21"/>
              </w:rPr>
              <w:t>0.78</w:t>
            </w:r>
          </w:p>
        </w:tc>
        <w:tc>
          <w:tcPr>
            <w:tcW w:w="928" w:type="dxa"/>
            <w:vMerge w:val="continue"/>
            <w:vAlign w:val="center"/>
          </w:tcPr>
          <w:p>
            <w:pPr>
              <w:jc w:val="center"/>
              <w:rPr>
                <w:bCs/>
                <w:kern w:val="0"/>
                <w:sz w:val="21"/>
                <w:szCs w:val="21"/>
              </w:rPr>
            </w:pPr>
          </w:p>
        </w:tc>
        <w:tc>
          <w:tcPr>
            <w:tcW w:w="827" w:type="dxa"/>
            <w:vMerge w:val="continue"/>
            <w:vAlign w:val="center"/>
          </w:tcPr>
          <w:p>
            <w:pPr>
              <w:jc w:val="center"/>
              <w:rPr>
                <w:bCs/>
                <w:kern w:val="0"/>
                <w:sz w:val="21"/>
                <w:szCs w:val="21"/>
              </w:rPr>
            </w:pPr>
          </w:p>
        </w:tc>
        <w:tc>
          <w:tcPr>
            <w:tcW w:w="642" w:type="dxa"/>
            <w:vMerge w:val="continue"/>
            <w:vAlign w:val="center"/>
          </w:tcPr>
          <w:p>
            <w:pPr>
              <w:jc w:val="center"/>
              <w:rPr>
                <w:bCs/>
                <w:kern w:val="0"/>
                <w:sz w:val="21"/>
                <w:szCs w:val="21"/>
              </w:rPr>
            </w:pPr>
          </w:p>
        </w:tc>
        <w:tc>
          <w:tcPr>
            <w:tcW w:w="1098" w:type="dxa"/>
            <w:vMerge w:val="continue"/>
            <w:vAlign w:val="center"/>
          </w:tcPr>
          <w:p>
            <w:pPr>
              <w:jc w:val="center"/>
              <w:rPr>
                <w:bCs/>
                <w:kern w:val="0"/>
                <w:sz w:val="21"/>
                <w:szCs w:val="21"/>
              </w:rPr>
            </w:pPr>
          </w:p>
        </w:tc>
        <w:tc>
          <w:tcPr>
            <w:tcW w:w="1200"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772" w:type="dxa"/>
            <w:vMerge w:val="continue"/>
            <w:vAlign w:val="center"/>
          </w:tcPr>
          <w:p>
            <w:pPr>
              <w:jc w:val="center"/>
              <w:rPr>
                <w:bCs/>
                <w:kern w:val="0"/>
                <w:sz w:val="21"/>
                <w:szCs w:val="21"/>
              </w:rPr>
            </w:pPr>
          </w:p>
        </w:tc>
        <w:tc>
          <w:tcPr>
            <w:tcW w:w="835"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废旧滴灌带造粒</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Merge w:val="restart"/>
            <w:vAlign w:val="center"/>
          </w:tcPr>
          <w:p>
            <w:pPr>
              <w:jc w:val="center"/>
              <w:rPr>
                <w:bCs/>
                <w:kern w:val="0"/>
                <w:sz w:val="21"/>
                <w:szCs w:val="21"/>
              </w:rPr>
            </w:pPr>
            <w:r>
              <w:rPr>
                <w:rFonts w:hint="eastAsia"/>
                <w:bCs/>
                <w:kern w:val="0"/>
                <w:sz w:val="21"/>
                <w:szCs w:val="21"/>
              </w:rPr>
              <w:t>废旧滴灌带</w:t>
            </w:r>
            <w:r>
              <w:rPr>
                <w:bCs/>
                <w:kern w:val="0"/>
                <w:sz w:val="21"/>
                <w:szCs w:val="21"/>
              </w:rPr>
              <w:t>造粒</w:t>
            </w:r>
            <w:r>
              <w:rPr>
                <w:rFonts w:hint="eastAsia"/>
                <w:bCs/>
                <w:kern w:val="0"/>
                <w:sz w:val="21"/>
                <w:szCs w:val="21"/>
              </w:rPr>
              <w:t>及滴灌带生产</w:t>
            </w:r>
            <w:r>
              <w:rPr>
                <w:bCs/>
                <w:kern w:val="0"/>
                <w:sz w:val="21"/>
                <w:szCs w:val="21"/>
              </w:rPr>
              <w:t>车间</w:t>
            </w:r>
          </w:p>
        </w:tc>
        <w:tc>
          <w:tcPr>
            <w:tcW w:w="657" w:type="dxa"/>
            <w:vMerge w:val="restart"/>
            <w:vAlign w:val="center"/>
          </w:tcPr>
          <w:p>
            <w:pPr>
              <w:jc w:val="center"/>
              <w:rPr>
                <w:bCs/>
                <w:kern w:val="0"/>
                <w:sz w:val="21"/>
                <w:szCs w:val="21"/>
              </w:rPr>
            </w:pPr>
            <w:r>
              <w:rPr>
                <w:rFonts w:hint="eastAsia"/>
                <w:bCs/>
                <w:kern w:val="0"/>
                <w:sz w:val="21"/>
                <w:szCs w:val="21"/>
              </w:rPr>
              <w:t>非甲烷总烃</w:t>
            </w:r>
          </w:p>
        </w:tc>
        <w:tc>
          <w:tcPr>
            <w:tcW w:w="658" w:type="dxa"/>
            <w:vMerge w:val="restart"/>
            <w:vAlign w:val="center"/>
          </w:tcPr>
          <w:p>
            <w:pPr>
              <w:jc w:val="center"/>
              <w:rPr>
                <w:bCs/>
                <w:kern w:val="0"/>
                <w:sz w:val="21"/>
                <w:szCs w:val="21"/>
              </w:rPr>
            </w:pPr>
            <w:r>
              <w:rPr>
                <w:rFonts w:hint="eastAsia"/>
                <w:bCs/>
                <w:kern w:val="0"/>
                <w:sz w:val="21"/>
                <w:szCs w:val="21"/>
              </w:rPr>
              <w:t>产污系数法</w:t>
            </w:r>
          </w:p>
        </w:tc>
        <w:tc>
          <w:tcPr>
            <w:tcW w:w="1078" w:type="dxa"/>
            <w:vMerge w:val="restart"/>
            <w:vAlign w:val="center"/>
          </w:tcPr>
          <w:p>
            <w:pPr>
              <w:jc w:val="center"/>
              <w:rPr>
                <w:bCs/>
                <w:kern w:val="0"/>
                <w:sz w:val="21"/>
                <w:szCs w:val="21"/>
              </w:rPr>
            </w:pPr>
            <w:r>
              <w:rPr>
                <w:rFonts w:hint="eastAsia"/>
                <w:bCs/>
                <w:kern w:val="0"/>
                <w:sz w:val="21"/>
                <w:szCs w:val="21"/>
              </w:rPr>
              <w:t>/</w:t>
            </w:r>
          </w:p>
        </w:tc>
        <w:tc>
          <w:tcPr>
            <w:tcW w:w="1197" w:type="dxa"/>
            <w:vMerge w:val="restart"/>
            <w:vAlign w:val="center"/>
          </w:tcPr>
          <w:p>
            <w:pPr>
              <w:jc w:val="center"/>
              <w:rPr>
                <w:bCs/>
                <w:kern w:val="0"/>
                <w:sz w:val="21"/>
                <w:szCs w:val="21"/>
              </w:rPr>
            </w:pPr>
            <w:r>
              <w:rPr>
                <w:rFonts w:hint="eastAsia"/>
                <w:bCs/>
                <w:kern w:val="0"/>
                <w:sz w:val="21"/>
                <w:szCs w:val="21"/>
              </w:rPr>
              <w:t>/</w:t>
            </w:r>
          </w:p>
        </w:tc>
        <w:tc>
          <w:tcPr>
            <w:tcW w:w="1010" w:type="dxa"/>
            <w:vMerge w:val="restart"/>
            <w:vAlign w:val="center"/>
          </w:tcPr>
          <w:p>
            <w:pPr>
              <w:jc w:val="center"/>
              <w:rPr>
                <w:bCs/>
                <w:kern w:val="0"/>
                <w:sz w:val="21"/>
                <w:szCs w:val="21"/>
              </w:rPr>
            </w:pPr>
            <w:r>
              <w:rPr>
                <w:rFonts w:hint="eastAsia"/>
                <w:bCs/>
                <w:kern w:val="0"/>
                <w:sz w:val="21"/>
                <w:szCs w:val="21"/>
              </w:rPr>
              <w:t>0.17</w:t>
            </w:r>
          </w:p>
        </w:tc>
        <w:tc>
          <w:tcPr>
            <w:tcW w:w="928" w:type="dxa"/>
            <w:vMerge w:val="restart"/>
            <w:vAlign w:val="center"/>
          </w:tcPr>
          <w:p>
            <w:pPr>
              <w:jc w:val="center"/>
              <w:rPr>
                <w:bCs/>
                <w:kern w:val="0"/>
                <w:sz w:val="21"/>
                <w:szCs w:val="21"/>
              </w:rPr>
            </w:pPr>
            <w:r>
              <w:rPr>
                <w:rFonts w:hint="eastAsia"/>
                <w:bCs/>
                <w:kern w:val="0"/>
                <w:sz w:val="21"/>
                <w:szCs w:val="21"/>
              </w:rPr>
              <w:t>/</w:t>
            </w:r>
          </w:p>
        </w:tc>
        <w:tc>
          <w:tcPr>
            <w:tcW w:w="827" w:type="dxa"/>
            <w:vMerge w:val="restart"/>
            <w:vAlign w:val="center"/>
          </w:tcPr>
          <w:p>
            <w:pPr>
              <w:jc w:val="center"/>
              <w:rPr>
                <w:bCs/>
                <w:kern w:val="0"/>
                <w:sz w:val="21"/>
                <w:szCs w:val="21"/>
              </w:rPr>
            </w:pPr>
            <w:r>
              <w:rPr>
                <w:rFonts w:hint="eastAsia"/>
                <w:bCs/>
                <w:kern w:val="0"/>
                <w:sz w:val="21"/>
                <w:szCs w:val="21"/>
              </w:rPr>
              <w:t>/</w:t>
            </w:r>
          </w:p>
        </w:tc>
        <w:tc>
          <w:tcPr>
            <w:tcW w:w="642" w:type="dxa"/>
            <w:vMerge w:val="restart"/>
            <w:vAlign w:val="center"/>
          </w:tcPr>
          <w:p>
            <w:pPr>
              <w:jc w:val="center"/>
              <w:rPr>
                <w:bCs/>
                <w:kern w:val="0"/>
                <w:sz w:val="21"/>
                <w:szCs w:val="21"/>
              </w:rPr>
            </w:pPr>
            <w:r>
              <w:rPr>
                <w:rFonts w:hint="eastAsia"/>
                <w:bCs/>
                <w:kern w:val="0"/>
                <w:sz w:val="21"/>
                <w:szCs w:val="21"/>
              </w:rPr>
              <w:t>产污系数法</w:t>
            </w:r>
          </w:p>
        </w:tc>
        <w:tc>
          <w:tcPr>
            <w:tcW w:w="1098" w:type="dxa"/>
            <w:vMerge w:val="restart"/>
            <w:vAlign w:val="center"/>
          </w:tcPr>
          <w:p>
            <w:pPr>
              <w:jc w:val="center"/>
              <w:rPr>
                <w:bCs/>
                <w:kern w:val="0"/>
                <w:sz w:val="21"/>
                <w:szCs w:val="21"/>
              </w:rPr>
            </w:pPr>
            <w:r>
              <w:rPr>
                <w:rFonts w:hint="eastAsia"/>
                <w:bCs/>
                <w:kern w:val="0"/>
                <w:sz w:val="21"/>
                <w:szCs w:val="21"/>
              </w:rPr>
              <w:t>/</w:t>
            </w:r>
          </w:p>
        </w:tc>
        <w:tc>
          <w:tcPr>
            <w:tcW w:w="1200" w:type="dxa"/>
            <w:vMerge w:val="restart"/>
            <w:vAlign w:val="center"/>
          </w:tcPr>
          <w:p>
            <w:pPr>
              <w:jc w:val="center"/>
              <w:rPr>
                <w:bCs/>
                <w:kern w:val="0"/>
                <w:sz w:val="21"/>
                <w:szCs w:val="21"/>
              </w:rPr>
            </w:pPr>
            <w:r>
              <w:rPr>
                <w:rFonts w:hint="eastAsia"/>
                <w:bCs/>
                <w:kern w:val="0"/>
                <w:sz w:val="21"/>
                <w:szCs w:val="21"/>
              </w:rPr>
              <w:t>/</w:t>
            </w:r>
          </w:p>
        </w:tc>
        <w:tc>
          <w:tcPr>
            <w:tcW w:w="1010" w:type="dxa"/>
            <w:vMerge w:val="restart"/>
            <w:vAlign w:val="center"/>
          </w:tcPr>
          <w:p>
            <w:pPr>
              <w:jc w:val="center"/>
              <w:rPr>
                <w:bCs/>
                <w:kern w:val="0"/>
                <w:sz w:val="21"/>
                <w:szCs w:val="21"/>
              </w:rPr>
            </w:pPr>
            <w:r>
              <w:rPr>
                <w:rFonts w:hint="eastAsia"/>
                <w:bCs/>
                <w:kern w:val="0"/>
                <w:sz w:val="21"/>
                <w:szCs w:val="21"/>
              </w:rPr>
              <w:t>0.17</w:t>
            </w:r>
          </w:p>
        </w:tc>
        <w:tc>
          <w:tcPr>
            <w:tcW w:w="772" w:type="dxa"/>
            <w:vMerge w:val="restart"/>
            <w:vAlign w:val="center"/>
          </w:tcPr>
          <w:p>
            <w:pPr>
              <w:jc w:val="center"/>
              <w:rPr>
                <w:bCs/>
                <w:kern w:val="0"/>
                <w:sz w:val="21"/>
                <w:szCs w:val="21"/>
              </w:rPr>
            </w:pPr>
            <w:r>
              <w:rPr>
                <w:rFonts w:hint="eastAsia"/>
                <w:bCs/>
                <w:kern w:val="0"/>
                <w:sz w:val="21"/>
                <w:szCs w:val="21"/>
              </w:rPr>
              <w:t>4320</w:t>
            </w:r>
          </w:p>
        </w:tc>
        <w:tc>
          <w:tcPr>
            <w:tcW w:w="835" w:type="dxa"/>
            <w:vMerge w:val="restart"/>
            <w:vAlign w:val="center"/>
          </w:tcPr>
          <w:p>
            <w:pPr>
              <w:jc w:val="center"/>
              <w:rPr>
                <w:bCs/>
                <w:kern w:val="0"/>
                <w:sz w:val="21"/>
                <w:szCs w:val="21"/>
              </w:rPr>
            </w:pPr>
            <w:r>
              <w:rPr>
                <w:rFonts w:hint="eastAsia"/>
                <w:bCs/>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滴灌带生产</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Merge w:val="continue"/>
            <w:vAlign w:val="center"/>
          </w:tcPr>
          <w:p>
            <w:pPr>
              <w:jc w:val="center"/>
              <w:rPr>
                <w:bCs/>
                <w:kern w:val="0"/>
                <w:sz w:val="21"/>
                <w:szCs w:val="21"/>
              </w:rPr>
            </w:pPr>
          </w:p>
        </w:tc>
        <w:tc>
          <w:tcPr>
            <w:tcW w:w="657" w:type="dxa"/>
            <w:vMerge w:val="continue"/>
            <w:vAlign w:val="center"/>
          </w:tcPr>
          <w:p>
            <w:pPr>
              <w:jc w:val="center"/>
              <w:rPr>
                <w:bCs/>
                <w:kern w:val="0"/>
                <w:sz w:val="21"/>
                <w:szCs w:val="21"/>
              </w:rPr>
            </w:pPr>
          </w:p>
        </w:tc>
        <w:tc>
          <w:tcPr>
            <w:tcW w:w="658" w:type="dxa"/>
            <w:vMerge w:val="continue"/>
            <w:vAlign w:val="center"/>
          </w:tcPr>
          <w:p>
            <w:pPr>
              <w:jc w:val="center"/>
              <w:rPr>
                <w:bCs/>
                <w:kern w:val="0"/>
                <w:sz w:val="21"/>
                <w:szCs w:val="21"/>
              </w:rPr>
            </w:pPr>
          </w:p>
        </w:tc>
        <w:tc>
          <w:tcPr>
            <w:tcW w:w="1078" w:type="dxa"/>
            <w:vMerge w:val="continue"/>
            <w:vAlign w:val="center"/>
          </w:tcPr>
          <w:p>
            <w:pPr>
              <w:jc w:val="center"/>
              <w:rPr>
                <w:bCs/>
                <w:kern w:val="0"/>
                <w:sz w:val="21"/>
                <w:szCs w:val="21"/>
              </w:rPr>
            </w:pPr>
          </w:p>
        </w:tc>
        <w:tc>
          <w:tcPr>
            <w:tcW w:w="1197"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928" w:type="dxa"/>
            <w:vMerge w:val="continue"/>
            <w:vAlign w:val="center"/>
          </w:tcPr>
          <w:p>
            <w:pPr>
              <w:jc w:val="center"/>
              <w:rPr>
                <w:bCs/>
                <w:kern w:val="0"/>
                <w:sz w:val="21"/>
                <w:szCs w:val="21"/>
              </w:rPr>
            </w:pPr>
          </w:p>
        </w:tc>
        <w:tc>
          <w:tcPr>
            <w:tcW w:w="827" w:type="dxa"/>
            <w:vMerge w:val="continue"/>
            <w:vAlign w:val="center"/>
          </w:tcPr>
          <w:p>
            <w:pPr>
              <w:jc w:val="center"/>
              <w:rPr>
                <w:bCs/>
                <w:kern w:val="0"/>
                <w:sz w:val="21"/>
                <w:szCs w:val="21"/>
              </w:rPr>
            </w:pPr>
          </w:p>
        </w:tc>
        <w:tc>
          <w:tcPr>
            <w:tcW w:w="642" w:type="dxa"/>
            <w:vMerge w:val="continue"/>
            <w:vAlign w:val="center"/>
          </w:tcPr>
          <w:p>
            <w:pPr>
              <w:jc w:val="center"/>
              <w:rPr>
                <w:bCs/>
                <w:kern w:val="0"/>
                <w:sz w:val="21"/>
                <w:szCs w:val="21"/>
              </w:rPr>
            </w:pPr>
          </w:p>
        </w:tc>
        <w:tc>
          <w:tcPr>
            <w:tcW w:w="1098" w:type="dxa"/>
            <w:vMerge w:val="continue"/>
            <w:vAlign w:val="center"/>
          </w:tcPr>
          <w:p>
            <w:pPr>
              <w:jc w:val="center"/>
              <w:rPr>
                <w:bCs/>
                <w:kern w:val="0"/>
                <w:sz w:val="21"/>
                <w:szCs w:val="21"/>
              </w:rPr>
            </w:pPr>
          </w:p>
        </w:tc>
        <w:tc>
          <w:tcPr>
            <w:tcW w:w="1200"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772" w:type="dxa"/>
            <w:vMerge w:val="continue"/>
            <w:vAlign w:val="center"/>
          </w:tcPr>
          <w:p>
            <w:pPr>
              <w:jc w:val="center"/>
              <w:rPr>
                <w:bCs/>
                <w:kern w:val="0"/>
                <w:sz w:val="21"/>
                <w:szCs w:val="21"/>
              </w:rPr>
            </w:pPr>
          </w:p>
        </w:tc>
        <w:tc>
          <w:tcPr>
            <w:tcW w:w="835"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废旧塑料膜造粒</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Merge w:val="restart"/>
            <w:vAlign w:val="center"/>
          </w:tcPr>
          <w:p>
            <w:pPr>
              <w:jc w:val="center"/>
              <w:rPr>
                <w:bCs/>
                <w:kern w:val="0"/>
                <w:sz w:val="21"/>
                <w:szCs w:val="21"/>
              </w:rPr>
            </w:pPr>
            <w:r>
              <w:rPr>
                <w:rFonts w:hint="eastAsia"/>
                <w:bCs/>
                <w:kern w:val="0"/>
                <w:sz w:val="21"/>
                <w:szCs w:val="21"/>
              </w:rPr>
              <w:t>废旧塑料膜造粒及PE管生产车间</w:t>
            </w:r>
          </w:p>
        </w:tc>
        <w:tc>
          <w:tcPr>
            <w:tcW w:w="657" w:type="dxa"/>
            <w:vMerge w:val="restart"/>
            <w:vAlign w:val="center"/>
          </w:tcPr>
          <w:p>
            <w:pPr>
              <w:jc w:val="center"/>
              <w:rPr>
                <w:bCs/>
                <w:kern w:val="0"/>
                <w:sz w:val="21"/>
                <w:szCs w:val="21"/>
              </w:rPr>
            </w:pPr>
            <w:r>
              <w:rPr>
                <w:rFonts w:hint="eastAsia"/>
                <w:bCs/>
                <w:kern w:val="0"/>
                <w:sz w:val="21"/>
                <w:szCs w:val="21"/>
              </w:rPr>
              <w:t>非甲烷总烃</w:t>
            </w:r>
          </w:p>
        </w:tc>
        <w:tc>
          <w:tcPr>
            <w:tcW w:w="658" w:type="dxa"/>
            <w:vMerge w:val="restart"/>
            <w:vAlign w:val="center"/>
          </w:tcPr>
          <w:p>
            <w:pPr>
              <w:jc w:val="center"/>
              <w:rPr>
                <w:bCs/>
                <w:kern w:val="0"/>
                <w:sz w:val="21"/>
                <w:szCs w:val="21"/>
              </w:rPr>
            </w:pPr>
            <w:r>
              <w:rPr>
                <w:rFonts w:hint="eastAsia"/>
                <w:bCs/>
                <w:kern w:val="0"/>
                <w:sz w:val="21"/>
                <w:szCs w:val="21"/>
              </w:rPr>
              <w:t>产污系数法</w:t>
            </w:r>
          </w:p>
        </w:tc>
        <w:tc>
          <w:tcPr>
            <w:tcW w:w="1078" w:type="dxa"/>
            <w:vMerge w:val="restart"/>
            <w:vAlign w:val="center"/>
          </w:tcPr>
          <w:p>
            <w:pPr>
              <w:jc w:val="center"/>
              <w:rPr>
                <w:bCs/>
                <w:kern w:val="0"/>
                <w:sz w:val="21"/>
                <w:szCs w:val="21"/>
              </w:rPr>
            </w:pPr>
            <w:r>
              <w:rPr>
                <w:rFonts w:hint="eastAsia"/>
                <w:bCs/>
                <w:kern w:val="0"/>
                <w:sz w:val="21"/>
                <w:szCs w:val="21"/>
              </w:rPr>
              <w:t>/</w:t>
            </w:r>
          </w:p>
        </w:tc>
        <w:tc>
          <w:tcPr>
            <w:tcW w:w="1197" w:type="dxa"/>
            <w:vMerge w:val="restart"/>
            <w:vAlign w:val="center"/>
          </w:tcPr>
          <w:p>
            <w:pPr>
              <w:jc w:val="center"/>
              <w:rPr>
                <w:bCs/>
                <w:kern w:val="0"/>
                <w:sz w:val="21"/>
                <w:szCs w:val="21"/>
              </w:rPr>
            </w:pPr>
            <w:r>
              <w:rPr>
                <w:rFonts w:hint="eastAsia"/>
                <w:bCs/>
                <w:kern w:val="0"/>
                <w:sz w:val="21"/>
                <w:szCs w:val="21"/>
              </w:rPr>
              <w:t>/</w:t>
            </w:r>
          </w:p>
        </w:tc>
        <w:tc>
          <w:tcPr>
            <w:tcW w:w="1010" w:type="dxa"/>
            <w:vMerge w:val="restart"/>
            <w:vAlign w:val="center"/>
          </w:tcPr>
          <w:p>
            <w:pPr>
              <w:jc w:val="center"/>
              <w:rPr>
                <w:bCs/>
                <w:kern w:val="0"/>
                <w:sz w:val="21"/>
                <w:szCs w:val="21"/>
              </w:rPr>
            </w:pPr>
            <w:r>
              <w:rPr>
                <w:rFonts w:hint="eastAsia"/>
                <w:bCs/>
                <w:kern w:val="0"/>
                <w:sz w:val="21"/>
                <w:szCs w:val="21"/>
              </w:rPr>
              <w:t>0.09</w:t>
            </w:r>
          </w:p>
        </w:tc>
        <w:tc>
          <w:tcPr>
            <w:tcW w:w="928" w:type="dxa"/>
            <w:vMerge w:val="restart"/>
            <w:vAlign w:val="center"/>
          </w:tcPr>
          <w:p>
            <w:pPr>
              <w:jc w:val="center"/>
              <w:rPr>
                <w:bCs/>
                <w:kern w:val="0"/>
                <w:sz w:val="21"/>
                <w:szCs w:val="21"/>
              </w:rPr>
            </w:pPr>
            <w:r>
              <w:rPr>
                <w:rFonts w:hint="eastAsia"/>
                <w:bCs/>
                <w:kern w:val="0"/>
                <w:sz w:val="21"/>
                <w:szCs w:val="21"/>
              </w:rPr>
              <w:t>/</w:t>
            </w:r>
          </w:p>
        </w:tc>
        <w:tc>
          <w:tcPr>
            <w:tcW w:w="827" w:type="dxa"/>
            <w:vMerge w:val="restart"/>
            <w:vAlign w:val="center"/>
          </w:tcPr>
          <w:p>
            <w:pPr>
              <w:jc w:val="center"/>
              <w:rPr>
                <w:bCs/>
                <w:kern w:val="0"/>
                <w:sz w:val="21"/>
                <w:szCs w:val="21"/>
              </w:rPr>
            </w:pPr>
            <w:r>
              <w:rPr>
                <w:rFonts w:hint="eastAsia"/>
                <w:bCs/>
                <w:kern w:val="0"/>
                <w:sz w:val="21"/>
                <w:szCs w:val="21"/>
              </w:rPr>
              <w:t>/</w:t>
            </w:r>
          </w:p>
        </w:tc>
        <w:tc>
          <w:tcPr>
            <w:tcW w:w="642" w:type="dxa"/>
            <w:vMerge w:val="restart"/>
            <w:vAlign w:val="center"/>
          </w:tcPr>
          <w:p>
            <w:pPr>
              <w:jc w:val="center"/>
              <w:rPr>
                <w:bCs/>
                <w:kern w:val="0"/>
                <w:sz w:val="21"/>
                <w:szCs w:val="21"/>
              </w:rPr>
            </w:pPr>
            <w:r>
              <w:rPr>
                <w:rFonts w:hint="eastAsia"/>
                <w:bCs/>
                <w:kern w:val="0"/>
                <w:sz w:val="21"/>
                <w:szCs w:val="21"/>
              </w:rPr>
              <w:t>产污系数法</w:t>
            </w:r>
          </w:p>
        </w:tc>
        <w:tc>
          <w:tcPr>
            <w:tcW w:w="1098" w:type="dxa"/>
            <w:vMerge w:val="restart"/>
            <w:vAlign w:val="center"/>
          </w:tcPr>
          <w:p>
            <w:pPr>
              <w:jc w:val="center"/>
              <w:rPr>
                <w:bCs/>
                <w:kern w:val="0"/>
                <w:sz w:val="21"/>
                <w:szCs w:val="21"/>
              </w:rPr>
            </w:pPr>
            <w:r>
              <w:rPr>
                <w:rFonts w:hint="eastAsia"/>
                <w:bCs/>
                <w:kern w:val="0"/>
                <w:sz w:val="21"/>
                <w:szCs w:val="21"/>
              </w:rPr>
              <w:t>/</w:t>
            </w:r>
          </w:p>
        </w:tc>
        <w:tc>
          <w:tcPr>
            <w:tcW w:w="1200" w:type="dxa"/>
            <w:vMerge w:val="restart"/>
            <w:vAlign w:val="center"/>
          </w:tcPr>
          <w:p>
            <w:pPr>
              <w:jc w:val="center"/>
              <w:rPr>
                <w:bCs/>
                <w:kern w:val="0"/>
                <w:sz w:val="21"/>
                <w:szCs w:val="21"/>
              </w:rPr>
            </w:pPr>
            <w:r>
              <w:rPr>
                <w:rFonts w:hint="eastAsia"/>
                <w:bCs/>
                <w:kern w:val="0"/>
                <w:sz w:val="21"/>
                <w:szCs w:val="21"/>
              </w:rPr>
              <w:t>/</w:t>
            </w:r>
          </w:p>
        </w:tc>
        <w:tc>
          <w:tcPr>
            <w:tcW w:w="1010" w:type="dxa"/>
            <w:vMerge w:val="restart"/>
            <w:vAlign w:val="center"/>
          </w:tcPr>
          <w:p>
            <w:pPr>
              <w:jc w:val="center"/>
              <w:rPr>
                <w:bCs/>
                <w:kern w:val="0"/>
                <w:sz w:val="21"/>
                <w:szCs w:val="21"/>
              </w:rPr>
            </w:pPr>
            <w:r>
              <w:rPr>
                <w:rFonts w:hint="eastAsia"/>
                <w:bCs/>
                <w:kern w:val="0"/>
                <w:sz w:val="21"/>
                <w:szCs w:val="21"/>
              </w:rPr>
              <w:t>0.09</w:t>
            </w:r>
          </w:p>
        </w:tc>
        <w:tc>
          <w:tcPr>
            <w:tcW w:w="772" w:type="dxa"/>
            <w:vMerge w:val="restart"/>
            <w:vAlign w:val="center"/>
          </w:tcPr>
          <w:p>
            <w:pPr>
              <w:jc w:val="center"/>
              <w:rPr>
                <w:bCs/>
                <w:kern w:val="0"/>
                <w:sz w:val="21"/>
                <w:szCs w:val="21"/>
              </w:rPr>
            </w:pPr>
            <w:r>
              <w:rPr>
                <w:rFonts w:hint="eastAsia"/>
                <w:bCs/>
                <w:kern w:val="0"/>
                <w:sz w:val="21"/>
                <w:szCs w:val="21"/>
              </w:rPr>
              <w:t>4320</w:t>
            </w:r>
          </w:p>
        </w:tc>
        <w:tc>
          <w:tcPr>
            <w:tcW w:w="835" w:type="dxa"/>
            <w:vMerge w:val="restart"/>
            <w:vAlign w:val="center"/>
          </w:tcPr>
          <w:p>
            <w:pPr>
              <w:jc w:val="center"/>
              <w:rPr>
                <w:bCs/>
                <w:kern w:val="0"/>
                <w:sz w:val="21"/>
                <w:szCs w:val="21"/>
              </w:rPr>
            </w:pPr>
            <w:r>
              <w:rPr>
                <w:rFonts w:hint="eastAsia"/>
                <w:bCs/>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Align w:val="center"/>
          </w:tcPr>
          <w:p>
            <w:pPr>
              <w:jc w:val="center"/>
              <w:rPr>
                <w:bCs/>
                <w:kern w:val="0"/>
                <w:sz w:val="21"/>
                <w:szCs w:val="21"/>
              </w:rPr>
            </w:pPr>
            <w:r>
              <w:rPr>
                <w:rFonts w:hint="eastAsia"/>
                <w:bCs/>
                <w:kern w:val="0"/>
                <w:sz w:val="21"/>
                <w:szCs w:val="21"/>
              </w:rPr>
              <w:t>PE</w:t>
            </w:r>
            <w:r>
              <w:rPr>
                <w:bCs/>
                <w:kern w:val="0"/>
                <w:sz w:val="21"/>
                <w:szCs w:val="21"/>
              </w:rPr>
              <w:t>管生产</w:t>
            </w:r>
          </w:p>
        </w:tc>
        <w:tc>
          <w:tcPr>
            <w:tcW w:w="651" w:type="dxa"/>
            <w:vAlign w:val="center"/>
          </w:tcPr>
          <w:p>
            <w:pPr>
              <w:jc w:val="center"/>
              <w:rPr>
                <w:bCs/>
                <w:kern w:val="0"/>
                <w:sz w:val="21"/>
                <w:szCs w:val="21"/>
              </w:rPr>
            </w:pPr>
            <w:r>
              <w:rPr>
                <w:rFonts w:hint="eastAsia"/>
                <w:bCs/>
                <w:kern w:val="0"/>
                <w:sz w:val="21"/>
                <w:szCs w:val="21"/>
              </w:rPr>
              <w:t>熔融挤出</w:t>
            </w:r>
          </w:p>
        </w:tc>
        <w:tc>
          <w:tcPr>
            <w:tcW w:w="853" w:type="dxa"/>
            <w:vMerge w:val="continue"/>
            <w:vAlign w:val="center"/>
          </w:tcPr>
          <w:p>
            <w:pPr>
              <w:jc w:val="center"/>
              <w:rPr>
                <w:bCs/>
                <w:kern w:val="0"/>
                <w:sz w:val="21"/>
                <w:szCs w:val="21"/>
              </w:rPr>
            </w:pPr>
          </w:p>
        </w:tc>
        <w:tc>
          <w:tcPr>
            <w:tcW w:w="657" w:type="dxa"/>
            <w:vMerge w:val="continue"/>
            <w:vAlign w:val="center"/>
          </w:tcPr>
          <w:p>
            <w:pPr>
              <w:jc w:val="center"/>
              <w:rPr>
                <w:bCs/>
                <w:kern w:val="0"/>
                <w:sz w:val="21"/>
                <w:szCs w:val="21"/>
              </w:rPr>
            </w:pPr>
          </w:p>
        </w:tc>
        <w:tc>
          <w:tcPr>
            <w:tcW w:w="658" w:type="dxa"/>
            <w:vMerge w:val="continue"/>
            <w:vAlign w:val="center"/>
          </w:tcPr>
          <w:p>
            <w:pPr>
              <w:jc w:val="center"/>
              <w:rPr>
                <w:bCs/>
                <w:kern w:val="0"/>
                <w:sz w:val="21"/>
                <w:szCs w:val="21"/>
              </w:rPr>
            </w:pPr>
          </w:p>
        </w:tc>
        <w:tc>
          <w:tcPr>
            <w:tcW w:w="1078" w:type="dxa"/>
            <w:vMerge w:val="continue"/>
            <w:vAlign w:val="center"/>
          </w:tcPr>
          <w:p>
            <w:pPr>
              <w:jc w:val="center"/>
              <w:rPr>
                <w:bCs/>
                <w:kern w:val="0"/>
                <w:sz w:val="21"/>
                <w:szCs w:val="21"/>
              </w:rPr>
            </w:pPr>
          </w:p>
        </w:tc>
        <w:tc>
          <w:tcPr>
            <w:tcW w:w="1197"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928" w:type="dxa"/>
            <w:vMerge w:val="continue"/>
            <w:vAlign w:val="center"/>
          </w:tcPr>
          <w:p>
            <w:pPr>
              <w:jc w:val="center"/>
              <w:rPr>
                <w:bCs/>
                <w:kern w:val="0"/>
                <w:sz w:val="21"/>
                <w:szCs w:val="21"/>
              </w:rPr>
            </w:pPr>
          </w:p>
        </w:tc>
        <w:tc>
          <w:tcPr>
            <w:tcW w:w="827" w:type="dxa"/>
            <w:vMerge w:val="continue"/>
            <w:vAlign w:val="center"/>
          </w:tcPr>
          <w:p>
            <w:pPr>
              <w:jc w:val="center"/>
              <w:rPr>
                <w:bCs/>
                <w:kern w:val="0"/>
                <w:sz w:val="21"/>
                <w:szCs w:val="21"/>
              </w:rPr>
            </w:pPr>
          </w:p>
        </w:tc>
        <w:tc>
          <w:tcPr>
            <w:tcW w:w="642" w:type="dxa"/>
            <w:vMerge w:val="continue"/>
            <w:vAlign w:val="center"/>
          </w:tcPr>
          <w:p>
            <w:pPr>
              <w:jc w:val="center"/>
              <w:rPr>
                <w:bCs/>
                <w:kern w:val="0"/>
                <w:sz w:val="21"/>
                <w:szCs w:val="21"/>
              </w:rPr>
            </w:pPr>
          </w:p>
        </w:tc>
        <w:tc>
          <w:tcPr>
            <w:tcW w:w="1098" w:type="dxa"/>
            <w:vMerge w:val="continue"/>
            <w:vAlign w:val="center"/>
          </w:tcPr>
          <w:p>
            <w:pPr>
              <w:jc w:val="center"/>
              <w:rPr>
                <w:bCs/>
                <w:kern w:val="0"/>
                <w:sz w:val="21"/>
                <w:szCs w:val="21"/>
              </w:rPr>
            </w:pPr>
          </w:p>
        </w:tc>
        <w:tc>
          <w:tcPr>
            <w:tcW w:w="1200" w:type="dxa"/>
            <w:vMerge w:val="continue"/>
            <w:vAlign w:val="center"/>
          </w:tcPr>
          <w:p>
            <w:pPr>
              <w:jc w:val="center"/>
              <w:rPr>
                <w:bCs/>
                <w:kern w:val="0"/>
                <w:sz w:val="21"/>
                <w:szCs w:val="21"/>
              </w:rPr>
            </w:pPr>
          </w:p>
        </w:tc>
        <w:tc>
          <w:tcPr>
            <w:tcW w:w="1010" w:type="dxa"/>
            <w:vMerge w:val="continue"/>
            <w:vAlign w:val="center"/>
          </w:tcPr>
          <w:p>
            <w:pPr>
              <w:jc w:val="center"/>
              <w:rPr>
                <w:bCs/>
                <w:kern w:val="0"/>
                <w:sz w:val="21"/>
                <w:szCs w:val="21"/>
              </w:rPr>
            </w:pPr>
          </w:p>
        </w:tc>
        <w:tc>
          <w:tcPr>
            <w:tcW w:w="772" w:type="dxa"/>
            <w:vMerge w:val="continue"/>
            <w:vAlign w:val="center"/>
          </w:tcPr>
          <w:p>
            <w:pPr>
              <w:jc w:val="center"/>
              <w:rPr>
                <w:bCs/>
                <w:kern w:val="0"/>
                <w:sz w:val="21"/>
                <w:szCs w:val="21"/>
              </w:rPr>
            </w:pPr>
          </w:p>
        </w:tc>
        <w:tc>
          <w:tcPr>
            <w:tcW w:w="835" w:type="dxa"/>
            <w:vMerge w:val="continue"/>
            <w:vAlign w:val="center"/>
          </w:tcPr>
          <w:p>
            <w:pPr>
              <w:jc w:val="center"/>
              <w:rPr>
                <w:bCs/>
                <w:kern w:val="0"/>
                <w:sz w:val="21"/>
                <w:szCs w:val="21"/>
              </w:rPr>
            </w:pPr>
          </w:p>
        </w:tc>
      </w:tr>
    </w:tbl>
    <w:p>
      <w:pPr>
        <w:autoSpaceDE w:val="0"/>
        <w:autoSpaceDN w:val="0"/>
        <w:spacing w:line="460" w:lineRule="exact"/>
        <w:ind w:firstLine="480" w:firstLineChars="200"/>
        <w:rPr>
          <w:sz w:val="24"/>
        </w:rPr>
      </w:pPr>
    </w:p>
    <w:p>
      <w:pPr>
        <w:autoSpaceDE w:val="0"/>
        <w:autoSpaceDN w:val="0"/>
        <w:spacing w:line="460" w:lineRule="exact"/>
        <w:ind w:firstLine="480" w:firstLineChars="200"/>
        <w:rPr>
          <w:sz w:val="24"/>
        </w:rPr>
        <w:sectPr>
          <w:pgSz w:w="16838" w:h="11906" w:orient="landscape"/>
          <w:pgMar w:top="1985" w:right="1440" w:bottom="1701" w:left="1440" w:header="851" w:footer="992" w:gutter="0"/>
          <w:cols w:space="720" w:num="1"/>
          <w:docGrid w:linePitch="312" w:charSpace="0"/>
        </w:sectPr>
      </w:pPr>
    </w:p>
    <w:p>
      <w:pPr>
        <w:pStyle w:val="2"/>
        <w:ind w:firstLine="480"/>
        <w:rPr>
          <w:color w:val="auto"/>
        </w:rPr>
      </w:pPr>
      <w:r>
        <w:rPr>
          <w:color w:val="auto"/>
        </w:rPr>
        <w:t>4.4.2.2</w:t>
      </w:r>
      <w:r>
        <w:rPr>
          <w:rFonts w:hint="eastAsia"/>
          <w:color w:val="auto"/>
        </w:rPr>
        <w:t>废水污染源分析</w:t>
      </w:r>
    </w:p>
    <w:p>
      <w:pPr>
        <w:autoSpaceDE w:val="0"/>
        <w:autoSpaceDN w:val="0"/>
        <w:spacing w:line="460" w:lineRule="exact"/>
        <w:ind w:firstLine="480" w:firstLineChars="200"/>
        <w:rPr>
          <w:sz w:val="24"/>
        </w:rPr>
      </w:pPr>
      <w:r>
        <w:rPr>
          <w:rFonts w:hint="eastAsia"/>
          <w:sz w:val="24"/>
        </w:rPr>
        <w:t>1、生产废水</w:t>
      </w:r>
    </w:p>
    <w:p>
      <w:pPr>
        <w:autoSpaceDE w:val="0"/>
        <w:autoSpaceDN w:val="0"/>
        <w:spacing w:line="460" w:lineRule="exact"/>
        <w:ind w:firstLine="480" w:firstLineChars="200"/>
        <w:rPr>
          <w:sz w:val="24"/>
        </w:rPr>
      </w:pPr>
      <w:r>
        <w:rPr>
          <w:rFonts w:hint="eastAsia"/>
          <w:sz w:val="24"/>
        </w:rPr>
        <w:t>（1）废旧塑料</w:t>
      </w:r>
      <w:r>
        <w:rPr>
          <w:sz w:val="24"/>
        </w:rPr>
        <w:t>清洗废水</w:t>
      </w:r>
    </w:p>
    <w:p>
      <w:pPr>
        <w:autoSpaceDE w:val="0"/>
        <w:autoSpaceDN w:val="0"/>
        <w:spacing w:line="460" w:lineRule="exact"/>
        <w:ind w:firstLine="480" w:firstLineChars="200"/>
        <w:rPr>
          <w:sz w:val="24"/>
        </w:rPr>
      </w:pPr>
      <w:r>
        <w:rPr>
          <w:rFonts w:hint="eastAsia"/>
          <w:sz w:val="24"/>
        </w:rPr>
        <w:t>项目</w:t>
      </w:r>
      <w:r>
        <w:rPr>
          <w:sz w:val="24"/>
        </w:rPr>
        <w:t>废旧</w:t>
      </w:r>
      <w:r>
        <w:rPr>
          <w:rFonts w:hint="eastAsia"/>
          <w:sz w:val="24"/>
        </w:rPr>
        <w:t>塑料</w:t>
      </w:r>
      <w:r>
        <w:rPr>
          <w:sz w:val="24"/>
        </w:rPr>
        <w:t>膜、废旧滴灌带表面附着有</w:t>
      </w:r>
      <w:r>
        <w:rPr>
          <w:rFonts w:hint="eastAsia"/>
          <w:sz w:val="24"/>
        </w:rPr>
        <w:t>田间</w:t>
      </w:r>
      <w:r>
        <w:rPr>
          <w:sz w:val="24"/>
        </w:rPr>
        <w:t>杂土，需要进行清洗处置，清洗过程不添加任何清洗剂，采用清水清洗。</w:t>
      </w:r>
    </w:p>
    <w:p>
      <w:pPr>
        <w:autoSpaceDE w:val="0"/>
        <w:autoSpaceDN w:val="0"/>
        <w:spacing w:line="460" w:lineRule="exact"/>
        <w:ind w:firstLine="480" w:firstLineChars="200"/>
        <w:rPr>
          <w:sz w:val="24"/>
        </w:rPr>
      </w:pPr>
      <w:r>
        <w:rPr>
          <w:rFonts w:hint="eastAsia"/>
          <w:sz w:val="24"/>
        </w:rPr>
        <w:t>参考《排放源统计调查产排污核算方法和系数手册》中《42 废弃资源综合利用行业系数手册》4220 非金属废料和碎屑加工处理行业系数表 塑料薄膜再生造粒清洗</w:t>
      </w:r>
      <w:r>
        <w:rPr>
          <w:sz w:val="24"/>
        </w:rPr>
        <w:t>废水产生系数为</w:t>
      </w:r>
      <w:r>
        <w:rPr>
          <w:rFonts w:hint="eastAsia"/>
          <w:sz w:val="24"/>
        </w:rPr>
        <w:t>5.5</w:t>
      </w:r>
      <w:r>
        <w:rPr>
          <w:sz w:val="24"/>
        </w:rPr>
        <w:t>t/t-</w:t>
      </w:r>
      <w:r>
        <w:rPr>
          <w:rFonts w:hint="eastAsia"/>
          <w:sz w:val="24"/>
        </w:rPr>
        <w:t>原料，</w:t>
      </w:r>
      <w:r>
        <w:rPr>
          <w:sz w:val="24"/>
        </w:rPr>
        <w:t>本项目年处理废旧</w:t>
      </w:r>
      <w:r>
        <w:rPr>
          <w:rFonts w:hint="eastAsia"/>
          <w:sz w:val="24"/>
        </w:rPr>
        <w:t>塑料</w:t>
      </w:r>
      <w:r>
        <w:rPr>
          <w:sz w:val="24"/>
        </w:rPr>
        <w:t>膜</w:t>
      </w:r>
      <w:r>
        <w:rPr>
          <w:rFonts w:hint="eastAsia"/>
          <w:sz w:val="24"/>
        </w:rPr>
        <w:t>2000</w:t>
      </w:r>
      <w:r>
        <w:rPr>
          <w:sz w:val="24"/>
        </w:rPr>
        <w:t>t，则</w:t>
      </w:r>
      <w:r>
        <w:rPr>
          <w:rFonts w:hint="eastAsia"/>
          <w:sz w:val="24"/>
        </w:rPr>
        <w:t>废旧</w:t>
      </w:r>
      <w:r>
        <w:rPr>
          <w:sz w:val="24"/>
        </w:rPr>
        <w:t>地膜清洗废水产生量为</w:t>
      </w:r>
      <w:r>
        <w:rPr>
          <w:rFonts w:hint="eastAsia"/>
          <w:sz w:val="24"/>
        </w:rPr>
        <w:t>11000</w:t>
      </w:r>
      <w:r>
        <w:rPr>
          <w:sz w:val="24"/>
        </w:rPr>
        <w:t>m</w:t>
      </w:r>
      <w:r>
        <w:rPr>
          <w:sz w:val="24"/>
          <w:vertAlign w:val="superscript"/>
        </w:rPr>
        <w:t>3</w:t>
      </w:r>
      <w:r>
        <w:rPr>
          <w:sz w:val="24"/>
        </w:rPr>
        <w:t>/a</w:t>
      </w:r>
      <w:r>
        <w:rPr>
          <w:rFonts w:hint="eastAsia"/>
          <w:sz w:val="24"/>
        </w:rPr>
        <w:t>（61.11</w:t>
      </w:r>
      <w:r>
        <w:rPr>
          <w:sz w:val="24"/>
        </w:rPr>
        <w:t>m</w:t>
      </w:r>
      <w:r>
        <w:rPr>
          <w:sz w:val="24"/>
          <w:vertAlign w:val="superscript"/>
        </w:rPr>
        <w:t>3</w:t>
      </w:r>
      <w:r>
        <w:rPr>
          <w:sz w:val="24"/>
        </w:rPr>
        <w:t>/d</w:t>
      </w:r>
      <w:r>
        <w:rPr>
          <w:rFonts w:hint="eastAsia"/>
          <w:sz w:val="24"/>
        </w:rPr>
        <w:t>）</w:t>
      </w:r>
      <w:r>
        <w:rPr>
          <w:sz w:val="24"/>
        </w:rPr>
        <w:t>，</w:t>
      </w:r>
      <w:r>
        <w:rPr>
          <w:rFonts w:hint="eastAsia"/>
          <w:sz w:val="24"/>
        </w:rPr>
        <w:t>项目废旧塑料膜清洗</w:t>
      </w:r>
      <w:r>
        <w:rPr>
          <w:sz w:val="24"/>
        </w:rPr>
        <w:t>废水（</w:t>
      </w:r>
      <w:r>
        <w:rPr>
          <w:rFonts w:hint="eastAsia"/>
          <w:sz w:val="24"/>
        </w:rPr>
        <w:t>包括破碎工段喷淋水、清洗废水、脱水废水）直接进入三级沉淀池沉淀后回用，无废水排放，废旧塑料</w:t>
      </w:r>
      <w:r>
        <w:rPr>
          <w:sz w:val="24"/>
        </w:rPr>
        <w:t>膜清洗以及沉淀池沉淀过程会有部分水量损耗</w:t>
      </w:r>
      <w:r>
        <w:rPr>
          <w:rFonts w:hint="eastAsia"/>
          <w:sz w:val="24"/>
        </w:rPr>
        <w:t>，</w:t>
      </w:r>
      <w:r>
        <w:rPr>
          <w:sz w:val="24"/>
        </w:rPr>
        <w:t>主要为物料及沉淀底泥带走，根据</w:t>
      </w:r>
      <w:r>
        <w:rPr>
          <w:rFonts w:hint="eastAsia"/>
          <w:sz w:val="24"/>
        </w:rPr>
        <w:t>同类</w:t>
      </w:r>
      <w:r>
        <w:rPr>
          <w:sz w:val="24"/>
        </w:rPr>
        <w:t>工程运行情况损耗量约</w:t>
      </w:r>
      <w:r>
        <w:rPr>
          <w:rFonts w:hint="eastAsia"/>
          <w:sz w:val="24"/>
        </w:rPr>
        <w:t>为3</w:t>
      </w:r>
      <w:r>
        <w:rPr>
          <w:sz w:val="24"/>
        </w:rPr>
        <w:t>m</w:t>
      </w:r>
      <w:r>
        <w:rPr>
          <w:sz w:val="24"/>
          <w:vertAlign w:val="superscript"/>
        </w:rPr>
        <w:t>3</w:t>
      </w:r>
      <w:r>
        <w:rPr>
          <w:sz w:val="24"/>
        </w:rPr>
        <w:t>/d</w:t>
      </w:r>
      <w:r>
        <w:rPr>
          <w:rFonts w:hint="eastAsia"/>
          <w:sz w:val="24"/>
        </w:rPr>
        <w:t>，</w:t>
      </w:r>
      <w:r>
        <w:rPr>
          <w:sz w:val="24"/>
        </w:rPr>
        <w:t>损耗</w:t>
      </w:r>
      <w:r>
        <w:rPr>
          <w:rFonts w:hint="eastAsia"/>
          <w:sz w:val="24"/>
        </w:rPr>
        <w:t>部分</w:t>
      </w:r>
      <w:r>
        <w:rPr>
          <w:sz w:val="24"/>
        </w:rPr>
        <w:t>补充新鲜水</w:t>
      </w:r>
      <w:r>
        <w:rPr>
          <w:rFonts w:hint="eastAsia"/>
          <w:sz w:val="24"/>
        </w:rPr>
        <w:t>。</w:t>
      </w:r>
    </w:p>
    <w:p>
      <w:pPr>
        <w:autoSpaceDE w:val="0"/>
        <w:autoSpaceDN w:val="0"/>
        <w:spacing w:line="460" w:lineRule="exact"/>
        <w:ind w:firstLine="480" w:firstLineChars="200"/>
        <w:rPr>
          <w:sz w:val="24"/>
        </w:rPr>
      </w:pPr>
      <w:r>
        <w:rPr>
          <w:rFonts w:hint="eastAsia"/>
          <w:sz w:val="24"/>
        </w:rPr>
        <w:t>参考《排放源统计调查产排污核算方法和系数手册》中《42 废弃资源综合利用行业系数手册》4220 非金属废料和碎屑加工处理行业系数表 废</w:t>
      </w:r>
      <w:r>
        <w:rPr>
          <w:sz w:val="24"/>
        </w:rPr>
        <w:t>PE/PP</w:t>
      </w:r>
      <w:r>
        <w:rPr>
          <w:rFonts w:hint="eastAsia"/>
          <w:sz w:val="24"/>
        </w:rPr>
        <w:t>再生</w:t>
      </w:r>
      <w:r>
        <w:rPr>
          <w:sz w:val="24"/>
        </w:rPr>
        <w:t>造粒清洗废水产生系数为</w:t>
      </w:r>
      <w:r>
        <w:rPr>
          <w:rFonts w:hint="eastAsia"/>
          <w:sz w:val="24"/>
        </w:rPr>
        <w:t>1.0</w:t>
      </w:r>
      <w:r>
        <w:rPr>
          <w:sz w:val="24"/>
        </w:rPr>
        <w:t>t/t-</w:t>
      </w:r>
      <w:r>
        <w:rPr>
          <w:rFonts w:hint="eastAsia"/>
          <w:sz w:val="24"/>
        </w:rPr>
        <w:t>原料</w:t>
      </w:r>
      <w:r>
        <w:rPr>
          <w:sz w:val="24"/>
        </w:rPr>
        <w:t>，项目年处理废旧滴灌带</w:t>
      </w:r>
      <w:r>
        <w:rPr>
          <w:rFonts w:hint="eastAsia"/>
          <w:sz w:val="24"/>
        </w:rPr>
        <w:t>4000</w:t>
      </w:r>
      <w:r>
        <w:rPr>
          <w:sz w:val="24"/>
        </w:rPr>
        <w:t>t，则</w:t>
      </w:r>
      <w:r>
        <w:rPr>
          <w:rFonts w:hint="eastAsia"/>
          <w:sz w:val="24"/>
        </w:rPr>
        <w:t>废旧滴灌带</w:t>
      </w:r>
      <w:r>
        <w:rPr>
          <w:sz w:val="24"/>
        </w:rPr>
        <w:t>清洗废水</w:t>
      </w:r>
      <w:r>
        <w:rPr>
          <w:rFonts w:hint="eastAsia"/>
          <w:sz w:val="24"/>
        </w:rPr>
        <w:t>产生量</w:t>
      </w:r>
      <w:r>
        <w:rPr>
          <w:sz w:val="24"/>
        </w:rPr>
        <w:t>为</w:t>
      </w:r>
      <w:r>
        <w:rPr>
          <w:rFonts w:hint="eastAsia"/>
          <w:sz w:val="24"/>
        </w:rPr>
        <w:t>4000</w:t>
      </w:r>
      <w:r>
        <w:rPr>
          <w:sz w:val="24"/>
        </w:rPr>
        <w:t>m</w:t>
      </w:r>
      <w:r>
        <w:rPr>
          <w:sz w:val="24"/>
          <w:vertAlign w:val="superscript"/>
        </w:rPr>
        <w:t>3</w:t>
      </w:r>
      <w:r>
        <w:rPr>
          <w:sz w:val="24"/>
        </w:rPr>
        <w:t>/a</w:t>
      </w:r>
      <w:r>
        <w:rPr>
          <w:rFonts w:hint="eastAsia"/>
          <w:sz w:val="24"/>
        </w:rPr>
        <w:t>（22.22</w:t>
      </w:r>
      <w:r>
        <w:rPr>
          <w:sz w:val="24"/>
        </w:rPr>
        <w:t>m</w:t>
      </w:r>
      <w:r>
        <w:rPr>
          <w:sz w:val="24"/>
          <w:vertAlign w:val="superscript"/>
        </w:rPr>
        <w:t>3</w:t>
      </w:r>
      <w:r>
        <w:rPr>
          <w:sz w:val="24"/>
        </w:rPr>
        <w:t>/d</w:t>
      </w:r>
      <w:r>
        <w:rPr>
          <w:rFonts w:hint="eastAsia"/>
          <w:sz w:val="24"/>
        </w:rPr>
        <w:t>）</w:t>
      </w:r>
      <w:r>
        <w:rPr>
          <w:sz w:val="24"/>
        </w:rPr>
        <w:t>，</w:t>
      </w:r>
      <w:r>
        <w:rPr>
          <w:rFonts w:hint="eastAsia"/>
          <w:sz w:val="24"/>
        </w:rPr>
        <w:t>项目废旧滴灌带清洗废水（包括破碎工段喷淋水、清洗废水、脱水废水）直接进入三级沉淀池沉淀后回用，无废水排放，废旧滴灌带清洗以及沉淀池沉淀过程会有部分水量损耗，</w:t>
      </w:r>
      <w:r>
        <w:rPr>
          <w:sz w:val="24"/>
        </w:rPr>
        <w:t>主要为物料及沉淀底泥带走</w:t>
      </w:r>
      <w:r>
        <w:rPr>
          <w:rFonts w:hint="eastAsia"/>
          <w:sz w:val="24"/>
        </w:rPr>
        <w:t>，根据同类项目损耗量约为3m</w:t>
      </w:r>
      <w:r>
        <w:rPr>
          <w:rFonts w:hint="eastAsia"/>
          <w:sz w:val="24"/>
          <w:vertAlign w:val="superscript"/>
        </w:rPr>
        <w:t>3</w:t>
      </w:r>
      <w:r>
        <w:rPr>
          <w:rFonts w:hint="eastAsia"/>
          <w:sz w:val="24"/>
        </w:rPr>
        <w:t>/d，损耗部分补充新鲜水。</w:t>
      </w:r>
    </w:p>
    <w:p>
      <w:pPr>
        <w:autoSpaceDE w:val="0"/>
        <w:autoSpaceDN w:val="0"/>
        <w:spacing w:line="460" w:lineRule="exact"/>
        <w:ind w:firstLine="480" w:firstLineChars="200"/>
        <w:rPr>
          <w:sz w:val="24"/>
        </w:rPr>
      </w:pPr>
      <w:r>
        <w:rPr>
          <w:rFonts w:hint="eastAsia"/>
          <w:sz w:val="24"/>
        </w:rPr>
        <w:t>本项目</w:t>
      </w:r>
      <w:r>
        <w:rPr>
          <w:sz w:val="24"/>
        </w:rPr>
        <w:t>清洗废水废旧</w:t>
      </w:r>
      <w:r>
        <w:rPr>
          <w:rFonts w:hint="eastAsia"/>
          <w:sz w:val="24"/>
        </w:rPr>
        <w:t>塑料</w:t>
      </w:r>
      <w:r>
        <w:rPr>
          <w:sz w:val="24"/>
        </w:rPr>
        <w:t>膜清洗废水、废旧滴灌带清洗废水全部排入厂区已建</w:t>
      </w:r>
      <w:r>
        <w:rPr>
          <w:rFonts w:hint="eastAsia"/>
          <w:sz w:val="24"/>
        </w:rPr>
        <w:t>两座容积分别为300m</w:t>
      </w:r>
      <w:r>
        <w:rPr>
          <w:rFonts w:hint="eastAsia"/>
          <w:sz w:val="24"/>
          <w:vertAlign w:val="superscript"/>
        </w:rPr>
        <w:t>3</w:t>
      </w:r>
      <w:r>
        <w:rPr>
          <w:rFonts w:hint="eastAsia"/>
          <w:sz w:val="24"/>
        </w:rPr>
        <w:t>防渗三级沉淀池沉淀后回用于项目清洗工序，</w:t>
      </w:r>
      <w:r>
        <w:rPr>
          <w:sz w:val="24"/>
        </w:rPr>
        <w:t>无废水外排。</w:t>
      </w:r>
    </w:p>
    <w:p>
      <w:pPr>
        <w:autoSpaceDE w:val="0"/>
        <w:autoSpaceDN w:val="0"/>
        <w:spacing w:line="460" w:lineRule="exact"/>
        <w:ind w:firstLine="480" w:firstLineChars="200"/>
        <w:rPr>
          <w:sz w:val="24"/>
        </w:rPr>
      </w:pPr>
      <w:r>
        <w:rPr>
          <w:rFonts w:hint="eastAsia"/>
          <w:sz w:val="24"/>
        </w:rPr>
        <w:t>（2）</w:t>
      </w:r>
      <w:r>
        <w:rPr>
          <w:sz w:val="24"/>
        </w:rPr>
        <w:t>冷却用水</w:t>
      </w:r>
    </w:p>
    <w:p>
      <w:pPr>
        <w:autoSpaceDE w:val="0"/>
        <w:autoSpaceDN w:val="0"/>
        <w:spacing w:line="460" w:lineRule="exact"/>
        <w:ind w:firstLine="480" w:firstLineChars="200"/>
        <w:rPr>
          <w:sz w:val="24"/>
        </w:rPr>
      </w:pPr>
      <w:r>
        <w:rPr>
          <w:rFonts w:hint="eastAsia"/>
          <w:sz w:val="24"/>
        </w:rPr>
        <w:t>①</w:t>
      </w:r>
      <w:r>
        <w:rPr>
          <w:sz w:val="24"/>
        </w:rPr>
        <w:t>废旧塑料造粒冷却用水</w:t>
      </w:r>
    </w:p>
    <w:p>
      <w:pPr>
        <w:autoSpaceDE w:val="0"/>
        <w:autoSpaceDN w:val="0"/>
        <w:spacing w:line="460" w:lineRule="exact"/>
        <w:ind w:firstLine="480" w:firstLineChars="200"/>
        <w:rPr>
          <w:sz w:val="24"/>
        </w:rPr>
      </w:pPr>
      <w:r>
        <w:rPr>
          <w:rFonts w:hint="eastAsia"/>
          <w:sz w:val="24"/>
        </w:rPr>
        <w:t>废旧滴灌带再生聚乙烯颗粒料冷却用水量为</w:t>
      </w:r>
      <w:r>
        <w:rPr>
          <w:sz w:val="24"/>
        </w:rPr>
        <w:t>121.2m</w:t>
      </w:r>
      <w:r>
        <w:rPr>
          <w:sz w:val="24"/>
          <w:vertAlign w:val="superscript"/>
        </w:rPr>
        <w:t>3</w:t>
      </w:r>
      <w:r>
        <w:rPr>
          <w:sz w:val="24"/>
        </w:rPr>
        <w:t>/d</w:t>
      </w:r>
      <w:r>
        <w:rPr>
          <w:rFonts w:hint="eastAsia"/>
          <w:sz w:val="24"/>
        </w:rPr>
        <w:t>，循环量为</w:t>
      </w:r>
      <w:r>
        <w:rPr>
          <w:sz w:val="24"/>
        </w:rPr>
        <w:t>120m</w:t>
      </w:r>
      <w:r>
        <w:rPr>
          <w:sz w:val="24"/>
          <w:vertAlign w:val="superscript"/>
        </w:rPr>
        <w:t>3</w:t>
      </w:r>
      <w:r>
        <w:rPr>
          <w:sz w:val="24"/>
        </w:rPr>
        <w:t>/d</w:t>
      </w:r>
      <w:r>
        <w:rPr>
          <w:rFonts w:hint="eastAsia"/>
          <w:sz w:val="24"/>
        </w:rPr>
        <w:t>，损耗量为</w:t>
      </w:r>
      <w:r>
        <w:rPr>
          <w:sz w:val="24"/>
        </w:rPr>
        <w:t>1.2m</w:t>
      </w:r>
      <w:r>
        <w:rPr>
          <w:sz w:val="24"/>
          <w:vertAlign w:val="superscript"/>
        </w:rPr>
        <w:t>3</w:t>
      </w:r>
      <w:r>
        <w:rPr>
          <w:sz w:val="24"/>
        </w:rPr>
        <w:t>/d</w:t>
      </w:r>
      <w:r>
        <w:rPr>
          <w:rFonts w:hint="eastAsia"/>
          <w:sz w:val="24"/>
        </w:rPr>
        <w:t>，冷却水进入冷却水池循环使用不外排；废旧塑料膜再生聚乙烯颗粒料冷却用水量为</w:t>
      </w:r>
      <w:r>
        <w:rPr>
          <w:sz w:val="24"/>
        </w:rPr>
        <w:t>121.2m</w:t>
      </w:r>
      <w:r>
        <w:rPr>
          <w:sz w:val="24"/>
          <w:vertAlign w:val="superscript"/>
        </w:rPr>
        <w:t>3</w:t>
      </w:r>
      <w:r>
        <w:rPr>
          <w:sz w:val="24"/>
        </w:rPr>
        <w:t>/d</w:t>
      </w:r>
      <w:r>
        <w:rPr>
          <w:rFonts w:hint="eastAsia"/>
          <w:sz w:val="24"/>
        </w:rPr>
        <w:t>，循环量为</w:t>
      </w:r>
      <w:r>
        <w:rPr>
          <w:sz w:val="24"/>
        </w:rPr>
        <w:t>120m</w:t>
      </w:r>
      <w:r>
        <w:rPr>
          <w:sz w:val="24"/>
          <w:vertAlign w:val="superscript"/>
        </w:rPr>
        <w:t>3</w:t>
      </w:r>
      <w:r>
        <w:rPr>
          <w:sz w:val="24"/>
        </w:rPr>
        <w:t>/d</w:t>
      </w:r>
      <w:r>
        <w:rPr>
          <w:rFonts w:hint="eastAsia"/>
          <w:sz w:val="24"/>
        </w:rPr>
        <w:t>，损耗量为</w:t>
      </w:r>
      <w:r>
        <w:rPr>
          <w:sz w:val="24"/>
        </w:rPr>
        <w:t>1.2m</w:t>
      </w:r>
      <w:r>
        <w:rPr>
          <w:sz w:val="24"/>
          <w:vertAlign w:val="superscript"/>
        </w:rPr>
        <w:t>3</w:t>
      </w:r>
      <w:r>
        <w:rPr>
          <w:sz w:val="24"/>
        </w:rPr>
        <w:t>/d</w:t>
      </w:r>
      <w:r>
        <w:rPr>
          <w:rFonts w:hint="eastAsia"/>
          <w:sz w:val="24"/>
        </w:rPr>
        <w:t>，冷却水进入冷却水池循环使用不外排；</w:t>
      </w:r>
    </w:p>
    <w:p>
      <w:pPr>
        <w:autoSpaceDE w:val="0"/>
        <w:autoSpaceDN w:val="0"/>
        <w:spacing w:line="460" w:lineRule="exact"/>
        <w:ind w:firstLine="480" w:firstLineChars="200"/>
        <w:rPr>
          <w:sz w:val="24"/>
        </w:rPr>
      </w:pPr>
      <w:r>
        <w:rPr>
          <w:rFonts w:hint="eastAsia"/>
          <w:sz w:val="24"/>
        </w:rPr>
        <w:t>②</w:t>
      </w:r>
      <w:r>
        <w:rPr>
          <w:sz w:val="24"/>
        </w:rPr>
        <w:t>滴灌带、PE管生产冷却用水</w:t>
      </w:r>
    </w:p>
    <w:p>
      <w:pPr>
        <w:autoSpaceDE w:val="0"/>
        <w:autoSpaceDN w:val="0"/>
        <w:spacing w:line="460" w:lineRule="exact"/>
        <w:ind w:firstLine="480" w:firstLineChars="200"/>
        <w:rPr>
          <w:sz w:val="24"/>
        </w:rPr>
      </w:pPr>
      <w:r>
        <w:rPr>
          <w:rFonts w:hint="eastAsia"/>
          <w:sz w:val="24"/>
        </w:rPr>
        <w:t>滴灌带生产冷却用水量为</w:t>
      </w:r>
      <w:r>
        <w:rPr>
          <w:sz w:val="24"/>
        </w:rPr>
        <w:t>121.2m</w:t>
      </w:r>
      <w:r>
        <w:rPr>
          <w:sz w:val="24"/>
          <w:vertAlign w:val="superscript"/>
        </w:rPr>
        <w:t>3</w:t>
      </w:r>
      <w:r>
        <w:rPr>
          <w:sz w:val="24"/>
        </w:rPr>
        <w:t>/d</w:t>
      </w:r>
      <w:r>
        <w:rPr>
          <w:rFonts w:hint="eastAsia"/>
          <w:sz w:val="24"/>
        </w:rPr>
        <w:t>，循环量为</w:t>
      </w:r>
      <w:r>
        <w:rPr>
          <w:sz w:val="24"/>
        </w:rPr>
        <w:t>120m</w:t>
      </w:r>
      <w:r>
        <w:rPr>
          <w:sz w:val="24"/>
          <w:vertAlign w:val="superscript"/>
        </w:rPr>
        <w:t>3</w:t>
      </w:r>
      <w:r>
        <w:rPr>
          <w:sz w:val="24"/>
        </w:rPr>
        <w:t>/d</w:t>
      </w:r>
      <w:r>
        <w:rPr>
          <w:rFonts w:hint="eastAsia"/>
          <w:sz w:val="24"/>
        </w:rPr>
        <w:t>，损耗量为</w:t>
      </w:r>
      <w:r>
        <w:rPr>
          <w:sz w:val="24"/>
        </w:rPr>
        <w:t>1.2m</w:t>
      </w:r>
      <w:r>
        <w:rPr>
          <w:sz w:val="24"/>
          <w:vertAlign w:val="superscript"/>
        </w:rPr>
        <w:t>3</w:t>
      </w:r>
      <w:r>
        <w:rPr>
          <w:sz w:val="24"/>
        </w:rPr>
        <w:t>/d</w:t>
      </w:r>
      <w:r>
        <w:rPr>
          <w:rFonts w:hint="eastAsia"/>
          <w:sz w:val="24"/>
        </w:rPr>
        <w:t>，循环使用不外排；PE</w:t>
      </w:r>
      <w:r>
        <w:rPr>
          <w:sz w:val="24"/>
        </w:rPr>
        <w:t>管生产冷却用水量为</w:t>
      </w:r>
      <w:r>
        <w:rPr>
          <w:rFonts w:hint="eastAsia"/>
          <w:sz w:val="24"/>
        </w:rPr>
        <w:t>3</w:t>
      </w:r>
      <w:r>
        <w:rPr>
          <w:sz w:val="24"/>
        </w:rPr>
        <w:t>0</w:t>
      </w:r>
      <w:r>
        <w:rPr>
          <w:rFonts w:hint="eastAsia"/>
          <w:sz w:val="24"/>
        </w:rPr>
        <w:t>.</w:t>
      </w:r>
      <w:r>
        <w:rPr>
          <w:sz w:val="24"/>
        </w:rPr>
        <w:t>3m</w:t>
      </w:r>
      <w:r>
        <w:rPr>
          <w:sz w:val="24"/>
          <w:vertAlign w:val="superscript"/>
        </w:rPr>
        <w:t>3</w:t>
      </w:r>
      <w:r>
        <w:rPr>
          <w:sz w:val="24"/>
        </w:rPr>
        <w:t>/d。循环量</w:t>
      </w:r>
      <w:r>
        <w:rPr>
          <w:rFonts w:hint="eastAsia"/>
          <w:sz w:val="24"/>
        </w:rPr>
        <w:t>为30</w:t>
      </w:r>
      <w:r>
        <w:rPr>
          <w:sz w:val="24"/>
        </w:rPr>
        <w:t>m</w:t>
      </w:r>
      <w:r>
        <w:rPr>
          <w:sz w:val="24"/>
          <w:vertAlign w:val="superscript"/>
        </w:rPr>
        <w:t>3</w:t>
      </w:r>
      <w:r>
        <w:rPr>
          <w:sz w:val="24"/>
        </w:rPr>
        <w:t>/d，</w:t>
      </w:r>
      <w:r>
        <w:rPr>
          <w:rFonts w:hint="eastAsia"/>
          <w:sz w:val="24"/>
        </w:rPr>
        <w:t>损耗量</w:t>
      </w:r>
      <w:r>
        <w:rPr>
          <w:sz w:val="24"/>
        </w:rPr>
        <w:t>为0</w:t>
      </w:r>
      <w:r>
        <w:rPr>
          <w:rFonts w:hint="eastAsia"/>
          <w:sz w:val="24"/>
        </w:rPr>
        <w:t>.</w:t>
      </w:r>
      <w:r>
        <w:rPr>
          <w:sz w:val="24"/>
        </w:rPr>
        <w:t>3m</w:t>
      </w:r>
      <w:r>
        <w:rPr>
          <w:sz w:val="24"/>
          <w:vertAlign w:val="superscript"/>
        </w:rPr>
        <w:t>3</w:t>
      </w:r>
      <w:r>
        <w:rPr>
          <w:sz w:val="24"/>
        </w:rPr>
        <w:t>/d，循环使用不外排</w:t>
      </w:r>
      <w:r>
        <w:rPr>
          <w:rFonts w:hint="eastAsia"/>
          <w:sz w:val="24"/>
        </w:rPr>
        <w:t>。</w:t>
      </w:r>
    </w:p>
    <w:p>
      <w:pPr>
        <w:autoSpaceDE w:val="0"/>
        <w:autoSpaceDN w:val="0"/>
        <w:spacing w:line="460" w:lineRule="exact"/>
        <w:ind w:firstLine="480" w:firstLineChars="200"/>
        <w:rPr>
          <w:sz w:val="24"/>
        </w:rPr>
      </w:pPr>
      <w:bookmarkStart w:id="161" w:name="_Hlk164794018"/>
      <w:r>
        <w:rPr>
          <w:rFonts w:hint="eastAsia"/>
          <w:sz w:val="24"/>
        </w:rPr>
        <w:t>项目冷却</w:t>
      </w:r>
      <w:r>
        <w:rPr>
          <w:sz w:val="24"/>
        </w:rPr>
        <w:t>用水设置</w:t>
      </w:r>
      <w:r>
        <w:rPr>
          <w:rFonts w:hint="eastAsia"/>
          <w:sz w:val="24"/>
        </w:rPr>
        <w:t>依托</w:t>
      </w:r>
      <w:r>
        <w:rPr>
          <w:sz w:val="24"/>
        </w:rPr>
        <w:t>现有</w:t>
      </w:r>
      <w:r>
        <w:rPr>
          <w:rFonts w:hint="eastAsia"/>
          <w:sz w:val="24"/>
        </w:rPr>
        <w:t>2</w:t>
      </w:r>
      <w:r>
        <w:rPr>
          <w:sz w:val="24"/>
        </w:rPr>
        <w:t>座</w:t>
      </w:r>
      <w:r>
        <w:rPr>
          <w:rFonts w:hint="eastAsia"/>
          <w:sz w:val="24"/>
        </w:rPr>
        <w:t>容积分别为100m</w:t>
      </w:r>
      <w:r>
        <w:rPr>
          <w:sz w:val="24"/>
          <w:vertAlign w:val="superscript"/>
        </w:rPr>
        <w:t>3</w:t>
      </w:r>
      <w:r>
        <w:rPr>
          <w:rFonts w:hint="eastAsia"/>
          <w:sz w:val="24"/>
        </w:rPr>
        <w:t>冷却水池</w:t>
      </w:r>
      <w:r>
        <w:rPr>
          <w:sz w:val="24"/>
        </w:rPr>
        <w:t>循环使用，不外排</w:t>
      </w:r>
      <w:r>
        <w:rPr>
          <w:rFonts w:hint="eastAsia"/>
          <w:sz w:val="24"/>
        </w:rPr>
        <w:t>。</w:t>
      </w:r>
      <w:bookmarkEnd w:id="161"/>
    </w:p>
    <w:p>
      <w:pPr>
        <w:autoSpaceDE w:val="0"/>
        <w:autoSpaceDN w:val="0"/>
        <w:spacing w:line="460" w:lineRule="exact"/>
        <w:ind w:firstLine="480" w:firstLineChars="200"/>
        <w:rPr>
          <w:sz w:val="24"/>
        </w:rPr>
      </w:pPr>
      <w:r>
        <w:rPr>
          <w:rFonts w:hint="eastAsia"/>
          <w:sz w:val="24"/>
        </w:rPr>
        <w:t>2、生活污水</w:t>
      </w:r>
    </w:p>
    <w:p>
      <w:pPr>
        <w:autoSpaceDE w:val="0"/>
        <w:autoSpaceDN w:val="0"/>
        <w:spacing w:line="460" w:lineRule="exact"/>
        <w:ind w:firstLine="480" w:firstLineChars="200"/>
        <w:rPr>
          <w:sz w:val="24"/>
        </w:rPr>
      </w:pPr>
      <w:r>
        <w:rPr>
          <w:rFonts w:hint="eastAsia"/>
          <w:sz w:val="24"/>
        </w:rPr>
        <w:t>本项目新增劳动定员16人，生活用水量按照8</w:t>
      </w:r>
      <w:r>
        <w:rPr>
          <w:sz w:val="24"/>
        </w:rPr>
        <w:t>0L/</w:t>
      </w:r>
      <w:r>
        <w:rPr>
          <w:rFonts w:hint="eastAsia"/>
          <w:sz w:val="24"/>
        </w:rPr>
        <w:t>人·</w:t>
      </w:r>
      <w:r>
        <w:rPr>
          <w:sz w:val="24"/>
        </w:rPr>
        <w:t>d</w:t>
      </w:r>
      <w:r>
        <w:rPr>
          <w:rFonts w:hint="eastAsia"/>
          <w:sz w:val="24"/>
        </w:rPr>
        <w:t>计，项目年运行</w:t>
      </w:r>
      <w:r>
        <w:rPr>
          <w:sz w:val="24"/>
        </w:rPr>
        <w:t>180</w:t>
      </w:r>
      <w:r>
        <w:rPr>
          <w:rFonts w:hint="eastAsia"/>
          <w:sz w:val="24"/>
        </w:rPr>
        <w:t>天，生活用水量为230.4</w:t>
      </w:r>
      <w:r>
        <w:rPr>
          <w:sz w:val="24"/>
        </w:rPr>
        <w:t>m</w:t>
      </w:r>
      <w:r>
        <w:rPr>
          <w:rFonts w:hint="eastAsia"/>
          <w:sz w:val="24"/>
        </w:rPr>
        <w:t>³</w:t>
      </w:r>
      <w:r>
        <w:rPr>
          <w:sz w:val="24"/>
        </w:rPr>
        <w:t>/a</w:t>
      </w:r>
      <w:r>
        <w:rPr>
          <w:rFonts w:hint="eastAsia"/>
          <w:sz w:val="24"/>
        </w:rPr>
        <w:t>。生活废水产生量按照用水量的</w:t>
      </w:r>
      <w:r>
        <w:rPr>
          <w:sz w:val="24"/>
        </w:rPr>
        <w:t>80%</w:t>
      </w:r>
      <w:r>
        <w:rPr>
          <w:rFonts w:hint="eastAsia"/>
          <w:sz w:val="24"/>
        </w:rPr>
        <w:t>计，则生活污水产生量为184.32</w:t>
      </w:r>
      <w:r>
        <w:rPr>
          <w:sz w:val="24"/>
        </w:rPr>
        <w:t>m</w:t>
      </w:r>
      <w:r>
        <w:rPr>
          <w:rFonts w:hint="eastAsia"/>
          <w:sz w:val="24"/>
        </w:rPr>
        <w:t>³</w:t>
      </w:r>
      <w:r>
        <w:rPr>
          <w:sz w:val="24"/>
        </w:rPr>
        <w:t>/a</w:t>
      </w:r>
      <w:r>
        <w:rPr>
          <w:rFonts w:hint="eastAsia"/>
          <w:sz w:val="24"/>
        </w:rPr>
        <w:t>。生活污水中的主要污染物为</w:t>
      </w:r>
      <w:r>
        <w:rPr>
          <w:sz w:val="24"/>
        </w:rPr>
        <w:t>CODcr</w:t>
      </w:r>
      <w:r>
        <w:rPr>
          <w:rFonts w:hint="eastAsia"/>
          <w:sz w:val="24"/>
        </w:rPr>
        <w:t>、</w:t>
      </w:r>
      <w:r>
        <w:rPr>
          <w:sz w:val="24"/>
        </w:rPr>
        <w:t>BOD</w:t>
      </w:r>
      <w:r>
        <w:rPr>
          <w:sz w:val="24"/>
          <w:vertAlign w:val="subscript"/>
        </w:rPr>
        <w:t>5</w:t>
      </w:r>
      <w:r>
        <w:rPr>
          <w:rFonts w:hint="eastAsia"/>
          <w:sz w:val="24"/>
        </w:rPr>
        <w:t>、</w:t>
      </w:r>
      <w:r>
        <w:rPr>
          <w:sz w:val="24"/>
        </w:rPr>
        <w:t>SS</w:t>
      </w:r>
      <w:r>
        <w:rPr>
          <w:rFonts w:hint="eastAsia"/>
          <w:sz w:val="24"/>
        </w:rPr>
        <w:t>、氨氮等。生活污水经现有</w:t>
      </w:r>
      <w:r>
        <w:rPr>
          <w:sz w:val="24"/>
        </w:rPr>
        <w:t>1</w:t>
      </w:r>
      <w:r>
        <w:rPr>
          <w:rFonts w:hint="eastAsia"/>
          <w:sz w:val="24"/>
        </w:rPr>
        <w:t>座100</w:t>
      </w:r>
      <w:r>
        <w:rPr>
          <w:sz w:val="24"/>
        </w:rPr>
        <w:t>m</w:t>
      </w:r>
      <w:r>
        <w:rPr>
          <w:rFonts w:hint="eastAsia"/>
          <w:sz w:val="24"/>
        </w:rPr>
        <w:t>³的防渗化粪池暂存后，定期拉运至昌吉国家农业科技园区污水处理厂处置。</w:t>
      </w:r>
    </w:p>
    <w:p>
      <w:pPr>
        <w:pStyle w:val="2"/>
        <w:ind w:firstLine="480"/>
        <w:rPr>
          <w:color w:val="auto"/>
        </w:rPr>
      </w:pPr>
      <w:r>
        <w:rPr>
          <w:color w:val="auto"/>
        </w:rPr>
        <w:t>4.4.2.3</w:t>
      </w:r>
      <w:r>
        <w:rPr>
          <w:rFonts w:hint="eastAsia"/>
          <w:color w:val="auto"/>
        </w:rPr>
        <w:t>噪声污染源分析</w:t>
      </w:r>
    </w:p>
    <w:p>
      <w:pPr>
        <w:autoSpaceDE w:val="0"/>
        <w:autoSpaceDN w:val="0"/>
        <w:spacing w:line="460" w:lineRule="exact"/>
        <w:ind w:firstLine="480" w:firstLineChars="200"/>
        <w:rPr>
          <w:sz w:val="24"/>
        </w:rPr>
      </w:pPr>
      <w:r>
        <w:rPr>
          <w:sz w:val="24"/>
        </w:rPr>
        <w:t>本项目噪声源主要为破碎机、搅拌机、造粒机、切粒机、挤出机等设备，噪声声级范围65~</w:t>
      </w:r>
      <w:r>
        <w:rPr>
          <w:rFonts w:hint="eastAsia"/>
          <w:sz w:val="24"/>
        </w:rPr>
        <w:t>90</w:t>
      </w:r>
      <w:r>
        <w:rPr>
          <w:sz w:val="24"/>
        </w:rPr>
        <w:t>dB（A），本项目噪声污染源分析见</w:t>
      </w:r>
      <w:bookmarkStart w:id="162" w:name="_Hlk165224518"/>
      <w:r>
        <w:rPr>
          <w:sz w:val="24"/>
        </w:rPr>
        <w:t>表</w:t>
      </w:r>
      <w:r>
        <w:rPr>
          <w:sz w:val="24"/>
        </w:rPr>
        <w:fldChar w:fldCharType="begin"/>
      </w:r>
      <w:r>
        <w:rPr>
          <w:sz w:val="24"/>
        </w:rPr>
        <w:instrText xml:space="preserve"> STYLEREF  \s 二级标题 \n \t </w:instrText>
      </w:r>
      <w:r>
        <w:rPr>
          <w:sz w:val="24"/>
        </w:rPr>
        <w:fldChar w:fldCharType="separate"/>
      </w:r>
      <w:r>
        <w:rPr>
          <w:rFonts w:hint="eastAsia"/>
          <w:b/>
          <w:bCs/>
          <w:sz w:val="24"/>
        </w:rPr>
        <w:t>错误!文档中没有指定样式的文字。</w:t>
      </w:r>
      <w:r>
        <w:rPr>
          <w:sz w:val="24"/>
        </w:rPr>
        <w:fldChar w:fldCharType="end"/>
      </w:r>
      <w:r>
        <w:rPr>
          <w:sz w:val="24"/>
        </w:rPr>
        <w:t>-8</w:t>
      </w:r>
      <w:r>
        <w:rPr>
          <w:rFonts w:hint="eastAsia"/>
          <w:sz w:val="24"/>
        </w:rPr>
        <w:t>、</w:t>
      </w:r>
      <w:r>
        <w:rPr>
          <w:sz w:val="24"/>
        </w:rPr>
        <w:t>表</w:t>
      </w:r>
      <w:r>
        <w:rPr>
          <w:rFonts w:hint="eastAsia"/>
          <w:sz w:val="24"/>
        </w:rPr>
        <w:t>4.4</w:t>
      </w:r>
      <w:r>
        <w:rPr>
          <w:sz w:val="24"/>
        </w:rPr>
        <w:t>-9</w:t>
      </w:r>
      <w:bookmarkEnd w:id="162"/>
      <w:r>
        <w:rPr>
          <w:sz w:val="24"/>
        </w:rPr>
        <w:t>。</w:t>
      </w:r>
    </w:p>
    <w:p>
      <w:pPr>
        <w:pStyle w:val="685"/>
        <w:spacing w:before="0" w:beforeLines="0"/>
        <w:ind w:firstLine="420" w:firstLineChars="200"/>
        <w:jc w:val="both"/>
      </w:pPr>
      <w:r>
        <w:rPr>
          <w:rStyle w:val="704"/>
        </w:rPr>
        <w:t>表</w:t>
      </w:r>
      <w:r>
        <w:rPr>
          <w:rStyle w:val="704"/>
          <w:rFonts w:hint="eastAsia"/>
        </w:rPr>
        <w:t>4.4</w:t>
      </w:r>
      <w:r>
        <w:t>-8               本项目</w:t>
      </w:r>
      <w:r>
        <w:rPr>
          <w:rFonts w:hint="eastAsia"/>
        </w:rPr>
        <w:t>室外</w:t>
      </w:r>
      <w:r>
        <w:t>噪声污染源源强表        单位：dB（A）</w:t>
      </w:r>
    </w:p>
    <w:tbl>
      <w:tblPr>
        <w:tblStyle w:val="5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2468"/>
        <w:gridCol w:w="694"/>
        <w:gridCol w:w="694"/>
        <w:gridCol w:w="694"/>
        <w:gridCol w:w="1447"/>
        <w:gridCol w:w="1278"/>
        <w:gridCol w:w="8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restart"/>
            <w:tcBorders>
              <w:top w:val="single" w:color="auto" w:sz="12" w:space="0"/>
            </w:tcBorders>
            <w:vAlign w:val="center"/>
          </w:tcPr>
          <w:p>
            <w:pPr>
              <w:jc w:val="center"/>
              <w:rPr>
                <w:bCs/>
                <w:szCs w:val="21"/>
              </w:rPr>
            </w:pPr>
            <w:r>
              <w:rPr>
                <w:bCs/>
                <w:szCs w:val="21"/>
              </w:rPr>
              <w:t>序号</w:t>
            </w:r>
          </w:p>
        </w:tc>
        <w:tc>
          <w:tcPr>
            <w:tcW w:w="1448" w:type="pct"/>
            <w:vMerge w:val="restart"/>
            <w:tcBorders>
              <w:top w:val="single" w:color="auto" w:sz="12" w:space="0"/>
            </w:tcBorders>
            <w:vAlign w:val="center"/>
          </w:tcPr>
          <w:p>
            <w:pPr>
              <w:jc w:val="center"/>
              <w:rPr>
                <w:bCs/>
                <w:szCs w:val="21"/>
              </w:rPr>
            </w:pPr>
            <w:r>
              <w:rPr>
                <w:bCs/>
                <w:szCs w:val="21"/>
              </w:rPr>
              <w:t>声源名称</w:t>
            </w:r>
          </w:p>
        </w:tc>
        <w:tc>
          <w:tcPr>
            <w:tcW w:w="1221" w:type="pct"/>
            <w:gridSpan w:val="3"/>
            <w:tcBorders>
              <w:top w:val="single" w:color="auto" w:sz="12" w:space="0"/>
            </w:tcBorders>
            <w:vAlign w:val="center"/>
          </w:tcPr>
          <w:p>
            <w:pPr>
              <w:jc w:val="center"/>
              <w:rPr>
                <w:bCs/>
                <w:szCs w:val="21"/>
              </w:rPr>
            </w:pPr>
            <w:r>
              <w:rPr>
                <w:bCs/>
                <w:szCs w:val="21"/>
              </w:rPr>
              <w:t>空间相对位置/m</w:t>
            </w:r>
          </w:p>
        </w:tc>
        <w:tc>
          <w:tcPr>
            <w:tcW w:w="849" w:type="pct"/>
            <w:tcBorders>
              <w:top w:val="single" w:color="auto" w:sz="12" w:space="0"/>
            </w:tcBorders>
            <w:vAlign w:val="center"/>
          </w:tcPr>
          <w:p>
            <w:pPr>
              <w:jc w:val="center"/>
              <w:rPr>
                <w:bCs/>
                <w:szCs w:val="21"/>
              </w:rPr>
            </w:pPr>
            <w:r>
              <w:rPr>
                <w:bCs/>
                <w:szCs w:val="21"/>
              </w:rPr>
              <w:t>声源源强</w:t>
            </w:r>
          </w:p>
        </w:tc>
        <w:tc>
          <w:tcPr>
            <w:tcW w:w="750" w:type="pct"/>
            <w:vMerge w:val="restart"/>
            <w:tcBorders>
              <w:top w:val="single" w:color="auto" w:sz="12" w:space="0"/>
            </w:tcBorders>
            <w:vAlign w:val="center"/>
          </w:tcPr>
          <w:p>
            <w:pPr>
              <w:jc w:val="center"/>
              <w:rPr>
                <w:bCs/>
                <w:szCs w:val="21"/>
              </w:rPr>
            </w:pPr>
            <w:r>
              <w:rPr>
                <w:bCs/>
                <w:szCs w:val="21"/>
              </w:rPr>
              <w:t>声源控制措施</w:t>
            </w:r>
          </w:p>
        </w:tc>
        <w:tc>
          <w:tcPr>
            <w:tcW w:w="474" w:type="pct"/>
            <w:vMerge w:val="restart"/>
            <w:tcBorders>
              <w:top w:val="single" w:color="auto" w:sz="12" w:space="0"/>
            </w:tcBorders>
            <w:vAlign w:val="center"/>
          </w:tcPr>
          <w:p>
            <w:pPr>
              <w:jc w:val="center"/>
              <w:rPr>
                <w:bCs/>
                <w:szCs w:val="21"/>
              </w:rPr>
            </w:pPr>
            <w:r>
              <w:rPr>
                <w:bCs/>
                <w:szCs w:val="21"/>
              </w:rPr>
              <w:t>运行时段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FFFFFF"/>
            <w:vAlign w:val="center"/>
          </w:tcPr>
          <w:p>
            <w:pPr>
              <w:jc w:val="center"/>
              <w:rPr>
                <w:bCs/>
                <w:szCs w:val="21"/>
              </w:rPr>
            </w:pPr>
          </w:p>
        </w:tc>
        <w:tc>
          <w:tcPr>
            <w:tcW w:w="1448" w:type="pct"/>
            <w:vMerge w:val="continue"/>
            <w:shd w:val="clear" w:color="auto" w:fill="FFFFFF"/>
            <w:vAlign w:val="center"/>
          </w:tcPr>
          <w:p>
            <w:pPr>
              <w:jc w:val="center"/>
              <w:rPr>
                <w:bCs/>
                <w:szCs w:val="21"/>
              </w:rPr>
            </w:pPr>
          </w:p>
        </w:tc>
        <w:tc>
          <w:tcPr>
            <w:tcW w:w="407" w:type="pct"/>
            <w:shd w:val="clear" w:color="auto" w:fill="FFFFFF"/>
            <w:vAlign w:val="center"/>
          </w:tcPr>
          <w:p>
            <w:pPr>
              <w:jc w:val="center"/>
              <w:rPr>
                <w:bCs/>
                <w:szCs w:val="21"/>
              </w:rPr>
            </w:pPr>
            <w:r>
              <w:rPr>
                <w:bCs/>
                <w:szCs w:val="21"/>
              </w:rPr>
              <w:t>X</w:t>
            </w:r>
          </w:p>
        </w:tc>
        <w:tc>
          <w:tcPr>
            <w:tcW w:w="407" w:type="pct"/>
            <w:shd w:val="clear" w:color="auto" w:fill="FFFFFF"/>
            <w:vAlign w:val="center"/>
          </w:tcPr>
          <w:p>
            <w:pPr>
              <w:jc w:val="center"/>
              <w:rPr>
                <w:bCs/>
                <w:szCs w:val="21"/>
              </w:rPr>
            </w:pPr>
            <w:r>
              <w:rPr>
                <w:bCs/>
                <w:szCs w:val="21"/>
              </w:rPr>
              <w:t>Y</w:t>
            </w:r>
          </w:p>
        </w:tc>
        <w:tc>
          <w:tcPr>
            <w:tcW w:w="407" w:type="pct"/>
            <w:shd w:val="clear" w:color="auto" w:fill="FFFFFF"/>
            <w:vAlign w:val="center"/>
          </w:tcPr>
          <w:p>
            <w:pPr>
              <w:jc w:val="center"/>
              <w:rPr>
                <w:bCs/>
                <w:szCs w:val="21"/>
              </w:rPr>
            </w:pPr>
            <w:r>
              <w:rPr>
                <w:bCs/>
                <w:szCs w:val="21"/>
              </w:rPr>
              <w:t>Z</w:t>
            </w:r>
          </w:p>
        </w:tc>
        <w:tc>
          <w:tcPr>
            <w:tcW w:w="849" w:type="pct"/>
            <w:shd w:val="clear" w:color="auto" w:fill="FFFFFF"/>
            <w:vAlign w:val="center"/>
          </w:tcPr>
          <w:p>
            <w:pPr>
              <w:jc w:val="center"/>
              <w:rPr>
                <w:bCs/>
                <w:szCs w:val="21"/>
              </w:rPr>
            </w:pPr>
            <w:r>
              <w:rPr>
                <w:bCs/>
                <w:szCs w:val="21"/>
              </w:rPr>
              <w:t>声功率级/dB(A)</w:t>
            </w:r>
          </w:p>
        </w:tc>
        <w:tc>
          <w:tcPr>
            <w:tcW w:w="750" w:type="pct"/>
            <w:vMerge w:val="continue"/>
            <w:shd w:val="clear" w:color="auto" w:fill="FFFFFF"/>
            <w:vAlign w:val="center"/>
          </w:tcPr>
          <w:p>
            <w:pPr>
              <w:jc w:val="center"/>
              <w:rPr>
                <w:bCs/>
                <w:szCs w:val="21"/>
              </w:rPr>
            </w:pPr>
          </w:p>
        </w:tc>
        <w:tc>
          <w:tcPr>
            <w:tcW w:w="474" w:type="pct"/>
            <w:vMerge w:val="continue"/>
            <w:shd w:val="clear" w:color="auto" w:fill="FFFFFF"/>
            <w:vAlign w:val="center"/>
          </w:tcPr>
          <w:p>
            <w:pPr>
              <w:jc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259" w:type="pct"/>
            <w:shd w:val="clear" w:color="auto" w:fill="FFFFFF"/>
            <w:vAlign w:val="center"/>
          </w:tcPr>
          <w:p>
            <w:pPr>
              <w:jc w:val="center"/>
              <w:rPr>
                <w:bCs/>
                <w:szCs w:val="21"/>
              </w:rPr>
            </w:pPr>
            <w:r>
              <w:rPr>
                <w:bCs/>
                <w:szCs w:val="21"/>
              </w:rPr>
              <w:t>1</w:t>
            </w:r>
          </w:p>
        </w:tc>
        <w:tc>
          <w:tcPr>
            <w:tcW w:w="1448" w:type="pct"/>
            <w:shd w:val="clear" w:color="auto" w:fill="FFFFFF"/>
            <w:vAlign w:val="center"/>
          </w:tcPr>
          <w:p>
            <w:pPr>
              <w:jc w:val="center"/>
              <w:rPr>
                <w:bCs/>
                <w:szCs w:val="21"/>
              </w:rPr>
            </w:pPr>
            <w:r>
              <w:rPr>
                <w:rFonts w:hint="eastAsia"/>
                <w:bCs/>
                <w:szCs w:val="21"/>
              </w:rPr>
              <w:t>废旧滴灌带造粒及滴灌带生产车间风机</w:t>
            </w:r>
          </w:p>
        </w:tc>
        <w:tc>
          <w:tcPr>
            <w:tcW w:w="407" w:type="pct"/>
            <w:shd w:val="clear" w:color="auto" w:fill="FFFFFF"/>
            <w:vAlign w:val="center"/>
          </w:tcPr>
          <w:p>
            <w:pPr>
              <w:jc w:val="center"/>
              <w:rPr>
                <w:rFonts w:eastAsiaTheme="minorEastAsia"/>
                <w:bCs/>
              </w:rPr>
            </w:pPr>
            <w:r>
              <w:rPr>
                <w:rFonts w:hint="eastAsia" w:eastAsiaTheme="minorEastAsia"/>
                <w:bCs/>
              </w:rPr>
              <w:t>-21</w:t>
            </w:r>
          </w:p>
        </w:tc>
        <w:tc>
          <w:tcPr>
            <w:tcW w:w="407" w:type="pct"/>
            <w:shd w:val="clear" w:color="auto" w:fill="FFFFFF"/>
            <w:vAlign w:val="center"/>
          </w:tcPr>
          <w:p>
            <w:pPr>
              <w:jc w:val="center"/>
              <w:rPr>
                <w:rFonts w:eastAsiaTheme="minorEastAsia"/>
                <w:bCs/>
              </w:rPr>
            </w:pPr>
            <w:r>
              <w:rPr>
                <w:rFonts w:hint="eastAsia" w:eastAsiaTheme="minorEastAsia"/>
                <w:bCs/>
              </w:rPr>
              <w:t>5</w:t>
            </w:r>
          </w:p>
        </w:tc>
        <w:tc>
          <w:tcPr>
            <w:tcW w:w="407" w:type="pct"/>
            <w:shd w:val="clear" w:color="auto" w:fill="FFFFFF"/>
            <w:vAlign w:val="center"/>
          </w:tcPr>
          <w:p>
            <w:pPr>
              <w:jc w:val="center"/>
              <w:rPr>
                <w:bCs/>
              </w:rPr>
            </w:pPr>
            <w:r>
              <w:rPr>
                <w:rFonts w:eastAsia="Arial"/>
                <w:bCs/>
              </w:rPr>
              <w:t>1.2</w:t>
            </w:r>
          </w:p>
        </w:tc>
        <w:tc>
          <w:tcPr>
            <w:tcW w:w="849" w:type="pct"/>
            <w:shd w:val="clear" w:color="auto" w:fill="FFFFFF"/>
            <w:vAlign w:val="center"/>
          </w:tcPr>
          <w:p>
            <w:pPr>
              <w:jc w:val="center"/>
              <w:rPr>
                <w:bCs/>
                <w:szCs w:val="21"/>
              </w:rPr>
            </w:pPr>
            <w:r>
              <w:rPr>
                <w:bCs/>
                <w:szCs w:val="21"/>
              </w:rPr>
              <w:t>90</w:t>
            </w:r>
          </w:p>
        </w:tc>
        <w:tc>
          <w:tcPr>
            <w:tcW w:w="750" w:type="pct"/>
            <w:vMerge w:val="restart"/>
            <w:shd w:val="clear" w:color="auto" w:fill="FFFFFF"/>
            <w:vAlign w:val="center"/>
          </w:tcPr>
          <w:p>
            <w:pPr>
              <w:jc w:val="center"/>
              <w:rPr>
                <w:bCs/>
                <w:szCs w:val="21"/>
              </w:rPr>
            </w:pPr>
            <w:r>
              <w:rPr>
                <w:rFonts w:hint="eastAsia"/>
                <w:bCs/>
                <w:szCs w:val="21"/>
              </w:rPr>
              <w:t>基础减振、选用低噪声设备、加装消声器等</w:t>
            </w:r>
          </w:p>
        </w:tc>
        <w:tc>
          <w:tcPr>
            <w:tcW w:w="474" w:type="pct"/>
            <w:shd w:val="clear" w:color="auto" w:fill="FFFFFF"/>
            <w:vAlign w:val="center"/>
          </w:tcPr>
          <w:p>
            <w:pPr>
              <w:jc w:val="center"/>
              <w:rPr>
                <w:bCs/>
                <w:szCs w:val="21"/>
              </w:rPr>
            </w:pPr>
            <w:r>
              <w:rPr>
                <w:rFonts w:hint="eastAsia"/>
                <w:bCs/>
                <w:szCs w:val="21"/>
              </w:rPr>
              <w:t>全天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259" w:type="pct"/>
            <w:shd w:val="clear" w:color="auto" w:fill="FFFFFF"/>
            <w:vAlign w:val="center"/>
          </w:tcPr>
          <w:p>
            <w:pPr>
              <w:jc w:val="center"/>
              <w:rPr>
                <w:bCs/>
                <w:szCs w:val="21"/>
              </w:rPr>
            </w:pPr>
            <w:r>
              <w:rPr>
                <w:bCs/>
                <w:szCs w:val="21"/>
              </w:rPr>
              <w:t>2</w:t>
            </w:r>
          </w:p>
        </w:tc>
        <w:tc>
          <w:tcPr>
            <w:tcW w:w="1448" w:type="pct"/>
            <w:shd w:val="clear" w:color="auto" w:fill="FFFFFF"/>
            <w:vAlign w:val="center"/>
          </w:tcPr>
          <w:p>
            <w:pPr>
              <w:jc w:val="center"/>
              <w:rPr>
                <w:bCs/>
                <w:szCs w:val="21"/>
              </w:rPr>
            </w:pPr>
            <w:r>
              <w:rPr>
                <w:rFonts w:hint="eastAsia"/>
                <w:bCs/>
                <w:szCs w:val="21"/>
              </w:rPr>
              <w:t>废旧塑料膜造粒及PE管生产车间</w:t>
            </w:r>
          </w:p>
        </w:tc>
        <w:tc>
          <w:tcPr>
            <w:tcW w:w="407" w:type="pct"/>
            <w:shd w:val="clear" w:color="auto" w:fill="FFFFFF"/>
            <w:vAlign w:val="center"/>
          </w:tcPr>
          <w:p>
            <w:pPr>
              <w:jc w:val="center"/>
              <w:rPr>
                <w:rFonts w:eastAsiaTheme="minorEastAsia"/>
                <w:bCs/>
              </w:rPr>
            </w:pPr>
            <w:r>
              <w:rPr>
                <w:rFonts w:hint="eastAsia" w:eastAsiaTheme="minorEastAsia"/>
                <w:bCs/>
              </w:rPr>
              <w:t>-5</w:t>
            </w:r>
          </w:p>
        </w:tc>
        <w:tc>
          <w:tcPr>
            <w:tcW w:w="407" w:type="pct"/>
            <w:shd w:val="clear" w:color="auto" w:fill="FFFFFF"/>
            <w:vAlign w:val="center"/>
          </w:tcPr>
          <w:p>
            <w:pPr>
              <w:jc w:val="center"/>
              <w:rPr>
                <w:rFonts w:eastAsiaTheme="minorEastAsia"/>
                <w:bCs/>
              </w:rPr>
            </w:pPr>
            <w:r>
              <w:rPr>
                <w:rFonts w:hint="eastAsia" w:eastAsiaTheme="minorEastAsia"/>
                <w:bCs/>
              </w:rPr>
              <w:t>10</w:t>
            </w:r>
          </w:p>
        </w:tc>
        <w:tc>
          <w:tcPr>
            <w:tcW w:w="407" w:type="pct"/>
            <w:shd w:val="clear" w:color="auto" w:fill="FFFFFF"/>
            <w:vAlign w:val="center"/>
          </w:tcPr>
          <w:p>
            <w:pPr>
              <w:jc w:val="center"/>
              <w:rPr>
                <w:bCs/>
              </w:rPr>
            </w:pPr>
            <w:r>
              <w:rPr>
                <w:rFonts w:eastAsia="Arial"/>
                <w:bCs/>
              </w:rPr>
              <w:t>1.2</w:t>
            </w:r>
          </w:p>
        </w:tc>
        <w:tc>
          <w:tcPr>
            <w:tcW w:w="849" w:type="pct"/>
            <w:shd w:val="clear" w:color="auto" w:fill="FFFFFF"/>
            <w:vAlign w:val="center"/>
          </w:tcPr>
          <w:p>
            <w:pPr>
              <w:jc w:val="center"/>
              <w:rPr>
                <w:bCs/>
                <w:szCs w:val="21"/>
              </w:rPr>
            </w:pPr>
            <w:r>
              <w:rPr>
                <w:bCs/>
                <w:szCs w:val="21"/>
              </w:rPr>
              <w:t>90</w:t>
            </w:r>
          </w:p>
        </w:tc>
        <w:tc>
          <w:tcPr>
            <w:tcW w:w="750" w:type="pct"/>
            <w:vMerge w:val="continue"/>
            <w:shd w:val="clear" w:color="auto" w:fill="FFFFFF"/>
            <w:vAlign w:val="center"/>
          </w:tcPr>
          <w:p>
            <w:pPr>
              <w:jc w:val="center"/>
              <w:rPr>
                <w:bCs/>
                <w:szCs w:val="21"/>
              </w:rPr>
            </w:pPr>
          </w:p>
        </w:tc>
        <w:tc>
          <w:tcPr>
            <w:tcW w:w="474" w:type="pct"/>
            <w:shd w:val="clear" w:color="auto" w:fill="FFFFFF"/>
            <w:vAlign w:val="center"/>
          </w:tcPr>
          <w:p>
            <w:pPr>
              <w:jc w:val="center"/>
              <w:rPr>
                <w:bCs/>
                <w:szCs w:val="21"/>
              </w:rPr>
            </w:pPr>
            <w:r>
              <w:rPr>
                <w:rFonts w:hint="eastAsia"/>
                <w:bCs/>
                <w:szCs w:val="21"/>
              </w:rPr>
              <w:t>全天</w:t>
            </w:r>
          </w:p>
        </w:tc>
      </w:tr>
    </w:tbl>
    <w:p>
      <w:pPr>
        <w:pStyle w:val="685"/>
        <w:spacing w:before="163"/>
        <w:rPr>
          <w:rStyle w:val="704"/>
        </w:rPr>
        <w:sectPr>
          <w:pgSz w:w="11906" w:h="16838"/>
          <w:pgMar w:top="1440" w:right="1800" w:bottom="1440" w:left="1800" w:header="851" w:footer="992" w:gutter="0"/>
          <w:cols w:space="720" w:num="1"/>
          <w:docGrid w:type="linesAndChars" w:linePitch="326" w:charSpace="0"/>
        </w:sectPr>
      </w:pPr>
    </w:p>
    <w:p>
      <w:pPr>
        <w:pStyle w:val="685"/>
        <w:spacing w:before="0" w:beforeLines="0"/>
        <w:ind w:firstLine="420" w:firstLineChars="200"/>
        <w:jc w:val="both"/>
      </w:pPr>
      <w:r>
        <w:rPr>
          <w:rStyle w:val="704"/>
        </w:rPr>
        <w:t>表</w:t>
      </w:r>
      <w:r>
        <w:rPr>
          <w:rStyle w:val="704"/>
          <w:rFonts w:hint="eastAsia"/>
        </w:rPr>
        <w:t>4.4-9</w:t>
      </w:r>
      <w:r>
        <w:rPr>
          <w:rStyle w:val="704"/>
        </w:rPr>
        <w:t xml:space="preserve">                                项目主要噪声源强调查清单（室内声源）  </w:t>
      </w:r>
      <w:r>
        <w:t xml:space="preserve">                   </w:t>
      </w:r>
    </w:p>
    <w:tbl>
      <w:tblPr>
        <w:tblStyle w:val="60"/>
        <w:tblW w:w="148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704"/>
        <w:gridCol w:w="1741"/>
        <w:gridCol w:w="998"/>
        <w:gridCol w:w="2126"/>
        <w:gridCol w:w="991"/>
        <w:gridCol w:w="991"/>
        <w:gridCol w:w="851"/>
        <w:gridCol w:w="1158"/>
        <w:gridCol w:w="1130"/>
        <w:gridCol w:w="1270"/>
        <w:gridCol w:w="1409"/>
        <w:gridCol w:w="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Merge w:val="restart"/>
            <w:vAlign w:val="center"/>
          </w:tcPr>
          <w:p>
            <w:pPr>
              <w:widowControl/>
              <w:jc w:val="center"/>
              <w:textAlignment w:val="center"/>
              <w:rPr>
                <w:kern w:val="0"/>
                <w:sz w:val="21"/>
                <w:szCs w:val="21"/>
              </w:rPr>
            </w:pPr>
            <w:r>
              <w:rPr>
                <w:kern w:val="0"/>
                <w:sz w:val="21"/>
                <w:szCs w:val="21"/>
              </w:rPr>
              <w:t>序号</w:t>
            </w:r>
          </w:p>
        </w:tc>
        <w:tc>
          <w:tcPr>
            <w:tcW w:w="704" w:type="dxa"/>
            <w:vMerge w:val="restart"/>
            <w:vAlign w:val="center"/>
          </w:tcPr>
          <w:p>
            <w:pPr>
              <w:widowControl/>
              <w:jc w:val="center"/>
              <w:textAlignment w:val="center"/>
              <w:rPr>
                <w:kern w:val="0"/>
                <w:sz w:val="21"/>
                <w:szCs w:val="21"/>
              </w:rPr>
            </w:pPr>
            <w:r>
              <w:rPr>
                <w:kern w:val="0"/>
                <w:sz w:val="21"/>
                <w:szCs w:val="21"/>
              </w:rPr>
              <w:t>车间名称</w:t>
            </w:r>
          </w:p>
        </w:tc>
        <w:tc>
          <w:tcPr>
            <w:tcW w:w="1741" w:type="dxa"/>
            <w:vMerge w:val="restart"/>
            <w:vAlign w:val="center"/>
          </w:tcPr>
          <w:p>
            <w:pPr>
              <w:widowControl/>
              <w:jc w:val="center"/>
              <w:textAlignment w:val="center"/>
              <w:rPr>
                <w:kern w:val="0"/>
                <w:sz w:val="21"/>
                <w:szCs w:val="21"/>
              </w:rPr>
            </w:pPr>
            <w:r>
              <w:rPr>
                <w:kern w:val="0"/>
                <w:sz w:val="21"/>
                <w:szCs w:val="21"/>
              </w:rPr>
              <w:t>设备名称</w:t>
            </w:r>
          </w:p>
        </w:tc>
        <w:tc>
          <w:tcPr>
            <w:tcW w:w="998" w:type="dxa"/>
            <w:vMerge w:val="restart"/>
            <w:vAlign w:val="center"/>
          </w:tcPr>
          <w:p>
            <w:pPr>
              <w:widowControl/>
              <w:jc w:val="center"/>
              <w:textAlignment w:val="center"/>
              <w:rPr>
                <w:kern w:val="0"/>
                <w:sz w:val="21"/>
                <w:szCs w:val="21"/>
              </w:rPr>
            </w:pPr>
            <w:r>
              <w:rPr>
                <w:kern w:val="0"/>
                <w:sz w:val="21"/>
                <w:szCs w:val="21"/>
              </w:rPr>
              <w:t>声压级（dB（A））</w:t>
            </w:r>
          </w:p>
        </w:tc>
        <w:tc>
          <w:tcPr>
            <w:tcW w:w="2126" w:type="dxa"/>
            <w:vMerge w:val="restart"/>
            <w:vAlign w:val="center"/>
          </w:tcPr>
          <w:p>
            <w:pPr>
              <w:widowControl/>
              <w:jc w:val="center"/>
              <w:textAlignment w:val="center"/>
              <w:rPr>
                <w:kern w:val="0"/>
                <w:sz w:val="21"/>
                <w:szCs w:val="21"/>
              </w:rPr>
            </w:pPr>
            <w:r>
              <w:rPr>
                <w:kern w:val="0"/>
                <w:sz w:val="21"/>
                <w:szCs w:val="21"/>
              </w:rPr>
              <w:t>声源控制措施</w:t>
            </w:r>
          </w:p>
        </w:tc>
        <w:tc>
          <w:tcPr>
            <w:tcW w:w="2833" w:type="dxa"/>
            <w:gridSpan w:val="3"/>
            <w:vAlign w:val="center"/>
          </w:tcPr>
          <w:p>
            <w:pPr>
              <w:widowControl/>
              <w:jc w:val="center"/>
              <w:textAlignment w:val="center"/>
              <w:rPr>
                <w:kern w:val="0"/>
                <w:sz w:val="21"/>
                <w:szCs w:val="21"/>
              </w:rPr>
            </w:pPr>
            <w:r>
              <w:rPr>
                <w:kern w:val="0"/>
                <w:sz w:val="21"/>
                <w:szCs w:val="21"/>
              </w:rPr>
              <w:t>位置坐标</w:t>
            </w:r>
          </w:p>
        </w:tc>
        <w:tc>
          <w:tcPr>
            <w:tcW w:w="1158" w:type="dxa"/>
            <w:vMerge w:val="restart"/>
            <w:vAlign w:val="center"/>
          </w:tcPr>
          <w:p>
            <w:pPr>
              <w:widowControl/>
              <w:jc w:val="center"/>
              <w:textAlignment w:val="center"/>
              <w:rPr>
                <w:kern w:val="0"/>
                <w:sz w:val="21"/>
                <w:szCs w:val="21"/>
              </w:rPr>
            </w:pPr>
            <w:r>
              <w:rPr>
                <w:kern w:val="0"/>
                <w:sz w:val="21"/>
                <w:szCs w:val="21"/>
              </w:rPr>
              <w:t>距室内边界距离（m）</w:t>
            </w:r>
          </w:p>
        </w:tc>
        <w:tc>
          <w:tcPr>
            <w:tcW w:w="1130" w:type="dxa"/>
            <w:vMerge w:val="restart"/>
            <w:vAlign w:val="center"/>
          </w:tcPr>
          <w:p>
            <w:pPr>
              <w:widowControl/>
              <w:jc w:val="center"/>
              <w:textAlignment w:val="center"/>
              <w:rPr>
                <w:kern w:val="0"/>
                <w:sz w:val="21"/>
                <w:szCs w:val="21"/>
              </w:rPr>
            </w:pPr>
            <w:r>
              <w:rPr>
                <w:kern w:val="0"/>
                <w:sz w:val="21"/>
                <w:szCs w:val="21"/>
              </w:rPr>
              <w:t>室内边界声级（dB（A））</w:t>
            </w:r>
          </w:p>
        </w:tc>
        <w:tc>
          <w:tcPr>
            <w:tcW w:w="1270" w:type="dxa"/>
            <w:vMerge w:val="restart"/>
            <w:vAlign w:val="center"/>
          </w:tcPr>
          <w:p>
            <w:pPr>
              <w:widowControl/>
              <w:jc w:val="center"/>
              <w:textAlignment w:val="center"/>
              <w:rPr>
                <w:kern w:val="0"/>
                <w:sz w:val="21"/>
                <w:szCs w:val="21"/>
              </w:rPr>
            </w:pPr>
            <w:r>
              <w:rPr>
                <w:kern w:val="0"/>
                <w:sz w:val="21"/>
                <w:szCs w:val="21"/>
              </w:rPr>
              <w:t>建筑物插入损失（dB（A））</w:t>
            </w:r>
          </w:p>
        </w:tc>
        <w:tc>
          <w:tcPr>
            <w:tcW w:w="2393" w:type="dxa"/>
            <w:gridSpan w:val="2"/>
            <w:vAlign w:val="center"/>
          </w:tcPr>
          <w:p>
            <w:pPr>
              <w:widowControl/>
              <w:jc w:val="center"/>
              <w:textAlignment w:val="center"/>
              <w:rPr>
                <w:kern w:val="0"/>
                <w:sz w:val="21"/>
                <w:szCs w:val="21"/>
              </w:rPr>
            </w:pPr>
            <w:r>
              <w:rPr>
                <w:kern w:val="0"/>
                <w:sz w:val="21"/>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Merge w:val="continue"/>
            <w:vAlign w:val="center"/>
          </w:tcPr>
          <w:p>
            <w:pPr>
              <w:widowControl/>
              <w:jc w:val="center"/>
              <w:textAlignment w:val="center"/>
              <w:rPr>
                <w:kern w:val="0"/>
                <w:sz w:val="21"/>
                <w:szCs w:val="21"/>
              </w:rPr>
            </w:pPr>
          </w:p>
        </w:tc>
        <w:tc>
          <w:tcPr>
            <w:tcW w:w="704" w:type="dxa"/>
            <w:vMerge w:val="continue"/>
            <w:vAlign w:val="center"/>
          </w:tcPr>
          <w:p>
            <w:pPr>
              <w:widowControl/>
              <w:jc w:val="center"/>
              <w:textAlignment w:val="center"/>
              <w:rPr>
                <w:kern w:val="0"/>
                <w:sz w:val="21"/>
                <w:szCs w:val="21"/>
              </w:rPr>
            </w:pPr>
          </w:p>
        </w:tc>
        <w:tc>
          <w:tcPr>
            <w:tcW w:w="1741" w:type="dxa"/>
            <w:vMerge w:val="continue"/>
            <w:vAlign w:val="center"/>
          </w:tcPr>
          <w:p>
            <w:pPr>
              <w:widowControl/>
              <w:jc w:val="center"/>
              <w:textAlignment w:val="center"/>
              <w:rPr>
                <w:kern w:val="0"/>
                <w:sz w:val="21"/>
                <w:szCs w:val="21"/>
              </w:rPr>
            </w:pPr>
          </w:p>
        </w:tc>
        <w:tc>
          <w:tcPr>
            <w:tcW w:w="998" w:type="dxa"/>
            <w:vMerge w:val="continue"/>
            <w:vAlign w:val="center"/>
          </w:tcPr>
          <w:p>
            <w:pPr>
              <w:widowControl/>
              <w:jc w:val="center"/>
              <w:textAlignment w:val="center"/>
              <w:rPr>
                <w:kern w:val="0"/>
                <w:sz w:val="21"/>
                <w:szCs w:val="21"/>
              </w:rPr>
            </w:pPr>
          </w:p>
        </w:tc>
        <w:tc>
          <w:tcPr>
            <w:tcW w:w="2126" w:type="dxa"/>
            <w:vMerge w:val="continue"/>
            <w:vAlign w:val="center"/>
          </w:tcPr>
          <w:p>
            <w:pPr>
              <w:widowControl/>
              <w:jc w:val="center"/>
              <w:textAlignment w:val="center"/>
              <w:rPr>
                <w:kern w:val="0"/>
                <w:sz w:val="21"/>
                <w:szCs w:val="21"/>
              </w:rPr>
            </w:pPr>
          </w:p>
        </w:tc>
        <w:tc>
          <w:tcPr>
            <w:tcW w:w="991" w:type="dxa"/>
            <w:vAlign w:val="center"/>
          </w:tcPr>
          <w:p>
            <w:pPr>
              <w:widowControl/>
              <w:jc w:val="center"/>
              <w:textAlignment w:val="center"/>
              <w:rPr>
                <w:kern w:val="0"/>
                <w:sz w:val="21"/>
                <w:szCs w:val="21"/>
              </w:rPr>
            </w:pPr>
            <w:r>
              <w:rPr>
                <w:kern w:val="0"/>
                <w:sz w:val="21"/>
                <w:szCs w:val="21"/>
              </w:rPr>
              <w:t>X</w:t>
            </w:r>
          </w:p>
        </w:tc>
        <w:tc>
          <w:tcPr>
            <w:tcW w:w="991" w:type="dxa"/>
            <w:vAlign w:val="center"/>
          </w:tcPr>
          <w:p>
            <w:pPr>
              <w:widowControl/>
              <w:jc w:val="center"/>
              <w:textAlignment w:val="center"/>
              <w:rPr>
                <w:kern w:val="0"/>
                <w:sz w:val="21"/>
                <w:szCs w:val="21"/>
              </w:rPr>
            </w:pPr>
            <w:r>
              <w:rPr>
                <w:kern w:val="0"/>
                <w:sz w:val="21"/>
                <w:szCs w:val="21"/>
              </w:rPr>
              <w:t>Y</w:t>
            </w:r>
          </w:p>
        </w:tc>
        <w:tc>
          <w:tcPr>
            <w:tcW w:w="851" w:type="dxa"/>
            <w:vAlign w:val="center"/>
          </w:tcPr>
          <w:p>
            <w:pPr>
              <w:widowControl/>
              <w:jc w:val="center"/>
              <w:textAlignment w:val="center"/>
              <w:rPr>
                <w:kern w:val="0"/>
                <w:sz w:val="21"/>
                <w:szCs w:val="21"/>
              </w:rPr>
            </w:pPr>
            <w:r>
              <w:rPr>
                <w:kern w:val="0"/>
                <w:sz w:val="21"/>
                <w:szCs w:val="21"/>
              </w:rPr>
              <w:t>Z</w:t>
            </w:r>
          </w:p>
        </w:tc>
        <w:tc>
          <w:tcPr>
            <w:tcW w:w="1158" w:type="dxa"/>
            <w:vMerge w:val="continue"/>
            <w:vAlign w:val="center"/>
          </w:tcPr>
          <w:p>
            <w:pPr>
              <w:widowControl/>
              <w:jc w:val="center"/>
              <w:textAlignment w:val="center"/>
              <w:rPr>
                <w:kern w:val="0"/>
                <w:sz w:val="21"/>
                <w:szCs w:val="21"/>
              </w:rPr>
            </w:pPr>
          </w:p>
        </w:tc>
        <w:tc>
          <w:tcPr>
            <w:tcW w:w="1130" w:type="dxa"/>
            <w:vMerge w:val="continue"/>
            <w:vAlign w:val="center"/>
          </w:tcPr>
          <w:p>
            <w:pPr>
              <w:widowControl/>
              <w:jc w:val="center"/>
              <w:textAlignment w:val="center"/>
              <w:rPr>
                <w:kern w:val="0"/>
                <w:sz w:val="21"/>
                <w:szCs w:val="21"/>
              </w:rPr>
            </w:pPr>
          </w:p>
        </w:tc>
        <w:tc>
          <w:tcPr>
            <w:tcW w:w="1270" w:type="dxa"/>
            <w:vMerge w:val="continue"/>
            <w:vAlign w:val="center"/>
          </w:tcPr>
          <w:p>
            <w:pPr>
              <w:widowControl/>
              <w:jc w:val="center"/>
              <w:textAlignment w:val="center"/>
              <w:rPr>
                <w:kern w:val="0"/>
                <w:sz w:val="21"/>
                <w:szCs w:val="21"/>
              </w:rPr>
            </w:pPr>
          </w:p>
        </w:tc>
        <w:tc>
          <w:tcPr>
            <w:tcW w:w="1409" w:type="dxa"/>
            <w:vAlign w:val="center"/>
          </w:tcPr>
          <w:p>
            <w:pPr>
              <w:widowControl/>
              <w:jc w:val="center"/>
              <w:textAlignment w:val="center"/>
              <w:rPr>
                <w:kern w:val="0"/>
                <w:sz w:val="21"/>
                <w:szCs w:val="21"/>
              </w:rPr>
            </w:pPr>
            <w:r>
              <w:rPr>
                <w:kern w:val="0"/>
                <w:sz w:val="21"/>
                <w:szCs w:val="21"/>
              </w:rPr>
              <w:t>声压级（dB（A））</w:t>
            </w:r>
          </w:p>
        </w:tc>
        <w:tc>
          <w:tcPr>
            <w:tcW w:w="984" w:type="dxa"/>
            <w:vAlign w:val="center"/>
          </w:tcPr>
          <w:p>
            <w:pPr>
              <w:widowControl/>
              <w:jc w:val="center"/>
              <w:textAlignment w:val="center"/>
              <w:rPr>
                <w:kern w:val="0"/>
                <w:sz w:val="21"/>
                <w:szCs w:val="21"/>
              </w:rPr>
            </w:pPr>
            <w:r>
              <w:rPr>
                <w:kern w:val="0"/>
                <w:sz w:val="2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w:t>
            </w:r>
          </w:p>
        </w:tc>
        <w:tc>
          <w:tcPr>
            <w:tcW w:w="704" w:type="dxa"/>
            <w:vMerge w:val="restart"/>
            <w:vAlign w:val="center"/>
          </w:tcPr>
          <w:p>
            <w:pPr>
              <w:widowControl/>
              <w:jc w:val="center"/>
              <w:textAlignment w:val="center"/>
              <w:rPr>
                <w:kern w:val="0"/>
                <w:sz w:val="21"/>
                <w:szCs w:val="21"/>
              </w:rPr>
            </w:pPr>
            <w:r>
              <w:rPr>
                <w:rFonts w:hint="eastAsia"/>
                <w:kern w:val="0"/>
                <w:sz w:val="21"/>
                <w:szCs w:val="21"/>
              </w:rPr>
              <w:t>废旧滴灌带造粒车间</w:t>
            </w:r>
          </w:p>
        </w:tc>
        <w:tc>
          <w:tcPr>
            <w:tcW w:w="1741" w:type="dxa"/>
            <w:vAlign w:val="center"/>
          </w:tcPr>
          <w:p>
            <w:pPr>
              <w:widowControl/>
              <w:jc w:val="center"/>
              <w:textAlignment w:val="center"/>
              <w:rPr>
                <w:kern w:val="0"/>
                <w:sz w:val="21"/>
                <w:szCs w:val="21"/>
              </w:rPr>
            </w:pPr>
            <w:r>
              <w:rPr>
                <w:rFonts w:hint="eastAsia"/>
                <w:kern w:val="0"/>
                <w:sz w:val="21"/>
                <w:szCs w:val="21"/>
              </w:rPr>
              <w:t>破碎机</w:t>
            </w:r>
          </w:p>
        </w:tc>
        <w:tc>
          <w:tcPr>
            <w:tcW w:w="998" w:type="dxa"/>
            <w:vAlign w:val="center"/>
          </w:tcPr>
          <w:p>
            <w:pPr>
              <w:widowControl/>
              <w:jc w:val="center"/>
              <w:textAlignment w:val="center"/>
              <w:rPr>
                <w:kern w:val="0"/>
                <w:sz w:val="21"/>
                <w:szCs w:val="21"/>
              </w:rPr>
            </w:pPr>
            <w:r>
              <w:rPr>
                <w:rFonts w:hint="eastAsia"/>
                <w:kern w:val="0"/>
                <w:sz w:val="21"/>
                <w:szCs w:val="21"/>
              </w:rPr>
              <w:t>85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-39</w:t>
            </w:r>
          </w:p>
        </w:tc>
        <w:tc>
          <w:tcPr>
            <w:tcW w:w="991" w:type="dxa"/>
            <w:vAlign w:val="center"/>
          </w:tcPr>
          <w:p>
            <w:pPr>
              <w:widowControl/>
              <w:jc w:val="center"/>
              <w:textAlignment w:val="center"/>
              <w:rPr>
                <w:kern w:val="0"/>
                <w:sz w:val="21"/>
                <w:szCs w:val="21"/>
              </w:rPr>
            </w:pPr>
            <w:r>
              <w:rPr>
                <w:rFonts w:hint="eastAsia"/>
                <w:kern w:val="0"/>
                <w:sz w:val="21"/>
                <w:szCs w:val="21"/>
              </w:rPr>
              <w:t>9</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85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65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清洗机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-38</w:t>
            </w:r>
          </w:p>
        </w:tc>
        <w:tc>
          <w:tcPr>
            <w:tcW w:w="991" w:type="dxa"/>
            <w:vAlign w:val="center"/>
          </w:tcPr>
          <w:p>
            <w:pPr>
              <w:widowControl/>
              <w:jc w:val="center"/>
              <w:textAlignment w:val="center"/>
              <w:rPr>
                <w:kern w:val="0"/>
                <w:sz w:val="21"/>
                <w:szCs w:val="21"/>
              </w:rPr>
            </w:pPr>
            <w:r>
              <w:rPr>
                <w:rFonts w:hint="eastAsia"/>
                <w:kern w:val="0"/>
                <w:sz w:val="21"/>
                <w:szCs w:val="21"/>
              </w:rPr>
              <w:t>9</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3</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加料机</w:t>
            </w:r>
          </w:p>
        </w:tc>
        <w:tc>
          <w:tcPr>
            <w:tcW w:w="998" w:type="dxa"/>
            <w:vAlign w:val="center"/>
          </w:tcPr>
          <w:p>
            <w:pPr>
              <w:widowControl/>
              <w:jc w:val="center"/>
              <w:textAlignment w:val="center"/>
              <w:rPr>
                <w:kern w:val="0"/>
                <w:sz w:val="21"/>
                <w:szCs w:val="21"/>
              </w:rPr>
            </w:pPr>
            <w:r>
              <w:rPr>
                <w:rFonts w:hint="eastAsia"/>
                <w:kern w:val="0"/>
                <w:sz w:val="21"/>
                <w:szCs w:val="21"/>
              </w:rPr>
              <w:t>65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-25</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65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45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4</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造粒机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-23</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5</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切粒机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-22</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6</w:t>
            </w:r>
          </w:p>
        </w:tc>
        <w:tc>
          <w:tcPr>
            <w:tcW w:w="704" w:type="dxa"/>
            <w:vMerge w:val="restart"/>
            <w:vAlign w:val="center"/>
          </w:tcPr>
          <w:p>
            <w:pPr>
              <w:widowControl/>
              <w:jc w:val="center"/>
              <w:textAlignment w:val="center"/>
              <w:rPr>
                <w:kern w:val="0"/>
                <w:sz w:val="21"/>
                <w:szCs w:val="21"/>
              </w:rPr>
            </w:pPr>
            <w:r>
              <w:rPr>
                <w:rFonts w:hint="eastAsia"/>
                <w:kern w:val="0"/>
                <w:sz w:val="21"/>
                <w:szCs w:val="21"/>
              </w:rPr>
              <w:t>废旧塑料膜造粒车间</w:t>
            </w:r>
          </w:p>
        </w:tc>
        <w:tc>
          <w:tcPr>
            <w:tcW w:w="1741" w:type="dxa"/>
            <w:vAlign w:val="center"/>
          </w:tcPr>
          <w:p>
            <w:pPr>
              <w:widowControl/>
              <w:jc w:val="center"/>
              <w:textAlignment w:val="center"/>
              <w:rPr>
                <w:kern w:val="0"/>
                <w:sz w:val="21"/>
                <w:szCs w:val="21"/>
              </w:rPr>
            </w:pPr>
            <w:r>
              <w:rPr>
                <w:rFonts w:hint="eastAsia"/>
                <w:kern w:val="0"/>
                <w:sz w:val="21"/>
                <w:szCs w:val="21"/>
              </w:rPr>
              <w:t>破碎机</w:t>
            </w:r>
          </w:p>
        </w:tc>
        <w:tc>
          <w:tcPr>
            <w:tcW w:w="998" w:type="dxa"/>
            <w:vAlign w:val="center"/>
          </w:tcPr>
          <w:p>
            <w:pPr>
              <w:widowControl/>
              <w:jc w:val="center"/>
              <w:textAlignment w:val="center"/>
              <w:rPr>
                <w:kern w:val="0"/>
                <w:sz w:val="21"/>
                <w:szCs w:val="21"/>
              </w:rPr>
            </w:pPr>
            <w:r>
              <w:rPr>
                <w:rFonts w:hint="eastAsia"/>
                <w:kern w:val="0"/>
                <w:sz w:val="21"/>
                <w:szCs w:val="21"/>
              </w:rPr>
              <w:t>85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26</w:t>
            </w:r>
          </w:p>
        </w:tc>
        <w:tc>
          <w:tcPr>
            <w:tcW w:w="991" w:type="dxa"/>
            <w:vAlign w:val="center"/>
          </w:tcPr>
          <w:p>
            <w:pPr>
              <w:widowControl/>
              <w:jc w:val="center"/>
              <w:textAlignment w:val="center"/>
              <w:rPr>
                <w:kern w:val="0"/>
                <w:sz w:val="21"/>
                <w:szCs w:val="21"/>
              </w:rPr>
            </w:pPr>
            <w:r>
              <w:rPr>
                <w:rFonts w:hint="eastAsia"/>
                <w:kern w:val="0"/>
                <w:sz w:val="21"/>
                <w:szCs w:val="21"/>
              </w:rPr>
              <w:t>36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85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65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7</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清洗机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25</w:t>
            </w:r>
          </w:p>
        </w:tc>
        <w:tc>
          <w:tcPr>
            <w:tcW w:w="991" w:type="dxa"/>
            <w:vAlign w:val="center"/>
          </w:tcPr>
          <w:p>
            <w:pPr>
              <w:widowControl/>
              <w:jc w:val="center"/>
              <w:textAlignment w:val="center"/>
              <w:rPr>
                <w:kern w:val="0"/>
                <w:sz w:val="21"/>
                <w:szCs w:val="21"/>
              </w:rPr>
            </w:pPr>
            <w:r>
              <w:rPr>
                <w:rFonts w:hint="eastAsia"/>
                <w:kern w:val="0"/>
                <w:sz w:val="21"/>
                <w:szCs w:val="21"/>
              </w:rPr>
              <w:t>36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8</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加料机</w:t>
            </w:r>
          </w:p>
        </w:tc>
        <w:tc>
          <w:tcPr>
            <w:tcW w:w="998" w:type="dxa"/>
            <w:vAlign w:val="center"/>
          </w:tcPr>
          <w:p>
            <w:pPr>
              <w:widowControl/>
              <w:jc w:val="center"/>
              <w:textAlignment w:val="center"/>
              <w:rPr>
                <w:kern w:val="0"/>
                <w:sz w:val="21"/>
                <w:szCs w:val="21"/>
              </w:rPr>
            </w:pPr>
            <w:r>
              <w:rPr>
                <w:rFonts w:hint="eastAsia"/>
                <w:kern w:val="0"/>
                <w:sz w:val="21"/>
                <w:szCs w:val="21"/>
              </w:rPr>
              <w:t>65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22</w:t>
            </w:r>
          </w:p>
        </w:tc>
        <w:tc>
          <w:tcPr>
            <w:tcW w:w="991" w:type="dxa"/>
            <w:vAlign w:val="center"/>
          </w:tcPr>
          <w:p>
            <w:pPr>
              <w:widowControl/>
              <w:jc w:val="center"/>
              <w:textAlignment w:val="center"/>
              <w:rPr>
                <w:kern w:val="0"/>
                <w:sz w:val="21"/>
                <w:szCs w:val="21"/>
              </w:rPr>
            </w:pPr>
            <w:r>
              <w:rPr>
                <w:rFonts w:hint="eastAsia"/>
                <w:kern w:val="0"/>
                <w:sz w:val="21"/>
                <w:szCs w:val="21"/>
              </w:rPr>
              <w:t>36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65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45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9</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造粒机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36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10</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切粒机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18</w:t>
            </w:r>
          </w:p>
        </w:tc>
        <w:tc>
          <w:tcPr>
            <w:tcW w:w="991" w:type="dxa"/>
            <w:vAlign w:val="center"/>
          </w:tcPr>
          <w:p>
            <w:pPr>
              <w:widowControl/>
              <w:jc w:val="center"/>
              <w:textAlignment w:val="center"/>
              <w:rPr>
                <w:kern w:val="0"/>
                <w:sz w:val="21"/>
                <w:szCs w:val="21"/>
              </w:rPr>
            </w:pPr>
            <w:r>
              <w:rPr>
                <w:rFonts w:hint="eastAsia"/>
                <w:kern w:val="0"/>
                <w:sz w:val="21"/>
                <w:szCs w:val="21"/>
              </w:rPr>
              <w:t>36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11</w:t>
            </w:r>
          </w:p>
        </w:tc>
        <w:tc>
          <w:tcPr>
            <w:tcW w:w="704" w:type="dxa"/>
            <w:vMerge w:val="restart"/>
            <w:vAlign w:val="center"/>
          </w:tcPr>
          <w:p>
            <w:pPr>
              <w:widowControl/>
              <w:jc w:val="center"/>
              <w:textAlignment w:val="center"/>
              <w:rPr>
                <w:kern w:val="0"/>
                <w:sz w:val="21"/>
                <w:szCs w:val="21"/>
              </w:rPr>
            </w:pPr>
            <w:r>
              <w:rPr>
                <w:rFonts w:hint="eastAsia"/>
                <w:kern w:val="0"/>
                <w:sz w:val="21"/>
                <w:szCs w:val="21"/>
              </w:rPr>
              <w:t>滴灌带生产车间</w:t>
            </w:r>
          </w:p>
        </w:tc>
        <w:tc>
          <w:tcPr>
            <w:tcW w:w="1741" w:type="dxa"/>
            <w:vAlign w:val="center"/>
          </w:tcPr>
          <w:p>
            <w:pPr>
              <w:widowControl/>
              <w:jc w:val="center"/>
              <w:textAlignment w:val="center"/>
              <w:rPr>
                <w:kern w:val="0"/>
                <w:sz w:val="21"/>
                <w:szCs w:val="21"/>
              </w:rPr>
            </w:pPr>
            <w:r>
              <w:rPr>
                <w:rFonts w:hint="eastAsia"/>
                <w:kern w:val="0"/>
                <w:sz w:val="21"/>
                <w:szCs w:val="21"/>
              </w:rPr>
              <w:t>混料机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-25</w:t>
            </w:r>
          </w:p>
        </w:tc>
        <w:tc>
          <w:tcPr>
            <w:tcW w:w="991" w:type="dxa"/>
            <w:vAlign w:val="center"/>
          </w:tcPr>
          <w:p>
            <w:pPr>
              <w:widowControl/>
              <w:jc w:val="center"/>
              <w:textAlignment w:val="center"/>
              <w:rPr>
                <w:kern w:val="0"/>
                <w:sz w:val="21"/>
                <w:szCs w:val="21"/>
              </w:rPr>
            </w:pPr>
            <w:r>
              <w:rPr>
                <w:rFonts w:hint="eastAsia"/>
                <w:kern w:val="0"/>
                <w:sz w:val="21"/>
                <w:szCs w:val="21"/>
              </w:rPr>
              <w:t>3</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12</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混料机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-23</w:t>
            </w:r>
          </w:p>
        </w:tc>
        <w:tc>
          <w:tcPr>
            <w:tcW w:w="991" w:type="dxa"/>
            <w:vAlign w:val="center"/>
          </w:tcPr>
          <w:p>
            <w:pPr>
              <w:widowControl/>
              <w:jc w:val="center"/>
              <w:textAlignment w:val="center"/>
              <w:rPr>
                <w:kern w:val="0"/>
                <w:sz w:val="21"/>
                <w:szCs w:val="21"/>
              </w:rPr>
            </w:pPr>
            <w:r>
              <w:rPr>
                <w:rFonts w:hint="eastAsia"/>
                <w:kern w:val="0"/>
                <w:sz w:val="21"/>
                <w:szCs w:val="21"/>
              </w:rPr>
              <w:t>3</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13</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混料机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-22</w:t>
            </w:r>
          </w:p>
        </w:tc>
        <w:tc>
          <w:tcPr>
            <w:tcW w:w="991" w:type="dxa"/>
            <w:vAlign w:val="center"/>
          </w:tcPr>
          <w:p>
            <w:pPr>
              <w:widowControl/>
              <w:jc w:val="center"/>
              <w:textAlignment w:val="center"/>
              <w:rPr>
                <w:kern w:val="0"/>
                <w:sz w:val="21"/>
                <w:szCs w:val="21"/>
              </w:rPr>
            </w:pPr>
            <w:r>
              <w:rPr>
                <w:rFonts w:hint="eastAsia"/>
                <w:kern w:val="0"/>
                <w:sz w:val="21"/>
                <w:szCs w:val="21"/>
              </w:rPr>
              <w:t>3</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14</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混料机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3</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15</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混料机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-18</w:t>
            </w:r>
          </w:p>
        </w:tc>
        <w:tc>
          <w:tcPr>
            <w:tcW w:w="991" w:type="dxa"/>
            <w:vAlign w:val="center"/>
          </w:tcPr>
          <w:p>
            <w:pPr>
              <w:widowControl/>
              <w:jc w:val="center"/>
              <w:textAlignment w:val="center"/>
              <w:rPr>
                <w:kern w:val="0"/>
                <w:sz w:val="21"/>
                <w:szCs w:val="21"/>
              </w:rPr>
            </w:pPr>
            <w:r>
              <w:rPr>
                <w:rFonts w:hint="eastAsia"/>
                <w:kern w:val="0"/>
                <w:sz w:val="21"/>
                <w:szCs w:val="21"/>
              </w:rPr>
              <w:t>3</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16</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17</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-14</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18</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-12</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19</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20</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-8</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21</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22</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-4</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23</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24</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0</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25</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991" w:type="dxa"/>
            <w:vAlign w:val="center"/>
          </w:tcPr>
          <w:p>
            <w:pPr>
              <w:widowControl/>
              <w:jc w:val="center"/>
              <w:textAlignment w:val="center"/>
              <w:rPr>
                <w:kern w:val="0"/>
                <w:sz w:val="21"/>
                <w:szCs w:val="21"/>
              </w:rPr>
            </w:pPr>
            <w:r>
              <w:rPr>
                <w:rFonts w:hint="eastAsia"/>
                <w:kern w:val="0"/>
                <w:sz w:val="21"/>
                <w:szCs w:val="21"/>
              </w:rPr>
              <w:t>-2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26</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4</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27</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28</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8</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29</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30</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12</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31</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14</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32</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kern w:val="0"/>
                <w:sz w:val="21"/>
                <w:szCs w:val="21"/>
              </w:rPr>
              <w:t>33</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18</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34</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35</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滴灌带挤出机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22</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36</w:t>
            </w:r>
          </w:p>
        </w:tc>
        <w:tc>
          <w:tcPr>
            <w:tcW w:w="704" w:type="dxa"/>
            <w:vMerge w:val="restart"/>
            <w:vAlign w:val="center"/>
          </w:tcPr>
          <w:p>
            <w:pPr>
              <w:widowControl/>
              <w:jc w:val="center"/>
              <w:textAlignment w:val="center"/>
              <w:rPr>
                <w:kern w:val="0"/>
                <w:sz w:val="21"/>
                <w:szCs w:val="21"/>
              </w:rPr>
            </w:pPr>
            <w:r>
              <w:rPr>
                <w:rFonts w:hint="eastAsia"/>
                <w:kern w:val="0"/>
                <w:sz w:val="21"/>
                <w:szCs w:val="21"/>
              </w:rPr>
              <w:t>PE管生产车间</w:t>
            </w:r>
          </w:p>
        </w:tc>
        <w:tc>
          <w:tcPr>
            <w:tcW w:w="1741" w:type="dxa"/>
            <w:vAlign w:val="center"/>
          </w:tcPr>
          <w:p>
            <w:pPr>
              <w:widowControl/>
              <w:jc w:val="center"/>
              <w:textAlignment w:val="center"/>
              <w:rPr>
                <w:kern w:val="0"/>
                <w:sz w:val="21"/>
                <w:szCs w:val="21"/>
              </w:rPr>
            </w:pPr>
            <w:r>
              <w:rPr>
                <w:rFonts w:hint="eastAsia"/>
                <w:kern w:val="0"/>
                <w:sz w:val="21"/>
                <w:szCs w:val="21"/>
              </w:rPr>
              <w:t>搅拌机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24</w:t>
            </w:r>
          </w:p>
        </w:tc>
        <w:tc>
          <w:tcPr>
            <w:tcW w:w="991" w:type="dxa"/>
            <w:vAlign w:val="center"/>
          </w:tcPr>
          <w:p>
            <w:pPr>
              <w:widowControl/>
              <w:jc w:val="center"/>
              <w:textAlignment w:val="center"/>
              <w:rPr>
                <w:kern w:val="0"/>
                <w:sz w:val="21"/>
                <w:szCs w:val="21"/>
              </w:rPr>
            </w:pPr>
            <w:r>
              <w:rPr>
                <w:rFonts w:hint="eastAsia"/>
                <w:kern w:val="0"/>
                <w:sz w:val="21"/>
                <w:szCs w:val="21"/>
              </w:rPr>
              <w:t>28</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37</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搅拌机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24</w:t>
            </w:r>
          </w:p>
        </w:tc>
        <w:tc>
          <w:tcPr>
            <w:tcW w:w="991" w:type="dxa"/>
            <w:vAlign w:val="center"/>
          </w:tcPr>
          <w:p>
            <w:pPr>
              <w:widowControl/>
              <w:jc w:val="center"/>
              <w:textAlignment w:val="center"/>
              <w:rPr>
                <w:kern w:val="0"/>
                <w:sz w:val="21"/>
                <w:szCs w:val="21"/>
              </w:rPr>
            </w:pPr>
            <w:r>
              <w:rPr>
                <w:rFonts w:hint="eastAsia"/>
                <w:kern w:val="0"/>
                <w:sz w:val="21"/>
                <w:szCs w:val="21"/>
              </w:rPr>
              <w:t>26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38</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24</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39</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22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40</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41</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18</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42</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吸料机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20</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43</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PE管挤出机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14</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44</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PE管挤出机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12</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45</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PE管挤出机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10</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46</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PE管挤出机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8</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0" w:type="dxa"/>
            <w:vAlign w:val="center"/>
          </w:tcPr>
          <w:p>
            <w:pPr>
              <w:widowControl/>
              <w:jc w:val="center"/>
              <w:textAlignment w:val="center"/>
              <w:rPr>
                <w:kern w:val="0"/>
                <w:sz w:val="21"/>
                <w:szCs w:val="21"/>
              </w:rPr>
            </w:pPr>
            <w:r>
              <w:rPr>
                <w:rFonts w:hint="eastAsia"/>
                <w:kern w:val="0"/>
                <w:sz w:val="21"/>
                <w:szCs w:val="21"/>
              </w:rPr>
              <w:t>47</w:t>
            </w:r>
          </w:p>
        </w:tc>
        <w:tc>
          <w:tcPr>
            <w:tcW w:w="704" w:type="dxa"/>
            <w:vMerge w:val="continue"/>
            <w:vAlign w:val="center"/>
          </w:tcPr>
          <w:p>
            <w:pPr>
              <w:widowControl/>
              <w:jc w:val="center"/>
              <w:textAlignment w:val="center"/>
              <w:rPr>
                <w:kern w:val="0"/>
                <w:sz w:val="21"/>
                <w:szCs w:val="21"/>
              </w:rPr>
            </w:pPr>
          </w:p>
        </w:tc>
        <w:tc>
          <w:tcPr>
            <w:tcW w:w="1741" w:type="dxa"/>
            <w:vAlign w:val="center"/>
          </w:tcPr>
          <w:p>
            <w:pPr>
              <w:widowControl/>
              <w:jc w:val="center"/>
              <w:textAlignment w:val="center"/>
              <w:rPr>
                <w:kern w:val="0"/>
                <w:sz w:val="21"/>
                <w:szCs w:val="21"/>
              </w:rPr>
            </w:pPr>
            <w:r>
              <w:rPr>
                <w:rFonts w:hint="eastAsia"/>
                <w:kern w:val="0"/>
                <w:sz w:val="21"/>
                <w:szCs w:val="21"/>
              </w:rPr>
              <w:t>PE管挤出机</w:t>
            </w:r>
          </w:p>
        </w:tc>
        <w:tc>
          <w:tcPr>
            <w:tcW w:w="998" w:type="dxa"/>
            <w:vAlign w:val="center"/>
          </w:tcPr>
          <w:p>
            <w:pPr>
              <w:widowControl/>
              <w:jc w:val="center"/>
              <w:textAlignment w:val="center"/>
              <w:rPr>
                <w:kern w:val="0"/>
                <w:sz w:val="21"/>
                <w:szCs w:val="21"/>
              </w:rPr>
            </w:pPr>
            <w:r>
              <w:rPr>
                <w:rFonts w:hint="eastAsia"/>
                <w:kern w:val="0"/>
                <w:sz w:val="21"/>
                <w:szCs w:val="21"/>
              </w:rPr>
              <w:t>75</w:t>
            </w:r>
          </w:p>
        </w:tc>
        <w:tc>
          <w:tcPr>
            <w:tcW w:w="2126" w:type="dxa"/>
            <w:vAlign w:val="center"/>
          </w:tcPr>
          <w:p>
            <w:pPr>
              <w:widowControl/>
              <w:jc w:val="center"/>
              <w:textAlignment w:val="center"/>
              <w:rPr>
                <w:kern w:val="0"/>
                <w:sz w:val="21"/>
                <w:szCs w:val="21"/>
              </w:rPr>
            </w:pPr>
            <w:r>
              <w:rPr>
                <w:kern w:val="0"/>
                <w:sz w:val="21"/>
                <w:szCs w:val="21"/>
              </w:rPr>
              <w:t>厂房隔声、基础减震</w:t>
            </w:r>
          </w:p>
        </w:tc>
        <w:tc>
          <w:tcPr>
            <w:tcW w:w="991" w:type="dxa"/>
            <w:vAlign w:val="center"/>
          </w:tcPr>
          <w:p>
            <w:pPr>
              <w:widowControl/>
              <w:jc w:val="center"/>
              <w:textAlignment w:val="center"/>
              <w:rPr>
                <w:kern w:val="0"/>
                <w:sz w:val="21"/>
                <w:szCs w:val="21"/>
              </w:rPr>
            </w:pPr>
            <w:r>
              <w:rPr>
                <w:rFonts w:hint="eastAsia"/>
                <w:kern w:val="0"/>
                <w:sz w:val="21"/>
                <w:szCs w:val="21"/>
              </w:rPr>
              <w:t>16</w:t>
            </w:r>
          </w:p>
        </w:tc>
        <w:tc>
          <w:tcPr>
            <w:tcW w:w="991" w:type="dxa"/>
            <w:vAlign w:val="center"/>
          </w:tcPr>
          <w:p>
            <w:pPr>
              <w:widowControl/>
              <w:jc w:val="center"/>
              <w:textAlignment w:val="center"/>
              <w:rPr>
                <w:kern w:val="0"/>
                <w:sz w:val="21"/>
                <w:szCs w:val="21"/>
              </w:rPr>
            </w:pPr>
            <w:r>
              <w:rPr>
                <w:rFonts w:hint="eastAsia"/>
                <w:kern w:val="0"/>
                <w:sz w:val="21"/>
                <w:szCs w:val="21"/>
              </w:rPr>
              <w:t>6</w:t>
            </w:r>
          </w:p>
        </w:tc>
        <w:tc>
          <w:tcPr>
            <w:tcW w:w="851" w:type="dxa"/>
            <w:vAlign w:val="center"/>
          </w:tcPr>
          <w:p>
            <w:pPr>
              <w:widowControl/>
              <w:jc w:val="center"/>
              <w:textAlignment w:val="center"/>
              <w:rPr>
                <w:kern w:val="0"/>
                <w:sz w:val="21"/>
                <w:szCs w:val="21"/>
              </w:rPr>
            </w:pPr>
            <w:r>
              <w:rPr>
                <w:rFonts w:hint="eastAsia"/>
                <w:kern w:val="0"/>
                <w:sz w:val="21"/>
                <w:szCs w:val="21"/>
              </w:rPr>
              <w:t>1</w:t>
            </w:r>
            <w:r>
              <w:rPr>
                <w:kern w:val="0"/>
                <w:sz w:val="21"/>
                <w:szCs w:val="21"/>
              </w:rPr>
              <w:t>.0</w:t>
            </w:r>
          </w:p>
        </w:tc>
        <w:tc>
          <w:tcPr>
            <w:tcW w:w="1158" w:type="dxa"/>
            <w:vAlign w:val="center"/>
          </w:tcPr>
          <w:p>
            <w:pPr>
              <w:widowControl/>
              <w:jc w:val="center"/>
              <w:textAlignment w:val="center"/>
              <w:rPr>
                <w:kern w:val="0"/>
                <w:sz w:val="21"/>
                <w:szCs w:val="21"/>
              </w:rPr>
            </w:pPr>
            <w:r>
              <w:rPr>
                <w:kern w:val="0"/>
                <w:sz w:val="21"/>
                <w:szCs w:val="21"/>
              </w:rPr>
              <w:t>1</w:t>
            </w:r>
          </w:p>
        </w:tc>
        <w:tc>
          <w:tcPr>
            <w:tcW w:w="1130" w:type="dxa"/>
            <w:vAlign w:val="center"/>
          </w:tcPr>
          <w:p>
            <w:pPr>
              <w:widowControl/>
              <w:jc w:val="center"/>
              <w:textAlignment w:val="center"/>
              <w:rPr>
                <w:kern w:val="0"/>
                <w:sz w:val="21"/>
                <w:szCs w:val="21"/>
              </w:rPr>
            </w:pPr>
            <w:r>
              <w:rPr>
                <w:rFonts w:hint="eastAsia"/>
                <w:kern w:val="0"/>
                <w:sz w:val="21"/>
                <w:szCs w:val="21"/>
              </w:rPr>
              <w:t>75</w:t>
            </w:r>
          </w:p>
        </w:tc>
        <w:tc>
          <w:tcPr>
            <w:tcW w:w="1270" w:type="dxa"/>
            <w:vAlign w:val="center"/>
          </w:tcPr>
          <w:p>
            <w:pPr>
              <w:widowControl/>
              <w:jc w:val="center"/>
              <w:textAlignment w:val="center"/>
              <w:rPr>
                <w:kern w:val="0"/>
                <w:sz w:val="21"/>
                <w:szCs w:val="21"/>
              </w:rPr>
            </w:pPr>
            <w:r>
              <w:rPr>
                <w:kern w:val="0"/>
                <w:sz w:val="21"/>
                <w:szCs w:val="21"/>
              </w:rPr>
              <w:t>20</w:t>
            </w:r>
          </w:p>
        </w:tc>
        <w:tc>
          <w:tcPr>
            <w:tcW w:w="1409" w:type="dxa"/>
            <w:vAlign w:val="center"/>
          </w:tcPr>
          <w:p>
            <w:pPr>
              <w:widowControl/>
              <w:jc w:val="center"/>
              <w:textAlignment w:val="center"/>
              <w:rPr>
                <w:kern w:val="0"/>
                <w:sz w:val="21"/>
                <w:szCs w:val="21"/>
              </w:rPr>
            </w:pPr>
            <w:r>
              <w:rPr>
                <w:rFonts w:hint="eastAsia"/>
                <w:kern w:val="0"/>
                <w:sz w:val="21"/>
                <w:szCs w:val="21"/>
              </w:rPr>
              <w:t>55</w:t>
            </w:r>
          </w:p>
        </w:tc>
        <w:tc>
          <w:tcPr>
            <w:tcW w:w="984" w:type="dxa"/>
            <w:vAlign w:val="center"/>
          </w:tcPr>
          <w:p>
            <w:pPr>
              <w:widowControl/>
              <w:jc w:val="center"/>
              <w:textAlignment w:val="center"/>
              <w:rPr>
                <w:kern w:val="0"/>
                <w:sz w:val="21"/>
                <w:szCs w:val="21"/>
              </w:rPr>
            </w:pPr>
            <w:r>
              <w:rPr>
                <w:kern w:val="0"/>
                <w:sz w:val="21"/>
                <w:szCs w:val="21"/>
              </w:rPr>
              <w:t>1</w:t>
            </w:r>
          </w:p>
        </w:tc>
      </w:tr>
    </w:tbl>
    <w:p>
      <w:pPr>
        <w:pStyle w:val="685"/>
        <w:spacing w:before="163"/>
      </w:pPr>
    </w:p>
    <w:p>
      <w:pPr>
        <w:pStyle w:val="493"/>
        <w:ind w:firstLine="480"/>
      </w:pPr>
    </w:p>
    <w:p>
      <w:pPr>
        <w:pStyle w:val="493"/>
        <w:ind w:firstLine="480"/>
        <w:sectPr>
          <w:pgSz w:w="16838" w:h="11906" w:orient="landscape"/>
          <w:pgMar w:top="1800" w:right="1440" w:bottom="1800" w:left="1440" w:header="851" w:footer="992" w:gutter="0"/>
          <w:cols w:space="720" w:num="1"/>
          <w:docGrid w:type="linesAndChars" w:linePitch="326" w:charSpace="0"/>
        </w:sectPr>
      </w:pPr>
    </w:p>
    <w:p>
      <w:pPr>
        <w:pStyle w:val="2"/>
        <w:ind w:firstLine="480"/>
        <w:rPr>
          <w:color w:val="auto"/>
        </w:rPr>
      </w:pPr>
      <w:r>
        <w:rPr>
          <w:color w:val="auto"/>
        </w:rPr>
        <w:t>4.4.2.4</w:t>
      </w:r>
      <w:r>
        <w:rPr>
          <w:rFonts w:hint="eastAsia"/>
          <w:color w:val="auto"/>
        </w:rPr>
        <w:t>固体废弃物污染源</w:t>
      </w:r>
      <w:r>
        <w:rPr>
          <w:color w:val="auto"/>
        </w:rPr>
        <w:t>分析</w:t>
      </w:r>
    </w:p>
    <w:p>
      <w:pPr>
        <w:autoSpaceDE w:val="0"/>
        <w:autoSpaceDN w:val="0"/>
        <w:spacing w:line="460" w:lineRule="exact"/>
        <w:ind w:firstLine="480" w:firstLineChars="200"/>
        <w:rPr>
          <w:bCs/>
          <w:sz w:val="24"/>
        </w:rPr>
      </w:pPr>
      <w:r>
        <w:rPr>
          <w:rFonts w:hint="eastAsia"/>
          <w:bCs/>
          <w:sz w:val="24"/>
        </w:rPr>
        <w:t>1、沉淀池泥沙</w:t>
      </w:r>
    </w:p>
    <w:p>
      <w:pPr>
        <w:autoSpaceDE w:val="0"/>
        <w:autoSpaceDN w:val="0"/>
        <w:spacing w:line="460" w:lineRule="exact"/>
        <w:ind w:firstLine="480" w:firstLineChars="200"/>
        <w:rPr>
          <w:bCs/>
          <w:sz w:val="24"/>
        </w:rPr>
      </w:pPr>
      <w:r>
        <w:rPr>
          <w:rFonts w:hint="eastAsia"/>
          <w:bCs/>
          <w:sz w:val="24"/>
        </w:rPr>
        <w:t>项目回收的废旧滴灌带、废旧塑料膜表面粘附有一定量泥土，经清洗后全部进入清洗废水，经沉淀池沉淀后，定期清捞，结合</w:t>
      </w:r>
      <w:r>
        <w:rPr>
          <w:bCs/>
          <w:sz w:val="24"/>
        </w:rPr>
        <w:t>同类</w:t>
      </w:r>
      <w:r>
        <w:rPr>
          <w:rFonts w:hint="eastAsia"/>
          <w:bCs/>
          <w:sz w:val="24"/>
        </w:rPr>
        <w:t>项目</w:t>
      </w:r>
      <w:r>
        <w:rPr>
          <w:bCs/>
          <w:sz w:val="24"/>
        </w:rPr>
        <w:t>运行统计及</w:t>
      </w:r>
      <w:r>
        <w:rPr>
          <w:rFonts w:hint="eastAsia"/>
          <w:bCs/>
          <w:sz w:val="24"/>
        </w:rPr>
        <w:t>建设单位提供数据进行物料平衡可知，废旧滴灌带清洗产生泥沙约294.94</w:t>
      </w:r>
      <w:r>
        <w:rPr>
          <w:bCs/>
          <w:sz w:val="24"/>
        </w:rPr>
        <w:t>t/a</w:t>
      </w:r>
      <w:r>
        <w:rPr>
          <w:rFonts w:hint="eastAsia"/>
          <w:bCs/>
          <w:sz w:val="24"/>
        </w:rPr>
        <w:t>，废旧塑料膜清洗产生泥沙约69.59t/a，即本项目运营期沉淀池产生沉淀泥沙约364.53t/a，沉淀池</w:t>
      </w:r>
      <w:r>
        <w:rPr>
          <w:bCs/>
          <w:sz w:val="24"/>
        </w:rPr>
        <w:t>泥沙属于一般固废，</w:t>
      </w:r>
      <w:r>
        <w:rPr>
          <w:rFonts w:hint="eastAsia"/>
          <w:bCs/>
          <w:sz w:val="24"/>
        </w:rPr>
        <w:t>根据《固体废物分类与代码目录》（生态环境部公告 2024年 第4号），确定清洗废渣及泥沙的一般固废代码为900-099-S07，定期清捞后送一般固废填埋场处置。</w:t>
      </w:r>
    </w:p>
    <w:p>
      <w:pPr>
        <w:autoSpaceDE w:val="0"/>
        <w:autoSpaceDN w:val="0"/>
        <w:spacing w:line="460" w:lineRule="exact"/>
        <w:ind w:firstLine="480" w:firstLineChars="200"/>
        <w:rPr>
          <w:bCs/>
          <w:sz w:val="24"/>
        </w:rPr>
      </w:pPr>
      <w:r>
        <w:rPr>
          <w:rFonts w:hint="eastAsia"/>
          <w:bCs/>
          <w:sz w:val="24"/>
        </w:rPr>
        <w:t>2、废旧滤网</w:t>
      </w:r>
    </w:p>
    <w:p>
      <w:pPr>
        <w:autoSpaceDE w:val="0"/>
        <w:autoSpaceDN w:val="0"/>
        <w:spacing w:line="460" w:lineRule="exact"/>
        <w:ind w:firstLine="480" w:firstLineChars="200"/>
        <w:rPr>
          <w:bCs/>
          <w:sz w:val="24"/>
        </w:rPr>
      </w:pPr>
      <w:r>
        <w:rPr>
          <w:rFonts w:hint="eastAsia"/>
          <w:bCs/>
          <w:sz w:val="24"/>
        </w:rPr>
        <w:t>项目废旧塑料在造粒工段需要进行加热融化，为保证再生颗粒料的质量，需要对熔融态废料进行过滤后再进行造粒，所使用的滤网随着使用时间的延长，网眼会逐渐变小，直至不能使用，根据同类项目调查，本项目废旧滴灌带造粒产生废旧滤网约</w:t>
      </w:r>
      <w:r>
        <w:rPr>
          <w:bCs/>
          <w:sz w:val="24"/>
        </w:rPr>
        <w:t>1.5t/a</w:t>
      </w:r>
      <w:r>
        <w:rPr>
          <w:rFonts w:hint="eastAsia"/>
          <w:bCs/>
          <w:sz w:val="24"/>
        </w:rPr>
        <w:t>，废旧塑料膜造粒产生废旧滤网约0.8t/a，即本项目废旧塑料造粒过程产生废旧滤网共计约2.30t/a，滤网上主要为熔融废塑料的杂质，滤网材质为钢材。</w:t>
      </w:r>
    </w:p>
    <w:p>
      <w:pPr>
        <w:autoSpaceDE w:val="0"/>
        <w:autoSpaceDN w:val="0"/>
        <w:spacing w:line="460" w:lineRule="exact"/>
        <w:ind w:firstLine="480" w:firstLineChars="200"/>
        <w:rPr>
          <w:bCs/>
          <w:sz w:val="24"/>
        </w:rPr>
      </w:pPr>
      <w:r>
        <w:rPr>
          <w:rFonts w:hint="eastAsia"/>
          <w:bCs/>
          <w:sz w:val="24"/>
        </w:rPr>
        <w:t>根据《废塑料加工利用污染防治管理规定》（环境保护部、发展改革委、商务部联合公告2012年第55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根据《固体废物分类与代码目录》（生态环境部公告 2024年 第4号），确定废旧滤网的一般固废代码为</w:t>
      </w:r>
      <w:r>
        <w:rPr>
          <w:bCs/>
          <w:sz w:val="24"/>
        </w:rPr>
        <w:t>900-099-S59</w:t>
      </w:r>
      <w:r>
        <w:rPr>
          <w:rFonts w:hint="eastAsia"/>
          <w:bCs/>
          <w:sz w:val="24"/>
        </w:rPr>
        <w:t>。本环评要求建设单位将废滤网收集后运至固废填埋场处置。</w:t>
      </w:r>
    </w:p>
    <w:p>
      <w:pPr>
        <w:autoSpaceDE w:val="0"/>
        <w:autoSpaceDN w:val="0"/>
        <w:spacing w:line="460" w:lineRule="exact"/>
        <w:ind w:firstLine="480" w:firstLineChars="200"/>
        <w:rPr>
          <w:bCs/>
          <w:sz w:val="24"/>
        </w:rPr>
      </w:pPr>
      <w:r>
        <w:rPr>
          <w:rFonts w:hint="eastAsia"/>
          <w:bCs/>
          <w:sz w:val="24"/>
        </w:rPr>
        <w:t>3、滴灌带不合格品</w:t>
      </w:r>
    </w:p>
    <w:p>
      <w:pPr>
        <w:autoSpaceDE w:val="0"/>
        <w:autoSpaceDN w:val="0"/>
        <w:spacing w:line="460" w:lineRule="exact"/>
        <w:ind w:firstLine="480" w:firstLineChars="200"/>
        <w:rPr>
          <w:bCs/>
          <w:sz w:val="24"/>
        </w:rPr>
      </w:pPr>
      <w:r>
        <w:rPr>
          <w:rFonts w:hint="eastAsia"/>
          <w:bCs/>
          <w:sz w:val="24"/>
        </w:rPr>
        <w:t>滴灌带加工生产定型后检验过程会产生一定量不合格品，根据企业提供数据，本项目滴灌带生产不合格品产生量为200</w:t>
      </w:r>
      <w:r>
        <w:rPr>
          <w:bCs/>
          <w:sz w:val="24"/>
        </w:rPr>
        <w:t>t/a</w:t>
      </w:r>
      <w:r>
        <w:rPr>
          <w:rFonts w:hint="eastAsia"/>
          <w:bCs/>
          <w:sz w:val="24"/>
        </w:rPr>
        <w:t>，全部回至废旧滴灌带破碎工序再次破碎造粒循环利用，根据《固体废物分类与代码目录》（生态环境部公告 2024年 第4号），</w:t>
      </w:r>
      <w:bookmarkStart w:id="163" w:name="_Hlk164705286"/>
      <w:r>
        <w:rPr>
          <w:rFonts w:hint="eastAsia"/>
          <w:bCs/>
          <w:sz w:val="24"/>
        </w:rPr>
        <w:t>确定滴灌带残次品及边角料的一般固废代码为900-003-S17</w:t>
      </w:r>
      <w:bookmarkEnd w:id="163"/>
      <w:r>
        <w:rPr>
          <w:rFonts w:hint="eastAsia"/>
          <w:bCs/>
          <w:sz w:val="24"/>
        </w:rPr>
        <w:t>。</w:t>
      </w:r>
    </w:p>
    <w:p>
      <w:pPr>
        <w:autoSpaceDE w:val="0"/>
        <w:autoSpaceDN w:val="0"/>
        <w:spacing w:line="460" w:lineRule="exact"/>
        <w:ind w:firstLine="480" w:firstLineChars="200"/>
        <w:rPr>
          <w:bCs/>
          <w:sz w:val="24"/>
        </w:rPr>
      </w:pPr>
      <w:r>
        <w:rPr>
          <w:rFonts w:hint="eastAsia"/>
          <w:bCs/>
          <w:sz w:val="24"/>
        </w:rPr>
        <w:t>4、PE管不合格品</w:t>
      </w:r>
    </w:p>
    <w:p>
      <w:pPr>
        <w:autoSpaceDE w:val="0"/>
        <w:autoSpaceDN w:val="0"/>
        <w:spacing w:line="460" w:lineRule="exact"/>
        <w:ind w:firstLine="480" w:firstLineChars="200"/>
        <w:rPr>
          <w:bCs/>
          <w:sz w:val="24"/>
        </w:rPr>
      </w:pPr>
      <w:r>
        <w:rPr>
          <w:rFonts w:hint="eastAsia"/>
          <w:bCs/>
          <w:sz w:val="24"/>
        </w:rPr>
        <w:t>PE管生产线在运行过程会产生不合格品，根据同类项目类比，本项目PE管不合格产生量约为46.25</w:t>
      </w:r>
      <w:r>
        <w:rPr>
          <w:bCs/>
          <w:sz w:val="24"/>
        </w:rPr>
        <w:t>t/a</w:t>
      </w:r>
      <w:r>
        <w:rPr>
          <w:rFonts w:hint="eastAsia"/>
          <w:bCs/>
          <w:sz w:val="24"/>
        </w:rPr>
        <w:t>，全部回至废旧滴灌带破碎工序再次破碎造粒循环利用，根据根据《固体废物分类与代码目录》（生态环境部公告 2024年 第4号），确定PE管残次品及边角料的一般固废代码为900-003-S17。</w:t>
      </w:r>
    </w:p>
    <w:p>
      <w:pPr>
        <w:autoSpaceDE w:val="0"/>
        <w:autoSpaceDN w:val="0"/>
        <w:spacing w:line="460" w:lineRule="exact"/>
        <w:ind w:firstLine="480" w:firstLineChars="200"/>
        <w:rPr>
          <w:bCs/>
          <w:sz w:val="24"/>
        </w:rPr>
      </w:pPr>
      <w:r>
        <w:rPr>
          <w:rFonts w:hint="eastAsia"/>
          <w:bCs/>
          <w:sz w:val="24"/>
        </w:rPr>
        <w:t>5、废活性炭及</w:t>
      </w:r>
      <w:r>
        <w:rPr>
          <w:bCs/>
          <w:sz w:val="24"/>
        </w:rPr>
        <w:t>废催化剂</w:t>
      </w:r>
    </w:p>
    <w:p>
      <w:pPr>
        <w:autoSpaceDE w:val="0"/>
        <w:autoSpaceDN w:val="0"/>
        <w:spacing w:line="460" w:lineRule="exact"/>
        <w:ind w:firstLine="480" w:firstLineChars="200"/>
        <w:rPr>
          <w:bCs/>
          <w:sz w:val="24"/>
        </w:rPr>
      </w:pPr>
      <w:r>
        <w:rPr>
          <w:rFonts w:hint="eastAsia"/>
          <w:bCs/>
          <w:sz w:val="24"/>
        </w:rPr>
        <w:t>项目生产过程产生的非甲烷总烃采用活性炭吸附+催化燃烧</w:t>
      </w:r>
      <w:r>
        <w:rPr>
          <w:bCs/>
          <w:sz w:val="24"/>
        </w:rPr>
        <w:t>装置</w:t>
      </w:r>
      <w:r>
        <w:rPr>
          <w:rFonts w:hint="eastAsia"/>
          <w:bCs/>
          <w:sz w:val="24"/>
        </w:rPr>
        <w:t>（CO）进行</w:t>
      </w:r>
      <w:r>
        <w:rPr>
          <w:bCs/>
          <w:sz w:val="24"/>
        </w:rPr>
        <w:t>处置，活性炭</w:t>
      </w:r>
      <w:r>
        <w:rPr>
          <w:rFonts w:hint="eastAsia"/>
          <w:bCs/>
          <w:sz w:val="24"/>
        </w:rPr>
        <w:t>及</w:t>
      </w:r>
      <w:r>
        <w:rPr>
          <w:bCs/>
          <w:sz w:val="24"/>
        </w:rPr>
        <w:t>催化剂在运行再生一段时间后处置效率会有所降低，</w:t>
      </w:r>
      <w:r>
        <w:rPr>
          <w:rFonts w:hint="eastAsia"/>
          <w:bCs/>
          <w:sz w:val="24"/>
        </w:rPr>
        <w:t>因此</w:t>
      </w:r>
      <w:r>
        <w:rPr>
          <w:bCs/>
          <w:sz w:val="24"/>
        </w:rPr>
        <w:t>需要更换新的活性炭及催化剂，根据该类处置措施设计运行数据，平均每</w:t>
      </w:r>
      <w:r>
        <w:rPr>
          <w:rFonts w:hint="eastAsia"/>
          <w:bCs/>
          <w:sz w:val="24"/>
        </w:rPr>
        <w:t>3年</w:t>
      </w:r>
      <w:r>
        <w:rPr>
          <w:bCs/>
          <w:sz w:val="24"/>
        </w:rPr>
        <w:t>需要更换一次，每次更换产生废活性炭2t，废催化剂1t</w:t>
      </w:r>
      <w:r>
        <w:rPr>
          <w:rFonts w:hint="eastAsia"/>
          <w:bCs/>
          <w:sz w:val="24"/>
        </w:rPr>
        <w:t>，根据《国家危险废物名录》（</w:t>
      </w:r>
      <w:r>
        <w:rPr>
          <w:bCs/>
          <w:sz w:val="24"/>
        </w:rPr>
        <w:t>2021</w:t>
      </w:r>
      <w:r>
        <w:rPr>
          <w:rFonts w:hint="eastAsia"/>
          <w:bCs/>
          <w:sz w:val="24"/>
        </w:rPr>
        <w:t>年版），本项目产生废活性炭、</w:t>
      </w:r>
      <w:r>
        <w:rPr>
          <w:bCs/>
          <w:sz w:val="24"/>
        </w:rPr>
        <w:t>废催化剂</w:t>
      </w:r>
      <w:r>
        <w:rPr>
          <w:rFonts w:hint="eastAsia"/>
          <w:bCs/>
          <w:sz w:val="24"/>
        </w:rPr>
        <w:t>属于危险废物，废活性炭危险废物类别为</w:t>
      </w:r>
      <w:r>
        <w:rPr>
          <w:bCs/>
          <w:sz w:val="24"/>
        </w:rPr>
        <w:t>HW49</w:t>
      </w:r>
      <w:r>
        <w:rPr>
          <w:rFonts w:hint="eastAsia"/>
          <w:bCs/>
          <w:sz w:val="24"/>
        </w:rPr>
        <w:t>，危险废物代码为</w:t>
      </w:r>
      <w:r>
        <w:rPr>
          <w:bCs/>
          <w:sz w:val="24"/>
        </w:rPr>
        <w:t>900-039-49</w:t>
      </w:r>
      <w:r>
        <w:rPr>
          <w:rFonts w:hint="eastAsia"/>
          <w:bCs/>
          <w:sz w:val="24"/>
        </w:rPr>
        <w:t>，废催化剂危险废物</w:t>
      </w:r>
      <w:r>
        <w:rPr>
          <w:bCs/>
          <w:sz w:val="24"/>
        </w:rPr>
        <w:t>类别为</w:t>
      </w:r>
      <w:r>
        <w:rPr>
          <w:rFonts w:hint="eastAsia"/>
          <w:bCs/>
          <w:sz w:val="24"/>
        </w:rPr>
        <w:t>HW</w:t>
      </w:r>
      <w:r>
        <w:rPr>
          <w:bCs/>
          <w:sz w:val="24"/>
        </w:rPr>
        <w:t>46</w:t>
      </w:r>
      <w:r>
        <w:rPr>
          <w:rFonts w:hint="eastAsia"/>
          <w:bCs/>
          <w:sz w:val="24"/>
        </w:rPr>
        <w:t>，</w:t>
      </w:r>
      <w:r>
        <w:rPr>
          <w:bCs/>
          <w:sz w:val="24"/>
        </w:rPr>
        <w:t>危险废物代码为</w:t>
      </w:r>
      <w:r>
        <w:rPr>
          <w:rFonts w:hint="eastAsia"/>
          <w:bCs/>
          <w:sz w:val="24"/>
        </w:rPr>
        <w:t>900-037</w:t>
      </w:r>
      <w:r>
        <w:rPr>
          <w:bCs/>
          <w:sz w:val="24"/>
        </w:rPr>
        <w:t>-46</w:t>
      </w:r>
      <w:r>
        <w:rPr>
          <w:rFonts w:hint="eastAsia"/>
          <w:bCs/>
          <w:sz w:val="24"/>
        </w:rPr>
        <w:t>，采用密封的包装袋进行包装，确保不产生有机废气的二次污染，确保不产生有机废气的二次污染，收集后暂存于厂区要求设置的10m</w:t>
      </w:r>
      <w:r>
        <w:rPr>
          <w:rFonts w:hint="eastAsia"/>
          <w:bCs/>
          <w:sz w:val="24"/>
          <w:vertAlign w:val="superscript"/>
        </w:rPr>
        <w:t>2</w:t>
      </w:r>
      <w:r>
        <w:rPr>
          <w:rFonts w:hint="eastAsia"/>
          <w:bCs/>
          <w:sz w:val="24"/>
        </w:rPr>
        <w:t>危废暂存间</w:t>
      </w:r>
      <w:r>
        <w:rPr>
          <w:bCs/>
          <w:sz w:val="24"/>
        </w:rPr>
        <w:t>定期交由有资质单位处置</w:t>
      </w:r>
      <w:r>
        <w:rPr>
          <w:rFonts w:hint="eastAsia"/>
          <w:bCs/>
          <w:sz w:val="24"/>
        </w:rPr>
        <w:t>。</w:t>
      </w:r>
    </w:p>
    <w:p>
      <w:pPr>
        <w:autoSpaceDE w:val="0"/>
        <w:autoSpaceDN w:val="0"/>
        <w:spacing w:line="460" w:lineRule="exact"/>
        <w:ind w:firstLine="480" w:firstLineChars="200"/>
        <w:rPr>
          <w:bCs/>
          <w:sz w:val="24"/>
        </w:rPr>
      </w:pPr>
      <w:r>
        <w:rPr>
          <w:rFonts w:hint="eastAsia"/>
          <w:bCs/>
          <w:sz w:val="24"/>
        </w:rPr>
        <w:t>6、废润滑油及桶</w:t>
      </w:r>
    </w:p>
    <w:p>
      <w:pPr>
        <w:autoSpaceDE w:val="0"/>
        <w:autoSpaceDN w:val="0"/>
        <w:spacing w:line="460" w:lineRule="exact"/>
        <w:ind w:firstLine="480" w:firstLineChars="200"/>
        <w:rPr>
          <w:bCs/>
          <w:sz w:val="24"/>
        </w:rPr>
      </w:pPr>
      <w:r>
        <w:rPr>
          <w:rFonts w:hint="eastAsia"/>
          <w:bCs/>
          <w:sz w:val="24"/>
        </w:rPr>
        <w:t>项目运营期会设备保养等会产生一定量废润滑油及桶，根据同类企业，产生量约为</w:t>
      </w:r>
      <w:r>
        <w:rPr>
          <w:bCs/>
          <w:sz w:val="24"/>
        </w:rPr>
        <w:t>0.6t/a</w:t>
      </w:r>
      <w:r>
        <w:rPr>
          <w:rFonts w:hint="eastAsia"/>
          <w:bCs/>
          <w:sz w:val="24"/>
        </w:rPr>
        <w:t>，根据《国家危险废物名录》（</w:t>
      </w:r>
      <w:r>
        <w:rPr>
          <w:bCs/>
          <w:sz w:val="24"/>
        </w:rPr>
        <w:t>2021</w:t>
      </w:r>
      <w:r>
        <w:rPr>
          <w:rFonts w:hint="eastAsia"/>
          <w:bCs/>
          <w:sz w:val="24"/>
        </w:rPr>
        <w:t>年版），废弃润滑油为</w:t>
      </w:r>
      <w:r>
        <w:rPr>
          <w:bCs/>
          <w:sz w:val="24"/>
        </w:rPr>
        <w:t>HW08</w:t>
      </w:r>
      <w:r>
        <w:rPr>
          <w:rFonts w:hint="eastAsia"/>
          <w:bCs/>
          <w:sz w:val="24"/>
        </w:rPr>
        <w:t>类危险废物，废物代码为</w:t>
      </w:r>
      <w:r>
        <w:rPr>
          <w:bCs/>
          <w:sz w:val="24"/>
        </w:rPr>
        <w:t>900-217-08</w:t>
      </w:r>
      <w:r>
        <w:rPr>
          <w:rFonts w:hint="eastAsia"/>
          <w:bCs/>
          <w:sz w:val="24"/>
        </w:rPr>
        <w:t>，本项目产生的废润滑油采用桶装收集储存，暂存于危废暂存间，定期交由有资质的单位处置。</w:t>
      </w:r>
    </w:p>
    <w:p>
      <w:pPr>
        <w:autoSpaceDE w:val="0"/>
        <w:autoSpaceDN w:val="0"/>
        <w:spacing w:line="460" w:lineRule="exact"/>
        <w:ind w:firstLine="480" w:firstLineChars="200"/>
        <w:rPr>
          <w:bCs/>
          <w:sz w:val="24"/>
        </w:rPr>
      </w:pPr>
      <w:r>
        <w:rPr>
          <w:rFonts w:hint="eastAsia"/>
          <w:bCs/>
          <w:sz w:val="24"/>
        </w:rPr>
        <w:t>7、生活垃圾</w:t>
      </w:r>
    </w:p>
    <w:p>
      <w:pPr>
        <w:autoSpaceDE w:val="0"/>
        <w:autoSpaceDN w:val="0"/>
        <w:spacing w:line="460" w:lineRule="exact"/>
        <w:ind w:firstLine="480" w:firstLineChars="200"/>
        <w:rPr>
          <w:bCs/>
          <w:sz w:val="24"/>
        </w:rPr>
      </w:pPr>
      <w:r>
        <w:rPr>
          <w:rFonts w:hint="eastAsia"/>
          <w:bCs/>
          <w:sz w:val="24"/>
        </w:rPr>
        <w:t>生活垃圾来自于员工生活，项目新增劳动定员16人，人均生活垃圾产生量按</w:t>
      </w:r>
      <w:r>
        <w:rPr>
          <w:bCs/>
          <w:sz w:val="24"/>
        </w:rPr>
        <w:t>0.5kg/d</w:t>
      </w:r>
      <w:r>
        <w:rPr>
          <w:rFonts w:hint="eastAsia"/>
          <w:bCs/>
          <w:sz w:val="24"/>
        </w:rPr>
        <w:t>计算，年运行</w:t>
      </w:r>
      <w:r>
        <w:rPr>
          <w:bCs/>
          <w:sz w:val="24"/>
        </w:rPr>
        <w:t>180</w:t>
      </w:r>
      <w:r>
        <w:rPr>
          <w:rFonts w:hint="eastAsia"/>
          <w:bCs/>
          <w:sz w:val="24"/>
        </w:rPr>
        <w:t>天，则项目生活垃圾年产生量约1.44</w:t>
      </w:r>
      <w:r>
        <w:rPr>
          <w:bCs/>
          <w:sz w:val="24"/>
        </w:rPr>
        <w:t>t/a</w:t>
      </w:r>
      <w:r>
        <w:rPr>
          <w:rFonts w:hint="eastAsia"/>
          <w:bCs/>
          <w:sz w:val="24"/>
        </w:rPr>
        <w:t>，生活垃圾经收集后委托环卫部门进行外运填埋处理。</w:t>
      </w:r>
    </w:p>
    <w:p>
      <w:pPr>
        <w:autoSpaceDE w:val="0"/>
        <w:autoSpaceDN w:val="0"/>
        <w:spacing w:line="460" w:lineRule="exact"/>
        <w:ind w:firstLine="480" w:firstLineChars="200"/>
        <w:rPr>
          <w:bCs/>
          <w:sz w:val="24"/>
        </w:rPr>
      </w:pPr>
      <w:r>
        <w:rPr>
          <w:rFonts w:hint="eastAsia"/>
          <w:bCs/>
          <w:sz w:val="24"/>
        </w:rPr>
        <w:t>本项目固体废物及污染控制过程产物的产生情况见表</w:t>
      </w:r>
      <w:r>
        <w:rPr>
          <w:bCs/>
          <w:sz w:val="24"/>
        </w:rPr>
        <w:t>4.4-7</w:t>
      </w:r>
      <w:r>
        <w:rPr>
          <w:rFonts w:hint="eastAsia"/>
          <w:bCs/>
          <w:sz w:val="24"/>
        </w:rPr>
        <w:t>。</w:t>
      </w:r>
    </w:p>
    <w:p>
      <w:pPr>
        <w:ind w:firstLine="420" w:firstLineChars="200"/>
        <w:rPr>
          <w:rFonts w:hAnsi="黑体" w:eastAsia="黑体"/>
        </w:rPr>
      </w:pPr>
      <w:r>
        <w:rPr>
          <w:rFonts w:hint="eastAsia" w:hAnsi="黑体" w:eastAsia="黑体"/>
        </w:rPr>
        <w:t>表</w:t>
      </w:r>
      <w:r>
        <w:rPr>
          <w:rFonts w:hAnsi="黑体" w:eastAsia="黑体"/>
        </w:rPr>
        <w:t xml:space="preserve">4.4-7             </w:t>
      </w:r>
      <w:r>
        <w:rPr>
          <w:rFonts w:hint="eastAsia" w:hAnsi="黑体" w:eastAsia="黑体"/>
        </w:rPr>
        <w:t>项目固体废物及污染控制过程一览表</w:t>
      </w:r>
    </w:p>
    <w:tbl>
      <w:tblPr>
        <w:tblStyle w:val="59"/>
        <w:tblW w:w="51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207"/>
        <w:gridCol w:w="849"/>
        <w:gridCol w:w="685"/>
        <w:gridCol w:w="1111"/>
        <w:gridCol w:w="1313"/>
        <w:gridCol w:w="2123"/>
        <w:gridCol w:w="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kern w:val="0"/>
                <w:szCs w:val="21"/>
              </w:rPr>
            </w:pPr>
            <w:r>
              <w:rPr>
                <w:bCs/>
                <w:szCs w:val="21"/>
              </w:rPr>
              <w:t>序号</w:t>
            </w:r>
          </w:p>
        </w:tc>
        <w:tc>
          <w:tcPr>
            <w:tcW w:w="701" w:type="pct"/>
            <w:vAlign w:val="center"/>
          </w:tcPr>
          <w:p>
            <w:pPr>
              <w:jc w:val="center"/>
              <w:rPr>
                <w:bCs/>
                <w:kern w:val="0"/>
                <w:szCs w:val="21"/>
              </w:rPr>
            </w:pPr>
            <w:r>
              <w:rPr>
                <w:bCs/>
                <w:szCs w:val="21"/>
              </w:rPr>
              <w:t>固废名称</w:t>
            </w:r>
          </w:p>
        </w:tc>
        <w:tc>
          <w:tcPr>
            <w:tcW w:w="493" w:type="pct"/>
            <w:vAlign w:val="center"/>
          </w:tcPr>
          <w:p>
            <w:pPr>
              <w:jc w:val="center"/>
              <w:rPr>
                <w:bCs/>
                <w:kern w:val="0"/>
                <w:szCs w:val="21"/>
              </w:rPr>
            </w:pPr>
            <w:r>
              <w:rPr>
                <w:bCs/>
                <w:szCs w:val="21"/>
              </w:rPr>
              <w:t>产生量(t/a)</w:t>
            </w:r>
          </w:p>
        </w:tc>
        <w:tc>
          <w:tcPr>
            <w:tcW w:w="398" w:type="pct"/>
            <w:vAlign w:val="center"/>
          </w:tcPr>
          <w:p>
            <w:pPr>
              <w:jc w:val="center"/>
              <w:rPr>
                <w:bCs/>
                <w:kern w:val="0"/>
                <w:szCs w:val="21"/>
              </w:rPr>
            </w:pPr>
            <w:r>
              <w:rPr>
                <w:bCs/>
                <w:szCs w:val="21"/>
              </w:rPr>
              <w:t>废物</w:t>
            </w:r>
            <w:r>
              <w:rPr>
                <w:rFonts w:hint="eastAsia"/>
                <w:bCs/>
                <w:szCs w:val="21"/>
              </w:rPr>
              <w:t>属性</w:t>
            </w:r>
          </w:p>
        </w:tc>
        <w:tc>
          <w:tcPr>
            <w:tcW w:w="645" w:type="pct"/>
            <w:vAlign w:val="center"/>
          </w:tcPr>
          <w:p>
            <w:pPr>
              <w:jc w:val="center"/>
              <w:rPr>
                <w:bCs/>
                <w:szCs w:val="21"/>
              </w:rPr>
            </w:pPr>
            <w:r>
              <w:rPr>
                <w:rFonts w:hint="eastAsia"/>
                <w:bCs/>
                <w:szCs w:val="21"/>
              </w:rPr>
              <w:t>废物类别</w:t>
            </w:r>
          </w:p>
        </w:tc>
        <w:tc>
          <w:tcPr>
            <w:tcW w:w="762" w:type="pct"/>
            <w:vAlign w:val="center"/>
          </w:tcPr>
          <w:p>
            <w:pPr>
              <w:jc w:val="center"/>
              <w:rPr>
                <w:bCs/>
                <w:szCs w:val="21"/>
              </w:rPr>
            </w:pPr>
            <w:r>
              <w:rPr>
                <w:rFonts w:hint="eastAsia"/>
                <w:bCs/>
                <w:szCs w:val="21"/>
              </w:rPr>
              <w:t>废物代码</w:t>
            </w:r>
          </w:p>
        </w:tc>
        <w:tc>
          <w:tcPr>
            <w:tcW w:w="1233" w:type="pct"/>
            <w:vAlign w:val="center"/>
          </w:tcPr>
          <w:p>
            <w:pPr>
              <w:jc w:val="center"/>
              <w:rPr>
                <w:bCs/>
                <w:kern w:val="0"/>
                <w:szCs w:val="21"/>
              </w:rPr>
            </w:pPr>
            <w:r>
              <w:rPr>
                <w:bCs/>
                <w:szCs w:val="21"/>
              </w:rPr>
              <w:t>处置措施</w:t>
            </w:r>
          </w:p>
        </w:tc>
        <w:tc>
          <w:tcPr>
            <w:tcW w:w="496" w:type="pct"/>
            <w:vAlign w:val="center"/>
          </w:tcPr>
          <w:p>
            <w:pPr>
              <w:jc w:val="center"/>
              <w:rPr>
                <w:bCs/>
                <w:kern w:val="0"/>
                <w:szCs w:val="21"/>
              </w:rPr>
            </w:pPr>
            <w:r>
              <w:rPr>
                <w:bCs/>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1</w:t>
            </w:r>
          </w:p>
        </w:tc>
        <w:tc>
          <w:tcPr>
            <w:tcW w:w="701" w:type="pct"/>
            <w:vAlign w:val="center"/>
          </w:tcPr>
          <w:p>
            <w:pPr>
              <w:jc w:val="center"/>
              <w:rPr>
                <w:bCs/>
                <w:kern w:val="0"/>
                <w:szCs w:val="21"/>
              </w:rPr>
            </w:pPr>
            <w:r>
              <w:rPr>
                <w:rFonts w:hint="eastAsia"/>
                <w:bCs/>
                <w:kern w:val="0"/>
                <w:szCs w:val="21"/>
              </w:rPr>
              <w:t>沉淀池泥沙</w:t>
            </w:r>
          </w:p>
        </w:tc>
        <w:tc>
          <w:tcPr>
            <w:tcW w:w="493" w:type="pct"/>
            <w:vAlign w:val="center"/>
          </w:tcPr>
          <w:p>
            <w:pPr>
              <w:jc w:val="center"/>
              <w:rPr>
                <w:bCs/>
                <w:kern w:val="0"/>
                <w:szCs w:val="21"/>
              </w:rPr>
            </w:pPr>
            <w:r>
              <w:rPr>
                <w:rFonts w:hint="eastAsia"/>
                <w:bCs/>
                <w:kern w:val="0"/>
                <w:szCs w:val="21"/>
              </w:rPr>
              <w:t>364.53</w:t>
            </w:r>
          </w:p>
        </w:tc>
        <w:tc>
          <w:tcPr>
            <w:tcW w:w="398" w:type="pct"/>
            <w:vAlign w:val="center"/>
          </w:tcPr>
          <w:p>
            <w:pPr>
              <w:jc w:val="center"/>
              <w:rPr>
                <w:bCs/>
                <w:kern w:val="0"/>
                <w:szCs w:val="21"/>
              </w:rPr>
            </w:pPr>
            <w:r>
              <w:rPr>
                <w:rFonts w:hint="eastAsia"/>
                <w:bCs/>
                <w:kern w:val="0"/>
                <w:szCs w:val="21"/>
              </w:rPr>
              <w:t>一般固废</w:t>
            </w:r>
          </w:p>
        </w:tc>
        <w:tc>
          <w:tcPr>
            <w:tcW w:w="645" w:type="pct"/>
            <w:vAlign w:val="center"/>
          </w:tcPr>
          <w:p>
            <w:pPr>
              <w:jc w:val="center"/>
              <w:rPr>
                <w:bCs/>
                <w:kern w:val="0"/>
                <w:szCs w:val="21"/>
              </w:rPr>
            </w:pPr>
            <w:r>
              <w:rPr>
                <w:rFonts w:hint="eastAsia"/>
                <w:bCs/>
                <w:kern w:val="0"/>
                <w:szCs w:val="21"/>
              </w:rPr>
              <w:t>SW07  污泥</w:t>
            </w:r>
          </w:p>
        </w:tc>
        <w:tc>
          <w:tcPr>
            <w:tcW w:w="762" w:type="pct"/>
            <w:vAlign w:val="center"/>
          </w:tcPr>
          <w:p>
            <w:pPr>
              <w:jc w:val="center"/>
              <w:rPr>
                <w:bCs/>
                <w:kern w:val="0"/>
                <w:szCs w:val="21"/>
              </w:rPr>
            </w:pPr>
            <w:r>
              <w:rPr>
                <w:rFonts w:hint="eastAsia"/>
                <w:bCs/>
                <w:kern w:val="0"/>
                <w:szCs w:val="21"/>
              </w:rPr>
              <w:t>900-099-S07</w:t>
            </w:r>
          </w:p>
        </w:tc>
        <w:tc>
          <w:tcPr>
            <w:tcW w:w="1233" w:type="pct"/>
            <w:vAlign w:val="center"/>
          </w:tcPr>
          <w:p>
            <w:pPr>
              <w:jc w:val="center"/>
              <w:rPr>
                <w:bCs/>
                <w:kern w:val="0"/>
                <w:szCs w:val="21"/>
              </w:rPr>
            </w:pPr>
            <w:r>
              <w:rPr>
                <w:rFonts w:hint="eastAsia"/>
                <w:bCs/>
                <w:kern w:val="0"/>
                <w:szCs w:val="21"/>
              </w:rPr>
              <w:t>定期清捞后送一般固废填埋场处置</w:t>
            </w:r>
          </w:p>
        </w:tc>
        <w:tc>
          <w:tcPr>
            <w:tcW w:w="496" w:type="pct"/>
            <w:vAlign w:val="center"/>
          </w:tcPr>
          <w:p>
            <w:pPr>
              <w:jc w:val="center"/>
              <w:rPr>
                <w:bCs/>
                <w:kern w:val="0"/>
                <w:szCs w:val="21"/>
              </w:rPr>
            </w:pPr>
            <w:r>
              <w:rPr>
                <w:rFonts w:hint="eastAsia"/>
                <w:bCs/>
                <w:kern w:val="0"/>
                <w:szCs w:val="21"/>
              </w:rPr>
              <w:t>364.53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2</w:t>
            </w:r>
          </w:p>
        </w:tc>
        <w:tc>
          <w:tcPr>
            <w:tcW w:w="701" w:type="pct"/>
            <w:vAlign w:val="center"/>
          </w:tcPr>
          <w:p>
            <w:pPr>
              <w:jc w:val="center"/>
              <w:rPr>
                <w:bCs/>
                <w:kern w:val="0"/>
                <w:szCs w:val="21"/>
              </w:rPr>
            </w:pPr>
            <w:r>
              <w:rPr>
                <w:rFonts w:hint="eastAsia"/>
                <w:bCs/>
                <w:kern w:val="0"/>
                <w:szCs w:val="21"/>
              </w:rPr>
              <w:t>废旧滤网</w:t>
            </w:r>
          </w:p>
        </w:tc>
        <w:tc>
          <w:tcPr>
            <w:tcW w:w="493" w:type="pct"/>
            <w:vAlign w:val="center"/>
          </w:tcPr>
          <w:p>
            <w:pPr>
              <w:jc w:val="center"/>
              <w:rPr>
                <w:bCs/>
                <w:kern w:val="0"/>
                <w:szCs w:val="21"/>
              </w:rPr>
            </w:pPr>
            <w:r>
              <w:rPr>
                <w:rFonts w:hint="eastAsia"/>
                <w:bCs/>
                <w:kern w:val="0"/>
                <w:szCs w:val="21"/>
              </w:rPr>
              <w:t>2.30</w:t>
            </w:r>
          </w:p>
        </w:tc>
        <w:tc>
          <w:tcPr>
            <w:tcW w:w="398" w:type="pct"/>
            <w:vAlign w:val="center"/>
          </w:tcPr>
          <w:p>
            <w:pPr>
              <w:jc w:val="center"/>
              <w:rPr>
                <w:bCs/>
                <w:kern w:val="0"/>
                <w:szCs w:val="21"/>
              </w:rPr>
            </w:pPr>
            <w:r>
              <w:rPr>
                <w:rFonts w:hint="eastAsia"/>
                <w:bCs/>
                <w:kern w:val="0"/>
                <w:szCs w:val="21"/>
              </w:rPr>
              <w:t>一般固废</w:t>
            </w:r>
          </w:p>
        </w:tc>
        <w:tc>
          <w:tcPr>
            <w:tcW w:w="645" w:type="pct"/>
            <w:vAlign w:val="center"/>
          </w:tcPr>
          <w:p>
            <w:pPr>
              <w:jc w:val="center"/>
              <w:rPr>
                <w:bCs/>
                <w:kern w:val="0"/>
                <w:szCs w:val="21"/>
              </w:rPr>
            </w:pPr>
            <w:r>
              <w:rPr>
                <w:bCs/>
                <w:kern w:val="0"/>
                <w:szCs w:val="21"/>
              </w:rPr>
              <w:t>SW59</w:t>
            </w:r>
          </w:p>
          <w:p>
            <w:pPr>
              <w:jc w:val="center"/>
              <w:rPr>
                <w:bCs/>
                <w:kern w:val="0"/>
                <w:szCs w:val="21"/>
              </w:rPr>
            </w:pPr>
            <w:r>
              <w:rPr>
                <w:rFonts w:hint="eastAsia"/>
                <w:bCs/>
                <w:kern w:val="0"/>
                <w:szCs w:val="21"/>
              </w:rPr>
              <w:t>其他工业固体废物</w:t>
            </w:r>
          </w:p>
        </w:tc>
        <w:tc>
          <w:tcPr>
            <w:tcW w:w="762" w:type="pct"/>
            <w:vAlign w:val="center"/>
          </w:tcPr>
          <w:p>
            <w:pPr>
              <w:jc w:val="center"/>
              <w:rPr>
                <w:bCs/>
                <w:kern w:val="0"/>
                <w:szCs w:val="21"/>
              </w:rPr>
            </w:pPr>
            <w:r>
              <w:rPr>
                <w:bCs/>
                <w:kern w:val="0"/>
                <w:szCs w:val="21"/>
              </w:rPr>
              <w:t>900-099-S59</w:t>
            </w:r>
          </w:p>
        </w:tc>
        <w:tc>
          <w:tcPr>
            <w:tcW w:w="1233" w:type="pct"/>
            <w:vAlign w:val="center"/>
          </w:tcPr>
          <w:p>
            <w:pPr>
              <w:jc w:val="center"/>
              <w:rPr>
                <w:bCs/>
                <w:kern w:val="0"/>
                <w:szCs w:val="21"/>
              </w:rPr>
            </w:pPr>
            <w:r>
              <w:rPr>
                <w:rFonts w:hint="eastAsia"/>
                <w:bCs/>
                <w:kern w:val="0"/>
                <w:szCs w:val="21"/>
              </w:rPr>
              <w:t>收集后送至固废填埋场处置</w:t>
            </w:r>
          </w:p>
        </w:tc>
        <w:tc>
          <w:tcPr>
            <w:tcW w:w="496" w:type="pct"/>
            <w:vAlign w:val="center"/>
          </w:tcPr>
          <w:p>
            <w:pPr>
              <w:jc w:val="center"/>
              <w:rPr>
                <w:bCs/>
                <w:kern w:val="0"/>
                <w:szCs w:val="21"/>
              </w:rPr>
            </w:pPr>
            <w:r>
              <w:rPr>
                <w:rFonts w:hint="eastAsia"/>
                <w:bCs/>
                <w:kern w:val="0"/>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3</w:t>
            </w:r>
          </w:p>
        </w:tc>
        <w:tc>
          <w:tcPr>
            <w:tcW w:w="701" w:type="pct"/>
            <w:vAlign w:val="center"/>
          </w:tcPr>
          <w:p>
            <w:pPr>
              <w:jc w:val="center"/>
              <w:rPr>
                <w:bCs/>
                <w:kern w:val="0"/>
                <w:szCs w:val="21"/>
              </w:rPr>
            </w:pPr>
            <w:r>
              <w:rPr>
                <w:rFonts w:hint="eastAsia"/>
                <w:bCs/>
                <w:kern w:val="0"/>
                <w:szCs w:val="21"/>
              </w:rPr>
              <w:t>滴灌带不合格品</w:t>
            </w:r>
          </w:p>
        </w:tc>
        <w:tc>
          <w:tcPr>
            <w:tcW w:w="493" w:type="pct"/>
            <w:vAlign w:val="center"/>
          </w:tcPr>
          <w:p>
            <w:pPr>
              <w:jc w:val="center"/>
              <w:rPr>
                <w:bCs/>
                <w:kern w:val="0"/>
                <w:szCs w:val="21"/>
              </w:rPr>
            </w:pPr>
            <w:r>
              <w:rPr>
                <w:rFonts w:hint="eastAsia"/>
                <w:bCs/>
                <w:kern w:val="0"/>
                <w:szCs w:val="21"/>
              </w:rPr>
              <w:t>200</w:t>
            </w:r>
          </w:p>
        </w:tc>
        <w:tc>
          <w:tcPr>
            <w:tcW w:w="398" w:type="pct"/>
            <w:vAlign w:val="center"/>
          </w:tcPr>
          <w:p>
            <w:pPr>
              <w:jc w:val="center"/>
              <w:rPr>
                <w:bCs/>
                <w:kern w:val="0"/>
                <w:szCs w:val="21"/>
              </w:rPr>
            </w:pPr>
            <w:r>
              <w:rPr>
                <w:rFonts w:hint="eastAsia"/>
                <w:bCs/>
                <w:kern w:val="0"/>
                <w:szCs w:val="21"/>
              </w:rPr>
              <w:t>一般固废</w:t>
            </w:r>
          </w:p>
        </w:tc>
        <w:tc>
          <w:tcPr>
            <w:tcW w:w="645" w:type="pct"/>
            <w:vAlign w:val="center"/>
          </w:tcPr>
          <w:p>
            <w:pPr>
              <w:jc w:val="center"/>
              <w:rPr>
                <w:bCs/>
                <w:kern w:val="0"/>
                <w:szCs w:val="21"/>
              </w:rPr>
            </w:pPr>
            <w:r>
              <w:rPr>
                <w:rFonts w:hint="eastAsia"/>
                <w:bCs/>
                <w:kern w:val="0"/>
                <w:szCs w:val="21"/>
              </w:rPr>
              <w:t>SW17  可再生类废物</w:t>
            </w:r>
          </w:p>
        </w:tc>
        <w:tc>
          <w:tcPr>
            <w:tcW w:w="762" w:type="pct"/>
            <w:vAlign w:val="center"/>
          </w:tcPr>
          <w:p>
            <w:pPr>
              <w:jc w:val="center"/>
              <w:rPr>
                <w:bCs/>
                <w:kern w:val="0"/>
                <w:szCs w:val="21"/>
              </w:rPr>
            </w:pPr>
            <w:r>
              <w:rPr>
                <w:bCs/>
                <w:kern w:val="0"/>
                <w:szCs w:val="21"/>
              </w:rPr>
              <w:t>900-003-S17</w:t>
            </w:r>
          </w:p>
        </w:tc>
        <w:tc>
          <w:tcPr>
            <w:tcW w:w="1233" w:type="pct"/>
            <w:vAlign w:val="center"/>
          </w:tcPr>
          <w:p>
            <w:pPr>
              <w:jc w:val="center"/>
              <w:rPr>
                <w:bCs/>
                <w:kern w:val="0"/>
                <w:szCs w:val="21"/>
              </w:rPr>
            </w:pPr>
            <w:r>
              <w:rPr>
                <w:rFonts w:hint="eastAsia"/>
                <w:bCs/>
                <w:kern w:val="0"/>
                <w:szCs w:val="21"/>
              </w:rPr>
              <w:t>回至废旧滴灌带破碎工序再次破碎造粒循环利用</w:t>
            </w:r>
          </w:p>
        </w:tc>
        <w:tc>
          <w:tcPr>
            <w:tcW w:w="496" w:type="pct"/>
            <w:vAlign w:val="center"/>
          </w:tcPr>
          <w:p>
            <w:pPr>
              <w:jc w:val="center"/>
              <w:rPr>
                <w:bCs/>
                <w:kern w:val="0"/>
                <w:szCs w:val="21"/>
              </w:rPr>
            </w:pPr>
            <w:r>
              <w:rPr>
                <w:rFonts w:hint="eastAsia"/>
                <w:bCs/>
                <w:kern w:val="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4</w:t>
            </w:r>
          </w:p>
        </w:tc>
        <w:tc>
          <w:tcPr>
            <w:tcW w:w="701" w:type="pct"/>
            <w:vAlign w:val="center"/>
          </w:tcPr>
          <w:p>
            <w:pPr>
              <w:jc w:val="center"/>
              <w:rPr>
                <w:bCs/>
                <w:kern w:val="0"/>
                <w:szCs w:val="21"/>
              </w:rPr>
            </w:pPr>
            <w:r>
              <w:rPr>
                <w:rFonts w:hint="eastAsia"/>
                <w:bCs/>
                <w:kern w:val="0"/>
                <w:szCs w:val="21"/>
              </w:rPr>
              <w:t>PE管不合格品</w:t>
            </w:r>
          </w:p>
        </w:tc>
        <w:tc>
          <w:tcPr>
            <w:tcW w:w="493" w:type="pct"/>
            <w:vAlign w:val="center"/>
          </w:tcPr>
          <w:p>
            <w:pPr>
              <w:jc w:val="center"/>
              <w:rPr>
                <w:bCs/>
                <w:kern w:val="0"/>
                <w:szCs w:val="21"/>
              </w:rPr>
            </w:pPr>
            <w:r>
              <w:rPr>
                <w:rFonts w:hint="eastAsia"/>
                <w:bCs/>
                <w:kern w:val="0"/>
                <w:szCs w:val="21"/>
              </w:rPr>
              <w:t>46.25</w:t>
            </w:r>
          </w:p>
        </w:tc>
        <w:tc>
          <w:tcPr>
            <w:tcW w:w="398" w:type="pct"/>
            <w:vAlign w:val="center"/>
          </w:tcPr>
          <w:p>
            <w:pPr>
              <w:jc w:val="center"/>
              <w:rPr>
                <w:bCs/>
                <w:kern w:val="0"/>
                <w:szCs w:val="21"/>
              </w:rPr>
            </w:pPr>
            <w:r>
              <w:rPr>
                <w:rFonts w:hint="eastAsia"/>
                <w:bCs/>
                <w:kern w:val="0"/>
                <w:szCs w:val="21"/>
              </w:rPr>
              <w:t>一般固废</w:t>
            </w:r>
          </w:p>
        </w:tc>
        <w:tc>
          <w:tcPr>
            <w:tcW w:w="645" w:type="pct"/>
            <w:vAlign w:val="center"/>
          </w:tcPr>
          <w:p>
            <w:pPr>
              <w:jc w:val="center"/>
              <w:rPr>
                <w:bCs/>
                <w:kern w:val="0"/>
                <w:szCs w:val="21"/>
              </w:rPr>
            </w:pPr>
            <w:r>
              <w:rPr>
                <w:rFonts w:hint="eastAsia"/>
                <w:bCs/>
                <w:kern w:val="0"/>
                <w:szCs w:val="21"/>
              </w:rPr>
              <w:t>SW17  可再生类废物</w:t>
            </w:r>
          </w:p>
        </w:tc>
        <w:tc>
          <w:tcPr>
            <w:tcW w:w="762" w:type="pct"/>
            <w:vAlign w:val="center"/>
          </w:tcPr>
          <w:p>
            <w:pPr>
              <w:jc w:val="center"/>
              <w:rPr>
                <w:bCs/>
                <w:kern w:val="0"/>
                <w:szCs w:val="21"/>
              </w:rPr>
            </w:pPr>
            <w:r>
              <w:rPr>
                <w:bCs/>
                <w:kern w:val="0"/>
                <w:szCs w:val="21"/>
              </w:rPr>
              <w:t>900-003-S17</w:t>
            </w:r>
          </w:p>
        </w:tc>
        <w:tc>
          <w:tcPr>
            <w:tcW w:w="1233" w:type="pct"/>
            <w:vAlign w:val="center"/>
          </w:tcPr>
          <w:p>
            <w:pPr>
              <w:jc w:val="center"/>
              <w:rPr>
                <w:bCs/>
                <w:kern w:val="0"/>
                <w:szCs w:val="21"/>
              </w:rPr>
            </w:pPr>
            <w:r>
              <w:rPr>
                <w:rFonts w:hint="eastAsia"/>
                <w:bCs/>
                <w:kern w:val="0"/>
                <w:szCs w:val="21"/>
              </w:rPr>
              <w:t>回至废旧滴灌带破碎工序再次破碎造粒循环利用</w:t>
            </w:r>
          </w:p>
        </w:tc>
        <w:tc>
          <w:tcPr>
            <w:tcW w:w="496" w:type="pct"/>
            <w:vAlign w:val="center"/>
          </w:tcPr>
          <w:p>
            <w:pPr>
              <w:jc w:val="center"/>
              <w:rPr>
                <w:bCs/>
                <w:kern w:val="0"/>
                <w:szCs w:val="21"/>
              </w:rPr>
            </w:pPr>
            <w:r>
              <w:rPr>
                <w:rFonts w:hint="eastAsia"/>
                <w:bCs/>
                <w:kern w:val="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5</w:t>
            </w:r>
          </w:p>
        </w:tc>
        <w:tc>
          <w:tcPr>
            <w:tcW w:w="701" w:type="pct"/>
            <w:vAlign w:val="center"/>
          </w:tcPr>
          <w:p>
            <w:pPr>
              <w:jc w:val="center"/>
              <w:rPr>
                <w:bCs/>
                <w:kern w:val="0"/>
                <w:szCs w:val="21"/>
              </w:rPr>
            </w:pPr>
            <w:r>
              <w:rPr>
                <w:rFonts w:hint="eastAsia"/>
                <w:bCs/>
                <w:kern w:val="0"/>
                <w:szCs w:val="21"/>
              </w:rPr>
              <w:t>废活性炭</w:t>
            </w:r>
          </w:p>
        </w:tc>
        <w:tc>
          <w:tcPr>
            <w:tcW w:w="493" w:type="pct"/>
            <w:vAlign w:val="center"/>
          </w:tcPr>
          <w:p>
            <w:pPr>
              <w:jc w:val="center"/>
              <w:rPr>
                <w:bCs/>
                <w:kern w:val="0"/>
                <w:szCs w:val="21"/>
              </w:rPr>
            </w:pPr>
            <w:r>
              <w:rPr>
                <w:rFonts w:hint="eastAsia"/>
                <w:bCs/>
                <w:kern w:val="0"/>
                <w:szCs w:val="21"/>
              </w:rPr>
              <w:t>2t/3a</w:t>
            </w:r>
          </w:p>
        </w:tc>
        <w:tc>
          <w:tcPr>
            <w:tcW w:w="398" w:type="pct"/>
            <w:vAlign w:val="center"/>
          </w:tcPr>
          <w:p>
            <w:pPr>
              <w:jc w:val="center"/>
              <w:rPr>
                <w:bCs/>
                <w:kern w:val="0"/>
                <w:szCs w:val="21"/>
              </w:rPr>
            </w:pPr>
            <w:r>
              <w:rPr>
                <w:rFonts w:hint="eastAsia"/>
                <w:bCs/>
                <w:kern w:val="0"/>
                <w:szCs w:val="21"/>
              </w:rPr>
              <w:t>危险废物</w:t>
            </w:r>
          </w:p>
        </w:tc>
        <w:tc>
          <w:tcPr>
            <w:tcW w:w="645" w:type="pct"/>
            <w:vAlign w:val="center"/>
          </w:tcPr>
          <w:p>
            <w:pPr>
              <w:jc w:val="center"/>
              <w:rPr>
                <w:bCs/>
                <w:kern w:val="0"/>
                <w:szCs w:val="21"/>
              </w:rPr>
            </w:pPr>
            <w:r>
              <w:rPr>
                <w:bCs/>
                <w:kern w:val="0"/>
                <w:szCs w:val="21"/>
              </w:rPr>
              <w:t>HW49</w:t>
            </w:r>
          </w:p>
        </w:tc>
        <w:tc>
          <w:tcPr>
            <w:tcW w:w="762" w:type="pct"/>
            <w:vAlign w:val="center"/>
          </w:tcPr>
          <w:p>
            <w:pPr>
              <w:jc w:val="center"/>
              <w:rPr>
                <w:bCs/>
                <w:kern w:val="0"/>
                <w:szCs w:val="21"/>
              </w:rPr>
            </w:pPr>
            <w:r>
              <w:rPr>
                <w:bCs/>
                <w:kern w:val="0"/>
                <w:szCs w:val="21"/>
              </w:rPr>
              <w:t>900-039-49</w:t>
            </w:r>
          </w:p>
        </w:tc>
        <w:tc>
          <w:tcPr>
            <w:tcW w:w="1233" w:type="pct"/>
            <w:vAlign w:val="center"/>
          </w:tcPr>
          <w:p>
            <w:pPr>
              <w:jc w:val="center"/>
              <w:rPr>
                <w:bCs/>
                <w:kern w:val="0"/>
                <w:szCs w:val="21"/>
              </w:rPr>
            </w:pP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暂存后定期交由有资质单位处置</w:t>
            </w:r>
          </w:p>
        </w:tc>
        <w:tc>
          <w:tcPr>
            <w:tcW w:w="496" w:type="pct"/>
            <w:vAlign w:val="center"/>
          </w:tcPr>
          <w:p>
            <w:pPr>
              <w:jc w:val="center"/>
              <w:rPr>
                <w:bCs/>
                <w:kern w:val="0"/>
                <w:szCs w:val="21"/>
              </w:rPr>
            </w:pPr>
            <w:r>
              <w:rPr>
                <w:rFonts w:hint="eastAsia"/>
                <w:bCs/>
                <w:kern w:val="0"/>
                <w:szCs w:val="21"/>
              </w:rPr>
              <w:t>2t/3a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6</w:t>
            </w:r>
          </w:p>
        </w:tc>
        <w:tc>
          <w:tcPr>
            <w:tcW w:w="701" w:type="pct"/>
            <w:vAlign w:val="center"/>
          </w:tcPr>
          <w:p>
            <w:pPr>
              <w:jc w:val="center"/>
              <w:rPr>
                <w:bCs/>
                <w:kern w:val="0"/>
                <w:szCs w:val="21"/>
              </w:rPr>
            </w:pPr>
            <w:r>
              <w:rPr>
                <w:rFonts w:hint="eastAsia"/>
                <w:bCs/>
                <w:kern w:val="0"/>
                <w:szCs w:val="21"/>
              </w:rPr>
              <w:t>废催化剂</w:t>
            </w:r>
          </w:p>
        </w:tc>
        <w:tc>
          <w:tcPr>
            <w:tcW w:w="493" w:type="pct"/>
            <w:vAlign w:val="center"/>
          </w:tcPr>
          <w:p>
            <w:pPr>
              <w:jc w:val="center"/>
              <w:rPr>
                <w:bCs/>
                <w:kern w:val="0"/>
                <w:szCs w:val="21"/>
              </w:rPr>
            </w:pPr>
            <w:r>
              <w:rPr>
                <w:rFonts w:hint="eastAsia"/>
                <w:bCs/>
                <w:kern w:val="0"/>
                <w:szCs w:val="21"/>
              </w:rPr>
              <w:t>1t/3a</w:t>
            </w:r>
          </w:p>
        </w:tc>
        <w:tc>
          <w:tcPr>
            <w:tcW w:w="398" w:type="pct"/>
            <w:vAlign w:val="center"/>
          </w:tcPr>
          <w:p>
            <w:pPr>
              <w:jc w:val="center"/>
              <w:rPr>
                <w:bCs/>
                <w:kern w:val="0"/>
                <w:szCs w:val="21"/>
              </w:rPr>
            </w:pPr>
            <w:r>
              <w:rPr>
                <w:rFonts w:hint="eastAsia"/>
                <w:bCs/>
                <w:kern w:val="0"/>
                <w:szCs w:val="21"/>
              </w:rPr>
              <w:t>危险废物</w:t>
            </w:r>
          </w:p>
        </w:tc>
        <w:tc>
          <w:tcPr>
            <w:tcW w:w="645" w:type="pct"/>
            <w:vAlign w:val="center"/>
          </w:tcPr>
          <w:p>
            <w:pPr>
              <w:jc w:val="center"/>
              <w:rPr>
                <w:bCs/>
                <w:kern w:val="0"/>
                <w:szCs w:val="21"/>
              </w:rPr>
            </w:pPr>
            <w:r>
              <w:rPr>
                <w:rFonts w:hint="eastAsia"/>
                <w:bCs/>
                <w:kern w:val="0"/>
                <w:szCs w:val="21"/>
              </w:rPr>
              <w:t>HW</w:t>
            </w:r>
            <w:r>
              <w:rPr>
                <w:bCs/>
                <w:kern w:val="0"/>
                <w:szCs w:val="21"/>
              </w:rPr>
              <w:t>46</w:t>
            </w:r>
          </w:p>
        </w:tc>
        <w:tc>
          <w:tcPr>
            <w:tcW w:w="762" w:type="pct"/>
            <w:vAlign w:val="center"/>
          </w:tcPr>
          <w:p>
            <w:pPr>
              <w:jc w:val="center"/>
              <w:rPr>
                <w:bCs/>
                <w:kern w:val="0"/>
                <w:szCs w:val="21"/>
              </w:rPr>
            </w:pPr>
            <w:r>
              <w:rPr>
                <w:rFonts w:hint="eastAsia"/>
                <w:bCs/>
                <w:kern w:val="0"/>
                <w:szCs w:val="21"/>
              </w:rPr>
              <w:t>900-037-46</w:t>
            </w:r>
          </w:p>
        </w:tc>
        <w:tc>
          <w:tcPr>
            <w:tcW w:w="1233" w:type="pct"/>
            <w:vAlign w:val="center"/>
          </w:tcPr>
          <w:p>
            <w:pPr>
              <w:jc w:val="center"/>
              <w:rPr>
                <w:bCs/>
                <w:kern w:val="0"/>
                <w:szCs w:val="21"/>
              </w:rPr>
            </w:pP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暂存后定期交由有资质单位处置</w:t>
            </w:r>
          </w:p>
        </w:tc>
        <w:tc>
          <w:tcPr>
            <w:tcW w:w="496" w:type="pct"/>
            <w:vAlign w:val="center"/>
          </w:tcPr>
          <w:p>
            <w:pPr>
              <w:jc w:val="center"/>
              <w:rPr>
                <w:bCs/>
                <w:kern w:val="0"/>
                <w:szCs w:val="21"/>
              </w:rPr>
            </w:pPr>
            <w:r>
              <w:rPr>
                <w:rFonts w:hint="eastAsia"/>
                <w:bCs/>
                <w:kern w:val="0"/>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7</w:t>
            </w:r>
          </w:p>
        </w:tc>
        <w:tc>
          <w:tcPr>
            <w:tcW w:w="701" w:type="pct"/>
            <w:vAlign w:val="center"/>
          </w:tcPr>
          <w:p>
            <w:pPr>
              <w:jc w:val="center"/>
              <w:rPr>
                <w:bCs/>
                <w:kern w:val="0"/>
                <w:szCs w:val="21"/>
              </w:rPr>
            </w:pPr>
            <w:r>
              <w:rPr>
                <w:rFonts w:hint="eastAsia"/>
                <w:bCs/>
                <w:kern w:val="0"/>
                <w:szCs w:val="21"/>
              </w:rPr>
              <w:t>废润滑油及桶</w:t>
            </w:r>
          </w:p>
        </w:tc>
        <w:tc>
          <w:tcPr>
            <w:tcW w:w="493" w:type="pct"/>
            <w:vAlign w:val="center"/>
          </w:tcPr>
          <w:p>
            <w:pPr>
              <w:jc w:val="center"/>
              <w:rPr>
                <w:bCs/>
                <w:kern w:val="0"/>
                <w:szCs w:val="21"/>
              </w:rPr>
            </w:pPr>
            <w:r>
              <w:rPr>
                <w:rFonts w:hint="eastAsia"/>
                <w:bCs/>
                <w:kern w:val="0"/>
                <w:szCs w:val="21"/>
              </w:rPr>
              <w:t>0.6</w:t>
            </w:r>
          </w:p>
        </w:tc>
        <w:tc>
          <w:tcPr>
            <w:tcW w:w="398" w:type="pct"/>
            <w:vAlign w:val="center"/>
          </w:tcPr>
          <w:p>
            <w:pPr>
              <w:jc w:val="center"/>
              <w:rPr>
                <w:bCs/>
                <w:kern w:val="0"/>
                <w:szCs w:val="21"/>
              </w:rPr>
            </w:pPr>
            <w:r>
              <w:rPr>
                <w:rFonts w:hint="eastAsia"/>
                <w:bCs/>
                <w:kern w:val="0"/>
                <w:szCs w:val="21"/>
              </w:rPr>
              <w:t>危险废物</w:t>
            </w:r>
          </w:p>
        </w:tc>
        <w:tc>
          <w:tcPr>
            <w:tcW w:w="645" w:type="pct"/>
            <w:vAlign w:val="center"/>
          </w:tcPr>
          <w:p>
            <w:pPr>
              <w:jc w:val="center"/>
              <w:rPr>
                <w:bCs/>
                <w:kern w:val="0"/>
                <w:szCs w:val="21"/>
              </w:rPr>
            </w:pPr>
            <w:r>
              <w:rPr>
                <w:bCs/>
                <w:kern w:val="0"/>
                <w:szCs w:val="21"/>
              </w:rPr>
              <w:t>HW08</w:t>
            </w:r>
          </w:p>
        </w:tc>
        <w:tc>
          <w:tcPr>
            <w:tcW w:w="762" w:type="pct"/>
            <w:vAlign w:val="center"/>
          </w:tcPr>
          <w:p>
            <w:pPr>
              <w:jc w:val="center"/>
              <w:rPr>
                <w:bCs/>
                <w:kern w:val="0"/>
                <w:szCs w:val="21"/>
              </w:rPr>
            </w:pPr>
            <w:r>
              <w:rPr>
                <w:bCs/>
                <w:kern w:val="0"/>
                <w:szCs w:val="21"/>
              </w:rPr>
              <w:t>900-217-08</w:t>
            </w:r>
          </w:p>
        </w:tc>
        <w:tc>
          <w:tcPr>
            <w:tcW w:w="1233" w:type="pct"/>
            <w:vAlign w:val="center"/>
          </w:tcPr>
          <w:p>
            <w:pPr>
              <w:jc w:val="center"/>
              <w:rPr>
                <w:bCs/>
                <w:kern w:val="0"/>
                <w:szCs w:val="21"/>
              </w:rPr>
            </w:pPr>
            <w:r>
              <w:rPr>
                <w:rFonts w:hint="eastAsia"/>
                <w:bCs/>
                <w:kern w:val="0"/>
                <w:szCs w:val="21"/>
              </w:rPr>
              <w:t>采用桶装收集储存，</w:t>
            </w: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，定期交由有资质的单位处置</w:t>
            </w:r>
          </w:p>
        </w:tc>
        <w:tc>
          <w:tcPr>
            <w:tcW w:w="496" w:type="pct"/>
            <w:vAlign w:val="center"/>
          </w:tcPr>
          <w:p>
            <w:pPr>
              <w:jc w:val="center"/>
              <w:rPr>
                <w:bCs/>
                <w:kern w:val="0"/>
                <w:szCs w:val="21"/>
              </w:rPr>
            </w:pPr>
            <w:r>
              <w:rPr>
                <w:rFonts w:hint="eastAsia"/>
                <w:bCs/>
                <w:kern w:val="0"/>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8</w:t>
            </w:r>
          </w:p>
        </w:tc>
        <w:tc>
          <w:tcPr>
            <w:tcW w:w="701" w:type="pct"/>
            <w:vAlign w:val="center"/>
          </w:tcPr>
          <w:p>
            <w:pPr>
              <w:jc w:val="center"/>
              <w:rPr>
                <w:bCs/>
                <w:kern w:val="0"/>
                <w:szCs w:val="21"/>
              </w:rPr>
            </w:pPr>
            <w:r>
              <w:rPr>
                <w:bCs/>
                <w:kern w:val="0"/>
                <w:szCs w:val="21"/>
              </w:rPr>
              <w:t>生活垃圾</w:t>
            </w:r>
          </w:p>
        </w:tc>
        <w:tc>
          <w:tcPr>
            <w:tcW w:w="493" w:type="pct"/>
            <w:vAlign w:val="center"/>
          </w:tcPr>
          <w:p>
            <w:pPr>
              <w:jc w:val="center"/>
              <w:rPr>
                <w:bCs/>
                <w:kern w:val="0"/>
                <w:szCs w:val="21"/>
              </w:rPr>
            </w:pPr>
            <w:r>
              <w:rPr>
                <w:rFonts w:hint="eastAsia"/>
                <w:bCs/>
                <w:kern w:val="0"/>
                <w:szCs w:val="21"/>
              </w:rPr>
              <w:t>1.44</w:t>
            </w:r>
          </w:p>
        </w:tc>
        <w:tc>
          <w:tcPr>
            <w:tcW w:w="398" w:type="pct"/>
            <w:vAlign w:val="center"/>
          </w:tcPr>
          <w:p>
            <w:pPr>
              <w:jc w:val="center"/>
              <w:rPr>
                <w:bCs/>
                <w:kern w:val="0"/>
                <w:szCs w:val="21"/>
              </w:rPr>
            </w:pPr>
            <w:r>
              <w:rPr>
                <w:bCs/>
                <w:kern w:val="0"/>
                <w:szCs w:val="21"/>
              </w:rPr>
              <w:t>生活垃圾</w:t>
            </w:r>
          </w:p>
        </w:tc>
        <w:tc>
          <w:tcPr>
            <w:tcW w:w="645" w:type="pct"/>
            <w:vAlign w:val="center"/>
          </w:tcPr>
          <w:p>
            <w:pPr>
              <w:jc w:val="center"/>
              <w:rPr>
                <w:bCs/>
                <w:kern w:val="0"/>
                <w:szCs w:val="21"/>
              </w:rPr>
            </w:pPr>
            <w:r>
              <w:rPr>
                <w:rFonts w:hint="eastAsia"/>
                <w:bCs/>
                <w:kern w:val="0"/>
                <w:szCs w:val="21"/>
              </w:rPr>
              <w:t>/</w:t>
            </w:r>
          </w:p>
        </w:tc>
        <w:tc>
          <w:tcPr>
            <w:tcW w:w="762" w:type="pct"/>
            <w:vAlign w:val="center"/>
          </w:tcPr>
          <w:p>
            <w:pPr>
              <w:jc w:val="center"/>
              <w:rPr>
                <w:bCs/>
                <w:kern w:val="0"/>
                <w:szCs w:val="21"/>
              </w:rPr>
            </w:pPr>
            <w:r>
              <w:rPr>
                <w:rFonts w:hint="eastAsia"/>
                <w:bCs/>
                <w:kern w:val="0"/>
                <w:szCs w:val="21"/>
              </w:rPr>
              <w:t>/</w:t>
            </w:r>
          </w:p>
        </w:tc>
        <w:tc>
          <w:tcPr>
            <w:tcW w:w="1233" w:type="pct"/>
            <w:vAlign w:val="center"/>
          </w:tcPr>
          <w:p>
            <w:pPr>
              <w:jc w:val="center"/>
              <w:rPr>
                <w:bCs/>
                <w:kern w:val="0"/>
                <w:szCs w:val="21"/>
              </w:rPr>
            </w:pPr>
            <w:r>
              <w:rPr>
                <w:bCs/>
                <w:kern w:val="0"/>
                <w:szCs w:val="21"/>
              </w:rPr>
              <w:t>收集后委托环卫部门进行外运填埋处理</w:t>
            </w:r>
          </w:p>
        </w:tc>
        <w:tc>
          <w:tcPr>
            <w:tcW w:w="496" w:type="pct"/>
            <w:vAlign w:val="center"/>
          </w:tcPr>
          <w:p>
            <w:pPr>
              <w:jc w:val="center"/>
              <w:rPr>
                <w:bCs/>
                <w:kern w:val="0"/>
                <w:szCs w:val="21"/>
              </w:rPr>
            </w:pPr>
            <w:r>
              <w:rPr>
                <w:rFonts w:hint="eastAsia"/>
                <w:bCs/>
                <w:kern w:val="0"/>
                <w:szCs w:val="21"/>
              </w:rPr>
              <w:t>1.44</w:t>
            </w:r>
          </w:p>
        </w:tc>
      </w:tr>
    </w:tbl>
    <w:p>
      <w:pPr>
        <w:pStyle w:val="24"/>
        <w:autoSpaceDE/>
        <w:autoSpaceDN/>
        <w:adjustRightInd/>
        <w:spacing w:line="460" w:lineRule="exact"/>
        <w:ind w:firstLine="504" w:firstLineChars="200"/>
        <w:rPr>
          <w:rFonts w:hint="default" w:ascii="Times New Roman"/>
          <w:color w:val="auto"/>
          <w:spacing w:val="12"/>
          <w:w w:val="95"/>
        </w:rPr>
      </w:pPr>
    </w:p>
    <w:p>
      <w:pPr>
        <w:pStyle w:val="5"/>
        <w:numPr>
          <w:ilvl w:val="0"/>
          <w:numId w:val="0"/>
        </w:numPr>
        <w:adjustRightInd w:val="0"/>
        <w:spacing w:before="0" w:line="460" w:lineRule="exact"/>
        <w:ind w:left="113"/>
        <w:textAlignment w:val="baseline"/>
        <w:rPr>
          <w:spacing w:val="12"/>
          <w:w w:val="95"/>
          <w:kern w:val="0"/>
          <w:szCs w:val="26"/>
        </w:rPr>
      </w:pPr>
      <w:r>
        <w:rPr>
          <w:rFonts w:hint="eastAsia" w:ascii="Times New Roman"/>
          <w:spacing w:val="12"/>
          <w:w w:val="95"/>
          <w:kern w:val="0"/>
          <w:szCs w:val="26"/>
        </w:rPr>
        <w:t>4.4.3改扩建项目运营期“三废”排放情况统计</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项目“三废”排放情况统计详见表4.4-</w:t>
      </w:r>
      <w:r>
        <w:rPr>
          <w:rFonts w:hint="default" w:ascii="Times New Roman" w:hAnsi="Times New Roman" w:cs="Times New Roman"/>
          <w:color w:val="auto"/>
          <w:szCs w:val="24"/>
        </w:rPr>
        <w:t>8</w:t>
      </w:r>
      <w:r>
        <w:rPr>
          <w:rFonts w:ascii="Times New Roman" w:hAnsi="Times New Roman" w:cs="Times New Roman"/>
          <w:color w:val="auto"/>
          <w:szCs w:val="24"/>
        </w:rPr>
        <w:t>。</w:t>
      </w:r>
    </w:p>
    <w:p>
      <w:pPr>
        <w:ind w:firstLine="420" w:firstLineChars="200"/>
        <w:rPr>
          <w:rFonts w:hAnsi="黑体" w:eastAsia="黑体"/>
        </w:rPr>
      </w:pPr>
      <w:r>
        <w:rPr>
          <w:rFonts w:hAnsi="黑体" w:eastAsia="黑体"/>
        </w:rPr>
        <w:t>表</w:t>
      </w:r>
      <w:r>
        <w:rPr>
          <w:rFonts w:hint="eastAsia" w:hAnsi="黑体" w:eastAsia="黑体"/>
        </w:rPr>
        <w:t>4.4-</w:t>
      </w:r>
      <w:r>
        <w:rPr>
          <w:rFonts w:hAnsi="黑体" w:eastAsia="黑体"/>
        </w:rPr>
        <w:t xml:space="preserve">8     </w:t>
      </w:r>
      <w:r>
        <w:rPr>
          <w:rFonts w:hint="eastAsia" w:hAnsi="黑体" w:eastAsia="黑体"/>
        </w:rPr>
        <w:t xml:space="preserve">          </w:t>
      </w:r>
      <w:r>
        <w:rPr>
          <w:rFonts w:hAnsi="黑体" w:eastAsia="黑体"/>
        </w:rPr>
        <w:t>项目“三废”情况统计一览表</w:t>
      </w:r>
    </w:p>
    <w:tbl>
      <w:tblPr>
        <w:tblStyle w:val="60"/>
        <w:tblW w:w="95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71"/>
        <w:gridCol w:w="672"/>
        <w:gridCol w:w="1145"/>
        <w:gridCol w:w="850"/>
        <w:gridCol w:w="4199"/>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9" w:type="dxa"/>
            <w:gridSpan w:val="3"/>
            <w:vAlign w:val="center"/>
          </w:tcPr>
          <w:p>
            <w:pPr>
              <w:jc w:val="center"/>
              <w:rPr>
                <w:kern w:val="0"/>
                <w:sz w:val="21"/>
                <w:szCs w:val="21"/>
              </w:rPr>
            </w:pPr>
            <w:r>
              <w:rPr>
                <w:rFonts w:hint="eastAsia"/>
                <w:kern w:val="0"/>
                <w:sz w:val="21"/>
                <w:szCs w:val="21"/>
              </w:rPr>
              <w:t>污染源</w:t>
            </w:r>
          </w:p>
        </w:tc>
        <w:tc>
          <w:tcPr>
            <w:tcW w:w="1145" w:type="dxa"/>
            <w:vAlign w:val="center"/>
          </w:tcPr>
          <w:p>
            <w:pPr>
              <w:jc w:val="center"/>
              <w:rPr>
                <w:kern w:val="0"/>
                <w:sz w:val="21"/>
                <w:szCs w:val="21"/>
              </w:rPr>
            </w:pPr>
            <w:r>
              <w:rPr>
                <w:rFonts w:hint="eastAsia"/>
                <w:kern w:val="0"/>
                <w:sz w:val="21"/>
                <w:szCs w:val="21"/>
              </w:rPr>
              <w:t>主要污染物</w:t>
            </w:r>
          </w:p>
        </w:tc>
        <w:tc>
          <w:tcPr>
            <w:tcW w:w="850" w:type="dxa"/>
            <w:vAlign w:val="center"/>
          </w:tcPr>
          <w:p>
            <w:pPr>
              <w:jc w:val="center"/>
              <w:rPr>
                <w:kern w:val="0"/>
                <w:sz w:val="21"/>
                <w:szCs w:val="21"/>
              </w:rPr>
            </w:pPr>
            <w:r>
              <w:rPr>
                <w:rFonts w:hint="eastAsia"/>
                <w:kern w:val="0"/>
                <w:sz w:val="21"/>
                <w:szCs w:val="21"/>
              </w:rPr>
              <w:t>产生量（t/a）</w:t>
            </w:r>
          </w:p>
        </w:tc>
        <w:tc>
          <w:tcPr>
            <w:tcW w:w="4199" w:type="dxa"/>
            <w:vAlign w:val="center"/>
          </w:tcPr>
          <w:p>
            <w:pPr>
              <w:jc w:val="center"/>
              <w:rPr>
                <w:kern w:val="0"/>
                <w:sz w:val="21"/>
                <w:szCs w:val="21"/>
              </w:rPr>
            </w:pPr>
            <w:r>
              <w:rPr>
                <w:rFonts w:hint="eastAsia"/>
                <w:kern w:val="0"/>
                <w:sz w:val="21"/>
                <w:szCs w:val="21"/>
              </w:rPr>
              <w:t>处置措施</w:t>
            </w:r>
          </w:p>
        </w:tc>
        <w:tc>
          <w:tcPr>
            <w:tcW w:w="992" w:type="dxa"/>
            <w:vAlign w:val="center"/>
          </w:tcPr>
          <w:p>
            <w:pPr>
              <w:jc w:val="center"/>
              <w:rPr>
                <w:kern w:val="0"/>
                <w:sz w:val="21"/>
                <w:szCs w:val="21"/>
              </w:rPr>
            </w:pPr>
            <w:r>
              <w:rPr>
                <w:rFonts w:hint="eastAsia"/>
                <w:kern w:val="0"/>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kern w:val="0"/>
                <w:sz w:val="21"/>
                <w:szCs w:val="21"/>
              </w:rPr>
            </w:pPr>
            <w:r>
              <w:rPr>
                <w:rFonts w:hint="eastAsia"/>
                <w:kern w:val="0"/>
                <w:sz w:val="21"/>
                <w:szCs w:val="21"/>
              </w:rPr>
              <w:t>废气</w:t>
            </w:r>
          </w:p>
        </w:tc>
        <w:tc>
          <w:tcPr>
            <w:tcW w:w="1271" w:type="dxa"/>
            <w:vAlign w:val="center"/>
          </w:tcPr>
          <w:p>
            <w:pPr>
              <w:jc w:val="center"/>
              <w:rPr>
                <w:bCs/>
                <w:kern w:val="0"/>
                <w:sz w:val="21"/>
                <w:szCs w:val="21"/>
              </w:rPr>
            </w:pPr>
            <w:r>
              <w:rPr>
                <w:rFonts w:hint="eastAsia"/>
                <w:bCs/>
                <w:kern w:val="0"/>
                <w:sz w:val="21"/>
                <w:szCs w:val="21"/>
              </w:rPr>
              <w:t>废旧滴灌带造粒</w:t>
            </w:r>
          </w:p>
        </w:tc>
        <w:tc>
          <w:tcPr>
            <w:tcW w:w="672" w:type="dxa"/>
            <w:vMerge w:val="restart"/>
            <w:vAlign w:val="center"/>
          </w:tcPr>
          <w:p>
            <w:pPr>
              <w:jc w:val="center"/>
              <w:rPr>
                <w:bCs/>
                <w:kern w:val="0"/>
                <w:sz w:val="21"/>
                <w:szCs w:val="21"/>
              </w:rPr>
            </w:pPr>
            <w:r>
              <w:rPr>
                <w:rFonts w:hint="eastAsia"/>
                <w:bCs/>
                <w:kern w:val="0"/>
                <w:sz w:val="21"/>
                <w:szCs w:val="21"/>
              </w:rPr>
              <w:t>有组织</w:t>
            </w:r>
          </w:p>
        </w:tc>
        <w:tc>
          <w:tcPr>
            <w:tcW w:w="1145" w:type="dxa"/>
            <w:vMerge w:val="restart"/>
            <w:vAlign w:val="center"/>
          </w:tcPr>
          <w:p>
            <w:pPr>
              <w:jc w:val="center"/>
              <w:rPr>
                <w:bCs/>
                <w:kern w:val="0"/>
                <w:sz w:val="21"/>
                <w:szCs w:val="21"/>
              </w:rPr>
            </w:pPr>
            <w:r>
              <w:rPr>
                <w:rFonts w:hint="eastAsia"/>
                <w:bCs/>
                <w:kern w:val="0"/>
                <w:sz w:val="21"/>
                <w:szCs w:val="21"/>
              </w:rPr>
              <w:t>颗粒物</w:t>
            </w:r>
          </w:p>
        </w:tc>
        <w:tc>
          <w:tcPr>
            <w:tcW w:w="850" w:type="dxa"/>
            <w:vAlign w:val="center"/>
          </w:tcPr>
          <w:p>
            <w:pPr>
              <w:jc w:val="center"/>
              <w:rPr>
                <w:bCs/>
                <w:kern w:val="0"/>
                <w:sz w:val="21"/>
                <w:szCs w:val="21"/>
              </w:rPr>
            </w:pPr>
            <w:r>
              <w:rPr>
                <w:rFonts w:hint="eastAsia"/>
                <w:bCs/>
                <w:kern w:val="0"/>
                <w:sz w:val="21"/>
                <w:szCs w:val="21"/>
              </w:rPr>
              <w:t>1.18</w:t>
            </w:r>
          </w:p>
        </w:tc>
        <w:tc>
          <w:tcPr>
            <w:tcW w:w="4199" w:type="dxa"/>
            <w:vMerge w:val="restart"/>
            <w:vAlign w:val="center"/>
          </w:tcPr>
          <w:p>
            <w:pPr>
              <w:jc w:val="center"/>
              <w:rPr>
                <w:bCs/>
                <w:kern w:val="0"/>
                <w:sz w:val="21"/>
                <w:szCs w:val="21"/>
              </w:rPr>
            </w:pPr>
            <w:r>
              <w:rPr>
                <w:rFonts w:hint="eastAsia"/>
                <w:bCs/>
                <w:kern w:val="0"/>
                <w:sz w:val="21"/>
                <w:szCs w:val="21"/>
              </w:rPr>
              <w:t>每台造粒机及挤出机上方分别设置1个集气罩（共设置15个集气罩），设置引风机将有机废气引至车间外设置的一套活性炭吸附+催化燃烧（CO）处置措施处置后通过1根15m高排气筒外排</w:t>
            </w:r>
          </w:p>
        </w:tc>
        <w:tc>
          <w:tcPr>
            <w:tcW w:w="992" w:type="dxa"/>
            <w:vMerge w:val="restart"/>
            <w:vAlign w:val="center"/>
          </w:tcPr>
          <w:p>
            <w:pPr>
              <w:jc w:val="center"/>
              <w:rPr>
                <w:bCs/>
                <w:kern w:val="0"/>
                <w:sz w:val="21"/>
                <w:szCs w:val="21"/>
              </w:rPr>
            </w:pPr>
            <w:r>
              <w:rPr>
                <w:rFonts w:hint="eastAsia"/>
                <w:bCs/>
                <w:kern w:val="0"/>
                <w:sz w:val="21"/>
                <w:szCs w:val="21"/>
              </w:rPr>
              <w: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滴灌带生产</w:t>
            </w:r>
          </w:p>
        </w:tc>
        <w:tc>
          <w:tcPr>
            <w:tcW w:w="672" w:type="dxa"/>
            <w:vMerge w:val="continue"/>
            <w:vAlign w:val="center"/>
          </w:tcPr>
          <w:p>
            <w:pPr>
              <w:jc w:val="center"/>
              <w:rPr>
                <w:bCs/>
                <w:kern w:val="0"/>
                <w:sz w:val="21"/>
                <w:szCs w:val="21"/>
              </w:rPr>
            </w:pPr>
          </w:p>
        </w:tc>
        <w:tc>
          <w:tcPr>
            <w:tcW w:w="1145" w:type="dxa"/>
            <w:vMerge w:val="continue"/>
            <w:vAlign w:val="center"/>
          </w:tcPr>
          <w:p>
            <w:pPr>
              <w:jc w:val="center"/>
              <w:rPr>
                <w:bCs/>
                <w:kern w:val="0"/>
                <w:sz w:val="21"/>
                <w:szCs w:val="21"/>
              </w:rPr>
            </w:pPr>
          </w:p>
        </w:tc>
        <w:tc>
          <w:tcPr>
            <w:tcW w:w="850" w:type="dxa"/>
            <w:vAlign w:val="center"/>
          </w:tcPr>
          <w:p>
            <w:pPr>
              <w:jc w:val="center"/>
              <w:rPr>
                <w:bCs/>
                <w:kern w:val="0"/>
                <w:sz w:val="21"/>
                <w:szCs w:val="21"/>
              </w:rPr>
            </w:pPr>
            <w:r>
              <w:rPr>
                <w:rFonts w:hint="eastAsia"/>
                <w:bCs/>
                <w:kern w:val="0"/>
                <w:sz w:val="21"/>
                <w:szCs w:val="21"/>
              </w:rPr>
              <w:t>5.40</w:t>
            </w:r>
          </w:p>
        </w:tc>
        <w:tc>
          <w:tcPr>
            <w:tcW w:w="4199" w:type="dxa"/>
            <w:vMerge w:val="continue"/>
            <w:vAlign w:val="center"/>
          </w:tcPr>
          <w:p>
            <w:pPr>
              <w:jc w:val="center"/>
              <w:rPr>
                <w:bCs/>
                <w:kern w:val="0"/>
                <w:sz w:val="21"/>
                <w:szCs w:val="21"/>
              </w:rPr>
            </w:pPr>
          </w:p>
        </w:tc>
        <w:tc>
          <w:tcPr>
            <w:tcW w:w="992"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废旧塑料膜造粒</w:t>
            </w:r>
          </w:p>
        </w:tc>
        <w:tc>
          <w:tcPr>
            <w:tcW w:w="672" w:type="dxa"/>
            <w:vMerge w:val="restart"/>
            <w:vAlign w:val="center"/>
          </w:tcPr>
          <w:p>
            <w:pPr>
              <w:jc w:val="center"/>
              <w:rPr>
                <w:bCs/>
                <w:kern w:val="0"/>
                <w:sz w:val="21"/>
                <w:szCs w:val="21"/>
              </w:rPr>
            </w:pPr>
            <w:r>
              <w:rPr>
                <w:rFonts w:hint="eastAsia"/>
                <w:bCs/>
                <w:kern w:val="0"/>
                <w:sz w:val="21"/>
                <w:szCs w:val="21"/>
              </w:rPr>
              <w:t>有组织</w:t>
            </w:r>
          </w:p>
        </w:tc>
        <w:tc>
          <w:tcPr>
            <w:tcW w:w="1145" w:type="dxa"/>
            <w:vMerge w:val="restart"/>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0.37</w:t>
            </w:r>
          </w:p>
        </w:tc>
        <w:tc>
          <w:tcPr>
            <w:tcW w:w="4199" w:type="dxa"/>
            <w:vMerge w:val="restart"/>
            <w:vAlign w:val="center"/>
          </w:tcPr>
          <w:p>
            <w:pPr>
              <w:jc w:val="center"/>
              <w:rPr>
                <w:bCs/>
                <w:kern w:val="0"/>
                <w:sz w:val="21"/>
                <w:szCs w:val="21"/>
              </w:rPr>
            </w:pPr>
            <w:r>
              <w:rPr>
                <w:rFonts w:hint="eastAsia"/>
                <w:bCs/>
                <w:kern w:val="0"/>
                <w:sz w:val="21"/>
                <w:szCs w:val="21"/>
              </w:rPr>
              <w:t>每台熔融挤出机及造粒机上方分别设置</w:t>
            </w:r>
            <w:r>
              <w:rPr>
                <w:bCs/>
                <w:kern w:val="0"/>
                <w:sz w:val="21"/>
                <w:szCs w:val="21"/>
              </w:rPr>
              <w:t>1</w:t>
            </w:r>
            <w:r>
              <w:rPr>
                <w:rFonts w:hint="eastAsia"/>
                <w:bCs/>
                <w:kern w:val="0"/>
                <w:sz w:val="21"/>
                <w:szCs w:val="21"/>
              </w:rPr>
              <w:t>个集气罩（共设置9个集气罩），设置引风机将收集废气引至车间外设置的一套活性炭吸附+催化燃烧（CO）措施处置后通过1根15m高排气筒外排</w:t>
            </w:r>
          </w:p>
        </w:tc>
        <w:tc>
          <w:tcPr>
            <w:tcW w:w="992" w:type="dxa"/>
            <w:vMerge w:val="restart"/>
            <w:vAlign w:val="center"/>
          </w:tcPr>
          <w:p>
            <w:pPr>
              <w:jc w:val="center"/>
              <w:rPr>
                <w:bCs/>
                <w:kern w:val="0"/>
                <w:sz w:val="21"/>
                <w:szCs w:val="21"/>
              </w:rPr>
            </w:pPr>
            <w:r>
              <w:rPr>
                <w:rFonts w:hint="eastAsia"/>
                <w:bCs/>
                <w:kern w:val="0"/>
                <w:sz w:val="21"/>
                <w:szCs w:val="2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PE</w:t>
            </w:r>
            <w:r>
              <w:rPr>
                <w:bCs/>
                <w:kern w:val="0"/>
                <w:sz w:val="21"/>
                <w:szCs w:val="21"/>
              </w:rPr>
              <w:t>管熔融挤出</w:t>
            </w:r>
          </w:p>
        </w:tc>
        <w:tc>
          <w:tcPr>
            <w:tcW w:w="672" w:type="dxa"/>
            <w:vMerge w:val="continue"/>
            <w:vAlign w:val="center"/>
          </w:tcPr>
          <w:p>
            <w:pPr>
              <w:jc w:val="center"/>
              <w:rPr>
                <w:bCs/>
                <w:kern w:val="0"/>
                <w:sz w:val="21"/>
                <w:szCs w:val="21"/>
              </w:rPr>
            </w:pPr>
          </w:p>
        </w:tc>
        <w:tc>
          <w:tcPr>
            <w:tcW w:w="1145" w:type="dxa"/>
            <w:vMerge w:val="continue"/>
            <w:vAlign w:val="center"/>
          </w:tcPr>
          <w:p>
            <w:pPr>
              <w:jc w:val="center"/>
              <w:rPr>
                <w:bCs/>
                <w:kern w:val="0"/>
                <w:sz w:val="21"/>
                <w:szCs w:val="21"/>
              </w:rPr>
            </w:pPr>
          </w:p>
        </w:tc>
        <w:tc>
          <w:tcPr>
            <w:tcW w:w="850" w:type="dxa"/>
            <w:vAlign w:val="center"/>
          </w:tcPr>
          <w:p>
            <w:pPr>
              <w:jc w:val="center"/>
              <w:rPr>
                <w:bCs/>
                <w:kern w:val="0"/>
                <w:sz w:val="21"/>
                <w:szCs w:val="21"/>
              </w:rPr>
            </w:pPr>
            <w:r>
              <w:rPr>
                <w:rFonts w:hint="eastAsia"/>
                <w:bCs/>
                <w:kern w:val="0"/>
                <w:sz w:val="21"/>
                <w:szCs w:val="21"/>
              </w:rPr>
              <w:t>3.38</w:t>
            </w:r>
          </w:p>
        </w:tc>
        <w:tc>
          <w:tcPr>
            <w:tcW w:w="4199" w:type="dxa"/>
            <w:vMerge w:val="continue"/>
            <w:vAlign w:val="center"/>
          </w:tcPr>
          <w:p>
            <w:pPr>
              <w:jc w:val="center"/>
              <w:rPr>
                <w:bCs/>
                <w:kern w:val="0"/>
                <w:sz w:val="21"/>
                <w:szCs w:val="21"/>
              </w:rPr>
            </w:pPr>
          </w:p>
        </w:tc>
        <w:tc>
          <w:tcPr>
            <w:tcW w:w="992" w:type="dxa"/>
            <w:vMerge w:val="continue"/>
            <w:vAlign w:val="center"/>
          </w:tcPr>
          <w:p>
            <w:pPr>
              <w:jc w:val="center"/>
              <w:rPr>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废旧滴灌带、塑料</w:t>
            </w:r>
            <w:r>
              <w:rPr>
                <w:bCs/>
                <w:kern w:val="0"/>
                <w:sz w:val="21"/>
                <w:szCs w:val="21"/>
              </w:rPr>
              <w:t>膜</w:t>
            </w:r>
            <w:r>
              <w:rPr>
                <w:rFonts w:hint="eastAsia"/>
                <w:bCs/>
                <w:kern w:val="0"/>
                <w:sz w:val="21"/>
                <w:szCs w:val="21"/>
              </w:rPr>
              <w:t>堆存</w:t>
            </w:r>
          </w:p>
        </w:tc>
        <w:tc>
          <w:tcPr>
            <w:tcW w:w="672" w:type="dxa"/>
            <w:vAlign w:val="center"/>
          </w:tcPr>
          <w:p>
            <w:pPr>
              <w:jc w:val="center"/>
              <w:rPr>
                <w:kern w:val="0"/>
                <w:sz w:val="21"/>
                <w:szCs w:val="21"/>
              </w:rPr>
            </w:pPr>
            <w:r>
              <w:rPr>
                <w:rFonts w:hint="eastAsia"/>
                <w:kern w:val="0"/>
                <w:sz w:val="21"/>
                <w:szCs w:val="21"/>
              </w:rPr>
              <w:t>无组织</w:t>
            </w:r>
          </w:p>
        </w:tc>
        <w:tc>
          <w:tcPr>
            <w:tcW w:w="1145" w:type="dxa"/>
            <w:vAlign w:val="center"/>
          </w:tcPr>
          <w:p>
            <w:pPr>
              <w:jc w:val="center"/>
              <w:rPr>
                <w:bCs/>
                <w:kern w:val="0"/>
                <w:sz w:val="21"/>
                <w:szCs w:val="21"/>
              </w:rPr>
            </w:pPr>
            <w:r>
              <w:rPr>
                <w:rFonts w:hint="eastAsia"/>
                <w:bCs/>
                <w:kern w:val="0"/>
                <w:sz w:val="21"/>
                <w:szCs w:val="21"/>
              </w:rPr>
              <w:t>颗粒物</w:t>
            </w:r>
          </w:p>
        </w:tc>
        <w:tc>
          <w:tcPr>
            <w:tcW w:w="850" w:type="dxa"/>
            <w:vAlign w:val="center"/>
          </w:tcPr>
          <w:p>
            <w:pPr>
              <w:jc w:val="center"/>
              <w:rPr>
                <w:bCs/>
                <w:kern w:val="0"/>
                <w:sz w:val="21"/>
                <w:szCs w:val="21"/>
              </w:rPr>
            </w:pPr>
            <w:r>
              <w:rPr>
                <w:rFonts w:hint="eastAsia"/>
                <w:bCs/>
                <w:kern w:val="0"/>
                <w:sz w:val="21"/>
                <w:szCs w:val="21"/>
              </w:rPr>
              <w:t>少量</w:t>
            </w:r>
          </w:p>
        </w:tc>
        <w:tc>
          <w:tcPr>
            <w:tcW w:w="4199" w:type="dxa"/>
            <w:vAlign w:val="center"/>
          </w:tcPr>
          <w:p>
            <w:pPr>
              <w:jc w:val="center"/>
              <w:rPr>
                <w:bCs/>
                <w:kern w:val="0"/>
                <w:sz w:val="21"/>
                <w:szCs w:val="21"/>
              </w:rPr>
            </w:pPr>
            <w:r>
              <w:rPr>
                <w:rFonts w:hint="eastAsia"/>
                <w:bCs/>
                <w:kern w:val="0"/>
                <w:sz w:val="21"/>
                <w:szCs w:val="21"/>
              </w:rPr>
              <w:t>设置封闭式原料库房</w:t>
            </w:r>
          </w:p>
        </w:tc>
        <w:tc>
          <w:tcPr>
            <w:tcW w:w="992" w:type="dxa"/>
            <w:vAlign w:val="center"/>
          </w:tcPr>
          <w:p>
            <w:pPr>
              <w:jc w:val="center"/>
              <w:rPr>
                <w:bCs/>
                <w:kern w:val="0"/>
                <w:sz w:val="21"/>
                <w:szCs w:val="21"/>
              </w:rPr>
            </w:pPr>
            <w:r>
              <w:rPr>
                <w:rFonts w:hint="eastAsia"/>
                <w:bCs/>
                <w:kern w:val="0"/>
                <w:sz w:val="21"/>
                <w:szCs w:val="21"/>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滴灌带生产均料器</w:t>
            </w:r>
          </w:p>
        </w:tc>
        <w:tc>
          <w:tcPr>
            <w:tcW w:w="672" w:type="dxa"/>
            <w:vAlign w:val="center"/>
          </w:tcPr>
          <w:p>
            <w:pPr>
              <w:jc w:val="center"/>
              <w:rPr>
                <w:kern w:val="0"/>
                <w:sz w:val="21"/>
                <w:szCs w:val="21"/>
              </w:rPr>
            </w:pPr>
            <w:r>
              <w:rPr>
                <w:rFonts w:hint="eastAsia"/>
                <w:kern w:val="0"/>
                <w:sz w:val="21"/>
                <w:szCs w:val="21"/>
              </w:rPr>
              <w:t>无组织</w:t>
            </w:r>
          </w:p>
        </w:tc>
        <w:tc>
          <w:tcPr>
            <w:tcW w:w="1145" w:type="dxa"/>
            <w:vAlign w:val="center"/>
          </w:tcPr>
          <w:p>
            <w:pPr>
              <w:jc w:val="center"/>
              <w:rPr>
                <w:bCs/>
                <w:kern w:val="0"/>
                <w:sz w:val="21"/>
                <w:szCs w:val="21"/>
              </w:rPr>
            </w:pPr>
            <w:r>
              <w:rPr>
                <w:rFonts w:hint="eastAsia"/>
                <w:bCs/>
                <w:kern w:val="0"/>
                <w:sz w:val="21"/>
                <w:szCs w:val="21"/>
              </w:rPr>
              <w:t>颗粒物</w:t>
            </w:r>
          </w:p>
        </w:tc>
        <w:tc>
          <w:tcPr>
            <w:tcW w:w="850" w:type="dxa"/>
            <w:vAlign w:val="center"/>
          </w:tcPr>
          <w:p>
            <w:pPr>
              <w:jc w:val="center"/>
              <w:rPr>
                <w:bCs/>
                <w:kern w:val="0"/>
                <w:sz w:val="21"/>
                <w:szCs w:val="21"/>
              </w:rPr>
            </w:pPr>
            <w:r>
              <w:rPr>
                <w:rFonts w:hint="eastAsia"/>
                <w:bCs/>
                <w:kern w:val="0"/>
                <w:sz w:val="21"/>
                <w:szCs w:val="21"/>
              </w:rPr>
              <w:t>少量</w:t>
            </w:r>
          </w:p>
        </w:tc>
        <w:tc>
          <w:tcPr>
            <w:tcW w:w="4199" w:type="dxa"/>
            <w:vAlign w:val="center"/>
          </w:tcPr>
          <w:p>
            <w:pPr>
              <w:jc w:val="center"/>
              <w:rPr>
                <w:bCs/>
                <w:kern w:val="0"/>
                <w:sz w:val="21"/>
                <w:szCs w:val="21"/>
              </w:rPr>
            </w:pPr>
            <w:r>
              <w:rPr>
                <w:rFonts w:hint="eastAsia"/>
                <w:bCs/>
                <w:kern w:val="0"/>
                <w:sz w:val="21"/>
                <w:szCs w:val="21"/>
              </w:rPr>
              <w:t>加强车间通风</w:t>
            </w:r>
          </w:p>
        </w:tc>
        <w:tc>
          <w:tcPr>
            <w:tcW w:w="992" w:type="dxa"/>
            <w:vAlign w:val="center"/>
          </w:tcPr>
          <w:p>
            <w:pPr>
              <w:jc w:val="center"/>
              <w:rPr>
                <w:bCs/>
                <w:kern w:val="0"/>
                <w:sz w:val="21"/>
                <w:szCs w:val="21"/>
              </w:rPr>
            </w:pPr>
            <w:r>
              <w:rPr>
                <w:rFonts w:hint="eastAsia"/>
                <w:bCs/>
                <w:kern w:val="0"/>
                <w:sz w:val="21"/>
                <w:szCs w:val="21"/>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PE管生产均料器</w:t>
            </w:r>
          </w:p>
        </w:tc>
        <w:tc>
          <w:tcPr>
            <w:tcW w:w="672" w:type="dxa"/>
            <w:vAlign w:val="center"/>
          </w:tcPr>
          <w:p>
            <w:pPr>
              <w:jc w:val="center"/>
              <w:rPr>
                <w:kern w:val="0"/>
                <w:sz w:val="21"/>
                <w:szCs w:val="21"/>
              </w:rPr>
            </w:pPr>
            <w:r>
              <w:rPr>
                <w:rFonts w:hint="eastAsia"/>
                <w:kern w:val="0"/>
                <w:sz w:val="21"/>
                <w:szCs w:val="21"/>
              </w:rPr>
              <w:t>无组织</w:t>
            </w:r>
          </w:p>
        </w:tc>
        <w:tc>
          <w:tcPr>
            <w:tcW w:w="1145" w:type="dxa"/>
            <w:vAlign w:val="center"/>
          </w:tcPr>
          <w:p>
            <w:pPr>
              <w:jc w:val="center"/>
              <w:rPr>
                <w:bCs/>
                <w:kern w:val="0"/>
                <w:sz w:val="21"/>
                <w:szCs w:val="21"/>
              </w:rPr>
            </w:pPr>
            <w:r>
              <w:rPr>
                <w:rFonts w:hint="eastAsia"/>
                <w:bCs/>
                <w:kern w:val="0"/>
                <w:sz w:val="21"/>
                <w:szCs w:val="21"/>
              </w:rPr>
              <w:t>颗粒物</w:t>
            </w:r>
          </w:p>
        </w:tc>
        <w:tc>
          <w:tcPr>
            <w:tcW w:w="850" w:type="dxa"/>
            <w:vAlign w:val="center"/>
          </w:tcPr>
          <w:p>
            <w:pPr>
              <w:jc w:val="center"/>
              <w:rPr>
                <w:bCs/>
                <w:kern w:val="0"/>
                <w:sz w:val="21"/>
                <w:szCs w:val="21"/>
              </w:rPr>
            </w:pPr>
            <w:r>
              <w:rPr>
                <w:rFonts w:hint="eastAsia"/>
                <w:bCs/>
                <w:kern w:val="0"/>
                <w:sz w:val="21"/>
                <w:szCs w:val="21"/>
              </w:rPr>
              <w:t>少量</w:t>
            </w:r>
          </w:p>
        </w:tc>
        <w:tc>
          <w:tcPr>
            <w:tcW w:w="4199" w:type="dxa"/>
            <w:vAlign w:val="center"/>
          </w:tcPr>
          <w:p>
            <w:pPr>
              <w:jc w:val="center"/>
              <w:rPr>
                <w:bCs/>
                <w:kern w:val="0"/>
                <w:sz w:val="21"/>
                <w:szCs w:val="21"/>
              </w:rPr>
            </w:pPr>
            <w:r>
              <w:rPr>
                <w:rFonts w:hint="eastAsia"/>
                <w:bCs/>
                <w:kern w:val="0"/>
                <w:sz w:val="21"/>
                <w:szCs w:val="21"/>
              </w:rPr>
              <w:t>加强车间通风</w:t>
            </w:r>
          </w:p>
        </w:tc>
        <w:tc>
          <w:tcPr>
            <w:tcW w:w="992" w:type="dxa"/>
            <w:vAlign w:val="center"/>
          </w:tcPr>
          <w:p>
            <w:pPr>
              <w:jc w:val="center"/>
              <w:rPr>
                <w:bCs/>
                <w:kern w:val="0"/>
                <w:sz w:val="21"/>
                <w:szCs w:val="21"/>
              </w:rPr>
            </w:pPr>
            <w:r>
              <w:rPr>
                <w:rFonts w:hint="eastAsia"/>
                <w:bCs/>
                <w:kern w:val="0"/>
                <w:sz w:val="21"/>
                <w:szCs w:val="21"/>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废旧滴灌带造粒及滴灌带生产车间</w:t>
            </w:r>
          </w:p>
        </w:tc>
        <w:tc>
          <w:tcPr>
            <w:tcW w:w="672" w:type="dxa"/>
            <w:vAlign w:val="center"/>
          </w:tcPr>
          <w:p>
            <w:pPr>
              <w:jc w:val="center"/>
              <w:rPr>
                <w:kern w:val="0"/>
                <w:sz w:val="21"/>
                <w:szCs w:val="21"/>
              </w:rPr>
            </w:pPr>
            <w:r>
              <w:rPr>
                <w:rFonts w:hint="eastAsia"/>
                <w:kern w:val="0"/>
                <w:sz w:val="21"/>
                <w:szCs w:val="21"/>
              </w:rPr>
              <w:t>无组织</w:t>
            </w:r>
          </w:p>
        </w:tc>
        <w:tc>
          <w:tcPr>
            <w:tcW w:w="1145" w:type="dxa"/>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0.73</w:t>
            </w:r>
          </w:p>
        </w:tc>
        <w:tc>
          <w:tcPr>
            <w:tcW w:w="4199" w:type="dxa"/>
            <w:vAlign w:val="center"/>
          </w:tcPr>
          <w:p>
            <w:pPr>
              <w:jc w:val="center"/>
              <w:rPr>
                <w:bCs/>
                <w:kern w:val="0"/>
                <w:sz w:val="21"/>
                <w:szCs w:val="21"/>
              </w:rPr>
            </w:pPr>
            <w:r>
              <w:rPr>
                <w:rFonts w:hint="eastAsia"/>
                <w:bCs/>
                <w:kern w:val="0"/>
                <w:sz w:val="21"/>
                <w:szCs w:val="21"/>
              </w:rPr>
              <w:t>加强车间通风</w:t>
            </w:r>
          </w:p>
        </w:tc>
        <w:tc>
          <w:tcPr>
            <w:tcW w:w="992" w:type="dxa"/>
            <w:vAlign w:val="center"/>
          </w:tcPr>
          <w:p>
            <w:pPr>
              <w:jc w:val="center"/>
              <w:rPr>
                <w:bCs/>
                <w:kern w:val="0"/>
                <w:sz w:val="21"/>
                <w:szCs w:val="21"/>
              </w:rPr>
            </w:pPr>
            <w:r>
              <w:rPr>
                <w:rFonts w:hint="eastAsia"/>
                <w:bCs/>
                <w:kern w:val="0"/>
                <w:sz w:val="21"/>
                <w:szCs w:val="21"/>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271" w:type="dxa"/>
            <w:vAlign w:val="center"/>
          </w:tcPr>
          <w:p>
            <w:pPr>
              <w:jc w:val="center"/>
              <w:rPr>
                <w:bCs/>
                <w:kern w:val="0"/>
                <w:sz w:val="21"/>
                <w:szCs w:val="21"/>
              </w:rPr>
            </w:pPr>
            <w:r>
              <w:rPr>
                <w:rFonts w:hint="eastAsia"/>
                <w:bCs/>
                <w:kern w:val="0"/>
                <w:sz w:val="21"/>
                <w:szCs w:val="21"/>
              </w:rPr>
              <w:t>废旧塑料膜造粒及PE管生产车间</w:t>
            </w:r>
          </w:p>
        </w:tc>
        <w:tc>
          <w:tcPr>
            <w:tcW w:w="672" w:type="dxa"/>
            <w:vAlign w:val="center"/>
          </w:tcPr>
          <w:p>
            <w:pPr>
              <w:jc w:val="center"/>
              <w:rPr>
                <w:kern w:val="0"/>
                <w:sz w:val="21"/>
                <w:szCs w:val="21"/>
              </w:rPr>
            </w:pPr>
            <w:r>
              <w:rPr>
                <w:rFonts w:hint="eastAsia"/>
                <w:kern w:val="0"/>
                <w:sz w:val="21"/>
                <w:szCs w:val="21"/>
              </w:rPr>
              <w:t>无组织</w:t>
            </w:r>
          </w:p>
        </w:tc>
        <w:tc>
          <w:tcPr>
            <w:tcW w:w="1145" w:type="dxa"/>
            <w:vAlign w:val="center"/>
          </w:tcPr>
          <w:p>
            <w:pPr>
              <w:jc w:val="center"/>
              <w:rPr>
                <w:bCs/>
                <w:kern w:val="0"/>
                <w:sz w:val="21"/>
                <w:szCs w:val="21"/>
              </w:rPr>
            </w:pPr>
            <w:r>
              <w:rPr>
                <w:rFonts w:hint="eastAsia"/>
                <w:bCs/>
                <w:kern w:val="0"/>
                <w:sz w:val="21"/>
                <w:szCs w:val="21"/>
              </w:rPr>
              <w:t>非甲烷总烃</w:t>
            </w:r>
          </w:p>
        </w:tc>
        <w:tc>
          <w:tcPr>
            <w:tcW w:w="850" w:type="dxa"/>
            <w:vAlign w:val="center"/>
          </w:tcPr>
          <w:p>
            <w:pPr>
              <w:jc w:val="center"/>
              <w:rPr>
                <w:bCs/>
                <w:kern w:val="0"/>
                <w:sz w:val="21"/>
                <w:szCs w:val="21"/>
              </w:rPr>
            </w:pPr>
            <w:r>
              <w:rPr>
                <w:rFonts w:hint="eastAsia"/>
                <w:bCs/>
                <w:kern w:val="0"/>
                <w:sz w:val="21"/>
                <w:szCs w:val="21"/>
              </w:rPr>
              <w:t>0.41</w:t>
            </w:r>
          </w:p>
        </w:tc>
        <w:tc>
          <w:tcPr>
            <w:tcW w:w="4199" w:type="dxa"/>
            <w:vAlign w:val="center"/>
          </w:tcPr>
          <w:p>
            <w:pPr>
              <w:jc w:val="center"/>
              <w:rPr>
                <w:bCs/>
                <w:kern w:val="0"/>
                <w:sz w:val="21"/>
                <w:szCs w:val="21"/>
              </w:rPr>
            </w:pPr>
            <w:r>
              <w:rPr>
                <w:rFonts w:hint="eastAsia"/>
                <w:bCs/>
                <w:kern w:val="0"/>
                <w:sz w:val="21"/>
                <w:szCs w:val="21"/>
              </w:rPr>
              <w:t>加强车间通风</w:t>
            </w:r>
          </w:p>
        </w:tc>
        <w:tc>
          <w:tcPr>
            <w:tcW w:w="992" w:type="dxa"/>
            <w:vAlign w:val="center"/>
          </w:tcPr>
          <w:p>
            <w:pPr>
              <w:jc w:val="center"/>
              <w:rPr>
                <w:bCs/>
                <w:kern w:val="0"/>
                <w:sz w:val="21"/>
                <w:szCs w:val="21"/>
              </w:rPr>
            </w:pPr>
            <w:r>
              <w:rPr>
                <w:rFonts w:hint="eastAsia"/>
                <w:bCs/>
                <w:kern w:val="0"/>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kern w:val="0"/>
                <w:sz w:val="21"/>
                <w:szCs w:val="21"/>
              </w:rPr>
            </w:pPr>
            <w:r>
              <w:rPr>
                <w:rFonts w:hint="eastAsia"/>
                <w:kern w:val="0"/>
                <w:sz w:val="21"/>
                <w:szCs w:val="21"/>
              </w:rPr>
              <w:t>废水</w:t>
            </w:r>
          </w:p>
        </w:tc>
        <w:tc>
          <w:tcPr>
            <w:tcW w:w="1943" w:type="dxa"/>
            <w:gridSpan w:val="2"/>
            <w:vAlign w:val="center"/>
          </w:tcPr>
          <w:p>
            <w:pPr>
              <w:jc w:val="center"/>
              <w:rPr>
                <w:kern w:val="0"/>
                <w:sz w:val="21"/>
                <w:szCs w:val="21"/>
              </w:rPr>
            </w:pPr>
            <w:r>
              <w:rPr>
                <w:rFonts w:hint="eastAsia"/>
                <w:kern w:val="0"/>
                <w:sz w:val="21"/>
                <w:szCs w:val="21"/>
              </w:rPr>
              <w:t>废旧滴灌带破碎喷淋及清洗工段</w:t>
            </w:r>
          </w:p>
        </w:tc>
        <w:tc>
          <w:tcPr>
            <w:tcW w:w="1145" w:type="dxa"/>
            <w:vAlign w:val="center"/>
          </w:tcPr>
          <w:p>
            <w:pPr>
              <w:jc w:val="center"/>
              <w:rPr>
                <w:kern w:val="0"/>
                <w:sz w:val="21"/>
                <w:szCs w:val="21"/>
              </w:rPr>
            </w:pPr>
            <w:r>
              <w:rPr>
                <w:rFonts w:hint="eastAsia"/>
                <w:kern w:val="0"/>
                <w:sz w:val="21"/>
                <w:szCs w:val="21"/>
              </w:rPr>
              <w:t>SS</w:t>
            </w:r>
          </w:p>
        </w:tc>
        <w:tc>
          <w:tcPr>
            <w:tcW w:w="850" w:type="dxa"/>
            <w:vAlign w:val="center"/>
          </w:tcPr>
          <w:p>
            <w:pPr>
              <w:jc w:val="center"/>
              <w:rPr>
                <w:kern w:val="0"/>
                <w:sz w:val="21"/>
                <w:szCs w:val="21"/>
              </w:rPr>
            </w:pPr>
            <w:r>
              <w:rPr>
                <w:kern w:val="0"/>
                <w:sz w:val="21"/>
                <w:szCs w:val="21"/>
              </w:rPr>
              <w:t>4000</w:t>
            </w:r>
          </w:p>
        </w:tc>
        <w:tc>
          <w:tcPr>
            <w:tcW w:w="4199" w:type="dxa"/>
            <w:vMerge w:val="restart"/>
            <w:vAlign w:val="center"/>
          </w:tcPr>
          <w:p>
            <w:pPr>
              <w:jc w:val="center"/>
              <w:rPr>
                <w:kern w:val="0"/>
                <w:sz w:val="21"/>
                <w:szCs w:val="21"/>
              </w:rPr>
            </w:pPr>
            <w:r>
              <w:rPr>
                <w:rFonts w:hint="eastAsia"/>
                <w:kern w:val="0"/>
                <w:sz w:val="21"/>
                <w:szCs w:val="21"/>
              </w:rPr>
              <w:t>经三级沉淀池沉淀后循环使用</w:t>
            </w: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废旧塑料膜破碎喷淋及清洗工段</w:t>
            </w:r>
          </w:p>
        </w:tc>
        <w:tc>
          <w:tcPr>
            <w:tcW w:w="1145" w:type="dxa"/>
            <w:vAlign w:val="center"/>
          </w:tcPr>
          <w:p>
            <w:pPr>
              <w:jc w:val="center"/>
              <w:rPr>
                <w:kern w:val="0"/>
                <w:sz w:val="21"/>
                <w:szCs w:val="21"/>
              </w:rPr>
            </w:pPr>
            <w:r>
              <w:rPr>
                <w:rFonts w:hint="eastAsia"/>
                <w:kern w:val="0"/>
                <w:sz w:val="21"/>
                <w:szCs w:val="21"/>
              </w:rPr>
              <w:t>SS</w:t>
            </w:r>
          </w:p>
        </w:tc>
        <w:tc>
          <w:tcPr>
            <w:tcW w:w="850" w:type="dxa"/>
            <w:vAlign w:val="center"/>
          </w:tcPr>
          <w:p>
            <w:pPr>
              <w:jc w:val="center"/>
              <w:rPr>
                <w:kern w:val="0"/>
                <w:sz w:val="21"/>
                <w:szCs w:val="21"/>
              </w:rPr>
            </w:pPr>
            <w:r>
              <w:rPr>
                <w:rFonts w:hint="eastAsia"/>
                <w:kern w:val="0"/>
                <w:sz w:val="21"/>
                <w:szCs w:val="21"/>
              </w:rPr>
              <w:t>11000</w:t>
            </w:r>
          </w:p>
        </w:tc>
        <w:tc>
          <w:tcPr>
            <w:tcW w:w="4199" w:type="dxa"/>
            <w:vMerge w:val="continue"/>
            <w:vAlign w:val="center"/>
          </w:tcPr>
          <w:p>
            <w:pPr>
              <w:jc w:val="center"/>
              <w:rPr>
                <w:kern w:val="0"/>
                <w:sz w:val="21"/>
                <w:szCs w:val="21"/>
              </w:rPr>
            </w:pP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废旧滴灌带再生聚乙烯颗粒冷却水</w:t>
            </w:r>
          </w:p>
        </w:tc>
        <w:tc>
          <w:tcPr>
            <w:tcW w:w="1145" w:type="dxa"/>
            <w:vAlign w:val="center"/>
          </w:tcPr>
          <w:p>
            <w:pPr>
              <w:jc w:val="center"/>
              <w:rPr>
                <w:kern w:val="0"/>
                <w:sz w:val="21"/>
                <w:szCs w:val="21"/>
              </w:rPr>
            </w:pPr>
            <w:r>
              <w:rPr>
                <w:rFonts w:hint="eastAsia"/>
                <w:kern w:val="0"/>
                <w:sz w:val="21"/>
                <w:szCs w:val="21"/>
              </w:rPr>
              <w:t>冷却循环水</w:t>
            </w:r>
          </w:p>
        </w:tc>
        <w:tc>
          <w:tcPr>
            <w:tcW w:w="850" w:type="dxa"/>
            <w:vAlign w:val="center"/>
          </w:tcPr>
          <w:p>
            <w:pPr>
              <w:jc w:val="center"/>
              <w:rPr>
                <w:kern w:val="0"/>
                <w:sz w:val="21"/>
                <w:szCs w:val="21"/>
              </w:rPr>
            </w:pPr>
            <w:r>
              <w:rPr>
                <w:rFonts w:hint="eastAsia"/>
                <w:kern w:val="0"/>
                <w:sz w:val="21"/>
                <w:szCs w:val="21"/>
              </w:rPr>
              <w:t>21600</w:t>
            </w:r>
          </w:p>
        </w:tc>
        <w:tc>
          <w:tcPr>
            <w:tcW w:w="4199" w:type="dxa"/>
            <w:vMerge w:val="restart"/>
            <w:vAlign w:val="center"/>
          </w:tcPr>
          <w:p>
            <w:pPr>
              <w:jc w:val="center"/>
              <w:rPr>
                <w:kern w:val="0"/>
                <w:sz w:val="21"/>
                <w:szCs w:val="21"/>
              </w:rPr>
            </w:pPr>
            <w:r>
              <w:rPr>
                <w:rFonts w:hint="eastAsia"/>
                <w:kern w:val="0"/>
                <w:sz w:val="21"/>
                <w:szCs w:val="21"/>
              </w:rPr>
              <w:t>经冷却后循环使用</w:t>
            </w: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废旧塑料膜再生聚乙烯颗粒冷却水</w:t>
            </w:r>
          </w:p>
        </w:tc>
        <w:tc>
          <w:tcPr>
            <w:tcW w:w="1145" w:type="dxa"/>
            <w:vAlign w:val="center"/>
          </w:tcPr>
          <w:p>
            <w:pPr>
              <w:jc w:val="center"/>
              <w:rPr>
                <w:kern w:val="0"/>
                <w:sz w:val="21"/>
                <w:szCs w:val="21"/>
              </w:rPr>
            </w:pPr>
            <w:r>
              <w:rPr>
                <w:rFonts w:hint="eastAsia"/>
                <w:kern w:val="0"/>
                <w:sz w:val="21"/>
                <w:szCs w:val="21"/>
              </w:rPr>
              <w:t>冷却循环水</w:t>
            </w:r>
          </w:p>
        </w:tc>
        <w:tc>
          <w:tcPr>
            <w:tcW w:w="850" w:type="dxa"/>
            <w:vAlign w:val="center"/>
          </w:tcPr>
          <w:p>
            <w:pPr>
              <w:jc w:val="center"/>
              <w:rPr>
                <w:kern w:val="0"/>
                <w:sz w:val="21"/>
                <w:szCs w:val="21"/>
              </w:rPr>
            </w:pPr>
            <w:r>
              <w:rPr>
                <w:rFonts w:hint="eastAsia"/>
                <w:kern w:val="0"/>
                <w:sz w:val="21"/>
                <w:szCs w:val="21"/>
              </w:rPr>
              <w:t>21600</w:t>
            </w:r>
          </w:p>
        </w:tc>
        <w:tc>
          <w:tcPr>
            <w:tcW w:w="4199" w:type="dxa"/>
            <w:vMerge w:val="continue"/>
            <w:vAlign w:val="center"/>
          </w:tcPr>
          <w:p>
            <w:pPr>
              <w:jc w:val="center"/>
              <w:rPr>
                <w:kern w:val="0"/>
                <w:sz w:val="21"/>
                <w:szCs w:val="21"/>
              </w:rPr>
            </w:pP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滴灌带生产冷却循环水</w:t>
            </w:r>
          </w:p>
        </w:tc>
        <w:tc>
          <w:tcPr>
            <w:tcW w:w="1145" w:type="dxa"/>
            <w:vAlign w:val="center"/>
          </w:tcPr>
          <w:p>
            <w:pPr>
              <w:jc w:val="center"/>
              <w:rPr>
                <w:kern w:val="0"/>
                <w:sz w:val="21"/>
                <w:szCs w:val="21"/>
              </w:rPr>
            </w:pPr>
            <w:r>
              <w:rPr>
                <w:rFonts w:hint="eastAsia"/>
                <w:kern w:val="0"/>
                <w:sz w:val="21"/>
                <w:szCs w:val="21"/>
              </w:rPr>
              <w:t>冷却循环水</w:t>
            </w:r>
          </w:p>
        </w:tc>
        <w:tc>
          <w:tcPr>
            <w:tcW w:w="850" w:type="dxa"/>
            <w:vAlign w:val="center"/>
          </w:tcPr>
          <w:p>
            <w:pPr>
              <w:jc w:val="center"/>
              <w:rPr>
                <w:kern w:val="0"/>
                <w:sz w:val="21"/>
                <w:szCs w:val="21"/>
              </w:rPr>
            </w:pPr>
            <w:r>
              <w:rPr>
                <w:rFonts w:hint="eastAsia"/>
                <w:kern w:val="0"/>
                <w:sz w:val="21"/>
                <w:szCs w:val="21"/>
              </w:rPr>
              <w:t>21600</w:t>
            </w:r>
          </w:p>
        </w:tc>
        <w:tc>
          <w:tcPr>
            <w:tcW w:w="4199" w:type="dxa"/>
            <w:vMerge w:val="continue"/>
            <w:vAlign w:val="center"/>
          </w:tcPr>
          <w:p>
            <w:pPr>
              <w:jc w:val="center"/>
              <w:rPr>
                <w:kern w:val="0"/>
                <w:sz w:val="21"/>
                <w:szCs w:val="21"/>
              </w:rPr>
            </w:pP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PE管</w:t>
            </w:r>
            <w:r>
              <w:rPr>
                <w:kern w:val="0"/>
                <w:sz w:val="21"/>
                <w:szCs w:val="21"/>
              </w:rPr>
              <w:t>生产冷却</w:t>
            </w:r>
            <w:r>
              <w:rPr>
                <w:rFonts w:hint="eastAsia"/>
                <w:kern w:val="0"/>
                <w:sz w:val="21"/>
                <w:szCs w:val="21"/>
              </w:rPr>
              <w:t>冷却</w:t>
            </w:r>
          </w:p>
        </w:tc>
        <w:tc>
          <w:tcPr>
            <w:tcW w:w="1145" w:type="dxa"/>
            <w:vAlign w:val="center"/>
          </w:tcPr>
          <w:p>
            <w:pPr>
              <w:jc w:val="center"/>
              <w:rPr>
                <w:kern w:val="0"/>
                <w:sz w:val="21"/>
                <w:szCs w:val="21"/>
              </w:rPr>
            </w:pPr>
            <w:r>
              <w:rPr>
                <w:rFonts w:hint="eastAsia"/>
                <w:kern w:val="0"/>
                <w:sz w:val="21"/>
                <w:szCs w:val="21"/>
              </w:rPr>
              <w:t>冷却循环水</w:t>
            </w:r>
          </w:p>
        </w:tc>
        <w:tc>
          <w:tcPr>
            <w:tcW w:w="850" w:type="dxa"/>
            <w:vAlign w:val="center"/>
          </w:tcPr>
          <w:p>
            <w:pPr>
              <w:jc w:val="center"/>
              <w:rPr>
                <w:kern w:val="0"/>
                <w:sz w:val="21"/>
                <w:szCs w:val="21"/>
              </w:rPr>
            </w:pPr>
            <w:r>
              <w:rPr>
                <w:rFonts w:hint="eastAsia"/>
                <w:kern w:val="0"/>
                <w:sz w:val="21"/>
                <w:szCs w:val="21"/>
              </w:rPr>
              <w:t>5400</w:t>
            </w:r>
          </w:p>
        </w:tc>
        <w:tc>
          <w:tcPr>
            <w:tcW w:w="4199" w:type="dxa"/>
            <w:vMerge w:val="continue"/>
            <w:vAlign w:val="center"/>
          </w:tcPr>
          <w:p>
            <w:pPr>
              <w:jc w:val="center"/>
              <w:rPr>
                <w:kern w:val="0"/>
                <w:sz w:val="21"/>
                <w:szCs w:val="21"/>
              </w:rPr>
            </w:pPr>
          </w:p>
        </w:tc>
        <w:tc>
          <w:tcPr>
            <w:tcW w:w="992"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生活区生活污水</w:t>
            </w:r>
          </w:p>
        </w:tc>
        <w:tc>
          <w:tcPr>
            <w:tcW w:w="1145" w:type="dxa"/>
            <w:vAlign w:val="center"/>
          </w:tcPr>
          <w:p>
            <w:pPr>
              <w:jc w:val="center"/>
              <w:rPr>
                <w:kern w:val="0"/>
                <w:sz w:val="21"/>
                <w:szCs w:val="21"/>
              </w:rPr>
            </w:pPr>
            <w:r>
              <w:rPr>
                <w:kern w:val="0"/>
                <w:sz w:val="21"/>
                <w:szCs w:val="21"/>
              </w:rPr>
              <w:t>COD</w:t>
            </w:r>
            <w:r>
              <w:rPr>
                <w:rFonts w:hint="eastAsia"/>
                <w:kern w:val="0"/>
                <w:sz w:val="21"/>
                <w:szCs w:val="21"/>
              </w:rPr>
              <w:t>、</w:t>
            </w:r>
            <w:r>
              <w:rPr>
                <w:kern w:val="0"/>
                <w:sz w:val="21"/>
                <w:szCs w:val="21"/>
              </w:rPr>
              <w:t>BOD</w:t>
            </w:r>
            <w:r>
              <w:rPr>
                <w:kern w:val="0"/>
                <w:sz w:val="21"/>
                <w:szCs w:val="21"/>
                <w:vertAlign w:val="subscript"/>
              </w:rPr>
              <w:t>5</w:t>
            </w:r>
            <w:r>
              <w:rPr>
                <w:rFonts w:hint="eastAsia"/>
                <w:kern w:val="0"/>
                <w:sz w:val="21"/>
                <w:szCs w:val="21"/>
              </w:rPr>
              <w:t>、</w:t>
            </w:r>
            <w:r>
              <w:rPr>
                <w:kern w:val="0"/>
                <w:sz w:val="21"/>
                <w:szCs w:val="21"/>
              </w:rPr>
              <w:t>SS</w:t>
            </w:r>
            <w:r>
              <w:rPr>
                <w:rFonts w:hint="eastAsia"/>
                <w:kern w:val="0"/>
                <w:sz w:val="21"/>
                <w:szCs w:val="21"/>
              </w:rPr>
              <w:t>和氨氮</w:t>
            </w:r>
          </w:p>
        </w:tc>
        <w:tc>
          <w:tcPr>
            <w:tcW w:w="850" w:type="dxa"/>
            <w:vAlign w:val="center"/>
          </w:tcPr>
          <w:p>
            <w:pPr>
              <w:jc w:val="center"/>
              <w:rPr>
                <w:kern w:val="0"/>
                <w:sz w:val="21"/>
                <w:szCs w:val="21"/>
              </w:rPr>
            </w:pPr>
            <w:r>
              <w:rPr>
                <w:rFonts w:hint="eastAsia"/>
                <w:kern w:val="0"/>
                <w:sz w:val="21"/>
                <w:szCs w:val="21"/>
              </w:rPr>
              <w:t>184.32</w:t>
            </w:r>
          </w:p>
        </w:tc>
        <w:tc>
          <w:tcPr>
            <w:tcW w:w="4199" w:type="dxa"/>
            <w:vAlign w:val="center"/>
          </w:tcPr>
          <w:p>
            <w:pPr>
              <w:jc w:val="center"/>
              <w:rPr>
                <w:kern w:val="0"/>
                <w:sz w:val="21"/>
                <w:szCs w:val="21"/>
              </w:rPr>
            </w:pPr>
            <w:r>
              <w:rPr>
                <w:rFonts w:hint="eastAsia"/>
                <w:kern w:val="0"/>
                <w:sz w:val="21"/>
                <w:szCs w:val="21"/>
              </w:rPr>
              <w:t>经现有1座100m³的防渗化粪池暂存后，定期拉运至昌吉市污水处理厂处置</w:t>
            </w:r>
          </w:p>
        </w:tc>
        <w:tc>
          <w:tcPr>
            <w:tcW w:w="992" w:type="dxa"/>
            <w:vAlign w:val="center"/>
          </w:tcPr>
          <w:p>
            <w:pPr>
              <w:jc w:val="center"/>
              <w:rPr>
                <w:kern w:val="0"/>
                <w:sz w:val="21"/>
                <w:szCs w:val="21"/>
              </w:rPr>
            </w:pPr>
            <w:r>
              <w:rPr>
                <w:rFonts w:hint="eastAsia"/>
                <w:kern w:val="0"/>
                <w:sz w:val="21"/>
                <w:szCs w:val="21"/>
              </w:rPr>
              <w:t>184.32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kern w:val="0"/>
                <w:sz w:val="21"/>
                <w:szCs w:val="21"/>
              </w:rPr>
            </w:pPr>
            <w:r>
              <w:rPr>
                <w:rFonts w:hint="eastAsia"/>
                <w:kern w:val="0"/>
                <w:sz w:val="21"/>
                <w:szCs w:val="21"/>
              </w:rPr>
              <w:t>固体废物</w:t>
            </w:r>
          </w:p>
        </w:tc>
        <w:tc>
          <w:tcPr>
            <w:tcW w:w="1943" w:type="dxa"/>
            <w:gridSpan w:val="2"/>
            <w:vAlign w:val="center"/>
          </w:tcPr>
          <w:p>
            <w:pPr>
              <w:jc w:val="center"/>
              <w:rPr>
                <w:kern w:val="0"/>
                <w:sz w:val="21"/>
                <w:szCs w:val="21"/>
              </w:rPr>
            </w:pPr>
            <w:r>
              <w:rPr>
                <w:rFonts w:hint="eastAsia"/>
                <w:kern w:val="0"/>
                <w:sz w:val="21"/>
                <w:szCs w:val="21"/>
              </w:rPr>
              <w:t>清洗废水沉淀池</w:t>
            </w:r>
          </w:p>
        </w:tc>
        <w:tc>
          <w:tcPr>
            <w:tcW w:w="1145" w:type="dxa"/>
            <w:vAlign w:val="center"/>
          </w:tcPr>
          <w:p>
            <w:pPr>
              <w:jc w:val="center"/>
              <w:rPr>
                <w:bCs/>
                <w:kern w:val="0"/>
                <w:sz w:val="21"/>
                <w:szCs w:val="21"/>
              </w:rPr>
            </w:pPr>
            <w:r>
              <w:rPr>
                <w:rFonts w:hint="eastAsia"/>
                <w:bCs/>
                <w:kern w:val="0"/>
                <w:sz w:val="21"/>
                <w:szCs w:val="21"/>
              </w:rPr>
              <w:t>泥沙</w:t>
            </w:r>
          </w:p>
        </w:tc>
        <w:tc>
          <w:tcPr>
            <w:tcW w:w="850" w:type="dxa"/>
            <w:vAlign w:val="center"/>
          </w:tcPr>
          <w:p>
            <w:pPr>
              <w:jc w:val="center"/>
              <w:rPr>
                <w:bCs/>
                <w:kern w:val="0"/>
                <w:sz w:val="21"/>
                <w:szCs w:val="21"/>
              </w:rPr>
            </w:pPr>
            <w:r>
              <w:rPr>
                <w:rFonts w:hint="eastAsia"/>
                <w:bCs/>
                <w:kern w:val="0"/>
                <w:sz w:val="21"/>
                <w:szCs w:val="21"/>
              </w:rPr>
              <w:t>364.53</w:t>
            </w:r>
          </w:p>
        </w:tc>
        <w:tc>
          <w:tcPr>
            <w:tcW w:w="4199" w:type="dxa"/>
            <w:vAlign w:val="center"/>
          </w:tcPr>
          <w:p>
            <w:pPr>
              <w:jc w:val="center"/>
              <w:rPr>
                <w:bCs/>
                <w:kern w:val="0"/>
                <w:sz w:val="21"/>
                <w:szCs w:val="21"/>
              </w:rPr>
            </w:pPr>
            <w:r>
              <w:rPr>
                <w:rFonts w:hint="eastAsia"/>
                <w:bCs/>
                <w:kern w:val="0"/>
                <w:sz w:val="21"/>
                <w:szCs w:val="21"/>
              </w:rPr>
              <w:t>定期清捞后送一般固废填埋场处置</w:t>
            </w:r>
          </w:p>
        </w:tc>
        <w:tc>
          <w:tcPr>
            <w:tcW w:w="992" w:type="dxa"/>
            <w:vAlign w:val="center"/>
          </w:tcPr>
          <w:p>
            <w:pPr>
              <w:jc w:val="center"/>
              <w:rPr>
                <w:bCs/>
                <w:kern w:val="0"/>
                <w:sz w:val="21"/>
                <w:szCs w:val="21"/>
              </w:rPr>
            </w:pPr>
            <w:r>
              <w:rPr>
                <w:rFonts w:hint="eastAsia"/>
                <w:bCs/>
                <w:kern w:val="0"/>
                <w:sz w:val="21"/>
                <w:szCs w:val="21"/>
              </w:rPr>
              <w:t>364.53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造粒机</w:t>
            </w:r>
          </w:p>
        </w:tc>
        <w:tc>
          <w:tcPr>
            <w:tcW w:w="1145" w:type="dxa"/>
            <w:vAlign w:val="center"/>
          </w:tcPr>
          <w:p>
            <w:pPr>
              <w:jc w:val="center"/>
              <w:rPr>
                <w:bCs/>
                <w:kern w:val="0"/>
                <w:sz w:val="21"/>
                <w:szCs w:val="21"/>
              </w:rPr>
            </w:pPr>
            <w:r>
              <w:rPr>
                <w:rFonts w:hint="eastAsia"/>
                <w:bCs/>
                <w:kern w:val="0"/>
                <w:sz w:val="21"/>
                <w:szCs w:val="21"/>
              </w:rPr>
              <w:t>废滤网</w:t>
            </w:r>
          </w:p>
        </w:tc>
        <w:tc>
          <w:tcPr>
            <w:tcW w:w="850" w:type="dxa"/>
            <w:vAlign w:val="center"/>
          </w:tcPr>
          <w:p>
            <w:pPr>
              <w:jc w:val="center"/>
              <w:rPr>
                <w:bCs/>
                <w:kern w:val="0"/>
                <w:sz w:val="21"/>
                <w:szCs w:val="21"/>
              </w:rPr>
            </w:pPr>
            <w:r>
              <w:rPr>
                <w:rFonts w:hint="eastAsia"/>
                <w:bCs/>
                <w:kern w:val="0"/>
                <w:sz w:val="21"/>
                <w:szCs w:val="21"/>
              </w:rPr>
              <w:t>2.30</w:t>
            </w:r>
          </w:p>
        </w:tc>
        <w:tc>
          <w:tcPr>
            <w:tcW w:w="4199" w:type="dxa"/>
            <w:vAlign w:val="center"/>
          </w:tcPr>
          <w:p>
            <w:pPr>
              <w:jc w:val="center"/>
              <w:rPr>
                <w:bCs/>
                <w:kern w:val="0"/>
                <w:sz w:val="21"/>
                <w:szCs w:val="21"/>
              </w:rPr>
            </w:pPr>
            <w:r>
              <w:rPr>
                <w:rFonts w:hint="eastAsia"/>
                <w:bCs/>
                <w:kern w:val="0"/>
                <w:sz w:val="21"/>
                <w:szCs w:val="21"/>
              </w:rPr>
              <w:t>收集后送至固废填埋场处置</w:t>
            </w:r>
          </w:p>
        </w:tc>
        <w:tc>
          <w:tcPr>
            <w:tcW w:w="992" w:type="dxa"/>
            <w:vAlign w:val="center"/>
          </w:tcPr>
          <w:p>
            <w:pPr>
              <w:jc w:val="center"/>
              <w:rPr>
                <w:bCs/>
                <w:kern w:val="0"/>
                <w:sz w:val="21"/>
                <w:szCs w:val="21"/>
              </w:rPr>
            </w:pPr>
            <w:r>
              <w:rPr>
                <w:rFonts w:hint="eastAsia"/>
                <w:bCs/>
                <w:kern w:val="0"/>
                <w:sz w:val="21"/>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滴灌带检验</w:t>
            </w:r>
          </w:p>
        </w:tc>
        <w:tc>
          <w:tcPr>
            <w:tcW w:w="1145" w:type="dxa"/>
            <w:vAlign w:val="center"/>
          </w:tcPr>
          <w:p>
            <w:pPr>
              <w:jc w:val="center"/>
              <w:rPr>
                <w:bCs/>
                <w:kern w:val="0"/>
                <w:sz w:val="21"/>
                <w:szCs w:val="21"/>
              </w:rPr>
            </w:pPr>
            <w:r>
              <w:rPr>
                <w:rFonts w:hint="eastAsia"/>
                <w:bCs/>
                <w:kern w:val="0"/>
                <w:sz w:val="21"/>
                <w:szCs w:val="21"/>
              </w:rPr>
              <w:t>不合格品</w:t>
            </w:r>
          </w:p>
        </w:tc>
        <w:tc>
          <w:tcPr>
            <w:tcW w:w="850" w:type="dxa"/>
            <w:vAlign w:val="center"/>
          </w:tcPr>
          <w:p>
            <w:pPr>
              <w:jc w:val="center"/>
              <w:rPr>
                <w:bCs/>
                <w:kern w:val="0"/>
                <w:sz w:val="21"/>
                <w:szCs w:val="21"/>
              </w:rPr>
            </w:pPr>
            <w:r>
              <w:rPr>
                <w:rFonts w:hint="eastAsia"/>
                <w:bCs/>
                <w:kern w:val="0"/>
                <w:sz w:val="21"/>
                <w:szCs w:val="21"/>
              </w:rPr>
              <w:t>200</w:t>
            </w:r>
          </w:p>
        </w:tc>
        <w:tc>
          <w:tcPr>
            <w:tcW w:w="4199" w:type="dxa"/>
            <w:vAlign w:val="center"/>
          </w:tcPr>
          <w:p>
            <w:pPr>
              <w:jc w:val="center"/>
              <w:rPr>
                <w:bCs/>
                <w:kern w:val="0"/>
                <w:sz w:val="21"/>
                <w:szCs w:val="21"/>
              </w:rPr>
            </w:pPr>
            <w:r>
              <w:rPr>
                <w:rFonts w:hint="eastAsia"/>
                <w:bCs/>
                <w:kern w:val="0"/>
                <w:sz w:val="21"/>
                <w:szCs w:val="21"/>
              </w:rPr>
              <w:t>回至废旧滴灌带破碎工序再次破碎造粒循环利用</w:t>
            </w:r>
          </w:p>
        </w:tc>
        <w:tc>
          <w:tcPr>
            <w:tcW w:w="992" w:type="dxa"/>
            <w:vAlign w:val="center"/>
          </w:tcPr>
          <w:p>
            <w:pPr>
              <w:jc w:val="center"/>
              <w:rPr>
                <w:bCs/>
                <w:kern w:val="0"/>
                <w:sz w:val="21"/>
                <w:szCs w:val="21"/>
              </w:rPr>
            </w:pPr>
            <w:r>
              <w:rPr>
                <w:rFonts w:hint="eastAsia"/>
                <w:bCs/>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PE管检验</w:t>
            </w:r>
          </w:p>
        </w:tc>
        <w:tc>
          <w:tcPr>
            <w:tcW w:w="1145" w:type="dxa"/>
            <w:vAlign w:val="center"/>
          </w:tcPr>
          <w:p>
            <w:pPr>
              <w:jc w:val="center"/>
              <w:rPr>
                <w:bCs/>
                <w:kern w:val="0"/>
                <w:sz w:val="21"/>
                <w:szCs w:val="21"/>
              </w:rPr>
            </w:pPr>
            <w:r>
              <w:rPr>
                <w:rFonts w:hint="eastAsia"/>
                <w:bCs/>
                <w:kern w:val="0"/>
                <w:sz w:val="21"/>
                <w:szCs w:val="21"/>
              </w:rPr>
              <w:t>不合格品</w:t>
            </w:r>
          </w:p>
        </w:tc>
        <w:tc>
          <w:tcPr>
            <w:tcW w:w="850" w:type="dxa"/>
            <w:vAlign w:val="center"/>
          </w:tcPr>
          <w:p>
            <w:pPr>
              <w:jc w:val="center"/>
              <w:rPr>
                <w:bCs/>
                <w:kern w:val="0"/>
                <w:sz w:val="21"/>
                <w:szCs w:val="21"/>
              </w:rPr>
            </w:pPr>
            <w:r>
              <w:rPr>
                <w:rFonts w:hint="eastAsia"/>
                <w:bCs/>
                <w:kern w:val="0"/>
                <w:sz w:val="21"/>
                <w:szCs w:val="21"/>
              </w:rPr>
              <w:t>46.25</w:t>
            </w:r>
          </w:p>
        </w:tc>
        <w:tc>
          <w:tcPr>
            <w:tcW w:w="4199" w:type="dxa"/>
            <w:vAlign w:val="center"/>
          </w:tcPr>
          <w:p>
            <w:pPr>
              <w:jc w:val="center"/>
              <w:rPr>
                <w:bCs/>
                <w:kern w:val="0"/>
                <w:sz w:val="21"/>
                <w:szCs w:val="21"/>
              </w:rPr>
            </w:pPr>
            <w:r>
              <w:rPr>
                <w:rFonts w:hint="eastAsia"/>
                <w:bCs/>
                <w:kern w:val="0"/>
                <w:sz w:val="21"/>
                <w:szCs w:val="21"/>
              </w:rPr>
              <w:t>回至废旧滴灌带破碎工序再次破碎造粒循环利用</w:t>
            </w:r>
          </w:p>
        </w:tc>
        <w:tc>
          <w:tcPr>
            <w:tcW w:w="992" w:type="dxa"/>
            <w:vAlign w:val="center"/>
          </w:tcPr>
          <w:p>
            <w:pPr>
              <w:jc w:val="center"/>
              <w:rPr>
                <w:bCs/>
                <w:kern w:val="0"/>
                <w:sz w:val="21"/>
                <w:szCs w:val="21"/>
              </w:rPr>
            </w:pPr>
            <w:r>
              <w:rPr>
                <w:rFonts w:hint="eastAsia"/>
                <w:bCs/>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Merge w:val="restart"/>
            <w:vAlign w:val="center"/>
          </w:tcPr>
          <w:p>
            <w:pPr>
              <w:jc w:val="center"/>
              <w:rPr>
                <w:kern w:val="0"/>
                <w:sz w:val="21"/>
                <w:szCs w:val="21"/>
              </w:rPr>
            </w:pPr>
            <w:r>
              <w:rPr>
                <w:rFonts w:hint="eastAsia"/>
                <w:kern w:val="0"/>
                <w:sz w:val="21"/>
                <w:szCs w:val="21"/>
              </w:rPr>
              <w:t>有机废气处理</w:t>
            </w:r>
          </w:p>
        </w:tc>
        <w:tc>
          <w:tcPr>
            <w:tcW w:w="1145" w:type="dxa"/>
            <w:vAlign w:val="center"/>
          </w:tcPr>
          <w:p>
            <w:pPr>
              <w:jc w:val="center"/>
              <w:rPr>
                <w:bCs/>
                <w:kern w:val="0"/>
                <w:sz w:val="21"/>
                <w:szCs w:val="21"/>
              </w:rPr>
            </w:pPr>
            <w:r>
              <w:rPr>
                <w:rFonts w:hint="eastAsia"/>
                <w:bCs/>
                <w:kern w:val="0"/>
                <w:sz w:val="21"/>
                <w:szCs w:val="21"/>
              </w:rPr>
              <w:t>废活性炭</w:t>
            </w:r>
          </w:p>
        </w:tc>
        <w:tc>
          <w:tcPr>
            <w:tcW w:w="850" w:type="dxa"/>
            <w:vAlign w:val="center"/>
          </w:tcPr>
          <w:p>
            <w:pPr>
              <w:jc w:val="center"/>
              <w:rPr>
                <w:bCs/>
                <w:kern w:val="0"/>
                <w:sz w:val="20"/>
                <w:szCs w:val="21"/>
              </w:rPr>
            </w:pPr>
            <w:r>
              <w:rPr>
                <w:rFonts w:hint="eastAsia"/>
                <w:bCs/>
                <w:kern w:val="0"/>
                <w:sz w:val="20"/>
                <w:szCs w:val="21"/>
              </w:rPr>
              <w:t>2t/3a</w:t>
            </w:r>
          </w:p>
        </w:tc>
        <w:tc>
          <w:tcPr>
            <w:tcW w:w="4199" w:type="dxa"/>
            <w:vMerge w:val="restart"/>
            <w:vAlign w:val="center"/>
          </w:tcPr>
          <w:p>
            <w:pPr>
              <w:jc w:val="center"/>
              <w:rPr>
                <w:kern w:val="0"/>
                <w:sz w:val="21"/>
                <w:szCs w:val="21"/>
              </w:rPr>
            </w:pPr>
            <w:r>
              <w:rPr>
                <w:rFonts w:hint="eastAsia"/>
                <w:bCs/>
                <w:kern w:val="0"/>
                <w:sz w:val="21"/>
                <w:szCs w:val="21"/>
              </w:rPr>
              <w:t>收集后暂存于厂区</w:t>
            </w:r>
            <w:r>
              <w:rPr>
                <w:bCs/>
                <w:kern w:val="0"/>
                <w:sz w:val="21"/>
                <w:szCs w:val="21"/>
              </w:rPr>
              <w:t>要求设置的</w:t>
            </w:r>
            <w:r>
              <w:rPr>
                <w:rFonts w:hint="eastAsia"/>
                <w:bCs/>
                <w:kern w:val="0"/>
                <w:sz w:val="21"/>
                <w:szCs w:val="21"/>
              </w:rPr>
              <w:t>10</w:t>
            </w:r>
            <w:r>
              <w:rPr>
                <w:bCs/>
                <w:kern w:val="0"/>
                <w:sz w:val="21"/>
                <w:szCs w:val="21"/>
              </w:rPr>
              <w:t>m</w:t>
            </w:r>
            <w:r>
              <w:rPr>
                <w:bCs/>
                <w:kern w:val="0"/>
                <w:sz w:val="21"/>
                <w:szCs w:val="21"/>
                <w:vertAlign w:val="superscript"/>
              </w:rPr>
              <w:t>2</w:t>
            </w:r>
            <w:r>
              <w:rPr>
                <w:rFonts w:hint="eastAsia"/>
                <w:bCs/>
                <w:kern w:val="0"/>
                <w:sz w:val="21"/>
                <w:szCs w:val="21"/>
              </w:rPr>
              <w:t>危废暂存间，定期交由有资质的单位安全处置</w:t>
            </w:r>
          </w:p>
        </w:tc>
        <w:tc>
          <w:tcPr>
            <w:tcW w:w="992" w:type="dxa"/>
            <w:vAlign w:val="center"/>
          </w:tcPr>
          <w:p>
            <w:pPr>
              <w:jc w:val="center"/>
              <w:rPr>
                <w:bCs/>
                <w:kern w:val="0"/>
                <w:sz w:val="20"/>
                <w:szCs w:val="21"/>
              </w:rPr>
            </w:pPr>
            <w:r>
              <w:rPr>
                <w:rFonts w:hint="eastAsia"/>
                <w:bCs/>
                <w:kern w:val="0"/>
                <w:sz w:val="20"/>
                <w:szCs w:val="21"/>
              </w:rPr>
              <w:t>2t/3a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Merge w:val="continue"/>
            <w:vAlign w:val="center"/>
          </w:tcPr>
          <w:p>
            <w:pPr>
              <w:jc w:val="center"/>
              <w:rPr>
                <w:kern w:val="0"/>
                <w:sz w:val="21"/>
                <w:szCs w:val="21"/>
              </w:rPr>
            </w:pPr>
          </w:p>
        </w:tc>
        <w:tc>
          <w:tcPr>
            <w:tcW w:w="1145" w:type="dxa"/>
            <w:vAlign w:val="center"/>
          </w:tcPr>
          <w:p>
            <w:pPr>
              <w:jc w:val="center"/>
              <w:rPr>
                <w:bCs/>
                <w:kern w:val="0"/>
                <w:sz w:val="21"/>
                <w:szCs w:val="21"/>
              </w:rPr>
            </w:pPr>
            <w:r>
              <w:rPr>
                <w:rFonts w:hint="eastAsia"/>
                <w:bCs/>
                <w:kern w:val="0"/>
                <w:sz w:val="21"/>
                <w:szCs w:val="21"/>
              </w:rPr>
              <w:t>废催化剂</w:t>
            </w:r>
          </w:p>
        </w:tc>
        <w:tc>
          <w:tcPr>
            <w:tcW w:w="850" w:type="dxa"/>
            <w:vAlign w:val="center"/>
          </w:tcPr>
          <w:p>
            <w:pPr>
              <w:jc w:val="center"/>
              <w:rPr>
                <w:bCs/>
                <w:kern w:val="0"/>
                <w:sz w:val="20"/>
                <w:szCs w:val="21"/>
              </w:rPr>
            </w:pPr>
            <w:r>
              <w:rPr>
                <w:rFonts w:hint="eastAsia"/>
                <w:bCs/>
                <w:kern w:val="0"/>
                <w:sz w:val="20"/>
                <w:szCs w:val="21"/>
              </w:rPr>
              <w:t>1t/3a</w:t>
            </w:r>
          </w:p>
        </w:tc>
        <w:tc>
          <w:tcPr>
            <w:tcW w:w="4199" w:type="dxa"/>
            <w:vMerge w:val="continue"/>
            <w:vAlign w:val="center"/>
          </w:tcPr>
          <w:p>
            <w:pPr>
              <w:jc w:val="center"/>
              <w:rPr>
                <w:kern w:val="0"/>
                <w:sz w:val="21"/>
                <w:szCs w:val="21"/>
              </w:rPr>
            </w:pPr>
          </w:p>
        </w:tc>
        <w:tc>
          <w:tcPr>
            <w:tcW w:w="992" w:type="dxa"/>
            <w:vAlign w:val="center"/>
          </w:tcPr>
          <w:p>
            <w:pPr>
              <w:jc w:val="center"/>
              <w:rPr>
                <w:bCs/>
                <w:kern w:val="0"/>
                <w:sz w:val="20"/>
                <w:szCs w:val="21"/>
              </w:rPr>
            </w:pPr>
            <w:r>
              <w:rPr>
                <w:rFonts w:hint="eastAsia"/>
                <w:bCs/>
                <w:kern w:val="0"/>
                <w:sz w:val="20"/>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机械设备保养</w:t>
            </w:r>
          </w:p>
        </w:tc>
        <w:tc>
          <w:tcPr>
            <w:tcW w:w="1145" w:type="dxa"/>
            <w:vAlign w:val="center"/>
          </w:tcPr>
          <w:p>
            <w:pPr>
              <w:jc w:val="center"/>
              <w:rPr>
                <w:bCs/>
                <w:kern w:val="0"/>
                <w:sz w:val="21"/>
                <w:szCs w:val="21"/>
              </w:rPr>
            </w:pPr>
            <w:r>
              <w:rPr>
                <w:rFonts w:hint="eastAsia"/>
                <w:bCs/>
                <w:kern w:val="0"/>
                <w:sz w:val="21"/>
                <w:szCs w:val="21"/>
              </w:rPr>
              <w:t>废润滑油及桶</w:t>
            </w:r>
          </w:p>
        </w:tc>
        <w:tc>
          <w:tcPr>
            <w:tcW w:w="850" w:type="dxa"/>
            <w:vAlign w:val="center"/>
          </w:tcPr>
          <w:p>
            <w:pPr>
              <w:jc w:val="center"/>
              <w:rPr>
                <w:bCs/>
                <w:kern w:val="0"/>
                <w:sz w:val="21"/>
                <w:szCs w:val="21"/>
              </w:rPr>
            </w:pPr>
            <w:r>
              <w:rPr>
                <w:rFonts w:hint="eastAsia"/>
                <w:bCs/>
                <w:kern w:val="0"/>
                <w:sz w:val="21"/>
                <w:szCs w:val="21"/>
              </w:rPr>
              <w:t>0.6</w:t>
            </w:r>
          </w:p>
        </w:tc>
        <w:tc>
          <w:tcPr>
            <w:tcW w:w="4199" w:type="dxa"/>
            <w:vMerge w:val="continue"/>
            <w:vAlign w:val="center"/>
          </w:tcPr>
          <w:p>
            <w:pPr>
              <w:jc w:val="center"/>
              <w:rPr>
                <w:kern w:val="0"/>
                <w:sz w:val="21"/>
                <w:szCs w:val="21"/>
              </w:rPr>
            </w:pPr>
          </w:p>
        </w:tc>
        <w:tc>
          <w:tcPr>
            <w:tcW w:w="992" w:type="dxa"/>
            <w:vAlign w:val="center"/>
          </w:tcPr>
          <w:p>
            <w:pPr>
              <w:jc w:val="center"/>
              <w:rPr>
                <w:bCs/>
                <w:kern w:val="0"/>
                <w:sz w:val="21"/>
                <w:szCs w:val="21"/>
              </w:rPr>
            </w:pPr>
            <w:r>
              <w:rPr>
                <w:rFonts w:hint="eastAsia"/>
                <w:bCs/>
                <w:ker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kern w:val="0"/>
                <w:sz w:val="21"/>
                <w:szCs w:val="21"/>
              </w:rPr>
            </w:pPr>
          </w:p>
        </w:tc>
        <w:tc>
          <w:tcPr>
            <w:tcW w:w="1943" w:type="dxa"/>
            <w:gridSpan w:val="2"/>
            <w:vAlign w:val="center"/>
          </w:tcPr>
          <w:p>
            <w:pPr>
              <w:jc w:val="center"/>
              <w:rPr>
                <w:kern w:val="0"/>
                <w:sz w:val="21"/>
                <w:szCs w:val="21"/>
              </w:rPr>
            </w:pPr>
            <w:r>
              <w:rPr>
                <w:rFonts w:hint="eastAsia"/>
                <w:kern w:val="0"/>
                <w:sz w:val="21"/>
                <w:szCs w:val="21"/>
              </w:rPr>
              <w:t>生活区</w:t>
            </w:r>
          </w:p>
        </w:tc>
        <w:tc>
          <w:tcPr>
            <w:tcW w:w="1145" w:type="dxa"/>
            <w:vAlign w:val="center"/>
          </w:tcPr>
          <w:p>
            <w:pPr>
              <w:jc w:val="center"/>
              <w:rPr>
                <w:bCs/>
                <w:kern w:val="0"/>
                <w:sz w:val="21"/>
                <w:szCs w:val="21"/>
              </w:rPr>
            </w:pPr>
            <w:r>
              <w:rPr>
                <w:rFonts w:hint="eastAsia"/>
                <w:bCs/>
                <w:kern w:val="0"/>
                <w:sz w:val="21"/>
                <w:szCs w:val="21"/>
              </w:rPr>
              <w:t>生活垃圾</w:t>
            </w:r>
          </w:p>
        </w:tc>
        <w:tc>
          <w:tcPr>
            <w:tcW w:w="850" w:type="dxa"/>
            <w:vAlign w:val="center"/>
          </w:tcPr>
          <w:p>
            <w:pPr>
              <w:jc w:val="center"/>
              <w:rPr>
                <w:bCs/>
                <w:kern w:val="0"/>
                <w:sz w:val="21"/>
                <w:szCs w:val="21"/>
              </w:rPr>
            </w:pPr>
            <w:r>
              <w:rPr>
                <w:rFonts w:hint="eastAsia"/>
                <w:bCs/>
                <w:kern w:val="0"/>
                <w:sz w:val="21"/>
                <w:szCs w:val="21"/>
              </w:rPr>
              <w:t>1.44</w:t>
            </w:r>
          </w:p>
        </w:tc>
        <w:tc>
          <w:tcPr>
            <w:tcW w:w="4199" w:type="dxa"/>
            <w:vAlign w:val="center"/>
          </w:tcPr>
          <w:p>
            <w:pPr>
              <w:ind w:left="-105" w:leftChars="-50" w:right="-105" w:rightChars="-50"/>
              <w:jc w:val="center"/>
              <w:rPr>
                <w:bCs/>
                <w:kern w:val="0"/>
                <w:sz w:val="21"/>
                <w:szCs w:val="21"/>
              </w:rPr>
            </w:pPr>
            <w:r>
              <w:rPr>
                <w:rFonts w:hint="eastAsia"/>
                <w:bCs/>
                <w:kern w:val="0"/>
                <w:sz w:val="21"/>
                <w:szCs w:val="21"/>
              </w:rPr>
              <w:t>定点收集，交由当地环卫部门清运处置</w:t>
            </w:r>
          </w:p>
        </w:tc>
        <w:tc>
          <w:tcPr>
            <w:tcW w:w="992" w:type="dxa"/>
            <w:vAlign w:val="center"/>
          </w:tcPr>
          <w:p>
            <w:pPr>
              <w:jc w:val="center"/>
              <w:rPr>
                <w:bCs/>
                <w:kern w:val="0"/>
                <w:sz w:val="21"/>
                <w:szCs w:val="21"/>
              </w:rPr>
            </w:pPr>
            <w:r>
              <w:rPr>
                <w:rFonts w:hint="eastAsia"/>
                <w:bCs/>
                <w:kern w:val="0"/>
                <w:sz w:val="21"/>
                <w:szCs w:val="21"/>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1"/>
                <w:szCs w:val="21"/>
              </w:rPr>
            </w:pPr>
            <w:r>
              <w:rPr>
                <w:rFonts w:hint="eastAsia"/>
                <w:kern w:val="0"/>
                <w:sz w:val="21"/>
                <w:szCs w:val="21"/>
              </w:rPr>
              <w:t>噪声</w:t>
            </w:r>
          </w:p>
        </w:tc>
        <w:tc>
          <w:tcPr>
            <w:tcW w:w="3088" w:type="dxa"/>
            <w:gridSpan w:val="3"/>
            <w:vAlign w:val="center"/>
          </w:tcPr>
          <w:p>
            <w:pPr>
              <w:jc w:val="center"/>
              <w:rPr>
                <w:kern w:val="0"/>
                <w:sz w:val="21"/>
                <w:szCs w:val="21"/>
              </w:rPr>
            </w:pPr>
            <w:r>
              <w:rPr>
                <w:rFonts w:hint="eastAsia"/>
                <w:kern w:val="0"/>
                <w:sz w:val="21"/>
                <w:szCs w:val="21"/>
              </w:rPr>
              <w:t>工艺设备运行噪声，声级在6</w:t>
            </w:r>
            <w:r>
              <w:rPr>
                <w:kern w:val="0"/>
                <w:sz w:val="21"/>
                <w:szCs w:val="21"/>
              </w:rPr>
              <w:t>5~</w:t>
            </w:r>
            <w:r>
              <w:rPr>
                <w:rFonts w:hint="eastAsia"/>
                <w:kern w:val="0"/>
                <w:sz w:val="21"/>
                <w:szCs w:val="21"/>
              </w:rPr>
              <w:t>90</w:t>
            </w:r>
            <w:r>
              <w:rPr>
                <w:kern w:val="0"/>
                <w:sz w:val="21"/>
                <w:szCs w:val="21"/>
              </w:rPr>
              <w:t>dB</w:t>
            </w:r>
            <w:r>
              <w:rPr>
                <w:rFonts w:hint="eastAsia"/>
                <w:kern w:val="0"/>
                <w:sz w:val="21"/>
                <w:szCs w:val="21"/>
              </w:rPr>
              <w:t>（</w:t>
            </w:r>
            <w:r>
              <w:rPr>
                <w:kern w:val="0"/>
                <w:sz w:val="21"/>
                <w:szCs w:val="21"/>
              </w:rPr>
              <w:t>A</w:t>
            </w:r>
            <w:r>
              <w:rPr>
                <w:rFonts w:hint="eastAsia"/>
                <w:kern w:val="0"/>
                <w:sz w:val="21"/>
                <w:szCs w:val="21"/>
              </w:rPr>
              <w:t>）之间</w:t>
            </w:r>
          </w:p>
        </w:tc>
        <w:tc>
          <w:tcPr>
            <w:tcW w:w="6041" w:type="dxa"/>
            <w:gridSpan w:val="3"/>
            <w:vAlign w:val="center"/>
          </w:tcPr>
          <w:p>
            <w:pPr>
              <w:jc w:val="center"/>
              <w:rPr>
                <w:kern w:val="0"/>
                <w:sz w:val="21"/>
                <w:szCs w:val="21"/>
              </w:rPr>
            </w:pPr>
            <w:r>
              <w:rPr>
                <w:rFonts w:hint="eastAsia"/>
                <w:kern w:val="0"/>
                <w:sz w:val="21"/>
                <w:szCs w:val="21"/>
              </w:rPr>
              <w:t>设备选用低噪声设备，在安装时采取降噪减震措施，全部安装于室内，使用时定期检修，做好设备保养，落实工作间防噪声劳动保护和管理，完善厂区绿化建设</w:t>
            </w:r>
          </w:p>
        </w:tc>
      </w:tr>
    </w:tbl>
    <w:p>
      <w:pPr>
        <w:pStyle w:val="24"/>
        <w:autoSpaceDE/>
        <w:autoSpaceDN/>
        <w:adjustRightInd/>
        <w:spacing w:line="460" w:lineRule="exact"/>
        <w:ind w:firstLine="504" w:firstLineChars="200"/>
        <w:rPr>
          <w:rFonts w:hint="default" w:ascii="Times New Roman"/>
          <w:color w:val="auto"/>
          <w:spacing w:val="12"/>
          <w:w w:val="95"/>
        </w:rPr>
      </w:pPr>
    </w:p>
    <w:p>
      <w:pPr>
        <w:pStyle w:val="5"/>
        <w:numPr>
          <w:ilvl w:val="0"/>
          <w:numId w:val="0"/>
        </w:numPr>
        <w:adjustRightInd w:val="0"/>
        <w:spacing w:before="0" w:line="460" w:lineRule="exact"/>
        <w:ind w:left="113"/>
        <w:textAlignment w:val="baseline"/>
        <w:rPr>
          <w:rFonts w:ascii="Times New Roman"/>
          <w:szCs w:val="24"/>
        </w:rPr>
      </w:pPr>
      <w:r>
        <w:rPr>
          <w:rFonts w:ascii="Times New Roman"/>
          <w:spacing w:val="12"/>
          <w:w w:val="95"/>
          <w:kern w:val="0"/>
          <w:szCs w:val="26"/>
        </w:rPr>
        <w:t>4.4.4非正常工况污染物排放情况</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根据项目各类污染源排污特点，易对环境构成较大威胁的非正常工况排放主要以大气污染物为主，而废水排放及废渣排放不存在事故性排放问题。主要原因在于生产中各有机废气产生工序产生的有机废气经活性炭吸附+催化燃烧</w:t>
      </w:r>
      <w:r>
        <w:rPr>
          <w:rFonts w:hint="default" w:ascii="Times New Roman" w:hAnsi="Times New Roman" w:cs="Times New Roman"/>
          <w:color w:val="auto"/>
          <w:szCs w:val="24"/>
        </w:rPr>
        <w:t>（</w:t>
      </w:r>
      <w:r>
        <w:rPr>
          <w:rFonts w:ascii="Times New Roman" w:hAnsi="Times New Roman" w:cs="Times New Roman"/>
          <w:color w:val="auto"/>
          <w:szCs w:val="24"/>
        </w:rPr>
        <w:t>CO</w:t>
      </w:r>
      <w:r>
        <w:rPr>
          <w:rFonts w:hint="default" w:ascii="Times New Roman" w:hAnsi="Times New Roman" w:cs="Times New Roman"/>
          <w:color w:val="auto"/>
          <w:szCs w:val="24"/>
        </w:rPr>
        <w:t>）</w:t>
      </w:r>
      <w:r>
        <w:rPr>
          <w:rFonts w:ascii="Times New Roman" w:hAnsi="Times New Roman" w:cs="Times New Roman"/>
          <w:color w:val="auto"/>
          <w:szCs w:val="24"/>
        </w:rPr>
        <w:t>装置</w:t>
      </w:r>
      <w:r>
        <w:rPr>
          <w:rFonts w:hint="default" w:ascii="Times New Roman" w:hAnsi="Times New Roman" w:cs="Times New Roman"/>
          <w:color w:val="auto"/>
          <w:szCs w:val="24"/>
        </w:rPr>
        <w:t>处置后外排</w:t>
      </w:r>
      <w:r>
        <w:rPr>
          <w:rFonts w:ascii="Times New Roman" w:hAnsi="Times New Roman" w:cs="Times New Roman"/>
          <w:color w:val="auto"/>
          <w:szCs w:val="24"/>
        </w:rPr>
        <w:t>，一旦有机废气</w:t>
      </w:r>
      <w:r>
        <w:rPr>
          <w:rFonts w:hint="default" w:ascii="Times New Roman" w:hAnsi="Times New Roman" w:cs="Times New Roman"/>
          <w:color w:val="auto"/>
          <w:szCs w:val="24"/>
        </w:rPr>
        <w:t>处置系统</w:t>
      </w:r>
      <w:r>
        <w:rPr>
          <w:rFonts w:ascii="Times New Roman" w:hAnsi="Times New Roman" w:cs="Times New Roman"/>
          <w:color w:val="auto"/>
          <w:szCs w:val="24"/>
        </w:rPr>
        <w:t>失效或部分失效，污染物排放量会骤然增加，出现超标排放；而各个生产工序生产废水出现跑、冒、滴、漏的现象，可以通过生产界区设置的集水系统收集，重新回到生产系统，不会进入外环境。故本次评价主要针对废气污染源进行非正常工况排污分析。</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本环评中非正常工况废气排放源强主要考虑项目建成后废气处理装置出现故障情景，本项目有机废气处置</w:t>
      </w:r>
      <w:r>
        <w:rPr>
          <w:rFonts w:hint="default" w:ascii="Times New Roman" w:hAnsi="Times New Roman" w:cs="Times New Roman"/>
          <w:color w:val="auto"/>
          <w:szCs w:val="24"/>
        </w:rPr>
        <w:t>装置活性炭吸附</w:t>
      </w:r>
      <w:r>
        <w:rPr>
          <w:rFonts w:ascii="Times New Roman" w:hAnsi="Times New Roman" w:cs="Times New Roman"/>
          <w:color w:val="auto"/>
          <w:szCs w:val="24"/>
        </w:rPr>
        <w:t>+催化燃烧</w:t>
      </w:r>
      <w:r>
        <w:rPr>
          <w:rFonts w:hint="default" w:ascii="Times New Roman" w:hAnsi="Times New Roman" w:cs="Times New Roman"/>
          <w:color w:val="auto"/>
          <w:szCs w:val="24"/>
        </w:rPr>
        <w:t>（</w:t>
      </w:r>
      <w:r>
        <w:rPr>
          <w:rFonts w:ascii="Times New Roman" w:hAnsi="Times New Roman" w:cs="Times New Roman"/>
          <w:color w:val="auto"/>
          <w:szCs w:val="24"/>
        </w:rPr>
        <w:t>CO</w:t>
      </w:r>
      <w:r>
        <w:rPr>
          <w:rFonts w:hint="default" w:ascii="Times New Roman" w:hAnsi="Times New Roman" w:cs="Times New Roman"/>
          <w:color w:val="auto"/>
          <w:szCs w:val="24"/>
        </w:rPr>
        <w:t>）</w:t>
      </w:r>
      <w:r>
        <w:rPr>
          <w:rFonts w:ascii="Times New Roman" w:hAnsi="Times New Roman" w:cs="Times New Roman"/>
          <w:color w:val="auto"/>
          <w:szCs w:val="24"/>
        </w:rPr>
        <w:t>，由于</w:t>
      </w:r>
      <w:r>
        <w:rPr>
          <w:rFonts w:hint="default" w:ascii="Times New Roman" w:hAnsi="Times New Roman" w:cs="Times New Roman"/>
          <w:color w:val="auto"/>
          <w:szCs w:val="24"/>
        </w:rPr>
        <w:t>运行过程管理措施以及催化剂以及吸附剂部分失效达不到设计去除效率，造成有机废气事故排放，本</w:t>
      </w:r>
      <w:r>
        <w:rPr>
          <w:rFonts w:ascii="Times New Roman" w:hAnsi="Times New Roman" w:cs="Times New Roman"/>
          <w:color w:val="auto"/>
          <w:szCs w:val="24"/>
        </w:rPr>
        <w:t>项目</w:t>
      </w:r>
      <w:r>
        <w:rPr>
          <w:rFonts w:hint="default" w:ascii="Times New Roman" w:hAnsi="Times New Roman" w:cs="Times New Roman"/>
          <w:color w:val="auto"/>
          <w:szCs w:val="24"/>
        </w:rPr>
        <w:t>按照去除效率降至</w:t>
      </w:r>
      <w:r>
        <w:rPr>
          <w:rFonts w:ascii="Times New Roman" w:hAnsi="Times New Roman" w:cs="Times New Roman"/>
          <w:color w:val="auto"/>
          <w:szCs w:val="24"/>
        </w:rPr>
        <w:t>40</w:t>
      </w:r>
      <w:r>
        <w:rPr>
          <w:rFonts w:hint="default" w:ascii="Times New Roman" w:hAnsi="Times New Roman" w:cs="Times New Roman"/>
          <w:color w:val="auto"/>
          <w:szCs w:val="24"/>
        </w:rPr>
        <w:t>%</w:t>
      </w:r>
      <w:r>
        <w:rPr>
          <w:rFonts w:ascii="Times New Roman" w:hAnsi="Times New Roman" w:cs="Times New Roman"/>
          <w:color w:val="auto"/>
          <w:szCs w:val="24"/>
        </w:rPr>
        <w:t>考虑。本项目在上述情况下处理后的废气源强为非正常工况源强，具体见表4.4-</w:t>
      </w:r>
      <w:r>
        <w:rPr>
          <w:rFonts w:hint="default" w:ascii="Times New Roman" w:hAnsi="Times New Roman" w:cs="Times New Roman"/>
          <w:color w:val="auto"/>
          <w:szCs w:val="24"/>
        </w:rPr>
        <w:t>9</w:t>
      </w:r>
      <w:r>
        <w:rPr>
          <w:rFonts w:ascii="Times New Roman" w:hAnsi="Times New Roman" w:cs="Times New Roman"/>
          <w:color w:val="auto"/>
          <w:szCs w:val="24"/>
        </w:rPr>
        <w:t>。</w:t>
      </w:r>
    </w:p>
    <w:p>
      <w:pPr>
        <w:ind w:firstLine="420" w:firstLineChars="200"/>
      </w:pPr>
      <w:r>
        <w:rPr>
          <w:rFonts w:hAnsi="黑体" w:eastAsia="黑体"/>
        </w:rPr>
        <w:t>表4.4-9             非正常工况大气污染物排放情况一览表</w:t>
      </w:r>
    </w:p>
    <w:tbl>
      <w:tblPr>
        <w:tblStyle w:val="60"/>
        <w:tblW w:w="88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993"/>
        <w:gridCol w:w="850"/>
        <w:gridCol w:w="1559"/>
        <w:gridCol w:w="1276"/>
        <w:gridCol w:w="1276"/>
        <w:gridCol w:w="1134"/>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vAlign w:val="center"/>
          </w:tcPr>
          <w:p>
            <w:pPr>
              <w:jc w:val="center"/>
              <w:rPr>
                <w:rFonts w:eastAsiaTheme="minorEastAsia"/>
                <w:kern w:val="0"/>
                <w:sz w:val="21"/>
                <w:szCs w:val="21"/>
              </w:rPr>
            </w:pPr>
            <w:r>
              <w:rPr>
                <w:rFonts w:eastAsiaTheme="minorEastAsia"/>
                <w:kern w:val="0"/>
                <w:sz w:val="21"/>
                <w:szCs w:val="21"/>
              </w:rPr>
              <w:t>排放口编号</w:t>
            </w:r>
          </w:p>
        </w:tc>
        <w:tc>
          <w:tcPr>
            <w:tcW w:w="993" w:type="dxa"/>
            <w:vAlign w:val="center"/>
          </w:tcPr>
          <w:p>
            <w:pPr>
              <w:jc w:val="center"/>
              <w:rPr>
                <w:rFonts w:eastAsiaTheme="minorEastAsia"/>
                <w:kern w:val="0"/>
                <w:sz w:val="21"/>
                <w:szCs w:val="21"/>
              </w:rPr>
            </w:pPr>
            <w:r>
              <w:rPr>
                <w:rFonts w:eastAsiaTheme="minorEastAsia"/>
                <w:kern w:val="0"/>
                <w:sz w:val="21"/>
                <w:szCs w:val="21"/>
              </w:rPr>
              <w:t>非正常排放原因</w:t>
            </w:r>
          </w:p>
        </w:tc>
        <w:tc>
          <w:tcPr>
            <w:tcW w:w="850" w:type="dxa"/>
            <w:vAlign w:val="center"/>
          </w:tcPr>
          <w:p>
            <w:pPr>
              <w:jc w:val="center"/>
              <w:rPr>
                <w:rFonts w:eastAsiaTheme="minorEastAsia"/>
                <w:kern w:val="0"/>
                <w:sz w:val="21"/>
                <w:szCs w:val="21"/>
              </w:rPr>
            </w:pPr>
            <w:r>
              <w:rPr>
                <w:rFonts w:eastAsiaTheme="minorEastAsia"/>
                <w:kern w:val="0"/>
                <w:sz w:val="21"/>
                <w:szCs w:val="21"/>
              </w:rPr>
              <w:t>污染物</w:t>
            </w:r>
          </w:p>
        </w:tc>
        <w:tc>
          <w:tcPr>
            <w:tcW w:w="1559" w:type="dxa"/>
            <w:vAlign w:val="center"/>
          </w:tcPr>
          <w:p>
            <w:pPr>
              <w:jc w:val="center"/>
              <w:rPr>
                <w:rFonts w:eastAsiaTheme="minorEastAsia"/>
                <w:kern w:val="0"/>
                <w:sz w:val="21"/>
                <w:szCs w:val="21"/>
              </w:rPr>
            </w:pPr>
            <w:r>
              <w:rPr>
                <w:rFonts w:eastAsiaTheme="minorEastAsia"/>
                <w:kern w:val="0"/>
                <w:sz w:val="21"/>
                <w:szCs w:val="21"/>
              </w:rPr>
              <w:t>非正常排放浓度（mg/m</w:t>
            </w:r>
            <w:r>
              <w:rPr>
                <w:rFonts w:eastAsiaTheme="minorEastAsia"/>
                <w:kern w:val="0"/>
                <w:sz w:val="21"/>
                <w:szCs w:val="21"/>
                <w:vertAlign w:val="superscript"/>
              </w:rPr>
              <w:t>3</w:t>
            </w:r>
            <w:r>
              <w:rPr>
                <w:rFonts w:eastAsiaTheme="minorEastAsia"/>
                <w:kern w:val="0"/>
                <w:sz w:val="21"/>
                <w:szCs w:val="21"/>
              </w:rPr>
              <w:t>）</w:t>
            </w:r>
          </w:p>
        </w:tc>
        <w:tc>
          <w:tcPr>
            <w:tcW w:w="1276" w:type="dxa"/>
            <w:vAlign w:val="center"/>
          </w:tcPr>
          <w:p>
            <w:pPr>
              <w:jc w:val="center"/>
              <w:rPr>
                <w:rFonts w:eastAsiaTheme="minorEastAsia"/>
                <w:kern w:val="0"/>
                <w:sz w:val="21"/>
                <w:szCs w:val="21"/>
              </w:rPr>
            </w:pPr>
            <w:r>
              <w:rPr>
                <w:rFonts w:eastAsiaTheme="minorEastAsia"/>
                <w:kern w:val="0"/>
                <w:sz w:val="21"/>
                <w:szCs w:val="21"/>
              </w:rPr>
              <w:t>非正常排放速率（kg/h）</w:t>
            </w:r>
          </w:p>
        </w:tc>
        <w:tc>
          <w:tcPr>
            <w:tcW w:w="1276" w:type="dxa"/>
            <w:vAlign w:val="center"/>
          </w:tcPr>
          <w:p>
            <w:pPr>
              <w:jc w:val="center"/>
              <w:rPr>
                <w:rFonts w:eastAsiaTheme="minorEastAsia"/>
                <w:kern w:val="0"/>
                <w:sz w:val="21"/>
                <w:szCs w:val="21"/>
              </w:rPr>
            </w:pPr>
            <w:r>
              <w:rPr>
                <w:rFonts w:eastAsiaTheme="minorEastAsia"/>
                <w:kern w:val="0"/>
                <w:sz w:val="21"/>
                <w:szCs w:val="21"/>
              </w:rPr>
              <w:t>单词持续时间（h）</w:t>
            </w:r>
          </w:p>
        </w:tc>
        <w:tc>
          <w:tcPr>
            <w:tcW w:w="1134" w:type="dxa"/>
            <w:vAlign w:val="center"/>
          </w:tcPr>
          <w:p>
            <w:pPr>
              <w:jc w:val="center"/>
              <w:rPr>
                <w:rFonts w:eastAsiaTheme="minorEastAsia"/>
                <w:kern w:val="0"/>
                <w:sz w:val="21"/>
                <w:szCs w:val="21"/>
              </w:rPr>
            </w:pPr>
            <w:r>
              <w:rPr>
                <w:rFonts w:eastAsiaTheme="minorEastAsia"/>
                <w:kern w:val="0"/>
                <w:sz w:val="21"/>
                <w:szCs w:val="21"/>
              </w:rPr>
              <w:t>年发生频次（次）</w:t>
            </w:r>
          </w:p>
        </w:tc>
        <w:tc>
          <w:tcPr>
            <w:tcW w:w="902" w:type="dxa"/>
            <w:vAlign w:val="center"/>
          </w:tcPr>
          <w:p>
            <w:pPr>
              <w:jc w:val="center"/>
              <w:rPr>
                <w:rFonts w:eastAsiaTheme="minorEastAsia"/>
                <w:kern w:val="0"/>
                <w:sz w:val="21"/>
                <w:szCs w:val="21"/>
              </w:rPr>
            </w:pPr>
            <w:r>
              <w:rPr>
                <w:rFonts w:eastAsiaTheme="minorEastAsia"/>
                <w:kern w:val="0"/>
                <w:sz w:val="2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vAlign w:val="center"/>
          </w:tcPr>
          <w:p>
            <w:pPr>
              <w:jc w:val="center"/>
              <w:rPr>
                <w:rFonts w:eastAsiaTheme="minorEastAsia"/>
                <w:kern w:val="0"/>
                <w:sz w:val="21"/>
                <w:szCs w:val="21"/>
              </w:rPr>
            </w:pPr>
            <w:r>
              <w:rPr>
                <w:rFonts w:eastAsiaTheme="minorEastAsia"/>
                <w:kern w:val="0"/>
                <w:sz w:val="21"/>
                <w:szCs w:val="21"/>
              </w:rPr>
              <w:t>DA001</w:t>
            </w:r>
          </w:p>
        </w:tc>
        <w:tc>
          <w:tcPr>
            <w:tcW w:w="993" w:type="dxa"/>
            <w:vAlign w:val="center"/>
          </w:tcPr>
          <w:p>
            <w:pPr>
              <w:jc w:val="center"/>
              <w:rPr>
                <w:rFonts w:eastAsiaTheme="minorEastAsia"/>
                <w:kern w:val="0"/>
                <w:sz w:val="21"/>
                <w:szCs w:val="21"/>
              </w:rPr>
            </w:pPr>
            <w:r>
              <w:rPr>
                <w:rFonts w:eastAsiaTheme="minorEastAsia"/>
                <w:kern w:val="0"/>
                <w:sz w:val="21"/>
                <w:szCs w:val="21"/>
              </w:rPr>
              <w:t>处置措施故障</w:t>
            </w:r>
          </w:p>
        </w:tc>
        <w:tc>
          <w:tcPr>
            <w:tcW w:w="850" w:type="dxa"/>
            <w:vAlign w:val="center"/>
          </w:tcPr>
          <w:p>
            <w:pPr>
              <w:jc w:val="center"/>
              <w:rPr>
                <w:rFonts w:eastAsiaTheme="minorEastAsia"/>
                <w:kern w:val="0"/>
                <w:sz w:val="21"/>
                <w:szCs w:val="21"/>
              </w:rPr>
            </w:pPr>
            <w:r>
              <w:rPr>
                <w:rFonts w:hint="eastAsia" w:eastAsiaTheme="minorEastAsia"/>
                <w:kern w:val="0"/>
                <w:sz w:val="21"/>
                <w:szCs w:val="21"/>
              </w:rPr>
              <w:t>非甲烷总烃</w:t>
            </w:r>
          </w:p>
        </w:tc>
        <w:tc>
          <w:tcPr>
            <w:tcW w:w="1559" w:type="dxa"/>
            <w:vAlign w:val="center"/>
          </w:tcPr>
          <w:p>
            <w:pPr>
              <w:jc w:val="center"/>
              <w:rPr>
                <w:rFonts w:eastAsiaTheme="minorEastAsia"/>
                <w:kern w:val="0"/>
                <w:sz w:val="21"/>
                <w:szCs w:val="21"/>
              </w:rPr>
            </w:pPr>
            <w:r>
              <w:rPr>
                <w:rFonts w:hint="eastAsia" w:eastAsiaTheme="minorEastAsia"/>
                <w:kern w:val="0"/>
                <w:sz w:val="21"/>
                <w:szCs w:val="21"/>
              </w:rPr>
              <w:t>17.33</w:t>
            </w:r>
          </w:p>
        </w:tc>
        <w:tc>
          <w:tcPr>
            <w:tcW w:w="1276" w:type="dxa"/>
            <w:vAlign w:val="center"/>
          </w:tcPr>
          <w:p>
            <w:pPr>
              <w:jc w:val="center"/>
              <w:rPr>
                <w:rFonts w:eastAsiaTheme="minorEastAsia"/>
                <w:kern w:val="0"/>
                <w:sz w:val="21"/>
                <w:szCs w:val="21"/>
              </w:rPr>
            </w:pPr>
            <w:r>
              <w:rPr>
                <w:rFonts w:hint="eastAsia" w:eastAsiaTheme="minorEastAsia"/>
                <w:kern w:val="0"/>
                <w:sz w:val="21"/>
                <w:szCs w:val="21"/>
              </w:rPr>
              <w:t>0.91</w:t>
            </w:r>
          </w:p>
        </w:tc>
        <w:tc>
          <w:tcPr>
            <w:tcW w:w="1276" w:type="dxa"/>
            <w:vAlign w:val="center"/>
          </w:tcPr>
          <w:p>
            <w:pPr>
              <w:jc w:val="center"/>
              <w:rPr>
                <w:rFonts w:eastAsiaTheme="minorEastAsia"/>
                <w:kern w:val="0"/>
                <w:sz w:val="21"/>
                <w:szCs w:val="21"/>
              </w:rPr>
            </w:pPr>
            <w:r>
              <w:rPr>
                <w:rFonts w:eastAsiaTheme="minorEastAsia"/>
                <w:kern w:val="0"/>
                <w:sz w:val="21"/>
                <w:szCs w:val="21"/>
              </w:rPr>
              <w:t>0.25</w:t>
            </w:r>
          </w:p>
        </w:tc>
        <w:tc>
          <w:tcPr>
            <w:tcW w:w="1134" w:type="dxa"/>
            <w:vAlign w:val="center"/>
          </w:tcPr>
          <w:p>
            <w:pPr>
              <w:jc w:val="center"/>
              <w:rPr>
                <w:rFonts w:eastAsiaTheme="minorEastAsia"/>
                <w:kern w:val="0"/>
                <w:sz w:val="21"/>
                <w:szCs w:val="21"/>
                <w:vertAlign w:val="superscript"/>
              </w:rPr>
            </w:pPr>
            <w:r>
              <w:rPr>
                <w:rFonts w:eastAsiaTheme="minorEastAsia"/>
                <w:kern w:val="0"/>
                <w:sz w:val="21"/>
                <w:szCs w:val="21"/>
              </w:rPr>
              <w:t>10</w:t>
            </w:r>
            <w:r>
              <w:rPr>
                <w:rFonts w:eastAsiaTheme="minorEastAsia"/>
                <w:kern w:val="0"/>
                <w:sz w:val="21"/>
                <w:szCs w:val="21"/>
                <w:vertAlign w:val="superscript"/>
              </w:rPr>
              <w:t>-4</w:t>
            </w:r>
          </w:p>
        </w:tc>
        <w:tc>
          <w:tcPr>
            <w:tcW w:w="902" w:type="dxa"/>
            <w:vMerge w:val="restart"/>
            <w:vAlign w:val="center"/>
          </w:tcPr>
          <w:p>
            <w:pPr>
              <w:jc w:val="center"/>
              <w:rPr>
                <w:rFonts w:eastAsiaTheme="minorEastAsia"/>
                <w:kern w:val="0"/>
                <w:sz w:val="21"/>
                <w:szCs w:val="21"/>
              </w:rPr>
            </w:pPr>
            <w:r>
              <w:rPr>
                <w:rFonts w:eastAsiaTheme="minorEastAsia"/>
                <w:kern w:val="0"/>
                <w:sz w:val="21"/>
                <w:szCs w:val="21"/>
              </w:rPr>
              <w:t>及时停车，对故障部位进行维修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vAlign w:val="center"/>
          </w:tcPr>
          <w:p>
            <w:pPr>
              <w:jc w:val="center"/>
              <w:rPr>
                <w:rFonts w:eastAsiaTheme="minorEastAsia"/>
                <w:kern w:val="0"/>
                <w:sz w:val="21"/>
                <w:szCs w:val="21"/>
              </w:rPr>
            </w:pPr>
            <w:r>
              <w:rPr>
                <w:rFonts w:hint="eastAsia" w:eastAsiaTheme="minorEastAsia"/>
                <w:kern w:val="0"/>
                <w:sz w:val="21"/>
                <w:szCs w:val="21"/>
              </w:rPr>
              <w:t>DA</w:t>
            </w:r>
            <w:r>
              <w:rPr>
                <w:rFonts w:eastAsiaTheme="minorEastAsia"/>
                <w:kern w:val="0"/>
                <w:sz w:val="21"/>
                <w:szCs w:val="21"/>
              </w:rPr>
              <w:t>00</w:t>
            </w:r>
            <w:r>
              <w:rPr>
                <w:rFonts w:hint="eastAsia" w:eastAsiaTheme="minorEastAsia"/>
                <w:kern w:val="0"/>
                <w:sz w:val="21"/>
                <w:szCs w:val="21"/>
              </w:rPr>
              <w:t>2</w:t>
            </w:r>
          </w:p>
        </w:tc>
        <w:tc>
          <w:tcPr>
            <w:tcW w:w="993" w:type="dxa"/>
            <w:vAlign w:val="center"/>
          </w:tcPr>
          <w:p>
            <w:pPr>
              <w:widowControl/>
              <w:jc w:val="center"/>
              <w:rPr>
                <w:rFonts w:eastAsiaTheme="minorEastAsia"/>
                <w:kern w:val="0"/>
                <w:sz w:val="21"/>
                <w:szCs w:val="21"/>
              </w:rPr>
            </w:pPr>
            <w:r>
              <w:rPr>
                <w:rFonts w:eastAsiaTheme="minorEastAsia"/>
                <w:kern w:val="0"/>
                <w:sz w:val="21"/>
                <w:szCs w:val="21"/>
              </w:rPr>
              <w:t>处置措施故障</w:t>
            </w:r>
          </w:p>
        </w:tc>
        <w:tc>
          <w:tcPr>
            <w:tcW w:w="850" w:type="dxa"/>
            <w:vAlign w:val="center"/>
          </w:tcPr>
          <w:p>
            <w:pPr>
              <w:jc w:val="center"/>
              <w:rPr>
                <w:rFonts w:eastAsiaTheme="minorEastAsia"/>
                <w:kern w:val="0"/>
                <w:sz w:val="21"/>
                <w:szCs w:val="21"/>
              </w:rPr>
            </w:pPr>
            <w:r>
              <w:rPr>
                <w:rFonts w:hint="eastAsia" w:eastAsiaTheme="minorEastAsia"/>
                <w:kern w:val="0"/>
                <w:sz w:val="21"/>
                <w:szCs w:val="21"/>
              </w:rPr>
              <w:t>非甲烷总烃</w:t>
            </w:r>
          </w:p>
        </w:tc>
        <w:tc>
          <w:tcPr>
            <w:tcW w:w="1559" w:type="dxa"/>
            <w:vAlign w:val="center"/>
          </w:tcPr>
          <w:p>
            <w:pPr>
              <w:jc w:val="center"/>
              <w:rPr>
                <w:rFonts w:eastAsiaTheme="minorEastAsia"/>
                <w:kern w:val="0"/>
                <w:sz w:val="21"/>
                <w:szCs w:val="21"/>
              </w:rPr>
            </w:pPr>
            <w:r>
              <w:rPr>
                <w:rFonts w:hint="eastAsia" w:eastAsiaTheme="minorEastAsia"/>
                <w:kern w:val="0"/>
                <w:sz w:val="21"/>
                <w:szCs w:val="21"/>
              </w:rPr>
              <w:t>16.51</w:t>
            </w:r>
          </w:p>
        </w:tc>
        <w:tc>
          <w:tcPr>
            <w:tcW w:w="1276" w:type="dxa"/>
            <w:vAlign w:val="center"/>
          </w:tcPr>
          <w:p>
            <w:pPr>
              <w:jc w:val="center"/>
              <w:rPr>
                <w:rFonts w:eastAsiaTheme="minorEastAsia"/>
                <w:kern w:val="0"/>
                <w:sz w:val="21"/>
                <w:szCs w:val="21"/>
              </w:rPr>
            </w:pPr>
            <w:r>
              <w:rPr>
                <w:rFonts w:hint="eastAsia" w:eastAsiaTheme="minorEastAsia"/>
                <w:kern w:val="0"/>
                <w:sz w:val="21"/>
                <w:szCs w:val="21"/>
              </w:rPr>
              <w:t>0.52</w:t>
            </w:r>
          </w:p>
        </w:tc>
        <w:tc>
          <w:tcPr>
            <w:tcW w:w="1276" w:type="dxa"/>
            <w:vAlign w:val="center"/>
          </w:tcPr>
          <w:p>
            <w:pPr>
              <w:jc w:val="center"/>
              <w:rPr>
                <w:rFonts w:eastAsiaTheme="minorEastAsia"/>
                <w:kern w:val="0"/>
                <w:sz w:val="21"/>
                <w:szCs w:val="21"/>
              </w:rPr>
            </w:pPr>
            <w:r>
              <w:rPr>
                <w:rFonts w:eastAsiaTheme="minorEastAsia"/>
                <w:kern w:val="0"/>
                <w:sz w:val="21"/>
                <w:szCs w:val="21"/>
              </w:rPr>
              <w:t>0.25</w:t>
            </w:r>
          </w:p>
        </w:tc>
        <w:tc>
          <w:tcPr>
            <w:tcW w:w="1134" w:type="dxa"/>
            <w:vAlign w:val="center"/>
          </w:tcPr>
          <w:p>
            <w:pPr>
              <w:jc w:val="center"/>
              <w:rPr>
                <w:rFonts w:eastAsiaTheme="minorEastAsia"/>
                <w:kern w:val="0"/>
                <w:sz w:val="21"/>
                <w:szCs w:val="21"/>
              </w:rPr>
            </w:pPr>
            <w:r>
              <w:rPr>
                <w:rFonts w:eastAsiaTheme="minorEastAsia"/>
                <w:kern w:val="0"/>
                <w:sz w:val="21"/>
                <w:szCs w:val="21"/>
              </w:rPr>
              <w:t>10</w:t>
            </w:r>
            <w:r>
              <w:rPr>
                <w:rFonts w:eastAsiaTheme="minorEastAsia"/>
                <w:kern w:val="0"/>
                <w:sz w:val="21"/>
                <w:szCs w:val="21"/>
                <w:vertAlign w:val="superscript"/>
              </w:rPr>
              <w:t>-4</w:t>
            </w:r>
          </w:p>
        </w:tc>
        <w:tc>
          <w:tcPr>
            <w:tcW w:w="902" w:type="dxa"/>
            <w:vMerge w:val="continue"/>
            <w:vAlign w:val="center"/>
          </w:tcPr>
          <w:p>
            <w:pPr>
              <w:widowControl/>
              <w:jc w:val="center"/>
              <w:rPr>
                <w:rFonts w:eastAsiaTheme="minorEastAsia"/>
                <w:kern w:val="0"/>
                <w:sz w:val="21"/>
                <w:szCs w:val="21"/>
              </w:rPr>
            </w:pPr>
          </w:p>
        </w:tc>
      </w:tr>
    </w:tbl>
    <w:p>
      <w:pPr>
        <w:pStyle w:val="24"/>
        <w:autoSpaceDE/>
        <w:autoSpaceDN/>
        <w:adjustRightInd/>
        <w:spacing w:line="460" w:lineRule="exact"/>
        <w:ind w:firstLine="482" w:firstLineChars="200"/>
        <w:rPr>
          <w:rFonts w:hint="default" w:ascii="Times New Roman" w:hAnsi="Times New Roman"/>
          <w:b/>
          <w:color w:val="auto"/>
          <w:szCs w:val="28"/>
        </w:rPr>
      </w:pPr>
    </w:p>
    <w:p>
      <w:pPr>
        <w:pStyle w:val="4"/>
        <w:adjustRightInd w:val="0"/>
        <w:spacing w:before="120" w:after="120" w:line="460" w:lineRule="exact"/>
        <w:textAlignment w:val="baseline"/>
        <w:rPr>
          <w:rFonts w:ascii="Times New Roman" w:hAnsi="Times New Roman"/>
          <w:b w:val="0"/>
          <w:szCs w:val="28"/>
        </w:rPr>
      </w:pPr>
      <w:bookmarkStart w:id="164" w:name="_Toc165386226"/>
      <w:r>
        <w:rPr>
          <w:rFonts w:hint="eastAsia" w:ascii="Times New Roman" w:hAnsi="Times New Roman"/>
          <w:b w:val="0"/>
          <w:szCs w:val="28"/>
        </w:rPr>
        <w:t>4.5</w:t>
      </w:r>
      <w:r>
        <w:rPr>
          <w:rFonts w:ascii="Times New Roman" w:hAnsi="Times New Roman"/>
          <w:b w:val="0"/>
          <w:szCs w:val="28"/>
        </w:rPr>
        <w:t xml:space="preserve"> </w:t>
      </w:r>
      <w:r>
        <w:rPr>
          <w:rFonts w:hint="eastAsia" w:ascii="Times New Roman" w:hAnsi="Times New Roman"/>
          <w:b w:val="0"/>
          <w:szCs w:val="28"/>
        </w:rPr>
        <w:t>改</w:t>
      </w:r>
      <w:r>
        <w:rPr>
          <w:rFonts w:ascii="Times New Roman" w:hAnsi="Times New Roman"/>
          <w:b w:val="0"/>
          <w:szCs w:val="28"/>
        </w:rPr>
        <w:t>扩建项目“三本账”分析</w:t>
      </w:r>
      <w:bookmarkEnd w:id="164"/>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改扩建项目“三本账”分析详见表4.5-1。</w:t>
      </w:r>
    </w:p>
    <w:p>
      <w:pPr>
        <w:ind w:firstLine="420" w:firstLineChars="200"/>
        <w:rPr>
          <w:rFonts w:hAnsi="黑体" w:eastAsia="黑体"/>
        </w:rPr>
      </w:pPr>
      <w:bookmarkStart w:id="165" w:name="_Hlk168305570"/>
      <w:r>
        <w:rPr>
          <w:rFonts w:hAnsi="黑体" w:eastAsia="黑体"/>
        </w:rPr>
        <w:t>表</w:t>
      </w:r>
      <w:r>
        <w:rPr>
          <w:rFonts w:hint="eastAsia" w:hAnsi="黑体" w:eastAsia="黑体"/>
        </w:rPr>
        <w:t>4.5</w:t>
      </w:r>
      <w:r>
        <w:rPr>
          <w:rFonts w:hAnsi="黑体" w:eastAsia="黑体"/>
        </w:rPr>
        <w:t xml:space="preserve">-1        </w:t>
      </w:r>
      <w:r>
        <w:rPr>
          <w:rFonts w:hint="eastAsia" w:hAnsi="黑体" w:eastAsia="黑体"/>
        </w:rPr>
        <w:t xml:space="preserve">     改</w:t>
      </w:r>
      <w:r>
        <w:rPr>
          <w:rFonts w:hAnsi="黑体" w:eastAsia="黑体"/>
        </w:rPr>
        <w:t>扩建项目“三本账”分析一览表</w:t>
      </w:r>
      <w:r>
        <w:rPr>
          <w:rFonts w:hint="eastAsia" w:hAnsi="黑体" w:eastAsia="黑体"/>
        </w:rPr>
        <w:t xml:space="preserve">                 单位：t/a</w:t>
      </w:r>
    </w:p>
    <w:tbl>
      <w:tblPr>
        <w:tblStyle w:val="60"/>
        <w:tblW w:w="84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695"/>
        <w:gridCol w:w="1275"/>
        <w:gridCol w:w="1276"/>
        <w:gridCol w:w="1134"/>
        <w:gridCol w:w="1418"/>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54" w:type="dxa"/>
            <w:vMerge w:val="restart"/>
            <w:vAlign w:val="center"/>
          </w:tcPr>
          <w:p>
            <w:pPr>
              <w:jc w:val="center"/>
              <w:rPr>
                <w:kern w:val="0"/>
                <w:sz w:val="21"/>
                <w:szCs w:val="21"/>
              </w:rPr>
            </w:pPr>
            <w:r>
              <w:rPr>
                <w:rFonts w:hint="eastAsia"/>
                <w:kern w:val="0"/>
                <w:sz w:val="21"/>
                <w:szCs w:val="21"/>
              </w:rPr>
              <w:t>分类</w:t>
            </w:r>
          </w:p>
        </w:tc>
        <w:tc>
          <w:tcPr>
            <w:tcW w:w="1695" w:type="dxa"/>
            <w:vMerge w:val="restart"/>
            <w:vAlign w:val="center"/>
          </w:tcPr>
          <w:p>
            <w:pPr>
              <w:jc w:val="center"/>
              <w:rPr>
                <w:kern w:val="0"/>
                <w:sz w:val="21"/>
                <w:szCs w:val="21"/>
              </w:rPr>
            </w:pPr>
            <w:r>
              <w:rPr>
                <w:rFonts w:hint="eastAsia"/>
                <w:kern w:val="0"/>
                <w:sz w:val="21"/>
                <w:szCs w:val="21"/>
              </w:rPr>
              <w:t>污染物</w:t>
            </w:r>
          </w:p>
        </w:tc>
        <w:tc>
          <w:tcPr>
            <w:tcW w:w="1275" w:type="dxa"/>
            <w:vMerge w:val="restart"/>
            <w:vAlign w:val="center"/>
          </w:tcPr>
          <w:p>
            <w:pPr>
              <w:jc w:val="center"/>
              <w:rPr>
                <w:kern w:val="0"/>
                <w:sz w:val="21"/>
                <w:szCs w:val="21"/>
              </w:rPr>
            </w:pPr>
            <w:r>
              <w:rPr>
                <w:rFonts w:hint="eastAsia"/>
                <w:kern w:val="0"/>
                <w:sz w:val="21"/>
                <w:szCs w:val="21"/>
              </w:rPr>
              <w:t>现有工程排放量</w:t>
            </w:r>
          </w:p>
        </w:tc>
        <w:tc>
          <w:tcPr>
            <w:tcW w:w="1276" w:type="dxa"/>
            <w:vMerge w:val="restart"/>
            <w:vAlign w:val="center"/>
          </w:tcPr>
          <w:p>
            <w:pPr>
              <w:jc w:val="center"/>
              <w:rPr>
                <w:kern w:val="0"/>
                <w:sz w:val="21"/>
                <w:szCs w:val="21"/>
              </w:rPr>
            </w:pPr>
            <w:r>
              <w:rPr>
                <w:rFonts w:hint="eastAsia"/>
                <w:kern w:val="0"/>
                <w:sz w:val="21"/>
                <w:szCs w:val="21"/>
              </w:rPr>
              <w:t>本工程排放量</w:t>
            </w:r>
          </w:p>
        </w:tc>
        <w:tc>
          <w:tcPr>
            <w:tcW w:w="1134" w:type="dxa"/>
            <w:vMerge w:val="restart"/>
            <w:vAlign w:val="center"/>
          </w:tcPr>
          <w:p>
            <w:pPr>
              <w:jc w:val="center"/>
              <w:rPr>
                <w:kern w:val="0"/>
                <w:sz w:val="21"/>
                <w:szCs w:val="21"/>
              </w:rPr>
            </w:pPr>
            <w:r>
              <w:rPr>
                <w:rFonts w:hint="eastAsia"/>
                <w:kern w:val="0"/>
                <w:sz w:val="21"/>
                <w:szCs w:val="21"/>
              </w:rPr>
              <w:t>以新带老消减量</w:t>
            </w:r>
          </w:p>
        </w:tc>
        <w:tc>
          <w:tcPr>
            <w:tcW w:w="1418" w:type="dxa"/>
            <w:vAlign w:val="center"/>
          </w:tcPr>
          <w:p>
            <w:pPr>
              <w:jc w:val="center"/>
              <w:rPr>
                <w:kern w:val="0"/>
                <w:sz w:val="21"/>
                <w:szCs w:val="21"/>
              </w:rPr>
            </w:pPr>
            <w:r>
              <w:rPr>
                <w:rFonts w:hint="eastAsia"/>
                <w:kern w:val="0"/>
                <w:sz w:val="21"/>
                <w:szCs w:val="21"/>
              </w:rPr>
              <w:t>总体工程</w:t>
            </w:r>
          </w:p>
        </w:tc>
        <w:tc>
          <w:tcPr>
            <w:tcW w:w="1111" w:type="dxa"/>
            <w:vMerge w:val="restart"/>
            <w:vAlign w:val="center"/>
          </w:tcPr>
          <w:p>
            <w:pPr>
              <w:jc w:val="center"/>
              <w:rPr>
                <w:kern w:val="0"/>
                <w:sz w:val="21"/>
                <w:szCs w:val="21"/>
              </w:rPr>
            </w:pPr>
            <w:r>
              <w:rPr>
                <w:rFonts w:hint="eastAsia"/>
                <w:kern w:val="0"/>
                <w:sz w:val="21"/>
                <w:szCs w:val="21"/>
              </w:rPr>
              <w:t>排放增 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54" w:type="dxa"/>
            <w:vMerge w:val="continue"/>
            <w:vAlign w:val="center"/>
          </w:tcPr>
          <w:p>
            <w:pPr>
              <w:jc w:val="center"/>
              <w:rPr>
                <w:kern w:val="0"/>
                <w:sz w:val="21"/>
                <w:szCs w:val="21"/>
              </w:rPr>
            </w:pPr>
          </w:p>
        </w:tc>
        <w:tc>
          <w:tcPr>
            <w:tcW w:w="1695" w:type="dxa"/>
            <w:vMerge w:val="continue"/>
            <w:vAlign w:val="center"/>
          </w:tcPr>
          <w:p>
            <w:pPr>
              <w:jc w:val="center"/>
              <w:rPr>
                <w:kern w:val="0"/>
                <w:sz w:val="21"/>
                <w:szCs w:val="21"/>
              </w:rPr>
            </w:pPr>
          </w:p>
        </w:tc>
        <w:tc>
          <w:tcPr>
            <w:tcW w:w="1275" w:type="dxa"/>
            <w:vMerge w:val="continue"/>
            <w:vAlign w:val="center"/>
          </w:tcPr>
          <w:p>
            <w:pPr>
              <w:jc w:val="center"/>
              <w:rPr>
                <w:kern w:val="0"/>
                <w:sz w:val="21"/>
                <w:szCs w:val="21"/>
              </w:rPr>
            </w:pPr>
          </w:p>
        </w:tc>
        <w:tc>
          <w:tcPr>
            <w:tcW w:w="1276" w:type="dxa"/>
            <w:vMerge w:val="continue"/>
            <w:vAlign w:val="center"/>
          </w:tcPr>
          <w:p>
            <w:pPr>
              <w:jc w:val="center"/>
              <w:rPr>
                <w:kern w:val="0"/>
                <w:sz w:val="21"/>
                <w:szCs w:val="21"/>
              </w:rPr>
            </w:pPr>
          </w:p>
        </w:tc>
        <w:tc>
          <w:tcPr>
            <w:tcW w:w="1134" w:type="dxa"/>
            <w:vMerge w:val="continue"/>
            <w:vAlign w:val="center"/>
          </w:tcPr>
          <w:p>
            <w:pPr>
              <w:jc w:val="center"/>
              <w:rPr>
                <w:kern w:val="0"/>
                <w:sz w:val="21"/>
                <w:szCs w:val="21"/>
              </w:rPr>
            </w:pPr>
          </w:p>
        </w:tc>
        <w:tc>
          <w:tcPr>
            <w:tcW w:w="1418" w:type="dxa"/>
            <w:vAlign w:val="center"/>
          </w:tcPr>
          <w:p>
            <w:pPr>
              <w:jc w:val="center"/>
              <w:rPr>
                <w:kern w:val="0"/>
                <w:sz w:val="21"/>
                <w:szCs w:val="21"/>
              </w:rPr>
            </w:pPr>
            <w:r>
              <w:rPr>
                <w:rFonts w:hint="eastAsia"/>
                <w:kern w:val="0"/>
                <w:sz w:val="21"/>
                <w:szCs w:val="21"/>
              </w:rPr>
              <w:t>现有-以新带老+拟建</w:t>
            </w:r>
          </w:p>
        </w:tc>
        <w:tc>
          <w:tcPr>
            <w:tcW w:w="1111" w:type="dxa"/>
            <w:vMerge w:val="continue"/>
            <w:vAlign w:val="center"/>
          </w:tcPr>
          <w:p>
            <w:pPr>
              <w:jc w:val="center"/>
              <w:rPr>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Align w:val="center"/>
          </w:tcPr>
          <w:p>
            <w:pPr>
              <w:jc w:val="center"/>
              <w:rPr>
                <w:kern w:val="0"/>
                <w:sz w:val="21"/>
                <w:szCs w:val="21"/>
              </w:rPr>
            </w:pPr>
            <w:r>
              <w:rPr>
                <w:rFonts w:hint="eastAsia"/>
                <w:kern w:val="0"/>
                <w:sz w:val="21"/>
                <w:szCs w:val="21"/>
              </w:rPr>
              <w:t>废气</w:t>
            </w:r>
          </w:p>
        </w:tc>
        <w:tc>
          <w:tcPr>
            <w:tcW w:w="1695" w:type="dxa"/>
            <w:vAlign w:val="center"/>
          </w:tcPr>
          <w:p>
            <w:pPr>
              <w:jc w:val="center"/>
              <w:rPr>
                <w:kern w:val="0"/>
                <w:sz w:val="21"/>
                <w:szCs w:val="21"/>
              </w:rPr>
            </w:pPr>
            <w:r>
              <w:rPr>
                <w:rFonts w:hint="eastAsia"/>
                <w:kern w:val="0"/>
                <w:sz w:val="21"/>
                <w:szCs w:val="21"/>
              </w:rPr>
              <w:t>非甲烷总烃</w:t>
            </w:r>
          </w:p>
        </w:tc>
        <w:tc>
          <w:tcPr>
            <w:tcW w:w="1275" w:type="dxa"/>
            <w:vAlign w:val="center"/>
          </w:tcPr>
          <w:p>
            <w:pPr>
              <w:jc w:val="center"/>
              <w:rPr>
                <w:kern w:val="0"/>
                <w:sz w:val="21"/>
                <w:szCs w:val="21"/>
              </w:rPr>
            </w:pPr>
            <w:r>
              <w:rPr>
                <w:rFonts w:hint="eastAsia"/>
                <w:kern w:val="0"/>
                <w:sz w:val="21"/>
                <w:szCs w:val="21"/>
              </w:rPr>
              <w:t>0.007</w:t>
            </w:r>
          </w:p>
        </w:tc>
        <w:tc>
          <w:tcPr>
            <w:tcW w:w="1276" w:type="dxa"/>
            <w:vAlign w:val="center"/>
          </w:tcPr>
          <w:p>
            <w:pPr>
              <w:jc w:val="center"/>
              <w:rPr>
                <w:kern w:val="0"/>
                <w:sz w:val="21"/>
                <w:szCs w:val="21"/>
              </w:rPr>
            </w:pPr>
            <w:r>
              <w:rPr>
                <w:rFonts w:hint="eastAsia"/>
                <w:kern w:val="0"/>
                <w:sz w:val="21"/>
                <w:szCs w:val="21"/>
              </w:rPr>
              <w:t>1.55</w:t>
            </w:r>
          </w:p>
        </w:tc>
        <w:tc>
          <w:tcPr>
            <w:tcW w:w="1134" w:type="dxa"/>
            <w:vAlign w:val="center"/>
          </w:tcPr>
          <w:p>
            <w:pPr>
              <w:jc w:val="center"/>
              <w:rPr>
                <w:kern w:val="0"/>
                <w:sz w:val="21"/>
                <w:szCs w:val="21"/>
              </w:rPr>
            </w:pPr>
            <w:r>
              <w:rPr>
                <w:rFonts w:hint="eastAsia"/>
                <w:kern w:val="0"/>
                <w:sz w:val="21"/>
                <w:szCs w:val="21"/>
              </w:rPr>
              <w:t>0.007</w:t>
            </w:r>
          </w:p>
        </w:tc>
        <w:tc>
          <w:tcPr>
            <w:tcW w:w="1418" w:type="dxa"/>
            <w:vAlign w:val="center"/>
          </w:tcPr>
          <w:p>
            <w:pPr>
              <w:jc w:val="center"/>
              <w:rPr>
                <w:kern w:val="0"/>
                <w:sz w:val="21"/>
                <w:szCs w:val="21"/>
              </w:rPr>
            </w:pPr>
            <w:r>
              <w:rPr>
                <w:rFonts w:hint="eastAsia"/>
                <w:kern w:val="0"/>
                <w:sz w:val="21"/>
                <w:szCs w:val="21"/>
              </w:rPr>
              <w:t>1.55</w:t>
            </w:r>
          </w:p>
        </w:tc>
        <w:tc>
          <w:tcPr>
            <w:tcW w:w="1111" w:type="dxa"/>
            <w:vAlign w:val="center"/>
          </w:tcPr>
          <w:p>
            <w:pPr>
              <w:jc w:val="center"/>
              <w:rPr>
                <w:kern w:val="0"/>
                <w:sz w:val="21"/>
                <w:szCs w:val="21"/>
              </w:rPr>
            </w:pPr>
            <w:r>
              <w:rPr>
                <w:rFonts w:hint="eastAsia"/>
                <w:kern w:val="0"/>
                <w:sz w:val="21"/>
                <w:szCs w:val="21"/>
              </w:rPr>
              <w:t>+1.543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restart"/>
            <w:vAlign w:val="center"/>
          </w:tcPr>
          <w:p>
            <w:pPr>
              <w:jc w:val="center"/>
              <w:rPr>
                <w:kern w:val="0"/>
                <w:sz w:val="21"/>
                <w:szCs w:val="21"/>
              </w:rPr>
            </w:pPr>
            <w:r>
              <w:rPr>
                <w:rFonts w:hint="eastAsia"/>
                <w:kern w:val="0"/>
                <w:sz w:val="21"/>
                <w:szCs w:val="21"/>
              </w:rPr>
              <w:t>废水</w:t>
            </w:r>
          </w:p>
        </w:tc>
        <w:tc>
          <w:tcPr>
            <w:tcW w:w="1695" w:type="dxa"/>
            <w:vAlign w:val="center"/>
          </w:tcPr>
          <w:p>
            <w:pPr>
              <w:jc w:val="center"/>
              <w:rPr>
                <w:kern w:val="0"/>
                <w:sz w:val="21"/>
                <w:szCs w:val="21"/>
              </w:rPr>
            </w:pPr>
            <w:r>
              <w:rPr>
                <w:rFonts w:hint="eastAsia"/>
                <w:kern w:val="0"/>
                <w:sz w:val="21"/>
                <w:szCs w:val="21"/>
              </w:rPr>
              <w:t>塑料清洗废水</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kern w:val="0"/>
                <w:sz w:val="21"/>
                <w:szCs w:val="21"/>
              </w:rPr>
            </w:pPr>
            <w:r>
              <w:rPr>
                <w:rFonts w:hint="eastAsia"/>
                <w:kern w:val="0"/>
                <w:sz w:val="21"/>
                <w:szCs w:val="21"/>
              </w:rPr>
              <w:t>0</w:t>
            </w:r>
          </w:p>
        </w:tc>
        <w:tc>
          <w:tcPr>
            <w:tcW w:w="1134" w:type="dxa"/>
            <w:vAlign w:val="center"/>
          </w:tcPr>
          <w:p>
            <w:pPr>
              <w:jc w:val="center"/>
              <w:rPr>
                <w:kern w:val="0"/>
                <w:sz w:val="21"/>
                <w:szCs w:val="21"/>
              </w:rPr>
            </w:pPr>
            <w:r>
              <w:rPr>
                <w:rFonts w:hint="eastAsia"/>
                <w:kern w:val="0"/>
                <w:sz w:val="21"/>
                <w:szCs w:val="21"/>
              </w:rPr>
              <w:t>0</w:t>
            </w:r>
          </w:p>
        </w:tc>
        <w:tc>
          <w:tcPr>
            <w:tcW w:w="1418" w:type="dxa"/>
            <w:vAlign w:val="center"/>
          </w:tcPr>
          <w:p>
            <w:pPr>
              <w:jc w:val="center"/>
              <w:rPr>
                <w:kern w:val="0"/>
                <w:sz w:val="21"/>
                <w:szCs w:val="21"/>
              </w:rPr>
            </w:pPr>
            <w:r>
              <w:rPr>
                <w:rFonts w:hint="eastAsia"/>
                <w:kern w:val="0"/>
                <w:sz w:val="21"/>
                <w:szCs w:val="21"/>
              </w:rPr>
              <w:t>0</w:t>
            </w:r>
          </w:p>
        </w:tc>
        <w:tc>
          <w:tcPr>
            <w:tcW w:w="1111"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kern w:val="0"/>
                <w:sz w:val="21"/>
                <w:szCs w:val="21"/>
              </w:rPr>
            </w:pPr>
            <w:r>
              <w:rPr>
                <w:rFonts w:hint="eastAsia"/>
                <w:kern w:val="0"/>
                <w:sz w:val="21"/>
                <w:szCs w:val="21"/>
              </w:rPr>
              <w:t>生产冷却水</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kern w:val="0"/>
                <w:sz w:val="21"/>
                <w:szCs w:val="21"/>
              </w:rPr>
            </w:pPr>
            <w:r>
              <w:rPr>
                <w:rFonts w:hint="eastAsia"/>
                <w:kern w:val="0"/>
                <w:sz w:val="21"/>
                <w:szCs w:val="21"/>
              </w:rPr>
              <w:t>0</w:t>
            </w:r>
          </w:p>
        </w:tc>
        <w:tc>
          <w:tcPr>
            <w:tcW w:w="1134" w:type="dxa"/>
            <w:vAlign w:val="center"/>
          </w:tcPr>
          <w:p>
            <w:pPr>
              <w:jc w:val="center"/>
              <w:rPr>
                <w:kern w:val="0"/>
                <w:sz w:val="21"/>
                <w:szCs w:val="21"/>
              </w:rPr>
            </w:pPr>
            <w:r>
              <w:rPr>
                <w:rFonts w:hint="eastAsia"/>
                <w:kern w:val="0"/>
                <w:sz w:val="21"/>
                <w:szCs w:val="21"/>
              </w:rPr>
              <w:t>0</w:t>
            </w:r>
          </w:p>
        </w:tc>
        <w:tc>
          <w:tcPr>
            <w:tcW w:w="1418" w:type="dxa"/>
            <w:vAlign w:val="center"/>
          </w:tcPr>
          <w:p>
            <w:pPr>
              <w:jc w:val="center"/>
              <w:rPr>
                <w:kern w:val="0"/>
                <w:sz w:val="21"/>
                <w:szCs w:val="21"/>
              </w:rPr>
            </w:pPr>
            <w:r>
              <w:rPr>
                <w:rFonts w:hint="eastAsia"/>
                <w:kern w:val="0"/>
                <w:sz w:val="21"/>
                <w:szCs w:val="21"/>
              </w:rPr>
              <w:t>0</w:t>
            </w:r>
          </w:p>
        </w:tc>
        <w:tc>
          <w:tcPr>
            <w:tcW w:w="1111" w:type="dxa"/>
            <w:vAlign w:val="center"/>
          </w:tcPr>
          <w:p>
            <w:pPr>
              <w:jc w:val="center"/>
              <w:rPr>
                <w:kern w:val="0"/>
                <w:sz w:val="21"/>
                <w:szCs w:val="21"/>
              </w:rPr>
            </w:pPr>
            <w:r>
              <w:rPr>
                <w:rFonts w:hint="eastAsia"/>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kern w:val="0"/>
                <w:sz w:val="21"/>
                <w:szCs w:val="21"/>
              </w:rPr>
            </w:pPr>
            <w:r>
              <w:rPr>
                <w:rFonts w:hint="eastAsia"/>
                <w:kern w:val="0"/>
                <w:sz w:val="21"/>
                <w:szCs w:val="21"/>
              </w:rPr>
              <w:t>生活污水</w:t>
            </w:r>
          </w:p>
        </w:tc>
        <w:tc>
          <w:tcPr>
            <w:tcW w:w="1275" w:type="dxa"/>
            <w:vAlign w:val="center"/>
          </w:tcPr>
          <w:p>
            <w:pPr>
              <w:jc w:val="center"/>
              <w:rPr>
                <w:kern w:val="0"/>
                <w:sz w:val="21"/>
                <w:szCs w:val="21"/>
              </w:rPr>
            </w:pPr>
            <w:r>
              <w:rPr>
                <w:rFonts w:hint="eastAsia"/>
                <w:kern w:val="0"/>
                <w:sz w:val="21"/>
                <w:szCs w:val="21"/>
              </w:rPr>
              <w:t>144</w:t>
            </w:r>
          </w:p>
        </w:tc>
        <w:tc>
          <w:tcPr>
            <w:tcW w:w="1276" w:type="dxa"/>
            <w:vAlign w:val="center"/>
          </w:tcPr>
          <w:p>
            <w:pPr>
              <w:jc w:val="center"/>
              <w:rPr>
                <w:kern w:val="0"/>
                <w:sz w:val="21"/>
                <w:szCs w:val="21"/>
              </w:rPr>
            </w:pPr>
            <w:r>
              <w:rPr>
                <w:rFonts w:hint="eastAsia"/>
                <w:kern w:val="0"/>
                <w:sz w:val="21"/>
                <w:szCs w:val="21"/>
              </w:rPr>
              <w:t>184.32</w:t>
            </w:r>
          </w:p>
        </w:tc>
        <w:tc>
          <w:tcPr>
            <w:tcW w:w="1134" w:type="dxa"/>
            <w:vAlign w:val="center"/>
          </w:tcPr>
          <w:p>
            <w:pPr>
              <w:jc w:val="center"/>
              <w:rPr>
                <w:kern w:val="0"/>
                <w:sz w:val="21"/>
                <w:szCs w:val="21"/>
              </w:rPr>
            </w:pPr>
            <w:r>
              <w:rPr>
                <w:rFonts w:hint="eastAsia"/>
                <w:kern w:val="0"/>
                <w:sz w:val="21"/>
                <w:szCs w:val="21"/>
              </w:rPr>
              <w:t>0</w:t>
            </w:r>
          </w:p>
        </w:tc>
        <w:tc>
          <w:tcPr>
            <w:tcW w:w="1418" w:type="dxa"/>
            <w:vAlign w:val="center"/>
          </w:tcPr>
          <w:p>
            <w:pPr>
              <w:jc w:val="center"/>
              <w:rPr>
                <w:kern w:val="0"/>
                <w:sz w:val="21"/>
                <w:szCs w:val="21"/>
              </w:rPr>
            </w:pPr>
            <w:r>
              <w:rPr>
                <w:rFonts w:hint="eastAsia"/>
                <w:kern w:val="0"/>
                <w:sz w:val="21"/>
                <w:szCs w:val="21"/>
              </w:rPr>
              <w:t>328.32</w:t>
            </w:r>
          </w:p>
        </w:tc>
        <w:tc>
          <w:tcPr>
            <w:tcW w:w="1111" w:type="dxa"/>
            <w:vAlign w:val="center"/>
          </w:tcPr>
          <w:p>
            <w:pPr>
              <w:jc w:val="center"/>
              <w:rPr>
                <w:kern w:val="0"/>
                <w:sz w:val="21"/>
                <w:szCs w:val="21"/>
              </w:rPr>
            </w:pPr>
            <w:r>
              <w:rPr>
                <w:rFonts w:hint="eastAsia"/>
                <w:kern w:val="0"/>
                <w:sz w:val="21"/>
                <w:szCs w:val="21"/>
              </w:rPr>
              <w:t>+184.32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restart"/>
            <w:vAlign w:val="center"/>
          </w:tcPr>
          <w:p>
            <w:pPr>
              <w:jc w:val="center"/>
              <w:rPr>
                <w:kern w:val="0"/>
                <w:sz w:val="21"/>
                <w:szCs w:val="21"/>
              </w:rPr>
            </w:pPr>
            <w:r>
              <w:rPr>
                <w:rFonts w:hint="eastAsia"/>
                <w:kern w:val="0"/>
                <w:sz w:val="21"/>
                <w:szCs w:val="21"/>
              </w:rPr>
              <w:t>固体废物</w:t>
            </w:r>
          </w:p>
        </w:tc>
        <w:tc>
          <w:tcPr>
            <w:tcW w:w="1695" w:type="dxa"/>
            <w:vAlign w:val="center"/>
          </w:tcPr>
          <w:p>
            <w:pPr>
              <w:jc w:val="center"/>
              <w:rPr>
                <w:bCs/>
                <w:kern w:val="0"/>
                <w:sz w:val="21"/>
                <w:szCs w:val="21"/>
              </w:rPr>
            </w:pPr>
            <w:r>
              <w:rPr>
                <w:rFonts w:hint="eastAsia"/>
                <w:bCs/>
                <w:kern w:val="0"/>
                <w:sz w:val="21"/>
                <w:szCs w:val="21"/>
              </w:rPr>
              <w:t>泥沙</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bCs/>
                <w:kern w:val="0"/>
                <w:sz w:val="21"/>
                <w:szCs w:val="21"/>
              </w:rPr>
            </w:pPr>
            <w:r>
              <w:rPr>
                <w:rFonts w:hint="eastAsia"/>
                <w:bCs/>
                <w:kern w:val="0"/>
                <w:sz w:val="21"/>
                <w:szCs w:val="21"/>
              </w:rPr>
              <w:t>364.53</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1"/>
                <w:szCs w:val="21"/>
              </w:rPr>
            </w:pPr>
            <w:r>
              <w:rPr>
                <w:rFonts w:hint="eastAsia"/>
                <w:bCs/>
                <w:kern w:val="0"/>
                <w:sz w:val="21"/>
                <w:szCs w:val="21"/>
              </w:rPr>
              <w:t>364.53</w:t>
            </w:r>
          </w:p>
        </w:tc>
        <w:tc>
          <w:tcPr>
            <w:tcW w:w="1111" w:type="dxa"/>
            <w:vAlign w:val="center"/>
          </w:tcPr>
          <w:p>
            <w:pPr>
              <w:jc w:val="center"/>
              <w:rPr>
                <w:bCs/>
                <w:kern w:val="0"/>
                <w:sz w:val="21"/>
                <w:szCs w:val="21"/>
              </w:rPr>
            </w:pPr>
            <w:r>
              <w:rPr>
                <w:rFonts w:hint="eastAsia"/>
                <w:bCs/>
                <w:kern w:val="0"/>
                <w:sz w:val="21"/>
                <w:szCs w:val="21"/>
              </w:rPr>
              <w:t>+364.53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废滤网</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bCs/>
                <w:kern w:val="0"/>
                <w:sz w:val="21"/>
                <w:szCs w:val="21"/>
              </w:rPr>
            </w:pPr>
            <w:r>
              <w:rPr>
                <w:rFonts w:hint="eastAsia"/>
                <w:bCs/>
                <w:kern w:val="0"/>
                <w:sz w:val="21"/>
                <w:szCs w:val="21"/>
              </w:rPr>
              <w:t>2.30</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1"/>
                <w:szCs w:val="21"/>
              </w:rPr>
            </w:pPr>
            <w:r>
              <w:rPr>
                <w:rFonts w:hint="eastAsia"/>
                <w:bCs/>
                <w:kern w:val="0"/>
                <w:sz w:val="21"/>
                <w:szCs w:val="21"/>
              </w:rPr>
              <w:t>2.30</w:t>
            </w:r>
          </w:p>
        </w:tc>
        <w:tc>
          <w:tcPr>
            <w:tcW w:w="1111" w:type="dxa"/>
            <w:vAlign w:val="center"/>
          </w:tcPr>
          <w:p>
            <w:pPr>
              <w:jc w:val="center"/>
              <w:rPr>
                <w:bCs/>
                <w:kern w:val="0"/>
                <w:sz w:val="21"/>
                <w:szCs w:val="21"/>
              </w:rPr>
            </w:pPr>
            <w:r>
              <w:rPr>
                <w:rFonts w:hint="eastAsia"/>
                <w:bCs/>
                <w:kern w:val="0"/>
                <w:sz w:val="21"/>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滴灌带不合格品</w:t>
            </w:r>
          </w:p>
        </w:tc>
        <w:tc>
          <w:tcPr>
            <w:tcW w:w="1275" w:type="dxa"/>
            <w:vAlign w:val="center"/>
          </w:tcPr>
          <w:p>
            <w:pPr>
              <w:jc w:val="center"/>
              <w:rPr>
                <w:kern w:val="0"/>
                <w:sz w:val="21"/>
                <w:szCs w:val="21"/>
              </w:rPr>
            </w:pPr>
            <w:r>
              <w:rPr>
                <w:rFonts w:hint="eastAsia"/>
                <w:kern w:val="0"/>
                <w:sz w:val="21"/>
                <w:szCs w:val="21"/>
              </w:rPr>
              <w:t>2</w:t>
            </w:r>
          </w:p>
        </w:tc>
        <w:tc>
          <w:tcPr>
            <w:tcW w:w="1276" w:type="dxa"/>
            <w:vAlign w:val="center"/>
          </w:tcPr>
          <w:p>
            <w:pPr>
              <w:jc w:val="center"/>
              <w:rPr>
                <w:bCs/>
                <w:kern w:val="0"/>
                <w:sz w:val="21"/>
                <w:szCs w:val="21"/>
              </w:rPr>
            </w:pPr>
            <w:r>
              <w:rPr>
                <w:rFonts w:hint="eastAsia"/>
                <w:bCs/>
                <w:kern w:val="0"/>
                <w:sz w:val="21"/>
                <w:szCs w:val="21"/>
              </w:rPr>
              <w:t>0</w:t>
            </w:r>
          </w:p>
        </w:tc>
        <w:tc>
          <w:tcPr>
            <w:tcW w:w="1134" w:type="dxa"/>
            <w:vAlign w:val="center"/>
          </w:tcPr>
          <w:p>
            <w:pPr>
              <w:jc w:val="center"/>
              <w:rPr>
                <w:bCs/>
                <w:kern w:val="0"/>
                <w:sz w:val="21"/>
                <w:szCs w:val="21"/>
              </w:rPr>
            </w:pPr>
            <w:r>
              <w:rPr>
                <w:rFonts w:hint="eastAsia"/>
                <w:bCs/>
                <w:kern w:val="0"/>
                <w:sz w:val="21"/>
                <w:szCs w:val="21"/>
              </w:rPr>
              <w:t>2</w:t>
            </w:r>
          </w:p>
        </w:tc>
        <w:tc>
          <w:tcPr>
            <w:tcW w:w="1418" w:type="dxa"/>
            <w:vAlign w:val="center"/>
          </w:tcPr>
          <w:p>
            <w:pPr>
              <w:jc w:val="center"/>
              <w:rPr>
                <w:bCs/>
                <w:kern w:val="0"/>
                <w:sz w:val="21"/>
                <w:szCs w:val="21"/>
              </w:rPr>
            </w:pPr>
            <w:r>
              <w:rPr>
                <w:rFonts w:hint="eastAsia"/>
                <w:bCs/>
                <w:kern w:val="0"/>
                <w:sz w:val="21"/>
                <w:szCs w:val="21"/>
              </w:rPr>
              <w:t>0</w:t>
            </w:r>
          </w:p>
        </w:tc>
        <w:tc>
          <w:tcPr>
            <w:tcW w:w="1111" w:type="dxa"/>
            <w:vAlign w:val="center"/>
          </w:tcPr>
          <w:p>
            <w:pPr>
              <w:jc w:val="center"/>
              <w:rPr>
                <w:bCs/>
                <w:kern w:val="0"/>
                <w:sz w:val="21"/>
                <w:szCs w:val="21"/>
              </w:rPr>
            </w:pPr>
            <w:r>
              <w:rPr>
                <w:rFonts w:hint="eastAsia"/>
                <w:bCs/>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PE管不合格品</w:t>
            </w:r>
          </w:p>
        </w:tc>
        <w:tc>
          <w:tcPr>
            <w:tcW w:w="1275" w:type="dxa"/>
            <w:vAlign w:val="center"/>
          </w:tcPr>
          <w:p>
            <w:pPr>
              <w:jc w:val="center"/>
              <w:rPr>
                <w:kern w:val="0"/>
                <w:sz w:val="21"/>
                <w:szCs w:val="21"/>
              </w:rPr>
            </w:pPr>
            <w:r>
              <w:rPr>
                <w:rFonts w:hint="eastAsia"/>
                <w:kern w:val="0"/>
                <w:sz w:val="21"/>
                <w:szCs w:val="21"/>
              </w:rPr>
              <w:t>0.5</w:t>
            </w:r>
          </w:p>
        </w:tc>
        <w:tc>
          <w:tcPr>
            <w:tcW w:w="1276" w:type="dxa"/>
            <w:vAlign w:val="center"/>
          </w:tcPr>
          <w:p>
            <w:pPr>
              <w:jc w:val="center"/>
              <w:rPr>
                <w:bCs/>
                <w:kern w:val="0"/>
                <w:sz w:val="21"/>
                <w:szCs w:val="21"/>
              </w:rPr>
            </w:pPr>
            <w:r>
              <w:rPr>
                <w:rFonts w:hint="eastAsia"/>
                <w:bCs/>
                <w:kern w:val="0"/>
                <w:sz w:val="21"/>
                <w:szCs w:val="21"/>
              </w:rPr>
              <w:t>0</w:t>
            </w:r>
          </w:p>
        </w:tc>
        <w:tc>
          <w:tcPr>
            <w:tcW w:w="1134" w:type="dxa"/>
            <w:vAlign w:val="center"/>
          </w:tcPr>
          <w:p>
            <w:pPr>
              <w:jc w:val="center"/>
              <w:rPr>
                <w:bCs/>
                <w:kern w:val="0"/>
                <w:sz w:val="21"/>
                <w:szCs w:val="21"/>
              </w:rPr>
            </w:pPr>
            <w:r>
              <w:rPr>
                <w:rFonts w:hint="eastAsia"/>
                <w:bCs/>
                <w:kern w:val="0"/>
                <w:sz w:val="21"/>
                <w:szCs w:val="21"/>
              </w:rPr>
              <w:t>0.5</w:t>
            </w:r>
          </w:p>
        </w:tc>
        <w:tc>
          <w:tcPr>
            <w:tcW w:w="1418" w:type="dxa"/>
            <w:vAlign w:val="center"/>
          </w:tcPr>
          <w:p>
            <w:pPr>
              <w:jc w:val="center"/>
              <w:rPr>
                <w:bCs/>
                <w:kern w:val="0"/>
                <w:sz w:val="21"/>
                <w:szCs w:val="21"/>
              </w:rPr>
            </w:pPr>
            <w:r>
              <w:rPr>
                <w:rFonts w:hint="eastAsia"/>
                <w:bCs/>
                <w:kern w:val="0"/>
                <w:sz w:val="21"/>
                <w:szCs w:val="21"/>
              </w:rPr>
              <w:t>0</w:t>
            </w:r>
          </w:p>
        </w:tc>
        <w:tc>
          <w:tcPr>
            <w:tcW w:w="1111" w:type="dxa"/>
            <w:vAlign w:val="center"/>
          </w:tcPr>
          <w:p>
            <w:pPr>
              <w:jc w:val="center"/>
              <w:rPr>
                <w:bCs/>
                <w:kern w:val="0"/>
                <w:sz w:val="21"/>
                <w:szCs w:val="21"/>
              </w:rPr>
            </w:pPr>
            <w:r>
              <w:rPr>
                <w:rFonts w:hint="eastAsia"/>
                <w:bCs/>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废活性炭</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bCs/>
                <w:kern w:val="0"/>
                <w:sz w:val="20"/>
                <w:szCs w:val="21"/>
              </w:rPr>
            </w:pPr>
            <w:r>
              <w:rPr>
                <w:rFonts w:hint="eastAsia"/>
                <w:bCs/>
                <w:kern w:val="0"/>
                <w:sz w:val="20"/>
                <w:szCs w:val="21"/>
              </w:rPr>
              <w:t>2t/3a</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0"/>
                <w:szCs w:val="21"/>
              </w:rPr>
            </w:pPr>
            <w:r>
              <w:rPr>
                <w:rFonts w:hint="eastAsia"/>
                <w:bCs/>
                <w:kern w:val="0"/>
                <w:sz w:val="20"/>
                <w:szCs w:val="21"/>
              </w:rPr>
              <w:t>2t/3a</w:t>
            </w:r>
          </w:p>
        </w:tc>
        <w:tc>
          <w:tcPr>
            <w:tcW w:w="1111" w:type="dxa"/>
            <w:vAlign w:val="center"/>
          </w:tcPr>
          <w:p>
            <w:pPr>
              <w:jc w:val="center"/>
              <w:rPr>
                <w:bCs/>
                <w:kern w:val="0"/>
                <w:sz w:val="20"/>
                <w:szCs w:val="21"/>
              </w:rPr>
            </w:pPr>
            <w:r>
              <w:rPr>
                <w:rFonts w:hint="eastAsia"/>
                <w:bCs/>
                <w:kern w:val="0"/>
                <w:sz w:val="20"/>
                <w:szCs w:val="21"/>
              </w:rPr>
              <w:t>+2t/3a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废催化剂</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bCs/>
                <w:kern w:val="0"/>
                <w:sz w:val="20"/>
                <w:szCs w:val="21"/>
              </w:rPr>
            </w:pPr>
            <w:r>
              <w:rPr>
                <w:rFonts w:hint="eastAsia"/>
                <w:bCs/>
                <w:kern w:val="0"/>
                <w:sz w:val="20"/>
                <w:szCs w:val="21"/>
              </w:rPr>
              <w:t>1t/3a</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0"/>
                <w:szCs w:val="21"/>
              </w:rPr>
            </w:pPr>
            <w:r>
              <w:rPr>
                <w:rFonts w:hint="eastAsia"/>
                <w:bCs/>
                <w:kern w:val="0"/>
                <w:sz w:val="20"/>
                <w:szCs w:val="21"/>
              </w:rPr>
              <w:t>1t/3a</w:t>
            </w:r>
          </w:p>
        </w:tc>
        <w:tc>
          <w:tcPr>
            <w:tcW w:w="1111" w:type="dxa"/>
            <w:vAlign w:val="center"/>
          </w:tcPr>
          <w:p>
            <w:pPr>
              <w:jc w:val="center"/>
              <w:rPr>
                <w:bCs/>
                <w:kern w:val="0"/>
                <w:sz w:val="20"/>
                <w:szCs w:val="21"/>
              </w:rPr>
            </w:pPr>
            <w:r>
              <w:rPr>
                <w:rFonts w:hint="eastAsia"/>
                <w:bCs/>
                <w:kern w:val="0"/>
                <w:sz w:val="20"/>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废润滑油及桶</w:t>
            </w:r>
          </w:p>
        </w:tc>
        <w:tc>
          <w:tcPr>
            <w:tcW w:w="1275" w:type="dxa"/>
            <w:vAlign w:val="center"/>
          </w:tcPr>
          <w:p>
            <w:pPr>
              <w:jc w:val="center"/>
              <w:rPr>
                <w:kern w:val="0"/>
                <w:sz w:val="21"/>
                <w:szCs w:val="21"/>
              </w:rPr>
            </w:pPr>
            <w:r>
              <w:rPr>
                <w:rFonts w:hint="eastAsia"/>
                <w:kern w:val="0"/>
                <w:sz w:val="21"/>
                <w:szCs w:val="21"/>
              </w:rPr>
              <w:t>0</w:t>
            </w:r>
          </w:p>
        </w:tc>
        <w:tc>
          <w:tcPr>
            <w:tcW w:w="1276" w:type="dxa"/>
            <w:vAlign w:val="center"/>
          </w:tcPr>
          <w:p>
            <w:pPr>
              <w:jc w:val="center"/>
              <w:rPr>
                <w:bCs/>
                <w:kern w:val="0"/>
                <w:sz w:val="21"/>
                <w:szCs w:val="21"/>
              </w:rPr>
            </w:pPr>
            <w:r>
              <w:rPr>
                <w:rFonts w:hint="eastAsia"/>
                <w:bCs/>
                <w:kern w:val="0"/>
                <w:sz w:val="21"/>
                <w:szCs w:val="21"/>
              </w:rPr>
              <w:t>0.6</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1"/>
                <w:szCs w:val="21"/>
              </w:rPr>
            </w:pPr>
            <w:r>
              <w:rPr>
                <w:rFonts w:hint="eastAsia"/>
                <w:bCs/>
                <w:kern w:val="0"/>
                <w:sz w:val="21"/>
                <w:szCs w:val="21"/>
              </w:rPr>
              <w:t>0.6</w:t>
            </w:r>
          </w:p>
        </w:tc>
        <w:tc>
          <w:tcPr>
            <w:tcW w:w="1111" w:type="dxa"/>
            <w:vAlign w:val="center"/>
          </w:tcPr>
          <w:p>
            <w:pPr>
              <w:jc w:val="center"/>
              <w:rPr>
                <w:bCs/>
                <w:kern w:val="0"/>
                <w:sz w:val="21"/>
                <w:szCs w:val="21"/>
              </w:rPr>
            </w:pPr>
            <w:r>
              <w:rPr>
                <w:rFonts w:hint="eastAsia"/>
                <w:bCs/>
                <w:ker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4" w:type="dxa"/>
            <w:vMerge w:val="continue"/>
            <w:vAlign w:val="center"/>
          </w:tcPr>
          <w:p>
            <w:pPr>
              <w:jc w:val="center"/>
              <w:rPr>
                <w:kern w:val="0"/>
                <w:sz w:val="21"/>
                <w:szCs w:val="21"/>
              </w:rPr>
            </w:pPr>
          </w:p>
        </w:tc>
        <w:tc>
          <w:tcPr>
            <w:tcW w:w="1695" w:type="dxa"/>
            <w:vAlign w:val="center"/>
          </w:tcPr>
          <w:p>
            <w:pPr>
              <w:jc w:val="center"/>
              <w:rPr>
                <w:bCs/>
                <w:kern w:val="0"/>
                <w:sz w:val="21"/>
                <w:szCs w:val="21"/>
              </w:rPr>
            </w:pPr>
            <w:r>
              <w:rPr>
                <w:rFonts w:hint="eastAsia"/>
                <w:bCs/>
                <w:kern w:val="0"/>
                <w:sz w:val="21"/>
                <w:szCs w:val="21"/>
              </w:rPr>
              <w:t>生活垃圾</w:t>
            </w:r>
          </w:p>
        </w:tc>
        <w:tc>
          <w:tcPr>
            <w:tcW w:w="1275" w:type="dxa"/>
            <w:vAlign w:val="center"/>
          </w:tcPr>
          <w:p>
            <w:pPr>
              <w:jc w:val="center"/>
              <w:rPr>
                <w:kern w:val="0"/>
                <w:sz w:val="21"/>
                <w:szCs w:val="21"/>
              </w:rPr>
            </w:pPr>
            <w:r>
              <w:rPr>
                <w:rFonts w:hint="eastAsia"/>
                <w:kern w:val="0"/>
                <w:sz w:val="21"/>
                <w:szCs w:val="21"/>
              </w:rPr>
              <w:t>1.8</w:t>
            </w:r>
          </w:p>
        </w:tc>
        <w:tc>
          <w:tcPr>
            <w:tcW w:w="1276" w:type="dxa"/>
            <w:vAlign w:val="center"/>
          </w:tcPr>
          <w:p>
            <w:pPr>
              <w:jc w:val="center"/>
              <w:rPr>
                <w:bCs/>
                <w:kern w:val="0"/>
                <w:sz w:val="21"/>
                <w:szCs w:val="21"/>
              </w:rPr>
            </w:pPr>
            <w:r>
              <w:rPr>
                <w:rFonts w:hint="eastAsia"/>
                <w:bCs/>
                <w:kern w:val="0"/>
                <w:sz w:val="21"/>
                <w:szCs w:val="21"/>
              </w:rPr>
              <w:t>1.44</w:t>
            </w:r>
          </w:p>
        </w:tc>
        <w:tc>
          <w:tcPr>
            <w:tcW w:w="1134" w:type="dxa"/>
            <w:vAlign w:val="center"/>
          </w:tcPr>
          <w:p>
            <w:pPr>
              <w:jc w:val="center"/>
              <w:rPr>
                <w:bCs/>
                <w:kern w:val="0"/>
                <w:sz w:val="21"/>
                <w:szCs w:val="21"/>
              </w:rPr>
            </w:pPr>
            <w:r>
              <w:rPr>
                <w:rFonts w:hint="eastAsia"/>
                <w:bCs/>
                <w:kern w:val="0"/>
                <w:sz w:val="21"/>
                <w:szCs w:val="21"/>
              </w:rPr>
              <w:t>0</w:t>
            </w:r>
          </w:p>
        </w:tc>
        <w:tc>
          <w:tcPr>
            <w:tcW w:w="1418" w:type="dxa"/>
            <w:vAlign w:val="center"/>
          </w:tcPr>
          <w:p>
            <w:pPr>
              <w:jc w:val="center"/>
              <w:rPr>
                <w:bCs/>
                <w:kern w:val="0"/>
                <w:sz w:val="21"/>
                <w:szCs w:val="21"/>
              </w:rPr>
            </w:pPr>
            <w:r>
              <w:rPr>
                <w:rFonts w:hint="eastAsia"/>
                <w:bCs/>
                <w:kern w:val="0"/>
                <w:sz w:val="21"/>
                <w:szCs w:val="21"/>
              </w:rPr>
              <w:t>3.24</w:t>
            </w:r>
          </w:p>
        </w:tc>
        <w:tc>
          <w:tcPr>
            <w:tcW w:w="1111" w:type="dxa"/>
            <w:vAlign w:val="center"/>
          </w:tcPr>
          <w:p>
            <w:pPr>
              <w:jc w:val="center"/>
              <w:rPr>
                <w:bCs/>
                <w:kern w:val="0"/>
                <w:sz w:val="21"/>
                <w:szCs w:val="21"/>
              </w:rPr>
            </w:pPr>
            <w:r>
              <w:rPr>
                <w:rFonts w:hint="eastAsia"/>
                <w:bCs/>
                <w:kern w:val="0"/>
                <w:sz w:val="21"/>
                <w:szCs w:val="21"/>
              </w:rPr>
              <w:t>+1.44</w:t>
            </w:r>
          </w:p>
        </w:tc>
      </w:tr>
      <w:bookmarkEnd w:id="165"/>
    </w:tbl>
    <w:p>
      <w:pPr>
        <w:pStyle w:val="24"/>
        <w:autoSpaceDE/>
        <w:autoSpaceDN/>
        <w:adjustRightInd/>
        <w:spacing w:line="460" w:lineRule="exact"/>
        <w:ind w:firstLine="482" w:firstLineChars="200"/>
        <w:rPr>
          <w:rFonts w:hint="default" w:ascii="Times New Roman" w:hAnsi="Times New Roman"/>
          <w:b/>
          <w:color w:val="auto"/>
          <w:szCs w:val="28"/>
        </w:rPr>
      </w:pPr>
    </w:p>
    <w:p>
      <w:pPr>
        <w:pStyle w:val="4"/>
        <w:adjustRightInd w:val="0"/>
        <w:spacing w:before="120" w:after="120" w:line="460" w:lineRule="exact"/>
        <w:textAlignment w:val="baseline"/>
        <w:rPr>
          <w:rFonts w:ascii="Times New Roman" w:hAnsi="Times New Roman"/>
          <w:b w:val="0"/>
          <w:szCs w:val="28"/>
        </w:rPr>
      </w:pPr>
      <w:bookmarkStart w:id="166" w:name="_Toc165386227"/>
      <w:r>
        <w:rPr>
          <w:rFonts w:hint="eastAsia" w:ascii="Times New Roman" w:hAnsi="Times New Roman"/>
          <w:b w:val="0"/>
          <w:szCs w:val="28"/>
        </w:rPr>
        <w:t>4.6 清洁生产</w:t>
      </w:r>
      <w:bookmarkEnd w:id="166"/>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清洁生产分析是对建设项目的技术先进性和环境友好性进行综合评价。其目的要求将综合预防污染的环境策略持续应用于生产过程和产品中，提高企业的经济效率，减少生产活动对人类环境的污染，更好的保护环境。清洁生产要求在生产过程中最大限度地利用资源和能源，通过循环利用、重复使用，使原材料最大限度的转换为产品。将节约能源、降低原材料消耗、减少污染物的产生量和排放量贯穿于生产的全过程中。</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清洁生产的实质是使用清洁的原料和能源；采用先进的无害的生产工艺、技术与装备；采取清洁生产过程；生产出清洁的产品四个主要方面。它要求从生产的源头及全过程实行控制，对必须排放的污染物采用先进可靠的处理技术，消除或减少污染物的产生和排放，确保污染物达标排放和总量控制要求，以最小的投入获得最大的产出，实现建设项目经济、社会和环境的协调统一。</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本项目主要从事废旧滴灌带、废旧塑料膜的回收再生为</w:t>
      </w:r>
      <w:r>
        <w:rPr>
          <w:rFonts w:hint="default" w:ascii="Times New Roman" w:hAnsi="Times New Roman" w:cs="Times New Roman"/>
          <w:color w:val="auto"/>
          <w:szCs w:val="24"/>
        </w:rPr>
        <w:t>再生聚乙烯颗粒，再将再生</w:t>
      </w:r>
      <w:r>
        <w:rPr>
          <w:rFonts w:ascii="Times New Roman" w:hAnsi="Times New Roman" w:cs="Times New Roman"/>
          <w:color w:val="auto"/>
          <w:szCs w:val="24"/>
        </w:rPr>
        <w:t>聚乙烯颗粒</w:t>
      </w:r>
      <w:r>
        <w:rPr>
          <w:rFonts w:hint="default" w:ascii="Times New Roman" w:hAnsi="Times New Roman" w:cs="Times New Roman"/>
          <w:color w:val="auto"/>
          <w:szCs w:val="24"/>
        </w:rPr>
        <w:t>生产为</w:t>
      </w:r>
      <w:r>
        <w:rPr>
          <w:rFonts w:ascii="Times New Roman" w:hAnsi="Times New Roman" w:cs="Times New Roman"/>
          <w:color w:val="auto"/>
          <w:szCs w:val="24"/>
        </w:rPr>
        <w:t>滴灌带、PE</w:t>
      </w:r>
      <w:r>
        <w:rPr>
          <w:rFonts w:hint="default" w:ascii="Times New Roman" w:hAnsi="Times New Roman" w:cs="Times New Roman"/>
          <w:color w:val="auto"/>
          <w:szCs w:val="24"/>
        </w:rPr>
        <w:t>管</w:t>
      </w:r>
      <w:r>
        <w:rPr>
          <w:rFonts w:ascii="Times New Roman" w:hAnsi="Times New Roman" w:cs="Times New Roman"/>
          <w:color w:val="auto"/>
          <w:szCs w:val="24"/>
        </w:rPr>
        <w:t>，本次评价通过定性分析，对项目的清洁生产水平进行分析说明，确定项目在国内外的清洁生产水平。</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4.6.1生产工艺及装备水平</w:t>
      </w:r>
    </w:p>
    <w:p>
      <w:pPr>
        <w:pStyle w:val="24"/>
        <w:autoSpaceDN/>
        <w:rPr>
          <w:rFonts w:hint="default" w:ascii="Times New Roman" w:hAnsi="Times New Roman" w:cs="Times New Roman"/>
          <w:color w:val="auto"/>
        </w:rPr>
      </w:pPr>
      <w:r>
        <w:rPr>
          <w:rFonts w:hint="default" w:ascii="Times New Roman" w:cs="Times New Roman"/>
          <w:color w:val="auto"/>
        </w:rPr>
        <w:t>本项目的生产工艺主要为废旧滴灌带</w:t>
      </w:r>
      <w:r>
        <w:rPr>
          <w:rFonts w:ascii="Times New Roman" w:cs="Times New Roman"/>
          <w:color w:val="auto"/>
        </w:rPr>
        <w:t>、废旧塑料膜</w:t>
      </w:r>
      <w:r>
        <w:rPr>
          <w:rFonts w:hint="default" w:ascii="Times New Roman" w:cs="Times New Roman"/>
          <w:color w:val="auto"/>
        </w:rPr>
        <w:t>粉碎、清洗、造粒、切粒过程以及滴灌带</w:t>
      </w:r>
      <w:r>
        <w:rPr>
          <w:rFonts w:ascii="Times New Roman" w:cs="Times New Roman"/>
          <w:color w:val="auto"/>
        </w:rPr>
        <w:t>、</w:t>
      </w:r>
      <w:r>
        <w:rPr>
          <w:rFonts w:hint="default" w:ascii="Times New Roman" w:cs="Times New Roman"/>
          <w:color w:val="auto"/>
        </w:rPr>
        <w:t>PE管挤塑生产过程，</w:t>
      </w:r>
      <w:r>
        <w:rPr>
          <w:color w:val="auto"/>
        </w:rPr>
        <w:t>热熔挤出工序不添加任何阻燃剂、增塑剂等添加剂，采用直接再生方式，挤出造粒、成型过程为单纯物理熔融变化过程，</w:t>
      </w:r>
      <w:r>
        <w:rPr>
          <w:rFonts w:hint="default" w:ascii="Times New Roman" w:cs="Times New Roman"/>
          <w:color w:val="auto"/>
        </w:rPr>
        <w:t>生产工艺较为简单，安全性较高，从各种原料进料到形成产品的步骤、工序较少。</w:t>
      </w:r>
    </w:p>
    <w:p>
      <w:pPr>
        <w:pStyle w:val="24"/>
        <w:rPr>
          <w:rFonts w:hint="default" w:ascii="Times New Roman" w:hAnsi="Times New Roman" w:cs="Times New Roman"/>
          <w:color w:val="auto"/>
        </w:rPr>
      </w:pPr>
      <w:r>
        <w:rPr>
          <w:rFonts w:hint="default" w:ascii="Times New Roman" w:cs="Times New Roman"/>
          <w:color w:val="auto"/>
        </w:rPr>
        <w:t>根据</w:t>
      </w:r>
      <w:bookmarkStart w:id="167" w:name="_Hlk164762587"/>
      <w:r>
        <w:rPr>
          <w:rFonts w:ascii="Times New Roman" w:cs="Times New Roman"/>
          <w:color w:val="auto"/>
        </w:rPr>
        <w:t>中华人民共和国国家发展和改革委员会令第7 号</w:t>
      </w:r>
      <w:r>
        <w:rPr>
          <w:rFonts w:hint="default" w:ascii="Times New Roman" w:cs="Times New Roman"/>
          <w:color w:val="auto"/>
        </w:rPr>
        <w:t>《产业结构调整指导目录（</w:t>
      </w:r>
      <w:r>
        <w:rPr>
          <w:rFonts w:hint="default" w:ascii="Times New Roman" w:hAnsi="Times New Roman" w:cs="Times New Roman"/>
          <w:color w:val="auto"/>
        </w:rPr>
        <w:t>20</w:t>
      </w:r>
      <w:r>
        <w:rPr>
          <w:rFonts w:ascii="Times New Roman" w:hAnsi="Times New Roman" w:cs="Times New Roman"/>
          <w:color w:val="auto"/>
        </w:rPr>
        <w:t>24</w:t>
      </w:r>
      <w:r>
        <w:rPr>
          <w:rFonts w:hint="default" w:ascii="Times New Roman" w:cs="Times New Roman"/>
          <w:color w:val="auto"/>
        </w:rPr>
        <w:t>年本）》</w:t>
      </w:r>
      <w:r>
        <w:rPr>
          <w:rFonts w:hint="default" w:ascii="Times New Roman" w:cs="Times New Roman"/>
          <w:color w:val="auto"/>
          <w:lang w:bidi="en-US"/>
        </w:rPr>
        <w:t>中</w:t>
      </w:r>
      <w:r>
        <w:rPr>
          <w:rFonts w:hint="default" w:ascii="Times New Roman" w:hAnsi="Times New Roman" w:cs="Times New Roman"/>
          <w:color w:val="auto"/>
          <w:lang w:bidi="en-US"/>
        </w:rPr>
        <w:t>“</w:t>
      </w:r>
      <w:r>
        <w:rPr>
          <w:rFonts w:hint="default" w:ascii="Times New Roman" w:cs="Times New Roman"/>
          <w:color w:val="auto"/>
          <w:lang w:bidi="en-US"/>
        </w:rPr>
        <w:t>第一类鼓励类</w:t>
      </w:r>
      <w:r>
        <w:rPr>
          <w:rFonts w:hint="default" w:ascii="Times New Roman" w:hAnsi="Times New Roman" w:cs="Times New Roman"/>
          <w:color w:val="auto"/>
          <w:lang w:bidi="en-US"/>
        </w:rPr>
        <w:t xml:space="preserve"> </w:t>
      </w:r>
      <w:r>
        <w:rPr>
          <w:rFonts w:hint="default" w:ascii="Times New Roman" w:cs="Times New Roman"/>
          <w:color w:val="auto"/>
          <w:lang w:bidi="en-US"/>
        </w:rPr>
        <w:t>十九、轻工</w:t>
      </w:r>
      <w:r>
        <w:rPr>
          <w:rFonts w:ascii="Times New Roman" w:cs="Times New Roman"/>
          <w:color w:val="auto"/>
          <w:lang w:bidi="en-US"/>
        </w:rPr>
        <w:t xml:space="preserve"> </w:t>
      </w:r>
      <w:r>
        <w:rPr>
          <w:rFonts w:ascii="Times New Roman" w:hAnsi="Times New Roman" w:cs="Times New Roman"/>
          <w:color w:val="auto"/>
          <w:lang w:bidi="en-US"/>
        </w:rPr>
        <w:t>2．生物降解塑料及其系列产品开发、生产与应用，农用塑料节水器材，长寿命（三年及以上）功能性农用薄膜的开发、生产，全生物降解育苗钵、盘及相关农资包装材料</w:t>
      </w:r>
      <w:r>
        <w:rPr>
          <w:rFonts w:hint="default" w:ascii="Times New Roman" w:cs="Times New Roman"/>
          <w:color w:val="auto"/>
          <w:lang w:bidi="en-US"/>
        </w:rPr>
        <w:t>；四十</w:t>
      </w:r>
      <w:r>
        <w:rPr>
          <w:rFonts w:ascii="Times New Roman" w:cs="Times New Roman"/>
          <w:color w:val="auto"/>
          <w:lang w:bidi="en-US"/>
        </w:rPr>
        <w:t>二</w:t>
      </w:r>
      <w:r>
        <w:rPr>
          <w:rFonts w:hint="default" w:ascii="Times New Roman" w:cs="Times New Roman"/>
          <w:color w:val="auto"/>
          <w:lang w:bidi="en-US"/>
        </w:rPr>
        <w:t>、环境保护与资源节约综合利用</w:t>
      </w:r>
      <w:r>
        <w:rPr>
          <w:rFonts w:ascii="Times New Roman" w:cs="Times New Roman"/>
          <w:color w:val="auto"/>
          <w:lang w:bidi="en-US"/>
        </w:rPr>
        <w:t xml:space="preserve"> </w:t>
      </w:r>
      <w:r>
        <w:rPr>
          <w:rFonts w:ascii="Times New Roman" w:hAnsi="Times New Roman" w:cs="Times New Roman"/>
          <w:color w:val="auto"/>
          <w:lang w:bidi="en-US"/>
        </w:rPr>
        <w:t>8．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尾矿（共伴生矿）、冶炼渣、工业副产石膏、赤泥、建筑垃圾等工业废弃物循环利用，农作物秸秆、畜禽粪污、农药包装等农林废弃物循环利用，生物质能技术装备（发电、供热、制油、沼气）</w:t>
      </w:r>
      <w:r>
        <w:rPr>
          <w:rFonts w:hint="default" w:ascii="Times New Roman" w:hAnsi="Times New Roman" w:cs="Times New Roman"/>
          <w:color w:val="auto"/>
          <w:lang w:bidi="en-US"/>
        </w:rPr>
        <w:t>”</w:t>
      </w:r>
      <w:r>
        <w:rPr>
          <w:rFonts w:hint="default" w:ascii="Times New Roman" w:cs="Times New Roman"/>
          <w:color w:val="auto"/>
          <w:lang w:bidi="en-US"/>
        </w:rPr>
        <w:t>，</w:t>
      </w:r>
      <w:bookmarkEnd w:id="167"/>
      <w:r>
        <w:rPr>
          <w:rFonts w:hint="default" w:ascii="Times New Roman" w:cs="Times New Roman"/>
          <w:color w:val="auto"/>
          <w:lang w:bidi="en-US"/>
        </w:rPr>
        <w:t>本项目属于废旧塑料回收综合利用及节水器材制品制造</w:t>
      </w:r>
      <w:r>
        <w:rPr>
          <w:rFonts w:hint="default" w:ascii="Times New Roman" w:cs="Times New Roman"/>
          <w:color w:val="auto"/>
        </w:rPr>
        <w:t>，且本项目生产过程中没有选用限制、淘汰类工艺、设备及原材料。</w:t>
      </w:r>
    </w:p>
    <w:p>
      <w:pPr>
        <w:pStyle w:val="24"/>
        <w:autoSpaceDN/>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cs="Times New Roman"/>
          <w:color w:val="auto"/>
        </w:rPr>
        <w:t>、生产工艺清洁水平</w:t>
      </w:r>
    </w:p>
    <w:p>
      <w:pPr>
        <w:pStyle w:val="24"/>
        <w:autoSpaceDN/>
        <w:rPr>
          <w:rFonts w:hint="default" w:ascii="Times New Roman" w:hAnsi="Times New Roman" w:cs="Times New Roman"/>
          <w:color w:val="auto"/>
        </w:rPr>
      </w:pPr>
      <w:r>
        <w:rPr>
          <w:rFonts w:hint="default" w:ascii="Times New Roman" w:cs="Times New Roman"/>
          <w:color w:val="auto"/>
        </w:rPr>
        <w:t>塑料颗粒加工行业普遍采用热熔</w:t>
      </w:r>
      <w:r>
        <w:rPr>
          <w:rFonts w:hint="default" w:ascii="Times New Roman" w:hAnsi="Times New Roman" w:cs="Times New Roman"/>
          <w:color w:val="auto"/>
        </w:rPr>
        <w:t>+</w:t>
      </w:r>
      <w:r>
        <w:rPr>
          <w:rFonts w:hint="default" w:ascii="Times New Roman" w:cs="Times New Roman"/>
          <w:color w:val="auto"/>
        </w:rPr>
        <w:t>造粒工艺，该技术非常成熟可靠。随着能源的紧张，生产规模的扩大，从能源的利用率和投资费用的综合比较来看，本项目采用的工艺</w:t>
      </w:r>
      <w:r>
        <w:rPr>
          <w:rFonts w:ascii="Times New Roman" w:cs="Times New Roman"/>
          <w:color w:val="auto"/>
        </w:rPr>
        <w:t>符合清洁生产</w:t>
      </w:r>
      <w:r>
        <w:rPr>
          <w:rFonts w:hint="default" w:ascii="Times New Roman" w:cs="Times New Roman"/>
          <w:color w:val="auto"/>
        </w:rPr>
        <w:t>要求。</w:t>
      </w:r>
    </w:p>
    <w:p>
      <w:pPr>
        <w:pStyle w:val="24"/>
        <w:autoSpaceDN/>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cs="Times New Roman"/>
          <w:color w:val="auto"/>
        </w:rPr>
        <w:t>、生产设备</w:t>
      </w:r>
      <w:r>
        <w:rPr>
          <w:rFonts w:ascii="Times New Roman" w:cs="Times New Roman"/>
          <w:color w:val="auto"/>
        </w:rPr>
        <w:t>先进性</w:t>
      </w:r>
    </w:p>
    <w:p>
      <w:pPr>
        <w:pStyle w:val="24"/>
        <w:autoSpaceDN/>
        <w:rPr>
          <w:rFonts w:hint="default" w:ascii="Times New Roman" w:hAnsi="Times New Roman" w:cs="Times New Roman"/>
          <w:color w:val="auto"/>
        </w:rPr>
      </w:pPr>
      <w:r>
        <w:rPr>
          <w:rFonts w:hint="default" w:ascii="Times New Roman" w:cs="Times New Roman"/>
          <w:color w:val="auto"/>
        </w:rPr>
        <w:t>该工艺技术成熟、先进，达到国内领先水平，设计中采用国家有关部门推广使用的节能型设备，杜绝采用明文取消的高能耗的设备。依据比选原则，本着节约投资、使用可靠、动力消耗少和占地小等原则，各工艺单元均针对生产工艺特点和物料特性合理选择工艺设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本工程全部设备均采用国产成熟可靠的先进塑料颗粒加工设备以及滴灌带、</w:t>
      </w:r>
      <w:r>
        <w:rPr>
          <w:rFonts w:ascii="Times New Roman" w:hAnsi="Times New Roman" w:cs="Times New Roman"/>
          <w:color w:val="auto"/>
          <w:szCs w:val="24"/>
        </w:rPr>
        <w:t>PE管</w:t>
      </w:r>
      <w:r>
        <w:rPr>
          <w:rFonts w:hint="default" w:ascii="Times New Roman" w:hAnsi="Times New Roman" w:cs="Times New Roman"/>
          <w:color w:val="auto"/>
          <w:szCs w:val="24"/>
        </w:rPr>
        <w:t>生产设备，工艺技术成熟先进，符合清洁生产要求。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2</w:t>
      </w:r>
      <w:r>
        <w:rPr>
          <w:rFonts w:hint="eastAsia" w:ascii="Times New Roman"/>
          <w:spacing w:val="12"/>
          <w:w w:val="95"/>
          <w:kern w:val="0"/>
          <w:szCs w:val="26"/>
        </w:rPr>
        <w:t>资源能源利用指标</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1、原料利用指标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本项目为废旧塑料资源节约综合利用项目，本项目生产滴灌带及PE管使用的原料为废旧滴灌带、废旧塑料</w:t>
      </w:r>
      <w:r>
        <w:rPr>
          <w:rFonts w:hint="default" w:ascii="Times New Roman" w:hAnsi="Times New Roman" w:cs="Times New Roman"/>
          <w:color w:val="auto"/>
          <w:szCs w:val="24"/>
        </w:rPr>
        <w:t>膜</w:t>
      </w:r>
      <w:r>
        <w:rPr>
          <w:rFonts w:ascii="Times New Roman" w:hAnsi="Times New Roman" w:cs="Times New Roman"/>
          <w:color w:val="auto"/>
          <w:szCs w:val="24"/>
        </w:rPr>
        <w:t>进行清洗造粒后的再生聚乙烯颗粒料，减少了原材料资源的浪费，同时回收了农业生产产生的废塑料，原料上就具有消除污染的特性。项目加热熔融采用电加热，水、电使用量较小。本项目的建设既可使农业生产产生的废物减量化、资源化、无害化处理，又可创造一定的经济及社会效益，符合国家对清洁生产及循环经济的要求。项目本身属于清洁生产型项目。</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2、单位产品能耗指标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拟建项目单位产品能耗指标见表4.6-1。</w:t>
      </w:r>
    </w:p>
    <w:p>
      <w:pPr>
        <w:ind w:firstLine="420" w:firstLineChars="200"/>
        <w:rPr>
          <w:rFonts w:hAnsi="黑体" w:eastAsia="黑体"/>
        </w:rPr>
      </w:pPr>
      <w:r>
        <w:rPr>
          <w:rFonts w:hint="eastAsia" w:hAnsi="黑体" w:eastAsia="黑体"/>
        </w:rPr>
        <w:t>表4.6-1                  加工单位产品能耗表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1968"/>
        <w:gridCol w:w="2250"/>
        <w:gridCol w:w="2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Align w:val="center"/>
          </w:tcPr>
          <w:p>
            <w:pPr>
              <w:jc w:val="center"/>
              <w:rPr>
                <w:kern w:val="0"/>
                <w:sz w:val="21"/>
                <w:szCs w:val="21"/>
              </w:rPr>
            </w:pPr>
            <w:r>
              <w:rPr>
                <w:rFonts w:hint="eastAsia"/>
                <w:kern w:val="0"/>
                <w:sz w:val="21"/>
                <w:szCs w:val="21"/>
              </w:rPr>
              <w:t>序号</w:t>
            </w:r>
          </w:p>
        </w:tc>
        <w:tc>
          <w:tcPr>
            <w:tcW w:w="1968" w:type="dxa"/>
            <w:vAlign w:val="center"/>
          </w:tcPr>
          <w:p>
            <w:pPr>
              <w:jc w:val="center"/>
              <w:rPr>
                <w:kern w:val="0"/>
                <w:sz w:val="21"/>
                <w:szCs w:val="21"/>
              </w:rPr>
            </w:pPr>
            <w:r>
              <w:rPr>
                <w:rFonts w:hint="eastAsia"/>
                <w:kern w:val="0"/>
                <w:sz w:val="21"/>
                <w:szCs w:val="21"/>
              </w:rPr>
              <w:t>能源种类</w:t>
            </w:r>
          </w:p>
        </w:tc>
        <w:tc>
          <w:tcPr>
            <w:tcW w:w="2250" w:type="dxa"/>
            <w:vAlign w:val="center"/>
          </w:tcPr>
          <w:p>
            <w:pPr>
              <w:jc w:val="center"/>
              <w:rPr>
                <w:kern w:val="0"/>
                <w:sz w:val="21"/>
                <w:szCs w:val="21"/>
              </w:rPr>
            </w:pPr>
            <w:r>
              <w:rPr>
                <w:rFonts w:hint="eastAsia"/>
                <w:kern w:val="0"/>
                <w:sz w:val="21"/>
                <w:szCs w:val="21"/>
              </w:rPr>
              <w:t>单位</w:t>
            </w:r>
          </w:p>
        </w:tc>
        <w:tc>
          <w:tcPr>
            <w:tcW w:w="2109" w:type="dxa"/>
            <w:vAlign w:val="center"/>
          </w:tcPr>
          <w:p>
            <w:pPr>
              <w:jc w:val="center"/>
              <w:rPr>
                <w:kern w:val="0"/>
                <w:sz w:val="21"/>
                <w:szCs w:val="21"/>
              </w:rPr>
            </w:pPr>
            <w:r>
              <w:rPr>
                <w:rFonts w:hint="eastAsia"/>
                <w:kern w:val="0"/>
                <w:sz w:val="21"/>
                <w:szCs w:val="21"/>
              </w:rPr>
              <w:t>本项目能耗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Align w:val="center"/>
          </w:tcPr>
          <w:p>
            <w:pPr>
              <w:jc w:val="center"/>
              <w:rPr>
                <w:kern w:val="0"/>
                <w:sz w:val="21"/>
                <w:szCs w:val="21"/>
              </w:rPr>
            </w:pPr>
            <w:r>
              <w:rPr>
                <w:rFonts w:hint="eastAsia"/>
                <w:kern w:val="0"/>
                <w:sz w:val="21"/>
                <w:szCs w:val="21"/>
              </w:rPr>
              <w:t>1</w:t>
            </w:r>
          </w:p>
        </w:tc>
        <w:tc>
          <w:tcPr>
            <w:tcW w:w="1968" w:type="dxa"/>
            <w:vAlign w:val="center"/>
          </w:tcPr>
          <w:p>
            <w:pPr>
              <w:jc w:val="center"/>
              <w:rPr>
                <w:kern w:val="0"/>
                <w:sz w:val="21"/>
                <w:szCs w:val="21"/>
              </w:rPr>
            </w:pPr>
            <w:r>
              <w:rPr>
                <w:rFonts w:hint="eastAsia"/>
                <w:kern w:val="0"/>
                <w:sz w:val="21"/>
                <w:szCs w:val="21"/>
              </w:rPr>
              <w:t>水</w:t>
            </w:r>
          </w:p>
        </w:tc>
        <w:tc>
          <w:tcPr>
            <w:tcW w:w="2250" w:type="dxa"/>
            <w:vAlign w:val="center"/>
          </w:tcPr>
          <w:p>
            <w:pPr>
              <w:jc w:val="center"/>
              <w:rPr>
                <w:kern w:val="0"/>
                <w:sz w:val="21"/>
                <w:szCs w:val="21"/>
              </w:rPr>
            </w:pPr>
            <w:r>
              <w:rPr>
                <w:rFonts w:hint="eastAsia"/>
                <w:kern w:val="0"/>
                <w:sz w:val="21"/>
                <w:szCs w:val="21"/>
              </w:rPr>
              <w:t>m</w:t>
            </w:r>
            <w:r>
              <w:rPr>
                <w:rFonts w:hint="eastAsia"/>
                <w:kern w:val="0"/>
                <w:sz w:val="21"/>
                <w:szCs w:val="21"/>
                <w:vertAlign w:val="superscript"/>
              </w:rPr>
              <w:t>3</w:t>
            </w:r>
            <w:r>
              <w:rPr>
                <w:rFonts w:hint="eastAsia"/>
                <w:kern w:val="0"/>
                <w:sz w:val="21"/>
                <w:szCs w:val="21"/>
              </w:rPr>
              <w:t>/t</w:t>
            </w:r>
          </w:p>
        </w:tc>
        <w:tc>
          <w:tcPr>
            <w:tcW w:w="2109" w:type="dxa"/>
            <w:vAlign w:val="center"/>
          </w:tcPr>
          <w:p>
            <w:pPr>
              <w:jc w:val="center"/>
              <w:rPr>
                <w:kern w:val="0"/>
                <w:sz w:val="21"/>
                <w:szCs w:val="21"/>
              </w:rPr>
            </w:pPr>
            <w:r>
              <w:rPr>
                <w:kern w:val="0"/>
                <w:sz w:val="21"/>
                <w:szCs w:val="21"/>
              </w:rPr>
              <w:t>0.</w:t>
            </w:r>
            <w:r>
              <w:rPr>
                <w:rFonts w:hint="eastAsia"/>
                <w:kern w:val="0"/>
                <w:sz w:val="21"/>
                <w:szCs w:val="21"/>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dxa"/>
            <w:vAlign w:val="center"/>
          </w:tcPr>
          <w:p>
            <w:pPr>
              <w:jc w:val="center"/>
              <w:rPr>
                <w:kern w:val="0"/>
                <w:sz w:val="21"/>
                <w:szCs w:val="21"/>
              </w:rPr>
            </w:pPr>
            <w:r>
              <w:rPr>
                <w:rFonts w:hint="eastAsia"/>
                <w:kern w:val="0"/>
                <w:sz w:val="21"/>
                <w:szCs w:val="21"/>
              </w:rPr>
              <w:t>2</w:t>
            </w:r>
          </w:p>
        </w:tc>
        <w:tc>
          <w:tcPr>
            <w:tcW w:w="1968" w:type="dxa"/>
            <w:vAlign w:val="center"/>
          </w:tcPr>
          <w:p>
            <w:pPr>
              <w:jc w:val="center"/>
              <w:rPr>
                <w:kern w:val="0"/>
                <w:sz w:val="21"/>
                <w:szCs w:val="21"/>
              </w:rPr>
            </w:pPr>
            <w:r>
              <w:rPr>
                <w:rFonts w:hint="eastAsia"/>
                <w:kern w:val="0"/>
                <w:sz w:val="21"/>
                <w:szCs w:val="21"/>
              </w:rPr>
              <w:t>电</w:t>
            </w:r>
          </w:p>
        </w:tc>
        <w:tc>
          <w:tcPr>
            <w:tcW w:w="2250" w:type="dxa"/>
            <w:vAlign w:val="center"/>
          </w:tcPr>
          <w:p>
            <w:pPr>
              <w:jc w:val="center"/>
              <w:rPr>
                <w:kern w:val="0"/>
                <w:sz w:val="21"/>
                <w:szCs w:val="21"/>
              </w:rPr>
            </w:pPr>
            <w:r>
              <w:rPr>
                <w:rFonts w:hint="eastAsia"/>
                <w:kern w:val="0"/>
                <w:sz w:val="21"/>
                <w:szCs w:val="21"/>
              </w:rPr>
              <w:t>kW</w:t>
            </w:r>
            <w:r>
              <w:rPr>
                <w:kern w:val="0"/>
                <w:sz w:val="20"/>
              </w:rPr>
              <w:t xml:space="preserve"> </w:t>
            </w:r>
            <w:r>
              <w:rPr>
                <w:kern w:val="0"/>
                <w:sz w:val="21"/>
                <w:szCs w:val="21"/>
              </w:rPr>
              <w:t>▪</w:t>
            </w:r>
            <w:r>
              <w:rPr>
                <w:rFonts w:hint="eastAsia"/>
                <w:kern w:val="0"/>
                <w:sz w:val="21"/>
                <w:szCs w:val="21"/>
              </w:rPr>
              <w:t>h/t</w:t>
            </w:r>
          </w:p>
        </w:tc>
        <w:tc>
          <w:tcPr>
            <w:tcW w:w="2109" w:type="dxa"/>
            <w:vAlign w:val="center"/>
          </w:tcPr>
          <w:p>
            <w:pPr>
              <w:jc w:val="center"/>
              <w:rPr>
                <w:kern w:val="0"/>
                <w:sz w:val="21"/>
                <w:szCs w:val="21"/>
              </w:rPr>
            </w:pPr>
            <w:r>
              <w:rPr>
                <w:rFonts w:hint="eastAsia"/>
                <w:kern w:val="0"/>
                <w:sz w:val="21"/>
                <w:szCs w:val="21"/>
              </w:rPr>
              <w:t>150.77</w:t>
            </w:r>
          </w:p>
        </w:tc>
      </w:tr>
    </w:tbl>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在运营过程中，各污染物均合理处置，不会产生二次污染物；项目采用的能源主要是各种设备运行中使用电能，电能属于清洁能源，因此可以看出本项目原辅料及能源的使用都符合清洁生产要求。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.3产品指标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再生塑料颗粒生产过程中未使用发泡剂、增色剂及其他物质，废滴灌带及</w:t>
      </w:r>
      <w:r>
        <w:rPr>
          <w:rFonts w:hint="default" w:ascii="Times New Roman" w:hAnsi="Times New Roman" w:cs="Times New Roman"/>
          <w:color w:val="auto"/>
          <w:szCs w:val="24"/>
        </w:rPr>
        <w:t>废旧</w:t>
      </w:r>
      <w:r>
        <w:rPr>
          <w:rFonts w:ascii="Times New Roman" w:hAnsi="Times New Roman" w:cs="Times New Roman"/>
          <w:color w:val="auto"/>
          <w:szCs w:val="24"/>
        </w:rPr>
        <w:t>塑料</w:t>
      </w:r>
      <w:r>
        <w:rPr>
          <w:rFonts w:hint="default" w:ascii="Times New Roman" w:hAnsi="Times New Roman" w:cs="Times New Roman"/>
          <w:color w:val="auto"/>
          <w:szCs w:val="24"/>
        </w:rPr>
        <w:t>膜</w:t>
      </w:r>
      <w:r>
        <w:rPr>
          <w:rFonts w:ascii="Times New Roman" w:hAnsi="Times New Roman" w:cs="Times New Roman"/>
          <w:color w:val="auto"/>
          <w:szCs w:val="24"/>
        </w:rPr>
        <w:t>仅热熔后使其再生，未改变原有塑料特性，废旧塑料颗粒仍可达到滴灌带生产原料的要求。本项目</w:t>
      </w:r>
      <w:r>
        <w:rPr>
          <w:rFonts w:hint="default" w:ascii="Times New Roman" w:hAnsi="Times New Roman" w:cs="Times New Roman"/>
          <w:color w:val="auto"/>
          <w:szCs w:val="24"/>
        </w:rPr>
        <w:t>生产滴灌带</w:t>
      </w:r>
      <w:r>
        <w:rPr>
          <w:rFonts w:ascii="Times New Roman" w:hAnsi="Times New Roman" w:cs="Times New Roman"/>
          <w:color w:val="auto"/>
          <w:szCs w:val="24"/>
        </w:rPr>
        <w:t>满足《塑料节水灌溉器材 第1部分：单翼迷宫式滴灌带》（GB/T 19812.1-2017）中相关标准要求。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.4污染物</w:t>
      </w:r>
      <w:r>
        <w:rPr>
          <w:rFonts w:hint="eastAsia" w:ascii="Times New Roman"/>
          <w:spacing w:val="12"/>
          <w:w w:val="95"/>
          <w:kern w:val="0"/>
          <w:szCs w:val="26"/>
        </w:rPr>
        <w:t>排放</w:t>
      </w:r>
      <w:r>
        <w:rPr>
          <w:rFonts w:ascii="Times New Roman"/>
          <w:spacing w:val="12"/>
          <w:w w:val="95"/>
          <w:kern w:val="0"/>
          <w:szCs w:val="26"/>
        </w:rPr>
        <w:t>指标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1、</w:t>
      </w:r>
      <w:r>
        <w:rPr>
          <w:rFonts w:hint="default" w:ascii="Times New Roman" w:hAnsi="Times New Roman" w:cs="Times New Roman"/>
          <w:color w:val="auto"/>
          <w:szCs w:val="24"/>
        </w:rPr>
        <w:t>废气</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本项目</w:t>
      </w:r>
      <w:r>
        <w:rPr>
          <w:rFonts w:hint="default" w:ascii="Times New Roman" w:hAnsi="Times New Roman" w:cs="Times New Roman"/>
          <w:color w:val="auto"/>
          <w:szCs w:val="24"/>
        </w:rPr>
        <w:t>产生</w:t>
      </w:r>
      <w:r>
        <w:rPr>
          <w:rFonts w:ascii="Times New Roman" w:hAnsi="Times New Roman" w:cs="Times New Roman"/>
          <w:color w:val="auto"/>
          <w:szCs w:val="24"/>
        </w:rPr>
        <w:t>废气</w:t>
      </w:r>
      <w:r>
        <w:rPr>
          <w:rFonts w:hint="default" w:ascii="Times New Roman" w:hAnsi="Times New Roman" w:cs="Times New Roman"/>
          <w:color w:val="auto"/>
          <w:szCs w:val="24"/>
        </w:rPr>
        <w:t>主要</w:t>
      </w:r>
      <w:r>
        <w:rPr>
          <w:rFonts w:ascii="Times New Roman" w:hAnsi="Times New Roman" w:cs="Times New Roman"/>
          <w:color w:val="auto"/>
          <w:szCs w:val="24"/>
        </w:rPr>
        <w:t>为</w:t>
      </w:r>
      <w:r>
        <w:rPr>
          <w:rFonts w:hint="default" w:ascii="Times New Roman" w:hAnsi="Times New Roman" w:cs="Times New Roman"/>
          <w:color w:val="auto"/>
          <w:szCs w:val="24"/>
        </w:rPr>
        <w:t>废旧塑料造粒过程产生的非甲烷总烃及滴灌带、PE管生产过程产生</w:t>
      </w:r>
      <w:r>
        <w:rPr>
          <w:rFonts w:ascii="Times New Roman" w:hAnsi="Times New Roman" w:cs="Times New Roman"/>
          <w:color w:val="auto"/>
          <w:szCs w:val="24"/>
        </w:rPr>
        <w:t>非甲烷总烃</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拟建项目污染物排放指标情况详见表4.6-2。</w:t>
      </w:r>
    </w:p>
    <w:p>
      <w:pPr>
        <w:ind w:firstLine="420" w:firstLineChars="200"/>
        <w:rPr>
          <w:rFonts w:hAnsi="黑体" w:eastAsia="黑体"/>
        </w:rPr>
      </w:pPr>
      <w:r>
        <w:rPr>
          <w:rFonts w:hint="eastAsia" w:hAnsi="黑体" w:eastAsia="黑体"/>
        </w:rPr>
        <w:t>表4.6-2               拟建项目废气污染物排放指标</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3673"/>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51" w:type="dxa"/>
            <w:vAlign w:val="center"/>
          </w:tcPr>
          <w:p>
            <w:pPr>
              <w:jc w:val="center"/>
              <w:rPr>
                <w:kern w:val="0"/>
                <w:sz w:val="21"/>
                <w:szCs w:val="21"/>
              </w:rPr>
            </w:pPr>
            <w:r>
              <w:rPr>
                <w:rFonts w:hint="eastAsia"/>
                <w:kern w:val="0"/>
                <w:sz w:val="21"/>
                <w:szCs w:val="21"/>
              </w:rPr>
              <w:t>序号</w:t>
            </w:r>
          </w:p>
        </w:tc>
        <w:tc>
          <w:tcPr>
            <w:tcW w:w="3673" w:type="dxa"/>
            <w:vAlign w:val="center"/>
          </w:tcPr>
          <w:p>
            <w:pPr>
              <w:jc w:val="center"/>
              <w:rPr>
                <w:kern w:val="0"/>
                <w:sz w:val="21"/>
                <w:szCs w:val="21"/>
              </w:rPr>
            </w:pPr>
            <w:r>
              <w:rPr>
                <w:rFonts w:hint="eastAsia"/>
                <w:kern w:val="0"/>
                <w:sz w:val="21"/>
                <w:szCs w:val="21"/>
              </w:rPr>
              <w:t>指标</w:t>
            </w:r>
          </w:p>
        </w:tc>
        <w:tc>
          <w:tcPr>
            <w:tcW w:w="2812" w:type="dxa"/>
            <w:vAlign w:val="center"/>
          </w:tcPr>
          <w:p>
            <w:pPr>
              <w:jc w:val="center"/>
              <w:rPr>
                <w:kern w:val="0"/>
                <w:sz w:val="21"/>
                <w:szCs w:val="21"/>
              </w:rPr>
            </w:pPr>
            <w:r>
              <w:rPr>
                <w:rFonts w:hint="eastAsia"/>
                <w:kern w:val="0"/>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pPr>
              <w:jc w:val="center"/>
              <w:rPr>
                <w:kern w:val="0"/>
                <w:sz w:val="21"/>
                <w:szCs w:val="21"/>
              </w:rPr>
            </w:pPr>
            <w:r>
              <w:rPr>
                <w:rFonts w:hint="eastAsia"/>
                <w:kern w:val="0"/>
                <w:sz w:val="21"/>
                <w:szCs w:val="21"/>
              </w:rPr>
              <w:t>1</w:t>
            </w:r>
          </w:p>
        </w:tc>
        <w:tc>
          <w:tcPr>
            <w:tcW w:w="3673" w:type="dxa"/>
            <w:vAlign w:val="center"/>
          </w:tcPr>
          <w:p>
            <w:pPr>
              <w:jc w:val="center"/>
              <w:rPr>
                <w:kern w:val="0"/>
                <w:sz w:val="21"/>
                <w:szCs w:val="21"/>
              </w:rPr>
            </w:pPr>
            <w:r>
              <w:rPr>
                <w:rFonts w:hint="eastAsia"/>
                <w:kern w:val="0"/>
                <w:sz w:val="21"/>
                <w:szCs w:val="21"/>
              </w:rPr>
              <w:t>非甲烷总烃（kg/t产品）</w:t>
            </w:r>
          </w:p>
        </w:tc>
        <w:tc>
          <w:tcPr>
            <w:tcW w:w="2812" w:type="dxa"/>
            <w:vAlign w:val="center"/>
          </w:tcPr>
          <w:p>
            <w:pPr>
              <w:jc w:val="center"/>
              <w:rPr>
                <w:kern w:val="0"/>
                <w:sz w:val="21"/>
                <w:szCs w:val="21"/>
              </w:rPr>
            </w:pPr>
            <w:r>
              <w:rPr>
                <w:rFonts w:hint="eastAsia"/>
                <w:kern w:val="0"/>
                <w:sz w:val="21"/>
                <w:szCs w:val="21"/>
              </w:rPr>
              <w:t>0.24</w:t>
            </w:r>
          </w:p>
        </w:tc>
      </w:tr>
    </w:tbl>
    <w:p>
      <w:pPr>
        <w:pStyle w:val="24"/>
        <w:autoSpaceDN/>
        <w:rPr>
          <w:rFonts w:hint="default" w:ascii="Times New Roman" w:hAnsi="Times New Roman" w:cs="Times New Roman"/>
          <w:color w:val="auto"/>
        </w:rPr>
      </w:pPr>
      <w:r>
        <w:rPr>
          <w:rFonts w:hint="default" w:ascii="Times New Roman" w:hAnsi="Times New Roman" w:cs="Times New Roman"/>
          <w:color w:val="auto"/>
        </w:rPr>
        <w:t>本项目有机废气非甲烷总烃均采取活性炭吸附+催化燃烧</w:t>
      </w:r>
      <w:r>
        <w:rPr>
          <w:rFonts w:ascii="Times New Roman" w:hAnsi="Times New Roman" w:cs="Times New Roman"/>
          <w:color w:val="auto"/>
        </w:rPr>
        <w:t>（CO）</w:t>
      </w:r>
      <w:r>
        <w:rPr>
          <w:rFonts w:hint="default" w:ascii="Times New Roman" w:hAnsi="Times New Roman" w:cs="Times New Roman"/>
          <w:color w:val="auto"/>
        </w:rPr>
        <w:t>处置技术，项目采取的各项废气处置措施均为《排污许可证申请与核发技术规范 废弃资源加工工业》（HJ 1034-2019）</w:t>
      </w:r>
      <w:r>
        <w:rPr>
          <w:rFonts w:ascii="Times New Roman" w:hAnsi="Times New Roman" w:cs="Times New Roman"/>
          <w:color w:val="auto"/>
        </w:rPr>
        <w:t xml:space="preserve">、《排污许可证申请与核发技术规范 橡胶和塑料制品工业》（HJ </w:t>
      </w:r>
      <w:r>
        <w:rPr>
          <w:rFonts w:hint="default" w:ascii="Times New Roman" w:hAnsi="Times New Roman" w:cs="Times New Roman"/>
          <w:color w:val="auto"/>
        </w:rPr>
        <w:t>1122-2020</w:t>
      </w:r>
      <w:r>
        <w:rPr>
          <w:rFonts w:ascii="Times New Roman" w:hAnsi="Times New Roman" w:cs="Times New Roman"/>
          <w:color w:val="auto"/>
        </w:rPr>
        <w:t>）中</w:t>
      </w:r>
      <w:r>
        <w:rPr>
          <w:rFonts w:hint="default" w:ascii="Times New Roman" w:hAnsi="Times New Roman" w:cs="Times New Roman"/>
          <w:color w:val="auto"/>
        </w:rPr>
        <w:t>推荐的</w:t>
      </w:r>
      <w:r>
        <w:rPr>
          <w:rFonts w:ascii="Times New Roman" w:hAnsi="Times New Roman" w:cs="Times New Roman"/>
          <w:color w:val="auto"/>
        </w:rPr>
        <w:t>污染防治</w:t>
      </w:r>
      <w:r>
        <w:rPr>
          <w:rFonts w:hint="default" w:ascii="Times New Roman" w:hAnsi="Times New Roman" w:cs="Times New Roman"/>
          <w:color w:val="auto"/>
        </w:rPr>
        <w:t>可行技术，经采取上述各项措施后大气污染物的排放浓度、排放速率均远低于标准限值要求。</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由上表可以看出项目单位产品废气污染物排放量较小，符合清洁生产要求。</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2、废水</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本项目生产工艺用水为废旧滴灌带、</w:t>
      </w:r>
      <w:r>
        <w:rPr>
          <w:rFonts w:hint="default" w:ascii="Times New Roman" w:hAnsi="Times New Roman" w:cs="Times New Roman"/>
          <w:color w:val="auto"/>
          <w:szCs w:val="24"/>
        </w:rPr>
        <w:t>废旧</w:t>
      </w:r>
      <w:r>
        <w:rPr>
          <w:rFonts w:ascii="Times New Roman" w:hAnsi="Times New Roman" w:cs="Times New Roman"/>
          <w:color w:val="auto"/>
          <w:szCs w:val="24"/>
        </w:rPr>
        <w:t>塑料</w:t>
      </w:r>
      <w:r>
        <w:rPr>
          <w:rFonts w:hint="default" w:ascii="Times New Roman" w:hAnsi="Times New Roman" w:cs="Times New Roman"/>
          <w:color w:val="auto"/>
          <w:szCs w:val="24"/>
        </w:rPr>
        <w:t>膜</w:t>
      </w:r>
      <w:r>
        <w:rPr>
          <w:rFonts w:ascii="Times New Roman" w:hAnsi="Times New Roman" w:cs="Times New Roman"/>
          <w:color w:val="auto"/>
          <w:szCs w:val="24"/>
        </w:rPr>
        <w:t>破碎工段喷淋废水、废旧滴灌带、</w:t>
      </w:r>
      <w:r>
        <w:rPr>
          <w:rFonts w:hint="default" w:ascii="Times New Roman" w:hAnsi="Times New Roman" w:cs="Times New Roman"/>
          <w:color w:val="auto"/>
          <w:szCs w:val="24"/>
        </w:rPr>
        <w:t>废旧</w:t>
      </w:r>
      <w:r>
        <w:rPr>
          <w:rFonts w:ascii="Times New Roman" w:hAnsi="Times New Roman" w:cs="Times New Roman"/>
          <w:color w:val="auto"/>
          <w:szCs w:val="24"/>
        </w:rPr>
        <w:t>塑料</w:t>
      </w:r>
      <w:r>
        <w:rPr>
          <w:rFonts w:hint="default" w:ascii="Times New Roman" w:hAnsi="Times New Roman" w:cs="Times New Roman"/>
          <w:color w:val="auto"/>
          <w:szCs w:val="24"/>
        </w:rPr>
        <w:t>膜</w:t>
      </w:r>
      <w:r>
        <w:rPr>
          <w:rFonts w:ascii="Times New Roman" w:hAnsi="Times New Roman" w:cs="Times New Roman"/>
          <w:color w:val="auto"/>
          <w:szCs w:val="24"/>
        </w:rPr>
        <w:t>清洗工段清洗废水、再生聚乙烯颗粒料和滴灌带、</w:t>
      </w:r>
      <w:r>
        <w:rPr>
          <w:rFonts w:hint="default" w:ascii="Times New Roman" w:hAnsi="Times New Roman" w:cs="Times New Roman"/>
          <w:color w:val="auto"/>
          <w:szCs w:val="24"/>
        </w:rPr>
        <w:t>PE管</w:t>
      </w:r>
      <w:r>
        <w:rPr>
          <w:rFonts w:ascii="Times New Roman" w:hAnsi="Times New Roman" w:cs="Times New Roman"/>
          <w:color w:val="auto"/>
          <w:szCs w:val="24"/>
        </w:rPr>
        <w:t>循环冷却水，均循环使用不外排，定期补充新鲜水，无生产废水产生。本项目生活污水经防渗化粪池暂存后定期拉运至昌吉市污水处理厂处置。</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3、噪声</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噪声选用低噪声设备，基础减振、采取厂房隔音等措施降噪。</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4、固体废物</w:t>
      </w:r>
    </w:p>
    <w:p>
      <w:pPr>
        <w:pStyle w:val="24"/>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残次品及边角料全部回收后，作为本项目造粒工段原料使用；废滤网收集后拉运至固废填埋场，生活垃圾定期拉运至垃圾填埋场处理。沉淀池泥沙定期送一般固废填埋场处置。废润滑油及桶、废催化剂和废活性炭暂存于危废暂存间，交由有资质的的单位处置。</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通过采取环保治理措施，项目废气、废水、噪声、固废等污染物能够做到达标排放。项目在环境管理方面能够满足清洁生产的要求。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.5废物回收利用指标</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本项目为废旧塑料资源节约综合利用项目，本项目生产滴灌带、PE管使用的原料为废旧滴灌带、</w:t>
      </w:r>
      <w:r>
        <w:rPr>
          <w:rFonts w:hint="default" w:ascii="Times New Roman" w:hAnsi="Times New Roman" w:cs="Times New Roman"/>
          <w:color w:val="auto"/>
          <w:szCs w:val="24"/>
        </w:rPr>
        <w:t>废旧</w:t>
      </w:r>
      <w:r>
        <w:rPr>
          <w:rFonts w:ascii="Times New Roman" w:hAnsi="Times New Roman" w:cs="Times New Roman"/>
          <w:color w:val="auto"/>
          <w:szCs w:val="24"/>
        </w:rPr>
        <w:t>塑料</w:t>
      </w:r>
      <w:r>
        <w:rPr>
          <w:rFonts w:hint="default" w:ascii="Times New Roman" w:hAnsi="Times New Roman" w:cs="Times New Roman"/>
          <w:color w:val="auto"/>
          <w:szCs w:val="24"/>
        </w:rPr>
        <w:t>膜</w:t>
      </w:r>
      <w:r>
        <w:rPr>
          <w:rFonts w:ascii="Times New Roman" w:hAnsi="Times New Roman" w:cs="Times New Roman"/>
          <w:color w:val="auto"/>
          <w:szCs w:val="24"/>
        </w:rPr>
        <w:t>进行清洗造粒后的再生聚乙烯颗粒料，减少了原材料资源的浪费。项目滴灌带及PE管生产产生的残次品及边角料重回造粒工序进行生产，进行废物回收利用，利用率达100%。项目清洗废水、冷却水循环利用不外排，循环使用率达100%。</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6</w:t>
      </w:r>
      <w:r>
        <w:rPr>
          <w:rFonts w:hint="eastAsia" w:ascii="Times New Roman"/>
          <w:spacing w:val="12"/>
          <w:w w:val="95"/>
          <w:kern w:val="0"/>
          <w:szCs w:val="26"/>
        </w:rPr>
        <w:t>环境管理要求</w:t>
      </w:r>
    </w:p>
    <w:p>
      <w:pPr>
        <w:pStyle w:val="24"/>
        <w:autoSpaceDN/>
        <w:rPr>
          <w:rFonts w:hint="default"/>
          <w:color w:val="auto"/>
        </w:rPr>
      </w:pPr>
      <w:r>
        <w:rPr>
          <w:color w:val="auto"/>
        </w:rPr>
        <w:t>本项目符合国家和地方相关法律、法规要求，污染物均达标排放。</w:t>
      </w:r>
    </w:p>
    <w:p>
      <w:pPr>
        <w:pStyle w:val="24"/>
        <w:autoSpaceDN/>
        <w:rPr>
          <w:rFonts w:hint="default"/>
          <w:color w:val="auto"/>
        </w:rPr>
      </w:pPr>
      <w:r>
        <w:rPr>
          <w:color w:val="auto"/>
        </w:rPr>
        <w:t>为提高企业清洁生产水平，要求建设方加强生产过程中环境管理，严格原材料质量检验；对能耗、水耗及产品合格率进行定量考核；确保物品堆存区及人流、物流活动区有明显标识，加强安全管理；加强管道检修，减少跑、冒、滴、漏现象，节约水资源。</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7</w:t>
      </w:r>
      <w:r>
        <w:rPr>
          <w:rFonts w:hint="eastAsia" w:ascii="Times New Roman"/>
          <w:spacing w:val="12"/>
          <w:w w:val="95"/>
          <w:kern w:val="0"/>
          <w:szCs w:val="26"/>
        </w:rPr>
        <w:t>清洁生产小结</w:t>
      </w:r>
    </w:p>
    <w:p>
      <w:pPr>
        <w:pStyle w:val="24"/>
        <w:autoSpaceDE/>
        <w:autoSpaceDN/>
        <w:adjustRightInd/>
        <w:spacing w:line="460" w:lineRule="exact"/>
        <w:ind w:firstLine="480" w:firstLineChars="200"/>
        <w:rPr>
          <w:rFonts w:hint="default" w:ascii="Times New Roman" w:hAnsi="Times New Roman" w:cs="Times New Roman"/>
          <w:color w:val="auto"/>
          <w:szCs w:val="24"/>
        </w:rPr>
      </w:pPr>
      <w:r>
        <w:rPr>
          <w:rFonts w:ascii="Times New Roman" w:hAnsi="Times New Roman" w:cs="Times New Roman"/>
          <w:color w:val="auto"/>
          <w:szCs w:val="24"/>
        </w:rPr>
        <w:t>本工程在采取了相应的防范措施后，可保证生产安全和环境安全；拟建项目所用动力清洁，符合我国的能源政策要求；单位产品综合物耗、能耗水平较低；所选用的生产工艺符合清洁生产</w:t>
      </w:r>
      <w:r>
        <w:rPr>
          <w:rFonts w:hint="default" w:ascii="Times New Roman" w:hAnsi="Times New Roman" w:cs="Times New Roman"/>
          <w:color w:val="auto"/>
          <w:szCs w:val="24"/>
        </w:rPr>
        <w:t>要求</w:t>
      </w:r>
      <w:r>
        <w:rPr>
          <w:rFonts w:ascii="Times New Roman" w:hAnsi="Times New Roman" w:cs="Times New Roman"/>
          <w:color w:val="auto"/>
          <w:szCs w:val="24"/>
        </w:rPr>
        <w:t>，所选用设备无淘汰类等，污染物排放浓度和排放量，满足相应的标准要求，拟建项目满足清洁生产要求。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4.6.</w:t>
      </w:r>
      <w:r>
        <w:rPr>
          <w:rFonts w:ascii="Times New Roman"/>
          <w:spacing w:val="12"/>
          <w:w w:val="95"/>
          <w:kern w:val="0"/>
          <w:szCs w:val="26"/>
        </w:rPr>
        <w:t>8</w:t>
      </w:r>
      <w:r>
        <w:rPr>
          <w:rFonts w:hint="eastAsia" w:ascii="Times New Roman"/>
          <w:spacing w:val="12"/>
          <w:w w:val="95"/>
          <w:kern w:val="0"/>
          <w:szCs w:val="26"/>
        </w:rPr>
        <w:t>清洁生产建议</w:t>
      </w:r>
    </w:p>
    <w:p>
      <w:pPr>
        <w:autoSpaceDE w:val="0"/>
        <w:autoSpaceDN w:val="0"/>
        <w:spacing w:line="460" w:lineRule="exact"/>
        <w:ind w:firstLine="480" w:firstLineChars="200"/>
        <w:rPr>
          <w:sz w:val="24"/>
        </w:rPr>
      </w:pPr>
      <w:r>
        <w:rPr>
          <w:rFonts w:hint="eastAsia"/>
          <w:sz w:val="24"/>
        </w:rPr>
        <w:t>经分析，拟建项目虽然符合清洁生产的要求，但还有进一步加强清洁生产的潜力，</w:t>
      </w:r>
      <w:r>
        <w:rPr>
          <w:sz w:val="24"/>
        </w:rPr>
        <w:t xml:space="preserve"> </w:t>
      </w:r>
      <w:r>
        <w:rPr>
          <w:rFonts w:hint="eastAsia"/>
          <w:sz w:val="24"/>
        </w:rPr>
        <w:t>为此提出如下建议：</w:t>
      </w:r>
    </w:p>
    <w:p>
      <w:pPr>
        <w:autoSpaceDE w:val="0"/>
        <w:autoSpaceDN w:val="0"/>
        <w:spacing w:line="460" w:lineRule="exact"/>
        <w:ind w:firstLine="480" w:firstLineChars="200"/>
        <w:rPr>
          <w:sz w:val="24"/>
        </w:rPr>
      </w:pPr>
      <w:r>
        <w:rPr>
          <w:rFonts w:hint="eastAsia"/>
          <w:sz w:val="24"/>
        </w:rPr>
        <w:t>1、注重生产现场技术管理，保证生产过程的连续性、比例性和协调性。</w:t>
      </w:r>
    </w:p>
    <w:p>
      <w:pPr>
        <w:autoSpaceDE w:val="0"/>
        <w:autoSpaceDN w:val="0"/>
        <w:spacing w:line="460" w:lineRule="exact"/>
        <w:ind w:firstLine="480" w:firstLineChars="200"/>
        <w:rPr>
          <w:sz w:val="24"/>
        </w:rPr>
      </w:pPr>
      <w:r>
        <w:rPr>
          <w:rFonts w:hint="eastAsia"/>
          <w:sz w:val="24"/>
        </w:rPr>
        <w:t>2、生产过程中必须加强循环利用和再资源化，对排放物的有效处理和回收利用，既可创造经济效益，又可减少污染。</w:t>
      </w:r>
    </w:p>
    <w:p>
      <w:pPr>
        <w:autoSpaceDE w:val="0"/>
        <w:autoSpaceDN w:val="0"/>
        <w:spacing w:line="460" w:lineRule="exact"/>
        <w:ind w:firstLine="480" w:firstLineChars="200"/>
        <w:rPr>
          <w:sz w:val="24"/>
        </w:rPr>
      </w:pPr>
      <w:r>
        <w:rPr>
          <w:rFonts w:hint="eastAsia"/>
          <w:sz w:val="24"/>
        </w:rPr>
        <w:t>3、进一步降低电耗、水耗，降低单位产品消耗水平，从而降低产品成本，增强市场竞争力。</w:t>
      </w:r>
    </w:p>
    <w:p>
      <w:pPr>
        <w:autoSpaceDE w:val="0"/>
        <w:autoSpaceDN w:val="0"/>
        <w:spacing w:line="460" w:lineRule="exact"/>
        <w:ind w:firstLine="480" w:firstLineChars="200"/>
        <w:rPr>
          <w:sz w:val="24"/>
        </w:rPr>
      </w:pPr>
      <w:r>
        <w:rPr>
          <w:rFonts w:hint="eastAsia"/>
          <w:sz w:val="24"/>
        </w:rPr>
        <w:t>4、进一步减少生产过程中的跑、冒、滴、漏，降低对环境造成的危害。</w:t>
      </w:r>
    </w:p>
    <w:p>
      <w:pPr>
        <w:autoSpaceDE w:val="0"/>
        <w:autoSpaceDN w:val="0"/>
        <w:spacing w:line="460" w:lineRule="exact"/>
        <w:ind w:firstLine="480" w:firstLineChars="200"/>
        <w:rPr>
          <w:sz w:val="24"/>
        </w:rPr>
      </w:pPr>
      <w:r>
        <w:rPr>
          <w:rFonts w:hint="eastAsia"/>
          <w:sz w:val="24"/>
        </w:rPr>
        <w:t>5、落实环评报告书所提出的各项污染防治措施，加强污染防治设施的运行维护和管理，确保对周围环境影响的最小化。</w:t>
      </w:r>
    </w:p>
    <w:p>
      <w:pPr>
        <w:autoSpaceDE w:val="0"/>
        <w:autoSpaceDN w:val="0"/>
        <w:spacing w:line="460" w:lineRule="exact"/>
        <w:ind w:firstLine="480" w:firstLineChars="200"/>
        <w:rPr>
          <w:sz w:val="24"/>
        </w:rPr>
      </w:pPr>
      <w:r>
        <w:rPr>
          <w:rFonts w:hint="eastAsia"/>
          <w:sz w:val="24"/>
        </w:rPr>
        <w:t>6、建立严格完善的生产管理制度，加强业务培训和宣传教育工作，使每个职工树立节能意识，环保意识，保障清洁生产的目的顺利实施。</w:t>
      </w:r>
    </w:p>
    <w:p>
      <w:pPr>
        <w:autoSpaceDE w:val="0"/>
        <w:autoSpaceDN w:val="0"/>
        <w:spacing w:line="460" w:lineRule="exact"/>
        <w:ind w:firstLine="480" w:firstLineChars="200"/>
        <w:rPr>
          <w:sz w:val="24"/>
        </w:rPr>
      </w:pPr>
      <w:r>
        <w:rPr>
          <w:rFonts w:hint="eastAsia"/>
          <w:sz w:val="24"/>
        </w:rPr>
        <w:t>7、拟建项目应参照</w:t>
      </w:r>
      <w:r>
        <w:rPr>
          <w:sz w:val="24"/>
        </w:rPr>
        <w:t>ISO14000</w:t>
      </w:r>
      <w:r>
        <w:rPr>
          <w:rFonts w:hint="eastAsia"/>
          <w:sz w:val="24"/>
        </w:rPr>
        <w:t>标准的要求建立并运行环境管理体系，不断健全环境管理手册、程序文件及作业文件，进一步理顺全厂环境管理的关系，抓好企业环境管理。同时开展清洁生产审核，持续改进和提高企业环境管理水平。</w:t>
      </w:r>
    </w:p>
    <w:p>
      <w:pPr>
        <w:pStyle w:val="4"/>
        <w:adjustRightInd w:val="0"/>
        <w:spacing w:before="120" w:after="120" w:line="460" w:lineRule="exact"/>
        <w:textAlignment w:val="baseline"/>
        <w:rPr>
          <w:rFonts w:ascii="Times New Roman" w:hAnsi="Times New Roman"/>
          <w:b w:val="0"/>
          <w:szCs w:val="28"/>
        </w:rPr>
      </w:pPr>
      <w:bookmarkStart w:id="168" w:name="_Toc165386228"/>
      <w:r>
        <w:rPr>
          <w:rFonts w:hint="eastAsia" w:ascii="Times New Roman" w:hAnsi="Times New Roman"/>
          <w:b w:val="0"/>
          <w:szCs w:val="28"/>
        </w:rPr>
        <w:t>4.7 总量控制</w:t>
      </w:r>
      <w:bookmarkEnd w:id="168"/>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4.7.1总量控制目的</w:t>
      </w:r>
    </w:p>
    <w:p>
      <w:pPr>
        <w:autoSpaceDE w:val="0"/>
        <w:autoSpaceDN w:val="0"/>
        <w:spacing w:line="460" w:lineRule="exact"/>
        <w:ind w:firstLine="480" w:firstLineChars="200"/>
        <w:rPr>
          <w:sz w:val="24"/>
        </w:rPr>
      </w:pPr>
      <w:r>
        <w:rPr>
          <w:sz w:val="24"/>
        </w:rP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4.7.2总量控制因子</w:t>
      </w:r>
    </w:p>
    <w:p>
      <w:pPr>
        <w:autoSpaceDE w:val="0"/>
        <w:autoSpaceDN w:val="0"/>
        <w:spacing w:line="460" w:lineRule="exact"/>
        <w:ind w:firstLine="480" w:firstLineChars="200"/>
        <w:rPr>
          <w:sz w:val="24"/>
        </w:rPr>
      </w:pPr>
      <w:r>
        <w:rPr>
          <w:sz w:val="24"/>
        </w:rP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pPr>
        <w:autoSpaceDE w:val="0"/>
        <w:autoSpaceDN w:val="0"/>
        <w:spacing w:line="460" w:lineRule="exact"/>
        <w:ind w:firstLine="480" w:firstLineChars="200"/>
        <w:rPr>
          <w:sz w:val="24"/>
        </w:rPr>
      </w:pPr>
      <w:r>
        <w:rPr>
          <w:sz w:val="24"/>
        </w:rP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Pr>
          <w:rFonts w:hint="eastAsia" w:ascii="宋体" w:hAnsi="宋体" w:cs="宋体"/>
          <w:sz w:val="24"/>
        </w:rPr>
        <w:t>①</w:t>
      </w:r>
      <w:r>
        <w:rPr>
          <w:sz w:val="24"/>
        </w:rPr>
        <w:t>确保污染物达标排放；</w:t>
      </w:r>
      <w:r>
        <w:rPr>
          <w:rFonts w:hint="eastAsia" w:ascii="宋体" w:hAnsi="宋体" w:cs="宋体"/>
          <w:sz w:val="24"/>
        </w:rPr>
        <w:t>②</w:t>
      </w:r>
      <w:r>
        <w:rPr>
          <w:sz w:val="24"/>
        </w:rPr>
        <w:t>符合允许排放量限值；</w:t>
      </w:r>
      <w:r>
        <w:rPr>
          <w:rFonts w:hint="eastAsia" w:ascii="宋体" w:hAnsi="宋体" w:cs="宋体"/>
          <w:sz w:val="24"/>
        </w:rPr>
        <w:t>③</w:t>
      </w:r>
      <w:r>
        <w:rPr>
          <w:sz w:val="24"/>
        </w:rPr>
        <w:t>满足环境质量标准要求。</w:t>
      </w:r>
    </w:p>
    <w:p>
      <w:pPr>
        <w:autoSpaceDE w:val="0"/>
        <w:autoSpaceDN w:val="0"/>
        <w:spacing w:line="460" w:lineRule="exact"/>
        <w:ind w:firstLine="480" w:firstLineChars="200"/>
        <w:rPr>
          <w:sz w:val="24"/>
        </w:rPr>
      </w:pPr>
      <w:r>
        <w:rPr>
          <w:rFonts w:hint="eastAsia"/>
          <w:sz w:val="24"/>
        </w:rPr>
        <w:t>根据《“十四五”节能减排综合工作方案》，继续实施化学需氧量、氨氮、氮氧化物、挥发性有机物排放总量控制要求。</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4.7.3总量控制指标的确定</w:t>
      </w:r>
    </w:p>
    <w:p>
      <w:pPr>
        <w:autoSpaceDE w:val="0"/>
        <w:autoSpaceDN w:val="0"/>
        <w:spacing w:line="460" w:lineRule="exact"/>
        <w:ind w:firstLine="480" w:firstLineChars="200"/>
        <w:rPr>
          <w:sz w:val="24"/>
        </w:rPr>
      </w:pPr>
      <w:r>
        <w:rPr>
          <w:rFonts w:hint="eastAsia"/>
          <w:sz w:val="24"/>
        </w:rPr>
        <w:t>根据《昌吉市昊慧盛塑料制品厂地膜滴灌带及PE管材生产加工项目环境影响报告表》及昌农科环函﹝2019﹞12号，现有工程总量控制指标为挥发性有机物1.31t/a。</w:t>
      </w:r>
    </w:p>
    <w:p>
      <w:pPr>
        <w:autoSpaceDE w:val="0"/>
        <w:autoSpaceDN w:val="0"/>
        <w:spacing w:line="460" w:lineRule="exact"/>
        <w:ind w:firstLine="480" w:firstLineChars="200"/>
        <w:rPr>
          <w:sz w:val="24"/>
        </w:rPr>
      </w:pPr>
      <w:r>
        <w:rPr>
          <w:rFonts w:hint="eastAsia"/>
          <w:sz w:val="24"/>
        </w:rPr>
        <w:t>水污染物排放总量：清洗废水和循环冷却水，循环使用不外排，定期补充新鲜水，无生产废水产生；本项目生活污水排入防渗化粪池暂存，定期由吸污车拉运至昌吉市处理厂处置，不计入总量。</w:t>
      </w:r>
    </w:p>
    <w:p>
      <w:pPr>
        <w:autoSpaceDE w:val="0"/>
        <w:autoSpaceDN w:val="0"/>
        <w:spacing w:line="460" w:lineRule="exact"/>
        <w:ind w:firstLine="480" w:firstLineChars="200"/>
        <w:rPr>
          <w:sz w:val="24"/>
        </w:rPr>
      </w:pPr>
      <w:r>
        <w:rPr>
          <w:rFonts w:hint="eastAsia"/>
          <w:sz w:val="24"/>
        </w:rPr>
        <w:t>大气污染物排放总量：根据计算，本项目改扩建完成后大气污染物主要为非甲烷总烃，根据计算，本次</w:t>
      </w:r>
      <w:r>
        <w:rPr>
          <w:sz w:val="24"/>
        </w:rPr>
        <w:t>扩建工程（</w:t>
      </w:r>
      <w:r>
        <w:rPr>
          <w:rFonts w:hint="eastAsia"/>
          <w:sz w:val="24"/>
        </w:rPr>
        <w:t>包括</w:t>
      </w:r>
      <w:r>
        <w:rPr>
          <w:sz w:val="24"/>
        </w:rPr>
        <w:t>现有</w:t>
      </w:r>
      <w:r>
        <w:rPr>
          <w:rFonts w:hint="eastAsia"/>
          <w:sz w:val="24"/>
        </w:rPr>
        <w:t>工程</w:t>
      </w:r>
      <w:r>
        <w:rPr>
          <w:sz w:val="24"/>
        </w:rPr>
        <w:t>）</w:t>
      </w:r>
      <w:r>
        <w:rPr>
          <w:rFonts w:hint="eastAsia"/>
          <w:sz w:val="24"/>
        </w:rPr>
        <w:t>有组织非甲烷总烃排放量为1.55t/a</w:t>
      </w:r>
      <w:r>
        <w:rPr>
          <w:sz w:val="24"/>
        </w:rPr>
        <w:t>，</w:t>
      </w:r>
      <w:r>
        <w:rPr>
          <w:rFonts w:hint="eastAsia"/>
          <w:sz w:val="24"/>
        </w:rPr>
        <w:t>因此项目需设置总量控制指标VOCs（以非甲烷总烃</w:t>
      </w:r>
      <w:r>
        <w:rPr>
          <w:sz w:val="24"/>
        </w:rPr>
        <w:t>计</w:t>
      </w:r>
      <w:r>
        <w:rPr>
          <w:rFonts w:hint="eastAsia"/>
          <w:sz w:val="24"/>
        </w:rPr>
        <w:t>）1.55t/a。</w:t>
      </w:r>
    </w:p>
    <w:p>
      <w:pPr>
        <w:autoSpaceDE w:val="0"/>
        <w:autoSpaceDN w:val="0"/>
        <w:spacing w:line="460" w:lineRule="exact"/>
        <w:ind w:firstLine="480" w:firstLineChars="200"/>
        <w:rPr>
          <w:sz w:val="24"/>
        </w:rPr>
      </w:pPr>
      <w:r>
        <w:rPr>
          <w:rFonts w:hint="eastAsia"/>
          <w:sz w:val="24"/>
        </w:rPr>
        <w:t>根据《昌吉回族自治州“三线一单”生态环境分区管控方案及生态环境准入清单》（昌州政办发〔2021〕41号）中关于“PM</w:t>
      </w:r>
      <w:r>
        <w:rPr>
          <w:rFonts w:hint="eastAsia"/>
          <w:sz w:val="24"/>
          <w:vertAlign w:val="subscript"/>
        </w:rPr>
        <w:t>2.5</w:t>
      </w:r>
      <w:r>
        <w:rPr>
          <w:rFonts w:hint="eastAsia"/>
          <w:sz w:val="24"/>
        </w:rPr>
        <w:t>年平均浓度不达标城市禁止新（改、扩）建未落实SO</w:t>
      </w:r>
      <w:r>
        <w:rPr>
          <w:rFonts w:hint="eastAsia"/>
          <w:sz w:val="24"/>
          <w:vertAlign w:val="subscript"/>
        </w:rPr>
        <w:t>2</w:t>
      </w:r>
      <w:r>
        <w:rPr>
          <w:rFonts w:hint="eastAsia"/>
          <w:sz w:val="24"/>
        </w:rPr>
        <w:t>、NOx、烟粉尘、挥发性有机物（VOCs）等四项大气污染物总量指标倍量替代的项目”的要求，项目区属于PM</w:t>
      </w:r>
      <w:r>
        <w:rPr>
          <w:rFonts w:hint="eastAsia"/>
          <w:sz w:val="24"/>
          <w:vertAlign w:val="subscript"/>
        </w:rPr>
        <w:t>2.5</w:t>
      </w:r>
      <w:r>
        <w:rPr>
          <w:rFonts w:hint="eastAsia"/>
          <w:sz w:val="24"/>
        </w:rPr>
        <w:t>不达标区，因此污染物需要倍量替代消减，本次扩建工程对现有工程大气污染防治措施进行“以新带老”替换，产生非甲烷总烃减排量1.31t/a，因此本项目总量控制指标非甲烷总烃在扣除本项目厂区“以新带老”减排量后剩余0.24t/a需要进行区域倍量削减。</w:t>
      </w:r>
    </w:p>
    <w:p>
      <w:pPr>
        <w:overflowPunct w:val="0"/>
        <w:spacing w:line="460" w:lineRule="exact"/>
        <w:ind w:firstLine="480" w:firstLineChars="200"/>
        <w:rPr>
          <w:sz w:val="24"/>
        </w:rPr>
      </w:pPr>
    </w:p>
    <w:p>
      <w:pPr>
        <w:pStyle w:val="3"/>
        <w:spacing w:before="100" w:beforeAutospacing="1" w:after="100" w:afterAutospacing="1"/>
        <w:jc w:val="center"/>
      </w:pPr>
      <w:bookmarkStart w:id="169" w:name="_Toc309715331"/>
      <w:bookmarkStart w:id="170" w:name="_Toc454899359"/>
      <w:r>
        <w:rPr>
          <w:sz w:val="32"/>
        </w:rPr>
        <w:br w:type="column"/>
      </w:r>
      <w:bookmarkStart w:id="171" w:name="_Toc165386229"/>
      <w:r>
        <w:rPr>
          <w:rFonts w:hint="eastAsia"/>
        </w:rPr>
        <w:t>5</w:t>
      </w:r>
      <w:r>
        <w:t xml:space="preserve">  环境现状调查与评价</w:t>
      </w:r>
      <w:bookmarkEnd w:id="169"/>
      <w:bookmarkEnd w:id="170"/>
      <w:bookmarkEnd w:id="171"/>
    </w:p>
    <w:p>
      <w:pPr>
        <w:pStyle w:val="4"/>
        <w:adjustRightInd w:val="0"/>
        <w:spacing w:before="120" w:after="120" w:line="460" w:lineRule="exact"/>
        <w:textAlignment w:val="baseline"/>
        <w:rPr>
          <w:rFonts w:ascii="Times New Roman" w:hAnsi="Times New Roman"/>
          <w:b w:val="0"/>
          <w:szCs w:val="28"/>
        </w:rPr>
      </w:pPr>
      <w:bookmarkStart w:id="172" w:name="_Toc309715332"/>
      <w:bookmarkStart w:id="173" w:name="_Toc454899360"/>
      <w:bookmarkStart w:id="174" w:name="_Toc165386230"/>
      <w:r>
        <w:rPr>
          <w:rFonts w:hint="eastAsia" w:ascii="Times New Roman" w:hAnsi="Times New Roman"/>
          <w:b w:val="0"/>
          <w:szCs w:val="28"/>
        </w:rPr>
        <w:t>5</w:t>
      </w:r>
      <w:r>
        <w:rPr>
          <w:rFonts w:ascii="Times New Roman" w:hAnsi="Times New Roman"/>
          <w:b w:val="0"/>
          <w:szCs w:val="28"/>
        </w:rPr>
        <w:t>.1 自然环境概况</w:t>
      </w:r>
      <w:bookmarkEnd w:id="172"/>
      <w:bookmarkEnd w:id="173"/>
      <w:bookmarkEnd w:id="174"/>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75" w:name="_Toc309715333"/>
      <w:r>
        <w:rPr>
          <w:rFonts w:hint="eastAsia" w:ascii="Times New Roman"/>
          <w:spacing w:val="12"/>
          <w:w w:val="95"/>
          <w:kern w:val="0"/>
          <w:szCs w:val="26"/>
        </w:rPr>
        <w:t>5</w:t>
      </w:r>
      <w:r>
        <w:rPr>
          <w:rFonts w:ascii="Times New Roman"/>
          <w:spacing w:val="12"/>
          <w:w w:val="95"/>
          <w:kern w:val="0"/>
          <w:szCs w:val="26"/>
        </w:rPr>
        <w:t>.1.1地理位置</w:t>
      </w:r>
      <w:bookmarkEnd w:id="175"/>
    </w:p>
    <w:p>
      <w:pPr>
        <w:pStyle w:val="664"/>
        <w:spacing w:line="460" w:lineRule="exact"/>
        <w:ind w:firstLine="480"/>
        <w:jc w:val="both"/>
        <w:rPr>
          <w:szCs w:val="24"/>
        </w:rPr>
      </w:pPr>
      <w:r>
        <w:rPr>
          <w:rFonts w:hint="eastAsia"/>
          <w:szCs w:val="24"/>
        </w:rPr>
        <w:t>昌吉市位于新疆维吾尔自治天山北麓，头屯河至三屯河冲积扇，山前倾斜平原上，准噶尔盆地南缘。城区地理位置为东经86°24´33"~87°37´37"，北纬  43°06´30"~45°20´之间。昌吉市东临头屯河与乌鲁木齐市、米泉市毗邻；西界红沟与呼图壁县接壤；北至吉尔班通古特沙漠，与塔城地区的和布克塞尔蒙古自治县、阿勒泰地区的福海县相连；南屏天山，以天山山地的阿斯克达坂山脊与巴音郭楞蒙古自治州和静县为界。区域南北长约260km，东西宽约31km，总面积8215km</w:t>
      </w:r>
      <w:r>
        <w:rPr>
          <w:rFonts w:hint="eastAsia"/>
          <w:szCs w:val="24"/>
          <w:vertAlign w:val="superscript"/>
        </w:rPr>
        <w:t>2</w:t>
      </w:r>
      <w:r>
        <w:rPr>
          <w:rFonts w:hint="eastAsia"/>
          <w:szCs w:val="24"/>
        </w:rPr>
        <w:t>。</w:t>
      </w:r>
    </w:p>
    <w:p>
      <w:pPr>
        <w:pStyle w:val="664"/>
        <w:spacing w:line="460" w:lineRule="exact"/>
        <w:ind w:firstLine="480"/>
        <w:jc w:val="both"/>
        <w:rPr>
          <w:szCs w:val="24"/>
        </w:rPr>
      </w:pPr>
      <w:r>
        <w:rPr>
          <w:rFonts w:hint="eastAsia"/>
          <w:szCs w:val="24"/>
        </w:rPr>
        <w:t>新疆昌吉国家农业科技园（以下简称“科技园区”）位于昌吉市北郊，地处新疆首府乌鲁木齐市以西35km，距乌鲁木齐国际机场18km，是国家新批准的国家级技术密集区园区总体分为核心区、示范区和辐射区，其中核心区和示范区位于昌吉市境内，面积共49.8万亩；辐射区以昌吉州重点，延伸至天山南北地区。核心区面积为3.6万亩，位于昌吉市区东部，主要包括西域集团、六工镇的东五工村一组、二祖、西五工村一组、四组和新庄村一组；示范区面积为46.2万亩，位于昌吉市区西北部，由老龙河区和牛圈子湖区组成，其中老龙河区27.2万亩，牛圈子湖区19万亩。</w:t>
      </w:r>
    </w:p>
    <w:p>
      <w:pPr>
        <w:pStyle w:val="664"/>
        <w:spacing w:line="460" w:lineRule="exact"/>
        <w:ind w:firstLine="480"/>
        <w:jc w:val="both"/>
        <w:rPr>
          <w:szCs w:val="24"/>
        </w:rPr>
      </w:pPr>
      <w:r>
        <w:rPr>
          <w:rFonts w:hint="eastAsia"/>
          <w:bCs/>
          <w:szCs w:val="24"/>
          <w:lang w:bidi="en-US"/>
        </w:rPr>
        <w:t>建设项目位于昌吉国家农业科技园区示范区昌吉市昊慧盛塑料制品厂区内，地理坐标为：N 44°13′30.76″，E 87°19′19.55″。项目四周均为耕地。</w:t>
      </w:r>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76" w:name="_Toc309715334"/>
      <w:r>
        <w:rPr>
          <w:rFonts w:hint="eastAsia" w:ascii="Times New Roman"/>
          <w:spacing w:val="12"/>
          <w:w w:val="95"/>
          <w:kern w:val="0"/>
          <w:szCs w:val="26"/>
        </w:rPr>
        <w:t>5</w:t>
      </w:r>
      <w:r>
        <w:rPr>
          <w:rFonts w:ascii="Times New Roman"/>
          <w:spacing w:val="12"/>
          <w:w w:val="95"/>
          <w:kern w:val="0"/>
          <w:szCs w:val="26"/>
        </w:rPr>
        <w:t>.1.2地形地貌</w:t>
      </w:r>
      <w:bookmarkEnd w:id="176"/>
    </w:p>
    <w:p>
      <w:pPr>
        <w:pStyle w:val="664"/>
        <w:spacing w:line="460" w:lineRule="exact"/>
        <w:ind w:firstLine="480"/>
        <w:jc w:val="both"/>
      </w:pPr>
      <w:bookmarkStart w:id="177" w:name="_Toc430635910"/>
      <w:bookmarkStart w:id="178" w:name="_Toc430636085"/>
      <w:bookmarkStart w:id="179" w:name="_Toc433020916"/>
      <w:bookmarkStart w:id="180" w:name="_Toc433021092"/>
      <w:bookmarkStart w:id="181" w:name="_Toc309715335"/>
      <w:r>
        <w:rPr>
          <w:rFonts w:hint="eastAsia"/>
        </w:rPr>
        <w:t>昌吉市区位于头屯河和三屯河洪积冲积平原的中上部，整个地形南高北低，平均坡度约10.6%，由西南向东北倾斜，城区东为头屯河，城北一般地势低洼为沼泽地形，海拔高度560-645m，其城中海拔高度为580m。</w:t>
      </w:r>
    </w:p>
    <w:p>
      <w:pPr>
        <w:pStyle w:val="664"/>
        <w:spacing w:line="460" w:lineRule="exact"/>
        <w:ind w:firstLine="480"/>
      </w:pPr>
      <w:r>
        <w:rPr>
          <w:rFonts w:hint="eastAsia"/>
        </w:rPr>
        <w:t>根据地貌成因类型将该区域划分为侵蚀剥蚀构造地貌和侵蚀堆积地貌两种地貌类型。</w:t>
      </w:r>
    </w:p>
    <w:p>
      <w:pPr>
        <w:pStyle w:val="664"/>
        <w:spacing w:line="460" w:lineRule="exact"/>
        <w:ind w:firstLine="480"/>
      </w:pPr>
      <w:r>
        <w:rPr>
          <w:rFonts w:hint="eastAsia"/>
        </w:rPr>
        <w:t>【侵蚀剥蚀构造地貌】 分布在南部海拔 950-1150m 的低山丘陵区，由第三系及第四系下更新统组成，岩性为泥岩、砂岩、砂砾岩及钙质胶结的冰水沉积砂砾岩。山体呈长垣状，与地层走向一致。由于山体的隆起，不断遭受风化剥蚀和侵蚀，形成枝状分布的水沟谷，沟谷断面呈Ⅴ型和箱型，山顶呈浑圆状，相对高差几十米到几百米，岩层较破碎。</w:t>
      </w:r>
    </w:p>
    <w:p>
      <w:pPr>
        <w:pStyle w:val="664"/>
        <w:spacing w:line="460" w:lineRule="exact"/>
        <w:ind w:firstLine="480"/>
      </w:pPr>
      <w:r>
        <w:rPr>
          <w:rFonts w:hint="eastAsia"/>
        </w:rPr>
        <w:t>【侵蚀堆积地貌】 广布在该区域内，主要为头屯河与三屯河冲洪积扇组成，扇体由厚达几百米到千米以上的第四纪松散堆积物构成。分三个亚区论述：</w:t>
      </w:r>
    </w:p>
    <w:p>
      <w:pPr>
        <w:pStyle w:val="664"/>
        <w:spacing w:line="460" w:lineRule="exact"/>
        <w:ind w:firstLine="480"/>
      </w:pPr>
      <w:r>
        <w:rPr>
          <w:rFonts w:hint="eastAsia"/>
        </w:rPr>
        <w:t>（1）山前倾斜平原</w:t>
      </w:r>
    </w:p>
    <w:p>
      <w:pPr>
        <w:pStyle w:val="664"/>
        <w:spacing w:line="460" w:lineRule="exact"/>
        <w:ind w:firstLine="480"/>
      </w:pPr>
      <w:r>
        <w:rPr>
          <w:rFonts w:hint="eastAsia"/>
        </w:rPr>
        <w:t>由三屯河冲洪积扇与头屯河西部冲洪积扇组成，地形向北微倾，坡降 7-13‰，地形总体呈波状起伏。地表被两河扇形水系、冲沟侵蚀切割，切割深度在扇顶部达百米以上，向北切割深度逐渐变小。冲洪积扇上部岩性单一，为粗颗粒的砂砾石等，中部至下部沉积物颗粒逐渐变细并出现双层或多层结构的岩层。</w:t>
      </w:r>
    </w:p>
    <w:p>
      <w:pPr>
        <w:pStyle w:val="664"/>
        <w:spacing w:line="460" w:lineRule="exact"/>
        <w:ind w:firstLine="480"/>
      </w:pPr>
      <w:r>
        <w:rPr>
          <w:rFonts w:hint="eastAsia"/>
        </w:rPr>
        <w:t>（2）河谷及阶地</w:t>
      </w:r>
    </w:p>
    <w:p>
      <w:pPr>
        <w:pStyle w:val="664"/>
        <w:spacing w:line="460" w:lineRule="exact"/>
        <w:ind w:firstLine="480"/>
      </w:pPr>
      <w:r>
        <w:rPr>
          <w:rFonts w:hint="eastAsia"/>
        </w:rPr>
        <w:t>分布在头屯河、三屯河现代河谷及其两侧的阶地范围内。组成岩性为卵石、砾石、砂砾石、砂层等，结构松散、透水性好。三屯河山口处发育有六级基座阶地，切割深度 136m，中部切割深度 5-7m，下部切割深度 0.5-1m.上部河谷宽约100-150m，中部河床宽约 350-600m，并有河漫滩发育，下部在乌伊公路附近河道呈掌状散流。在山口附近发育的六级河流阶地的高差分别为 1.5m、7.5m、34.5m、 36.5m、 56m、阶面宽度由上部向下部逐渐加宽，平均宽约 200-300m。阶地级数向下游方向逐渐减少，至乌伊公路附近仅有二级阶地发育，为内叠堆积阶地。</w:t>
      </w:r>
    </w:p>
    <w:p>
      <w:pPr>
        <w:pStyle w:val="664"/>
        <w:spacing w:line="460" w:lineRule="exact"/>
        <w:ind w:firstLine="480"/>
      </w:pPr>
      <w:r>
        <w:rPr>
          <w:rFonts w:hint="eastAsia"/>
        </w:rPr>
        <w:t>头屯河扇顶部西岸发育有六级河流基座阶地。各级阶地的垂直高度分别为2m、20m、32m、34m. 39m，河床切割深度达 127m，上部河谷宽度约 200-300m。河流中部有三至四级堆积阶地，并有河漫滩发育，切割深度 25-35m，河谷宽约600-1100m。至乌伊公路附近河谷宽约 600-700m，仅有二级堆积阶地发育，切割深度 3-5m。</w:t>
      </w:r>
    </w:p>
    <w:p>
      <w:pPr>
        <w:pStyle w:val="664"/>
        <w:spacing w:line="460" w:lineRule="exact"/>
        <w:ind w:firstLine="480"/>
      </w:pPr>
      <w:r>
        <w:rPr>
          <w:rFonts w:hint="eastAsia"/>
        </w:rPr>
        <w:t>（3）山扇间洼地</w:t>
      </w:r>
    </w:p>
    <w:p>
      <w:pPr>
        <w:pStyle w:val="664"/>
        <w:spacing w:line="460" w:lineRule="exact"/>
        <w:ind w:firstLine="480"/>
      </w:pPr>
      <w:r>
        <w:rPr>
          <w:rFonts w:hint="eastAsia"/>
        </w:rPr>
        <w:t>位于头屯河与三屯河冲洪积扇之间，洼地最低处与冲洪积扇的轴部高差20-30m，在平面上呈椭圆形沿南北方向展布，面积约 41.3km</w:t>
      </w:r>
      <w:r>
        <w:rPr>
          <w:rFonts w:hint="eastAsia"/>
          <w:vertAlign w:val="superscript"/>
        </w:rPr>
        <w:t>2</w:t>
      </w:r>
      <w:r>
        <w:rPr>
          <w:rFonts w:hint="eastAsia"/>
        </w:rPr>
        <w:t>，组成岩性为亚砂土，厚约 0.5-1.5m，下伏上更新统冲洪积砂砾石及砂层。</w:t>
      </w:r>
    </w:p>
    <w:p>
      <w:pPr>
        <w:pStyle w:val="664"/>
        <w:spacing w:line="460" w:lineRule="exact"/>
        <w:ind w:firstLine="480"/>
        <w:jc w:val="both"/>
        <w:rPr>
          <w:szCs w:val="24"/>
        </w:rPr>
      </w:pPr>
      <w:r>
        <w:rPr>
          <w:rFonts w:hint="eastAsia"/>
        </w:rPr>
        <w:t>本项目所在地处于天山北麓，准噶尔盆地中部，海拔高度为489-490m，地势较为平坦。</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w:t>
      </w:r>
      <w:r>
        <w:rPr>
          <w:rFonts w:ascii="Times New Roman"/>
          <w:spacing w:val="12"/>
          <w:w w:val="95"/>
          <w:kern w:val="0"/>
          <w:szCs w:val="26"/>
        </w:rPr>
        <w:t>.1.3</w:t>
      </w:r>
      <w:bookmarkEnd w:id="177"/>
      <w:bookmarkEnd w:id="178"/>
      <w:bookmarkEnd w:id="179"/>
      <w:bookmarkEnd w:id="180"/>
      <w:r>
        <w:rPr>
          <w:rFonts w:hint="eastAsia" w:ascii="Times New Roman"/>
          <w:spacing w:val="12"/>
          <w:w w:val="95"/>
          <w:kern w:val="0"/>
          <w:szCs w:val="26"/>
        </w:rPr>
        <w:t>气候特征</w:t>
      </w:r>
    </w:p>
    <w:p>
      <w:pPr>
        <w:pStyle w:val="499"/>
        <w:spacing w:line="460" w:lineRule="exact"/>
        <w:ind w:firstLine="480"/>
        <w:rPr>
          <w:rFonts w:ascii="Times New Roman" w:cs="Times New Roman"/>
          <w:kern w:val="0"/>
          <w:lang w:bidi="en-US"/>
        </w:rPr>
      </w:pPr>
      <w:r>
        <w:rPr>
          <w:rFonts w:hint="eastAsia" w:ascii="Times New Roman" w:cs="Times New Roman"/>
          <w:kern w:val="0"/>
          <w:lang w:bidi="en-US"/>
        </w:rPr>
        <w:t>昌吉市地处天山北麓平原地区，准噶尔盆地的南缘，为温带大陆性干旱气候。其主要特点是：冬冷夏热，气温年较差、日较差大，春、秋温度变化剧烈。降水较少，年际变化不大。春、夏多大风，冬季多阴雾，低碎云天气，冻土深厚。</w:t>
      </w:r>
    </w:p>
    <w:p>
      <w:pPr>
        <w:pStyle w:val="499"/>
        <w:spacing w:line="460" w:lineRule="exact"/>
        <w:ind w:firstLine="480"/>
        <w:rPr>
          <w:rFonts w:ascii="Times New Roman" w:cs="Times New Roman"/>
          <w:kern w:val="0"/>
          <w:lang w:bidi="en-US"/>
        </w:rPr>
      </w:pPr>
      <w:r>
        <w:rPr>
          <w:rFonts w:hint="eastAsia" w:ascii="Times New Roman" w:cs="Times New Roman"/>
          <w:kern w:val="0"/>
          <w:lang w:bidi="en-US"/>
        </w:rPr>
        <w:t>春季：一般在三月中下旬开春，长约2个半月到3个月。春季冷空气活动多，升温快（逐月上升8-11℃）而不稳定，降水、大风增多。气温昼夜变化剧烈，降水量占全年降水量的30%，但年际变化大，常发生春旱。</w:t>
      </w:r>
    </w:p>
    <w:p>
      <w:pPr>
        <w:pStyle w:val="499"/>
        <w:spacing w:line="460" w:lineRule="exact"/>
        <w:ind w:firstLine="480"/>
        <w:rPr>
          <w:rFonts w:ascii="Times New Roman" w:cs="Times New Roman"/>
          <w:kern w:val="0"/>
          <w:lang w:bidi="en-US"/>
        </w:rPr>
      </w:pPr>
      <w:r>
        <w:rPr>
          <w:rFonts w:hint="eastAsia" w:ascii="Times New Roman" w:cs="Times New Roman"/>
          <w:kern w:val="0"/>
          <w:lang w:bidi="en-US"/>
        </w:rPr>
        <w:t>夏季：一般在六月上、中旬入夏，长约2个半月到3个月。平原地区炎热，日最高气温高于35℃的酷热期多达30多天，多阵性风雨天气。降水量占全年的一半以上，山区降水大，易形成洪水。</w:t>
      </w:r>
    </w:p>
    <w:p>
      <w:pPr>
        <w:pStyle w:val="499"/>
        <w:spacing w:line="460" w:lineRule="exact"/>
        <w:ind w:firstLine="480"/>
        <w:rPr>
          <w:rFonts w:ascii="Times New Roman" w:cs="Times New Roman"/>
          <w:kern w:val="0"/>
          <w:lang w:bidi="en-US"/>
        </w:rPr>
      </w:pPr>
      <w:r>
        <w:rPr>
          <w:rFonts w:hint="eastAsia" w:ascii="Times New Roman" w:cs="Times New Roman"/>
          <w:kern w:val="0"/>
          <w:lang w:bidi="en-US"/>
        </w:rPr>
        <w:t>秋季：一般在九月上、中旬入秋，长约2个月。秋季晴天多，降温快，可谓“秋高气爽”。阵性风雨天气结束，大风减少。</w:t>
      </w:r>
    </w:p>
    <w:p>
      <w:pPr>
        <w:pStyle w:val="499"/>
        <w:spacing w:line="460" w:lineRule="exact"/>
        <w:ind w:firstLine="480"/>
        <w:rPr>
          <w:rFonts w:ascii="Times New Roman" w:cs="Times New Roman"/>
          <w:kern w:val="0"/>
          <w:lang w:bidi="en-US"/>
        </w:rPr>
      </w:pPr>
      <w:r>
        <w:rPr>
          <w:rFonts w:hint="eastAsia" w:ascii="Times New Roman" w:cs="Times New Roman"/>
          <w:kern w:val="0"/>
          <w:lang w:bidi="en-US"/>
        </w:rPr>
        <w:t>冬季：一般在十一月上、中旬入冬，长约4个月到4个半月。冬季严寒、多阴雾和低碎云，能见度差，降水量只占全年降水量的9%-11%。全年95%以上的雾日集中在11月到次年3月出现。</w:t>
      </w:r>
    </w:p>
    <w:p>
      <w:pPr>
        <w:pStyle w:val="499"/>
        <w:spacing w:line="460" w:lineRule="exact"/>
        <w:ind w:firstLine="480"/>
        <w:rPr>
          <w:rFonts w:ascii="Times New Roman" w:hAnsi="Times New Roman" w:cs="Times New Roman"/>
          <w:kern w:val="0"/>
          <w:lang w:bidi="en-US"/>
        </w:rPr>
      </w:pPr>
      <w:r>
        <w:rPr>
          <w:rFonts w:hint="eastAsia" w:ascii="Times New Roman" w:cs="Times New Roman"/>
          <w:kern w:val="0"/>
          <w:lang w:bidi="en-US"/>
        </w:rPr>
        <w:t>昌吉气象站近30年（资料年代：1982~2011）主要气象参数见表5.1-1。</w:t>
      </w:r>
    </w:p>
    <w:p>
      <w:pPr>
        <w:ind w:firstLine="420" w:firstLineChars="200"/>
        <w:rPr>
          <w:rFonts w:eastAsia="黑体"/>
          <w:bCs/>
          <w:szCs w:val="20"/>
        </w:rPr>
      </w:pPr>
      <w:r>
        <w:rPr>
          <w:rFonts w:eastAsia="黑体"/>
          <w:bCs/>
          <w:szCs w:val="20"/>
        </w:rPr>
        <w:t>表5.1-1        昌吉市气象站近30年主要气象参数一览表</w:t>
      </w:r>
    </w:p>
    <w:tbl>
      <w:tblPr>
        <w:tblStyle w:val="59"/>
        <w:tblW w:w="852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03"/>
        <w:gridCol w:w="2311"/>
        <w:gridCol w:w="2136"/>
        <w:gridCol w:w="22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参数</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数量</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参数</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数量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年平均气温</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8.4℃</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极端最高气温</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43.5℃</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（2004年7月14日）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极端最低气温</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（1984年12月25日）</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极端最高地表温度</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70.8℃</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（2004年7月14日）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极端最低地表温度</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-39.6℃</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（1988年2月15日）</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年平均降水量</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201.6mm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最大一日降水量</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43.4mm</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（2003年7月13日）</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年平均蒸发量</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1752.6mm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最大积雪厚度</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42cm</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（2000年1月10日）</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年平均本站气压</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952.6hpa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年平均相对湿度</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61%</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最小相对湿度</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（1989年3月30日）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最大冻土深度</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141cm（1982年2月出现6天）</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年平均日照时数</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2693.1小时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年平均雷暴日数</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6.3天</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年平均沙尘暴日数</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年平均雾日数</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17.3天</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年平均风速</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1.7m/s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803"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主导风向</w:t>
            </w:r>
          </w:p>
        </w:tc>
        <w:tc>
          <w:tcPr>
            <w:tcW w:w="2311"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西南风（SW）</w:t>
            </w:r>
          </w:p>
        </w:tc>
        <w:tc>
          <w:tcPr>
            <w:tcW w:w="2136"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十分钟平均最大风速</w:t>
            </w:r>
          </w:p>
        </w:tc>
        <w:tc>
          <w:tcPr>
            <w:tcW w:w="2278" w:type="dxa"/>
            <w:vAlign w:val="center"/>
          </w:tcPr>
          <w:p>
            <w:pPr>
              <w:pStyle w:val="148"/>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22.0m/s</w:t>
            </w:r>
          </w:p>
        </w:tc>
      </w:tr>
    </w:tbl>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w:t>
      </w:r>
      <w:r>
        <w:rPr>
          <w:rFonts w:ascii="Times New Roman"/>
          <w:spacing w:val="12"/>
          <w:w w:val="95"/>
          <w:kern w:val="0"/>
          <w:szCs w:val="26"/>
        </w:rPr>
        <w:t>.1.4</w:t>
      </w:r>
      <w:bookmarkEnd w:id="181"/>
      <w:r>
        <w:rPr>
          <w:rFonts w:hint="eastAsia" w:ascii="Times New Roman"/>
          <w:spacing w:val="12"/>
          <w:w w:val="95"/>
          <w:kern w:val="0"/>
          <w:szCs w:val="26"/>
        </w:rPr>
        <w:t>水文及水文地质</w:t>
      </w:r>
    </w:p>
    <w:p>
      <w:pPr>
        <w:spacing w:line="460" w:lineRule="exact"/>
        <w:ind w:firstLine="480" w:firstLineChars="200"/>
        <w:rPr>
          <w:sz w:val="24"/>
          <w:lang w:bidi="en-US"/>
        </w:rPr>
      </w:pPr>
      <w:r>
        <w:rPr>
          <w:sz w:val="24"/>
          <w:lang w:bidi="en-US"/>
        </w:rPr>
        <w:t>1</w:t>
      </w:r>
      <w:r>
        <w:rPr>
          <w:rFonts w:hint="eastAsia"/>
          <w:sz w:val="24"/>
          <w:lang w:bidi="en-US"/>
        </w:rPr>
        <w:t>、地表水</w:t>
      </w:r>
    </w:p>
    <w:p>
      <w:pPr>
        <w:pStyle w:val="148"/>
        <w:spacing w:line="460" w:lineRule="exact"/>
        <w:ind w:firstLine="480" w:firstLineChars="200"/>
        <w:rPr>
          <w:rFonts w:ascii="Times New Roman" w:hAnsi="Times New Roman" w:cs="Times New Roman"/>
          <w:color w:val="auto"/>
        </w:rPr>
      </w:pPr>
      <w:r>
        <w:rPr>
          <w:rFonts w:hint="eastAsia" w:ascii="Times New Roman" w:hAnsi="Times New Roman" w:cs="Times New Roman"/>
          <w:color w:val="auto"/>
        </w:rPr>
        <w:t>（1）三屯河</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三屯河流域位于新疆维吾尔自治区昌吉州境内。流域地理位置介于E：86°24′-87°37′，N：43°26′-45°20′之间流域南面为高大的天山阿斯克达坂，背面有广阔的古尔班通古特沙漠，西与呼图壁县接壤，东与头屯河相邻。流域地形南高北低，全流域面积7964km</w:t>
      </w:r>
      <w:r>
        <w:rPr>
          <w:rFonts w:ascii="Times New Roman" w:hAnsi="Times New Roman" w:cs="Times New Roman"/>
          <w:color w:val="auto"/>
          <w:vertAlign w:val="superscript"/>
        </w:rPr>
        <w:t>2</w:t>
      </w:r>
      <w:r>
        <w:rPr>
          <w:rFonts w:ascii="Times New Roman" w:hAnsi="Times New Roman" w:cs="Times New Roman"/>
          <w:color w:val="auto"/>
        </w:rPr>
        <w:t>，流域平均宽度31km。河流全长260km。</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三屯河发源于天山天格尔峰，上游由大、小屯河组成，在努尔加牧业村附近汇合，由南向北汇入各山间支流，形成三屯河主流，流出山口后进入平原灌区。</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三屯河与新疆其他地区河流特性一致，都具有干旱区河流的特性：年内分配极不均衡，三屯河年内分配</w:t>
      </w:r>
      <w:r>
        <w:rPr>
          <w:rFonts w:hint="eastAsia" w:ascii="Times New Roman" w:hAnsi="Times New Roman" w:cs="Times New Roman"/>
          <w:color w:val="auto"/>
        </w:rPr>
        <w:t>见</w:t>
      </w:r>
      <w:r>
        <w:rPr>
          <w:rFonts w:ascii="Times New Roman" w:hAnsi="Times New Roman" w:cs="Times New Roman"/>
          <w:color w:val="auto"/>
        </w:rPr>
        <w:t>表</w:t>
      </w:r>
      <w:r>
        <w:rPr>
          <w:rFonts w:hint="eastAsia" w:ascii="Times New Roman" w:hAnsi="Times New Roman" w:cs="Times New Roman"/>
          <w:color w:val="auto"/>
        </w:rPr>
        <w:t>5.1-2</w:t>
      </w:r>
      <w:r>
        <w:rPr>
          <w:rFonts w:ascii="Times New Roman" w:hAnsi="Times New Roman" w:cs="Times New Roman"/>
          <w:color w:val="auto"/>
        </w:rPr>
        <w:t>。</w:t>
      </w:r>
    </w:p>
    <w:p>
      <w:pPr>
        <w:ind w:firstLine="420" w:firstLineChars="200"/>
        <w:rPr>
          <w:rFonts w:eastAsia="黑体"/>
          <w:bCs/>
          <w:szCs w:val="20"/>
        </w:rPr>
      </w:pPr>
      <w:r>
        <w:rPr>
          <w:rFonts w:eastAsia="黑体"/>
          <w:bCs/>
          <w:szCs w:val="20"/>
        </w:rPr>
        <w:t>表</w:t>
      </w:r>
      <w:r>
        <w:rPr>
          <w:rFonts w:hint="eastAsia" w:eastAsia="黑体"/>
          <w:bCs/>
          <w:szCs w:val="20"/>
        </w:rPr>
        <w:t>5.1-2</w:t>
      </w:r>
      <w:r>
        <w:rPr>
          <w:rFonts w:eastAsia="黑体"/>
          <w:bCs/>
          <w:szCs w:val="20"/>
        </w:rPr>
        <w:t xml:space="preserve">         三屯河碾盘庄水文站多年平均流量年内来水过程表</w:t>
      </w:r>
    </w:p>
    <w:tbl>
      <w:tblPr>
        <w:tblStyle w:val="59"/>
        <w:tblW w:w="85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537"/>
        <w:gridCol w:w="538"/>
        <w:gridCol w:w="215"/>
        <w:gridCol w:w="323"/>
        <w:gridCol w:w="538"/>
        <w:gridCol w:w="430"/>
        <w:gridCol w:w="107"/>
        <w:gridCol w:w="538"/>
        <w:gridCol w:w="538"/>
        <w:gridCol w:w="107"/>
        <w:gridCol w:w="431"/>
        <w:gridCol w:w="537"/>
        <w:gridCol w:w="323"/>
        <w:gridCol w:w="215"/>
        <w:gridCol w:w="538"/>
        <w:gridCol w:w="538"/>
        <w:gridCol w:w="6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Merge w:val="restart"/>
            <w:vAlign w:val="center"/>
          </w:tcPr>
          <w:p>
            <w:pPr>
              <w:jc w:val="center"/>
              <w:rPr>
                <w:szCs w:val="21"/>
              </w:rPr>
            </w:pPr>
            <w:r>
              <w:rPr>
                <w:szCs w:val="21"/>
              </w:rPr>
              <w:t>年份</w:t>
            </w:r>
          </w:p>
        </w:tc>
        <w:tc>
          <w:tcPr>
            <w:tcW w:w="6453" w:type="dxa"/>
            <w:gridSpan w:val="16"/>
            <w:vAlign w:val="center"/>
          </w:tcPr>
          <w:p>
            <w:pPr>
              <w:jc w:val="center"/>
              <w:rPr>
                <w:szCs w:val="21"/>
              </w:rPr>
            </w:pPr>
            <w:r>
              <w:rPr>
                <w:szCs w:val="21"/>
              </w:rPr>
              <w:t>月平均流量</w:t>
            </w:r>
          </w:p>
        </w:tc>
        <w:tc>
          <w:tcPr>
            <w:tcW w:w="644" w:type="dxa"/>
            <w:vMerge w:val="restart"/>
            <w:vAlign w:val="center"/>
          </w:tcPr>
          <w:p>
            <w:pPr>
              <w:jc w:val="center"/>
              <w:rPr>
                <w:szCs w:val="21"/>
              </w:rPr>
            </w:pPr>
            <w:r>
              <w:rPr>
                <w:szCs w:val="21"/>
              </w:rPr>
              <w:t>年统计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Merge w:val="continue"/>
            <w:vAlign w:val="center"/>
          </w:tcPr>
          <w:p>
            <w:pPr>
              <w:jc w:val="center"/>
              <w:rPr>
                <w:szCs w:val="21"/>
              </w:rPr>
            </w:pPr>
          </w:p>
        </w:tc>
        <w:tc>
          <w:tcPr>
            <w:tcW w:w="537" w:type="dxa"/>
            <w:vAlign w:val="center"/>
          </w:tcPr>
          <w:p>
            <w:pPr>
              <w:jc w:val="center"/>
              <w:rPr>
                <w:szCs w:val="21"/>
              </w:rPr>
            </w:pPr>
            <w:r>
              <w:rPr>
                <w:szCs w:val="21"/>
              </w:rPr>
              <w:t>1</w:t>
            </w:r>
          </w:p>
        </w:tc>
        <w:tc>
          <w:tcPr>
            <w:tcW w:w="538" w:type="dxa"/>
            <w:vAlign w:val="center"/>
          </w:tcPr>
          <w:p>
            <w:pPr>
              <w:jc w:val="center"/>
              <w:rPr>
                <w:szCs w:val="21"/>
              </w:rPr>
            </w:pPr>
            <w:r>
              <w:rPr>
                <w:szCs w:val="21"/>
              </w:rPr>
              <w:t>2</w:t>
            </w:r>
          </w:p>
        </w:tc>
        <w:tc>
          <w:tcPr>
            <w:tcW w:w="538" w:type="dxa"/>
            <w:gridSpan w:val="2"/>
            <w:vAlign w:val="center"/>
          </w:tcPr>
          <w:p>
            <w:pPr>
              <w:jc w:val="center"/>
              <w:rPr>
                <w:szCs w:val="21"/>
              </w:rPr>
            </w:pPr>
            <w:r>
              <w:rPr>
                <w:szCs w:val="21"/>
              </w:rPr>
              <w:t>3</w:t>
            </w:r>
          </w:p>
        </w:tc>
        <w:tc>
          <w:tcPr>
            <w:tcW w:w="538" w:type="dxa"/>
            <w:vAlign w:val="center"/>
          </w:tcPr>
          <w:p>
            <w:pPr>
              <w:jc w:val="center"/>
              <w:rPr>
                <w:szCs w:val="21"/>
              </w:rPr>
            </w:pPr>
            <w:r>
              <w:rPr>
                <w:szCs w:val="21"/>
              </w:rPr>
              <w:t>4</w:t>
            </w:r>
          </w:p>
        </w:tc>
        <w:tc>
          <w:tcPr>
            <w:tcW w:w="537" w:type="dxa"/>
            <w:gridSpan w:val="2"/>
            <w:vAlign w:val="center"/>
          </w:tcPr>
          <w:p>
            <w:pPr>
              <w:jc w:val="center"/>
              <w:rPr>
                <w:szCs w:val="21"/>
              </w:rPr>
            </w:pPr>
            <w:r>
              <w:rPr>
                <w:szCs w:val="21"/>
              </w:rPr>
              <w:t>5</w:t>
            </w:r>
          </w:p>
        </w:tc>
        <w:tc>
          <w:tcPr>
            <w:tcW w:w="538" w:type="dxa"/>
            <w:vAlign w:val="center"/>
          </w:tcPr>
          <w:p>
            <w:pPr>
              <w:jc w:val="center"/>
              <w:rPr>
                <w:szCs w:val="21"/>
              </w:rPr>
            </w:pPr>
            <w:r>
              <w:rPr>
                <w:szCs w:val="21"/>
              </w:rPr>
              <w:t>6</w:t>
            </w:r>
          </w:p>
        </w:tc>
        <w:tc>
          <w:tcPr>
            <w:tcW w:w="538" w:type="dxa"/>
            <w:vAlign w:val="center"/>
          </w:tcPr>
          <w:p>
            <w:pPr>
              <w:jc w:val="center"/>
              <w:rPr>
                <w:szCs w:val="21"/>
              </w:rPr>
            </w:pPr>
            <w:r>
              <w:rPr>
                <w:szCs w:val="21"/>
              </w:rPr>
              <w:t>7</w:t>
            </w:r>
          </w:p>
        </w:tc>
        <w:tc>
          <w:tcPr>
            <w:tcW w:w="538" w:type="dxa"/>
            <w:gridSpan w:val="2"/>
            <w:vAlign w:val="center"/>
          </w:tcPr>
          <w:p>
            <w:pPr>
              <w:jc w:val="center"/>
              <w:rPr>
                <w:szCs w:val="21"/>
              </w:rPr>
            </w:pPr>
            <w:r>
              <w:rPr>
                <w:szCs w:val="21"/>
              </w:rPr>
              <w:t>8</w:t>
            </w:r>
          </w:p>
        </w:tc>
        <w:tc>
          <w:tcPr>
            <w:tcW w:w="537" w:type="dxa"/>
            <w:vAlign w:val="center"/>
          </w:tcPr>
          <w:p>
            <w:pPr>
              <w:jc w:val="center"/>
              <w:rPr>
                <w:szCs w:val="21"/>
              </w:rPr>
            </w:pPr>
            <w:r>
              <w:rPr>
                <w:szCs w:val="21"/>
              </w:rPr>
              <w:t>9</w:t>
            </w:r>
          </w:p>
        </w:tc>
        <w:tc>
          <w:tcPr>
            <w:tcW w:w="538" w:type="dxa"/>
            <w:gridSpan w:val="2"/>
            <w:vAlign w:val="center"/>
          </w:tcPr>
          <w:p>
            <w:pPr>
              <w:jc w:val="center"/>
              <w:rPr>
                <w:szCs w:val="21"/>
              </w:rPr>
            </w:pPr>
            <w:r>
              <w:rPr>
                <w:szCs w:val="21"/>
              </w:rPr>
              <w:t>10</w:t>
            </w:r>
          </w:p>
        </w:tc>
        <w:tc>
          <w:tcPr>
            <w:tcW w:w="538" w:type="dxa"/>
            <w:vAlign w:val="center"/>
          </w:tcPr>
          <w:p>
            <w:pPr>
              <w:jc w:val="center"/>
              <w:rPr>
                <w:szCs w:val="21"/>
              </w:rPr>
            </w:pPr>
            <w:r>
              <w:rPr>
                <w:szCs w:val="21"/>
              </w:rPr>
              <w:t>11</w:t>
            </w:r>
          </w:p>
        </w:tc>
        <w:tc>
          <w:tcPr>
            <w:tcW w:w="538" w:type="dxa"/>
            <w:vAlign w:val="center"/>
          </w:tcPr>
          <w:p>
            <w:pPr>
              <w:jc w:val="center"/>
              <w:rPr>
                <w:szCs w:val="21"/>
              </w:rPr>
            </w:pPr>
            <w:r>
              <w:rPr>
                <w:szCs w:val="21"/>
              </w:rPr>
              <w:t>12</w:t>
            </w:r>
          </w:p>
        </w:tc>
        <w:tc>
          <w:tcPr>
            <w:tcW w:w="644"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Align w:val="center"/>
          </w:tcPr>
          <w:p>
            <w:pPr>
              <w:jc w:val="center"/>
              <w:rPr>
                <w:szCs w:val="21"/>
              </w:rPr>
            </w:pPr>
            <w:r>
              <w:rPr>
                <w:szCs w:val="21"/>
              </w:rPr>
              <w:t>月均流量(m</w:t>
            </w:r>
            <w:r>
              <w:rPr>
                <w:szCs w:val="21"/>
                <w:vertAlign w:val="superscript"/>
              </w:rPr>
              <w:t>3</w:t>
            </w:r>
            <w:r>
              <w:rPr>
                <w:szCs w:val="21"/>
              </w:rPr>
              <w:t>/s)</w:t>
            </w:r>
          </w:p>
        </w:tc>
        <w:tc>
          <w:tcPr>
            <w:tcW w:w="537" w:type="dxa"/>
            <w:vAlign w:val="center"/>
          </w:tcPr>
          <w:p>
            <w:pPr>
              <w:jc w:val="center"/>
              <w:rPr>
                <w:szCs w:val="21"/>
              </w:rPr>
            </w:pPr>
            <w:r>
              <w:rPr>
                <w:szCs w:val="21"/>
              </w:rPr>
              <w:t>1.61</w:t>
            </w:r>
          </w:p>
        </w:tc>
        <w:tc>
          <w:tcPr>
            <w:tcW w:w="538" w:type="dxa"/>
            <w:vAlign w:val="center"/>
          </w:tcPr>
          <w:p>
            <w:pPr>
              <w:jc w:val="center"/>
              <w:rPr>
                <w:szCs w:val="21"/>
              </w:rPr>
            </w:pPr>
            <w:r>
              <w:rPr>
                <w:szCs w:val="21"/>
              </w:rPr>
              <w:t>1.37</w:t>
            </w:r>
          </w:p>
        </w:tc>
        <w:tc>
          <w:tcPr>
            <w:tcW w:w="538" w:type="dxa"/>
            <w:gridSpan w:val="2"/>
            <w:vAlign w:val="center"/>
          </w:tcPr>
          <w:p>
            <w:pPr>
              <w:jc w:val="center"/>
              <w:rPr>
                <w:szCs w:val="21"/>
              </w:rPr>
            </w:pPr>
            <w:r>
              <w:rPr>
                <w:szCs w:val="21"/>
              </w:rPr>
              <w:t>1.67</w:t>
            </w:r>
          </w:p>
        </w:tc>
        <w:tc>
          <w:tcPr>
            <w:tcW w:w="538" w:type="dxa"/>
            <w:vAlign w:val="center"/>
          </w:tcPr>
          <w:p>
            <w:pPr>
              <w:jc w:val="center"/>
              <w:rPr>
                <w:szCs w:val="21"/>
              </w:rPr>
            </w:pPr>
            <w:r>
              <w:rPr>
                <w:szCs w:val="21"/>
              </w:rPr>
              <w:t>3.13</w:t>
            </w:r>
          </w:p>
        </w:tc>
        <w:tc>
          <w:tcPr>
            <w:tcW w:w="537" w:type="dxa"/>
            <w:gridSpan w:val="2"/>
            <w:vAlign w:val="center"/>
          </w:tcPr>
          <w:p>
            <w:pPr>
              <w:jc w:val="center"/>
              <w:rPr>
                <w:szCs w:val="21"/>
              </w:rPr>
            </w:pPr>
            <w:r>
              <w:rPr>
                <w:szCs w:val="21"/>
              </w:rPr>
              <w:t>11.1</w:t>
            </w:r>
          </w:p>
        </w:tc>
        <w:tc>
          <w:tcPr>
            <w:tcW w:w="538" w:type="dxa"/>
            <w:vAlign w:val="center"/>
          </w:tcPr>
          <w:p>
            <w:pPr>
              <w:jc w:val="center"/>
              <w:rPr>
                <w:szCs w:val="21"/>
              </w:rPr>
            </w:pPr>
            <w:r>
              <w:rPr>
                <w:szCs w:val="21"/>
              </w:rPr>
              <w:t>28.15</w:t>
            </w:r>
          </w:p>
        </w:tc>
        <w:tc>
          <w:tcPr>
            <w:tcW w:w="538" w:type="dxa"/>
            <w:vAlign w:val="center"/>
          </w:tcPr>
          <w:p>
            <w:pPr>
              <w:jc w:val="center"/>
              <w:rPr>
                <w:szCs w:val="21"/>
              </w:rPr>
            </w:pPr>
            <w:r>
              <w:rPr>
                <w:szCs w:val="21"/>
              </w:rPr>
              <w:t>37.5</w:t>
            </w:r>
          </w:p>
        </w:tc>
        <w:tc>
          <w:tcPr>
            <w:tcW w:w="538" w:type="dxa"/>
            <w:gridSpan w:val="2"/>
            <w:vAlign w:val="center"/>
          </w:tcPr>
          <w:p>
            <w:pPr>
              <w:jc w:val="center"/>
              <w:rPr>
                <w:szCs w:val="21"/>
              </w:rPr>
            </w:pPr>
            <w:r>
              <w:rPr>
                <w:szCs w:val="21"/>
              </w:rPr>
              <w:t>27.4</w:t>
            </w:r>
          </w:p>
        </w:tc>
        <w:tc>
          <w:tcPr>
            <w:tcW w:w="537" w:type="dxa"/>
            <w:vAlign w:val="center"/>
          </w:tcPr>
          <w:p>
            <w:pPr>
              <w:jc w:val="center"/>
              <w:rPr>
                <w:szCs w:val="21"/>
              </w:rPr>
            </w:pPr>
            <w:r>
              <w:rPr>
                <w:szCs w:val="21"/>
              </w:rPr>
              <w:t>12.3</w:t>
            </w:r>
          </w:p>
        </w:tc>
        <w:tc>
          <w:tcPr>
            <w:tcW w:w="538" w:type="dxa"/>
            <w:gridSpan w:val="2"/>
            <w:vAlign w:val="center"/>
          </w:tcPr>
          <w:p>
            <w:pPr>
              <w:jc w:val="center"/>
              <w:rPr>
                <w:szCs w:val="21"/>
              </w:rPr>
            </w:pPr>
            <w:r>
              <w:rPr>
                <w:szCs w:val="21"/>
              </w:rPr>
              <w:t>5.61</w:t>
            </w:r>
          </w:p>
        </w:tc>
        <w:tc>
          <w:tcPr>
            <w:tcW w:w="538" w:type="dxa"/>
            <w:vAlign w:val="center"/>
          </w:tcPr>
          <w:p>
            <w:pPr>
              <w:jc w:val="center"/>
              <w:rPr>
                <w:szCs w:val="21"/>
              </w:rPr>
            </w:pPr>
            <w:r>
              <w:rPr>
                <w:szCs w:val="21"/>
              </w:rPr>
              <w:t>3.02</w:t>
            </w:r>
          </w:p>
        </w:tc>
        <w:tc>
          <w:tcPr>
            <w:tcW w:w="538" w:type="dxa"/>
            <w:vAlign w:val="center"/>
          </w:tcPr>
          <w:p>
            <w:pPr>
              <w:jc w:val="center"/>
              <w:rPr>
                <w:szCs w:val="21"/>
              </w:rPr>
            </w:pPr>
            <w:r>
              <w:rPr>
                <w:szCs w:val="21"/>
              </w:rPr>
              <w:t>2.25</w:t>
            </w:r>
          </w:p>
        </w:tc>
        <w:tc>
          <w:tcPr>
            <w:tcW w:w="644" w:type="dxa"/>
            <w:vAlign w:val="center"/>
          </w:tcPr>
          <w:p>
            <w:pPr>
              <w:jc w:val="center"/>
              <w:rPr>
                <w:szCs w:val="21"/>
              </w:rPr>
            </w:pPr>
            <w:r>
              <w:rPr>
                <w:szCs w:val="21"/>
              </w:rPr>
              <w:t>11.34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Align w:val="center"/>
          </w:tcPr>
          <w:p>
            <w:pPr>
              <w:jc w:val="center"/>
              <w:rPr>
                <w:szCs w:val="21"/>
              </w:rPr>
            </w:pPr>
            <w:r>
              <w:rPr>
                <w:szCs w:val="21"/>
              </w:rPr>
              <w:t>月均水量(10</w:t>
            </w:r>
            <w:r>
              <w:rPr>
                <w:szCs w:val="21"/>
                <w:vertAlign w:val="superscript"/>
              </w:rPr>
              <w:t>8</w:t>
            </w:r>
            <w:r>
              <w:rPr>
                <w:szCs w:val="21"/>
              </w:rPr>
              <w:t>m</w:t>
            </w:r>
            <w:r>
              <w:rPr>
                <w:szCs w:val="21"/>
                <w:vertAlign w:val="superscript"/>
              </w:rPr>
              <w:t>3</w:t>
            </w:r>
            <w:r>
              <w:rPr>
                <w:szCs w:val="21"/>
              </w:rPr>
              <w:t>)</w:t>
            </w:r>
          </w:p>
        </w:tc>
        <w:tc>
          <w:tcPr>
            <w:tcW w:w="537" w:type="dxa"/>
            <w:vAlign w:val="center"/>
          </w:tcPr>
          <w:p>
            <w:pPr>
              <w:jc w:val="center"/>
              <w:rPr>
                <w:szCs w:val="21"/>
              </w:rPr>
            </w:pPr>
            <w:r>
              <w:rPr>
                <w:szCs w:val="21"/>
              </w:rPr>
              <w:t>0.04</w:t>
            </w:r>
          </w:p>
        </w:tc>
        <w:tc>
          <w:tcPr>
            <w:tcW w:w="538" w:type="dxa"/>
            <w:vAlign w:val="center"/>
          </w:tcPr>
          <w:p>
            <w:pPr>
              <w:jc w:val="center"/>
              <w:rPr>
                <w:szCs w:val="21"/>
              </w:rPr>
            </w:pPr>
            <w:r>
              <w:rPr>
                <w:szCs w:val="21"/>
              </w:rPr>
              <w:t>0.03</w:t>
            </w:r>
          </w:p>
        </w:tc>
        <w:tc>
          <w:tcPr>
            <w:tcW w:w="538" w:type="dxa"/>
            <w:gridSpan w:val="2"/>
            <w:vAlign w:val="center"/>
          </w:tcPr>
          <w:p>
            <w:pPr>
              <w:jc w:val="center"/>
              <w:rPr>
                <w:szCs w:val="21"/>
              </w:rPr>
            </w:pPr>
            <w:r>
              <w:rPr>
                <w:szCs w:val="21"/>
              </w:rPr>
              <w:t>0.04</w:t>
            </w:r>
          </w:p>
        </w:tc>
        <w:tc>
          <w:tcPr>
            <w:tcW w:w="538" w:type="dxa"/>
            <w:vAlign w:val="center"/>
          </w:tcPr>
          <w:p>
            <w:pPr>
              <w:jc w:val="center"/>
              <w:rPr>
                <w:szCs w:val="21"/>
              </w:rPr>
            </w:pPr>
            <w:r>
              <w:rPr>
                <w:szCs w:val="21"/>
              </w:rPr>
              <w:t>0.08</w:t>
            </w:r>
          </w:p>
        </w:tc>
        <w:tc>
          <w:tcPr>
            <w:tcW w:w="537" w:type="dxa"/>
            <w:gridSpan w:val="2"/>
            <w:vAlign w:val="center"/>
          </w:tcPr>
          <w:p>
            <w:pPr>
              <w:jc w:val="center"/>
              <w:rPr>
                <w:szCs w:val="21"/>
              </w:rPr>
            </w:pPr>
            <w:r>
              <w:rPr>
                <w:szCs w:val="21"/>
              </w:rPr>
              <w:t>0.30</w:t>
            </w:r>
          </w:p>
        </w:tc>
        <w:tc>
          <w:tcPr>
            <w:tcW w:w="538" w:type="dxa"/>
            <w:vAlign w:val="center"/>
          </w:tcPr>
          <w:p>
            <w:pPr>
              <w:jc w:val="center"/>
              <w:rPr>
                <w:szCs w:val="21"/>
              </w:rPr>
            </w:pPr>
            <w:r>
              <w:rPr>
                <w:szCs w:val="21"/>
              </w:rPr>
              <w:t>0.73</w:t>
            </w:r>
          </w:p>
        </w:tc>
        <w:tc>
          <w:tcPr>
            <w:tcW w:w="538" w:type="dxa"/>
            <w:vAlign w:val="center"/>
          </w:tcPr>
          <w:p>
            <w:pPr>
              <w:jc w:val="center"/>
              <w:rPr>
                <w:szCs w:val="21"/>
              </w:rPr>
            </w:pPr>
            <w:r>
              <w:rPr>
                <w:szCs w:val="21"/>
              </w:rPr>
              <w:t>1.01</w:t>
            </w:r>
          </w:p>
        </w:tc>
        <w:tc>
          <w:tcPr>
            <w:tcW w:w="538" w:type="dxa"/>
            <w:gridSpan w:val="2"/>
            <w:vAlign w:val="center"/>
          </w:tcPr>
          <w:p>
            <w:pPr>
              <w:jc w:val="center"/>
              <w:rPr>
                <w:szCs w:val="21"/>
              </w:rPr>
            </w:pPr>
            <w:r>
              <w:rPr>
                <w:szCs w:val="21"/>
              </w:rPr>
              <w:t>0.73</w:t>
            </w:r>
          </w:p>
        </w:tc>
        <w:tc>
          <w:tcPr>
            <w:tcW w:w="537" w:type="dxa"/>
            <w:vAlign w:val="center"/>
          </w:tcPr>
          <w:p>
            <w:pPr>
              <w:jc w:val="center"/>
              <w:rPr>
                <w:szCs w:val="21"/>
              </w:rPr>
            </w:pPr>
            <w:r>
              <w:rPr>
                <w:szCs w:val="21"/>
              </w:rPr>
              <w:t>0.32</w:t>
            </w:r>
          </w:p>
        </w:tc>
        <w:tc>
          <w:tcPr>
            <w:tcW w:w="538" w:type="dxa"/>
            <w:gridSpan w:val="2"/>
            <w:vAlign w:val="center"/>
          </w:tcPr>
          <w:p>
            <w:pPr>
              <w:jc w:val="center"/>
              <w:rPr>
                <w:szCs w:val="21"/>
              </w:rPr>
            </w:pPr>
            <w:r>
              <w:rPr>
                <w:szCs w:val="21"/>
              </w:rPr>
              <w:t>0.15</w:t>
            </w:r>
          </w:p>
        </w:tc>
        <w:tc>
          <w:tcPr>
            <w:tcW w:w="538" w:type="dxa"/>
            <w:vAlign w:val="center"/>
          </w:tcPr>
          <w:p>
            <w:pPr>
              <w:jc w:val="center"/>
              <w:rPr>
                <w:szCs w:val="21"/>
              </w:rPr>
            </w:pPr>
            <w:r>
              <w:rPr>
                <w:szCs w:val="21"/>
              </w:rPr>
              <w:t>0.08</w:t>
            </w:r>
          </w:p>
        </w:tc>
        <w:tc>
          <w:tcPr>
            <w:tcW w:w="538" w:type="dxa"/>
            <w:vAlign w:val="center"/>
          </w:tcPr>
          <w:p>
            <w:pPr>
              <w:jc w:val="center"/>
              <w:rPr>
                <w:szCs w:val="21"/>
              </w:rPr>
            </w:pPr>
            <w:r>
              <w:rPr>
                <w:szCs w:val="21"/>
              </w:rPr>
              <w:t>0.06</w:t>
            </w:r>
          </w:p>
        </w:tc>
        <w:tc>
          <w:tcPr>
            <w:tcW w:w="644" w:type="dxa"/>
            <w:vAlign w:val="center"/>
          </w:tcPr>
          <w:p>
            <w:pPr>
              <w:jc w:val="center"/>
              <w:rPr>
                <w:szCs w:val="21"/>
              </w:rPr>
            </w:pPr>
            <w:r>
              <w:rPr>
                <w:szCs w:val="21"/>
              </w:rPr>
              <w:t>3.58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Align w:val="center"/>
          </w:tcPr>
          <w:p>
            <w:pPr>
              <w:jc w:val="center"/>
              <w:rPr>
                <w:szCs w:val="21"/>
              </w:rPr>
            </w:pPr>
            <w:r>
              <w:rPr>
                <w:szCs w:val="21"/>
              </w:rPr>
              <w:t>百分率(%)</w:t>
            </w:r>
          </w:p>
        </w:tc>
        <w:tc>
          <w:tcPr>
            <w:tcW w:w="537" w:type="dxa"/>
            <w:vAlign w:val="center"/>
          </w:tcPr>
          <w:p>
            <w:pPr>
              <w:jc w:val="center"/>
              <w:rPr>
                <w:szCs w:val="21"/>
              </w:rPr>
            </w:pPr>
            <w:r>
              <w:rPr>
                <w:szCs w:val="21"/>
              </w:rPr>
              <w:t>1.2</w:t>
            </w:r>
          </w:p>
        </w:tc>
        <w:tc>
          <w:tcPr>
            <w:tcW w:w="538" w:type="dxa"/>
            <w:vAlign w:val="center"/>
          </w:tcPr>
          <w:p>
            <w:pPr>
              <w:jc w:val="center"/>
              <w:rPr>
                <w:szCs w:val="21"/>
              </w:rPr>
            </w:pPr>
            <w:r>
              <w:rPr>
                <w:szCs w:val="21"/>
              </w:rPr>
              <w:t>0.9</w:t>
            </w:r>
          </w:p>
        </w:tc>
        <w:tc>
          <w:tcPr>
            <w:tcW w:w="538" w:type="dxa"/>
            <w:gridSpan w:val="2"/>
            <w:vAlign w:val="center"/>
          </w:tcPr>
          <w:p>
            <w:pPr>
              <w:jc w:val="center"/>
              <w:rPr>
                <w:szCs w:val="21"/>
              </w:rPr>
            </w:pPr>
            <w:r>
              <w:rPr>
                <w:szCs w:val="21"/>
              </w:rPr>
              <w:t>1.3</w:t>
            </w:r>
          </w:p>
        </w:tc>
        <w:tc>
          <w:tcPr>
            <w:tcW w:w="538" w:type="dxa"/>
            <w:vAlign w:val="center"/>
          </w:tcPr>
          <w:p>
            <w:pPr>
              <w:jc w:val="center"/>
              <w:rPr>
                <w:szCs w:val="21"/>
              </w:rPr>
            </w:pPr>
            <w:r>
              <w:rPr>
                <w:szCs w:val="21"/>
              </w:rPr>
              <w:t>2.3</w:t>
            </w:r>
          </w:p>
        </w:tc>
        <w:tc>
          <w:tcPr>
            <w:tcW w:w="537" w:type="dxa"/>
            <w:gridSpan w:val="2"/>
            <w:vAlign w:val="center"/>
          </w:tcPr>
          <w:p>
            <w:pPr>
              <w:jc w:val="center"/>
              <w:rPr>
                <w:szCs w:val="21"/>
              </w:rPr>
            </w:pPr>
            <w:r>
              <w:rPr>
                <w:szCs w:val="21"/>
              </w:rPr>
              <w:t>8.3</w:t>
            </w:r>
          </w:p>
        </w:tc>
        <w:tc>
          <w:tcPr>
            <w:tcW w:w="538" w:type="dxa"/>
            <w:vAlign w:val="center"/>
          </w:tcPr>
          <w:p>
            <w:pPr>
              <w:jc w:val="center"/>
              <w:rPr>
                <w:szCs w:val="21"/>
              </w:rPr>
            </w:pPr>
            <w:r>
              <w:rPr>
                <w:szCs w:val="21"/>
              </w:rPr>
              <w:t>20.4</w:t>
            </w:r>
          </w:p>
        </w:tc>
        <w:tc>
          <w:tcPr>
            <w:tcW w:w="538" w:type="dxa"/>
            <w:vAlign w:val="center"/>
          </w:tcPr>
          <w:p>
            <w:pPr>
              <w:jc w:val="center"/>
              <w:rPr>
                <w:szCs w:val="21"/>
              </w:rPr>
            </w:pPr>
            <w:r>
              <w:rPr>
                <w:szCs w:val="21"/>
              </w:rPr>
              <w:t>28.1</w:t>
            </w:r>
          </w:p>
        </w:tc>
        <w:tc>
          <w:tcPr>
            <w:tcW w:w="538" w:type="dxa"/>
            <w:gridSpan w:val="2"/>
            <w:vAlign w:val="center"/>
          </w:tcPr>
          <w:p>
            <w:pPr>
              <w:jc w:val="center"/>
              <w:rPr>
                <w:szCs w:val="21"/>
              </w:rPr>
            </w:pPr>
            <w:r>
              <w:rPr>
                <w:szCs w:val="21"/>
              </w:rPr>
              <w:t>20.5</w:t>
            </w:r>
          </w:p>
        </w:tc>
        <w:tc>
          <w:tcPr>
            <w:tcW w:w="537" w:type="dxa"/>
            <w:vAlign w:val="center"/>
          </w:tcPr>
          <w:p>
            <w:pPr>
              <w:jc w:val="center"/>
              <w:rPr>
                <w:szCs w:val="21"/>
              </w:rPr>
            </w:pPr>
            <w:r>
              <w:rPr>
                <w:szCs w:val="21"/>
              </w:rPr>
              <w:t>8.9</w:t>
            </w:r>
          </w:p>
        </w:tc>
        <w:tc>
          <w:tcPr>
            <w:tcW w:w="538" w:type="dxa"/>
            <w:gridSpan w:val="2"/>
            <w:vAlign w:val="center"/>
          </w:tcPr>
          <w:p>
            <w:pPr>
              <w:jc w:val="center"/>
              <w:rPr>
                <w:szCs w:val="21"/>
              </w:rPr>
            </w:pPr>
            <w:r>
              <w:rPr>
                <w:szCs w:val="21"/>
              </w:rPr>
              <w:t>4.2</w:t>
            </w:r>
          </w:p>
        </w:tc>
        <w:tc>
          <w:tcPr>
            <w:tcW w:w="538" w:type="dxa"/>
            <w:vAlign w:val="center"/>
          </w:tcPr>
          <w:p>
            <w:pPr>
              <w:jc w:val="center"/>
              <w:rPr>
                <w:szCs w:val="21"/>
              </w:rPr>
            </w:pPr>
            <w:r>
              <w:rPr>
                <w:szCs w:val="21"/>
              </w:rPr>
              <w:t>2.2</w:t>
            </w:r>
          </w:p>
        </w:tc>
        <w:tc>
          <w:tcPr>
            <w:tcW w:w="538" w:type="dxa"/>
            <w:vAlign w:val="center"/>
          </w:tcPr>
          <w:p>
            <w:pPr>
              <w:jc w:val="center"/>
              <w:rPr>
                <w:szCs w:val="21"/>
              </w:rPr>
            </w:pPr>
            <w:r>
              <w:rPr>
                <w:szCs w:val="21"/>
              </w:rPr>
              <w:t>1.8</w:t>
            </w:r>
          </w:p>
        </w:tc>
        <w:tc>
          <w:tcPr>
            <w:tcW w:w="644" w:type="dxa"/>
            <w:vAlign w:val="center"/>
          </w:tcPr>
          <w:p>
            <w:pPr>
              <w:jc w:val="center"/>
              <w:rPr>
                <w:szCs w:val="21"/>
              </w:rPr>
            </w:pPr>
            <w:r>
              <w:rPr>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Align w:val="center"/>
          </w:tcPr>
          <w:p>
            <w:pPr>
              <w:jc w:val="center"/>
              <w:rPr>
                <w:szCs w:val="21"/>
              </w:rPr>
            </w:pPr>
            <w:r>
              <w:rPr>
                <w:szCs w:val="21"/>
              </w:rPr>
              <w:t>四季</w:t>
            </w:r>
          </w:p>
        </w:tc>
        <w:tc>
          <w:tcPr>
            <w:tcW w:w="1290" w:type="dxa"/>
            <w:gridSpan w:val="3"/>
            <w:vAlign w:val="center"/>
          </w:tcPr>
          <w:p>
            <w:pPr>
              <w:jc w:val="center"/>
              <w:rPr>
                <w:szCs w:val="21"/>
              </w:rPr>
            </w:pPr>
            <w:r>
              <w:rPr>
                <w:szCs w:val="21"/>
              </w:rPr>
              <w:t>冬季</w:t>
            </w:r>
          </w:p>
        </w:tc>
        <w:tc>
          <w:tcPr>
            <w:tcW w:w="1291" w:type="dxa"/>
            <w:gridSpan w:val="3"/>
            <w:vAlign w:val="center"/>
          </w:tcPr>
          <w:p>
            <w:pPr>
              <w:jc w:val="center"/>
              <w:rPr>
                <w:szCs w:val="21"/>
              </w:rPr>
            </w:pPr>
            <w:r>
              <w:rPr>
                <w:szCs w:val="21"/>
              </w:rPr>
              <w:t>春季</w:t>
            </w:r>
          </w:p>
        </w:tc>
        <w:tc>
          <w:tcPr>
            <w:tcW w:w="1290" w:type="dxa"/>
            <w:gridSpan w:val="4"/>
            <w:vAlign w:val="center"/>
          </w:tcPr>
          <w:p>
            <w:pPr>
              <w:jc w:val="center"/>
              <w:rPr>
                <w:szCs w:val="21"/>
              </w:rPr>
            </w:pPr>
            <w:r>
              <w:rPr>
                <w:szCs w:val="21"/>
              </w:rPr>
              <w:t>夏季</w:t>
            </w:r>
          </w:p>
        </w:tc>
        <w:tc>
          <w:tcPr>
            <w:tcW w:w="1291" w:type="dxa"/>
            <w:gridSpan w:val="3"/>
            <w:vAlign w:val="center"/>
          </w:tcPr>
          <w:p>
            <w:pPr>
              <w:jc w:val="center"/>
              <w:rPr>
                <w:szCs w:val="21"/>
              </w:rPr>
            </w:pPr>
            <w:r>
              <w:rPr>
                <w:szCs w:val="21"/>
              </w:rPr>
              <w:t>秋季</w:t>
            </w:r>
          </w:p>
        </w:tc>
        <w:tc>
          <w:tcPr>
            <w:tcW w:w="1291" w:type="dxa"/>
            <w:gridSpan w:val="3"/>
            <w:vAlign w:val="center"/>
          </w:tcPr>
          <w:p>
            <w:pPr>
              <w:jc w:val="center"/>
              <w:rPr>
                <w:szCs w:val="21"/>
              </w:rPr>
            </w:pPr>
            <w:r>
              <w:rPr>
                <w:szCs w:val="21"/>
              </w:rPr>
              <w:t>冬季</w:t>
            </w:r>
          </w:p>
        </w:tc>
        <w:tc>
          <w:tcPr>
            <w:tcW w:w="644"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7" w:type="dxa"/>
            <w:vAlign w:val="center"/>
          </w:tcPr>
          <w:p>
            <w:pPr>
              <w:jc w:val="center"/>
              <w:rPr>
                <w:szCs w:val="21"/>
              </w:rPr>
            </w:pPr>
            <w:r>
              <w:rPr>
                <w:szCs w:val="21"/>
              </w:rPr>
              <w:t>百分率(%)</w:t>
            </w:r>
          </w:p>
        </w:tc>
        <w:tc>
          <w:tcPr>
            <w:tcW w:w="1290" w:type="dxa"/>
            <w:gridSpan w:val="3"/>
            <w:vAlign w:val="center"/>
          </w:tcPr>
          <w:p>
            <w:pPr>
              <w:jc w:val="center"/>
              <w:rPr>
                <w:szCs w:val="21"/>
              </w:rPr>
            </w:pPr>
            <w:r>
              <w:rPr>
                <w:szCs w:val="21"/>
              </w:rPr>
              <w:t>3.8</w:t>
            </w:r>
          </w:p>
        </w:tc>
        <w:tc>
          <w:tcPr>
            <w:tcW w:w="1291" w:type="dxa"/>
            <w:gridSpan w:val="3"/>
            <w:vAlign w:val="center"/>
          </w:tcPr>
          <w:p>
            <w:pPr>
              <w:jc w:val="center"/>
              <w:rPr>
                <w:szCs w:val="21"/>
              </w:rPr>
            </w:pPr>
            <w:r>
              <w:rPr>
                <w:szCs w:val="21"/>
              </w:rPr>
              <w:t>11.8</w:t>
            </w:r>
          </w:p>
        </w:tc>
        <w:tc>
          <w:tcPr>
            <w:tcW w:w="1290" w:type="dxa"/>
            <w:gridSpan w:val="4"/>
            <w:vAlign w:val="center"/>
          </w:tcPr>
          <w:p>
            <w:pPr>
              <w:jc w:val="center"/>
              <w:rPr>
                <w:szCs w:val="21"/>
              </w:rPr>
            </w:pPr>
            <w:r>
              <w:rPr>
                <w:szCs w:val="21"/>
              </w:rPr>
              <w:t>69</w:t>
            </w:r>
          </w:p>
        </w:tc>
        <w:tc>
          <w:tcPr>
            <w:tcW w:w="1291" w:type="dxa"/>
            <w:gridSpan w:val="3"/>
            <w:vAlign w:val="center"/>
          </w:tcPr>
          <w:p>
            <w:pPr>
              <w:jc w:val="center"/>
              <w:rPr>
                <w:szCs w:val="21"/>
              </w:rPr>
            </w:pPr>
            <w:r>
              <w:rPr>
                <w:szCs w:val="21"/>
              </w:rPr>
              <w:t>15.3</w:t>
            </w:r>
          </w:p>
        </w:tc>
        <w:tc>
          <w:tcPr>
            <w:tcW w:w="1291" w:type="dxa"/>
            <w:gridSpan w:val="3"/>
            <w:vAlign w:val="center"/>
          </w:tcPr>
          <w:p>
            <w:pPr>
              <w:jc w:val="center"/>
              <w:rPr>
                <w:szCs w:val="21"/>
              </w:rPr>
            </w:pPr>
          </w:p>
        </w:tc>
        <w:tc>
          <w:tcPr>
            <w:tcW w:w="644" w:type="dxa"/>
            <w:vAlign w:val="center"/>
          </w:tcPr>
          <w:p>
            <w:pPr>
              <w:jc w:val="center"/>
              <w:rPr>
                <w:szCs w:val="21"/>
              </w:rPr>
            </w:pPr>
            <w:r>
              <w:rPr>
                <w:szCs w:val="21"/>
              </w:rPr>
              <w:t>100</w:t>
            </w:r>
          </w:p>
        </w:tc>
      </w:tr>
    </w:tbl>
    <w:p>
      <w:pPr>
        <w:spacing w:line="240" w:lineRule="exact"/>
        <w:ind w:firstLine="480" w:firstLineChars="200"/>
        <w:rPr>
          <w:rFonts w:ascii="宋体" w:hAnsi="宋体"/>
          <w:sz w:val="24"/>
        </w:rPr>
      </w:pP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根据三屯河碾盘庄水文站1955年</w:t>
      </w:r>
      <w:r>
        <w:rPr>
          <w:rFonts w:hint="eastAsia" w:ascii="Times New Roman" w:hAnsi="Times New Roman" w:cs="Times New Roman"/>
          <w:color w:val="auto"/>
        </w:rPr>
        <w:t>~</w:t>
      </w:r>
      <w:r>
        <w:rPr>
          <w:rFonts w:ascii="Times New Roman" w:hAnsi="Times New Roman" w:cs="Times New Roman"/>
          <w:color w:val="auto"/>
        </w:rPr>
        <w:t>2000年的水文资料计算得到不同频率年迳流量，如表</w:t>
      </w:r>
      <w:r>
        <w:rPr>
          <w:rFonts w:hint="eastAsia" w:ascii="Times New Roman" w:hAnsi="Times New Roman" w:cs="Times New Roman"/>
          <w:color w:val="auto"/>
        </w:rPr>
        <w:t>5.1-3</w:t>
      </w:r>
      <w:r>
        <w:rPr>
          <w:rFonts w:ascii="Times New Roman" w:hAnsi="Times New Roman" w:cs="Times New Roman"/>
          <w:color w:val="auto"/>
        </w:rPr>
        <w:t>。</w:t>
      </w:r>
    </w:p>
    <w:p>
      <w:pPr>
        <w:ind w:firstLine="420" w:firstLineChars="200"/>
        <w:rPr>
          <w:rFonts w:eastAsia="黑体"/>
          <w:bCs/>
          <w:szCs w:val="20"/>
        </w:rPr>
      </w:pPr>
      <w:r>
        <w:rPr>
          <w:rFonts w:eastAsia="黑体"/>
          <w:bCs/>
          <w:szCs w:val="20"/>
        </w:rPr>
        <w:t>表</w:t>
      </w:r>
      <w:r>
        <w:rPr>
          <w:rFonts w:hint="eastAsia" w:eastAsia="黑体"/>
          <w:bCs/>
          <w:szCs w:val="20"/>
        </w:rPr>
        <w:t>5.1-3</w:t>
      </w:r>
      <w:r>
        <w:rPr>
          <w:rFonts w:eastAsia="黑体"/>
          <w:bCs/>
          <w:szCs w:val="20"/>
        </w:rPr>
        <w:t xml:space="preserve">            三屯河碾盘庄水文站年径流设计成果表</w:t>
      </w:r>
    </w:p>
    <w:tbl>
      <w:tblPr>
        <w:tblStyle w:val="59"/>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8"/>
        <w:gridCol w:w="1042"/>
        <w:gridCol w:w="1042"/>
        <w:gridCol w:w="1042"/>
        <w:gridCol w:w="1042"/>
        <w:gridCol w:w="1042"/>
        <w:gridCol w:w="1042"/>
        <w:gridCol w:w="10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8" w:type="dxa"/>
            <w:vAlign w:val="center"/>
          </w:tcPr>
          <w:p>
            <w:pPr>
              <w:jc w:val="center"/>
              <w:rPr>
                <w:szCs w:val="21"/>
              </w:rPr>
            </w:pPr>
            <w:r>
              <w:rPr>
                <w:szCs w:val="21"/>
              </w:rPr>
              <w:t>P（m</w:t>
            </w:r>
            <w:r>
              <w:rPr>
                <w:szCs w:val="21"/>
                <w:vertAlign w:val="superscript"/>
              </w:rPr>
              <w:t>3</w:t>
            </w:r>
            <w:r>
              <w:rPr>
                <w:szCs w:val="21"/>
              </w:rPr>
              <w:t>/s）</w:t>
            </w:r>
          </w:p>
        </w:tc>
        <w:tc>
          <w:tcPr>
            <w:tcW w:w="1042" w:type="dxa"/>
            <w:vAlign w:val="center"/>
          </w:tcPr>
          <w:p>
            <w:pPr>
              <w:jc w:val="center"/>
              <w:rPr>
                <w:szCs w:val="21"/>
              </w:rPr>
            </w:pPr>
            <w:r>
              <w:rPr>
                <w:szCs w:val="21"/>
              </w:rPr>
              <w:t>5</w:t>
            </w:r>
          </w:p>
        </w:tc>
        <w:tc>
          <w:tcPr>
            <w:tcW w:w="1042" w:type="dxa"/>
            <w:vAlign w:val="center"/>
          </w:tcPr>
          <w:p>
            <w:pPr>
              <w:jc w:val="center"/>
              <w:rPr>
                <w:szCs w:val="21"/>
              </w:rPr>
            </w:pPr>
            <w:r>
              <w:rPr>
                <w:szCs w:val="21"/>
              </w:rPr>
              <w:t>10</w:t>
            </w:r>
          </w:p>
        </w:tc>
        <w:tc>
          <w:tcPr>
            <w:tcW w:w="1042" w:type="dxa"/>
            <w:vAlign w:val="center"/>
          </w:tcPr>
          <w:p>
            <w:pPr>
              <w:jc w:val="center"/>
              <w:rPr>
                <w:szCs w:val="21"/>
              </w:rPr>
            </w:pPr>
            <w:r>
              <w:rPr>
                <w:szCs w:val="21"/>
              </w:rPr>
              <w:t>25</w:t>
            </w:r>
          </w:p>
        </w:tc>
        <w:tc>
          <w:tcPr>
            <w:tcW w:w="1042" w:type="dxa"/>
            <w:vAlign w:val="center"/>
          </w:tcPr>
          <w:p>
            <w:pPr>
              <w:jc w:val="center"/>
              <w:rPr>
                <w:szCs w:val="21"/>
              </w:rPr>
            </w:pPr>
            <w:r>
              <w:rPr>
                <w:szCs w:val="21"/>
              </w:rPr>
              <w:t>50</w:t>
            </w:r>
          </w:p>
        </w:tc>
        <w:tc>
          <w:tcPr>
            <w:tcW w:w="1042" w:type="dxa"/>
            <w:vAlign w:val="center"/>
          </w:tcPr>
          <w:p>
            <w:pPr>
              <w:jc w:val="center"/>
              <w:rPr>
                <w:szCs w:val="21"/>
              </w:rPr>
            </w:pPr>
            <w:r>
              <w:rPr>
                <w:szCs w:val="21"/>
              </w:rPr>
              <w:t>75</w:t>
            </w:r>
          </w:p>
        </w:tc>
        <w:tc>
          <w:tcPr>
            <w:tcW w:w="1042" w:type="dxa"/>
            <w:vAlign w:val="center"/>
          </w:tcPr>
          <w:p>
            <w:pPr>
              <w:jc w:val="center"/>
              <w:rPr>
                <w:szCs w:val="21"/>
              </w:rPr>
            </w:pPr>
            <w:r>
              <w:rPr>
                <w:szCs w:val="21"/>
              </w:rPr>
              <w:t>90</w:t>
            </w:r>
          </w:p>
        </w:tc>
        <w:tc>
          <w:tcPr>
            <w:tcW w:w="1042" w:type="dxa"/>
            <w:vAlign w:val="center"/>
          </w:tcPr>
          <w:p>
            <w:pPr>
              <w:jc w:val="center"/>
              <w:rPr>
                <w:szCs w:val="21"/>
              </w:rPr>
            </w:pPr>
            <w:r>
              <w:rPr>
                <w:szCs w:val="21"/>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8" w:type="dxa"/>
            <w:vAlign w:val="center"/>
          </w:tcPr>
          <w:p>
            <w:pPr>
              <w:jc w:val="center"/>
              <w:rPr>
                <w:szCs w:val="21"/>
              </w:rPr>
            </w:pPr>
            <w:r>
              <w:rPr>
                <w:szCs w:val="21"/>
              </w:rPr>
              <w:t>Q（m</w:t>
            </w:r>
            <w:r>
              <w:rPr>
                <w:szCs w:val="21"/>
                <w:vertAlign w:val="superscript"/>
              </w:rPr>
              <w:t>3</w:t>
            </w:r>
            <w:r>
              <w:rPr>
                <w:szCs w:val="21"/>
              </w:rPr>
              <w:t>/s）</w:t>
            </w:r>
          </w:p>
        </w:tc>
        <w:tc>
          <w:tcPr>
            <w:tcW w:w="1042" w:type="dxa"/>
            <w:vAlign w:val="center"/>
          </w:tcPr>
          <w:p>
            <w:pPr>
              <w:jc w:val="center"/>
              <w:rPr>
                <w:szCs w:val="21"/>
              </w:rPr>
            </w:pPr>
            <w:r>
              <w:rPr>
                <w:szCs w:val="21"/>
              </w:rPr>
              <w:t>14.1</w:t>
            </w:r>
          </w:p>
        </w:tc>
        <w:tc>
          <w:tcPr>
            <w:tcW w:w="1042" w:type="dxa"/>
            <w:vAlign w:val="center"/>
          </w:tcPr>
          <w:p>
            <w:pPr>
              <w:jc w:val="center"/>
              <w:rPr>
                <w:szCs w:val="21"/>
              </w:rPr>
            </w:pPr>
            <w:r>
              <w:rPr>
                <w:szCs w:val="21"/>
              </w:rPr>
              <w:t>13.4</w:t>
            </w:r>
          </w:p>
        </w:tc>
        <w:tc>
          <w:tcPr>
            <w:tcW w:w="1042" w:type="dxa"/>
            <w:vAlign w:val="center"/>
          </w:tcPr>
          <w:p>
            <w:pPr>
              <w:jc w:val="center"/>
              <w:rPr>
                <w:szCs w:val="21"/>
              </w:rPr>
            </w:pPr>
            <w:r>
              <w:rPr>
                <w:szCs w:val="21"/>
              </w:rPr>
              <w:t>12.4</w:t>
            </w:r>
          </w:p>
        </w:tc>
        <w:tc>
          <w:tcPr>
            <w:tcW w:w="1042" w:type="dxa"/>
            <w:vAlign w:val="center"/>
          </w:tcPr>
          <w:p>
            <w:pPr>
              <w:jc w:val="center"/>
              <w:rPr>
                <w:szCs w:val="21"/>
              </w:rPr>
            </w:pPr>
            <w:r>
              <w:rPr>
                <w:szCs w:val="21"/>
              </w:rPr>
              <w:t>11.3</w:t>
            </w:r>
          </w:p>
        </w:tc>
        <w:tc>
          <w:tcPr>
            <w:tcW w:w="1042" w:type="dxa"/>
            <w:vAlign w:val="center"/>
          </w:tcPr>
          <w:p>
            <w:pPr>
              <w:jc w:val="center"/>
              <w:rPr>
                <w:szCs w:val="21"/>
              </w:rPr>
            </w:pPr>
            <w:r>
              <w:rPr>
                <w:szCs w:val="21"/>
              </w:rPr>
              <w:t>10.2</w:t>
            </w:r>
          </w:p>
        </w:tc>
        <w:tc>
          <w:tcPr>
            <w:tcW w:w="1042" w:type="dxa"/>
            <w:vAlign w:val="center"/>
          </w:tcPr>
          <w:p>
            <w:pPr>
              <w:jc w:val="center"/>
              <w:rPr>
                <w:szCs w:val="21"/>
              </w:rPr>
            </w:pPr>
            <w:r>
              <w:rPr>
                <w:szCs w:val="21"/>
              </w:rPr>
              <w:t>9.36</w:t>
            </w:r>
          </w:p>
        </w:tc>
        <w:tc>
          <w:tcPr>
            <w:tcW w:w="1042" w:type="dxa"/>
            <w:vAlign w:val="center"/>
          </w:tcPr>
          <w:p>
            <w:pPr>
              <w:jc w:val="center"/>
              <w:rPr>
                <w:szCs w:val="21"/>
              </w:rPr>
            </w:pPr>
            <w:r>
              <w:rPr>
                <w:szCs w:val="21"/>
              </w:rPr>
              <w:t>8.88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8" w:type="dxa"/>
            <w:vAlign w:val="center"/>
          </w:tcPr>
          <w:p>
            <w:pPr>
              <w:jc w:val="center"/>
              <w:rPr>
                <w:szCs w:val="21"/>
              </w:rPr>
            </w:pPr>
            <w:r>
              <w:rPr>
                <w:szCs w:val="21"/>
              </w:rPr>
              <w:t>W（10</w:t>
            </w:r>
            <w:r>
              <w:rPr>
                <w:szCs w:val="21"/>
                <w:vertAlign w:val="superscript"/>
              </w:rPr>
              <w:t>8</w:t>
            </w:r>
            <w:r>
              <w:rPr>
                <w:szCs w:val="21"/>
              </w:rPr>
              <w:t>m</w:t>
            </w:r>
            <w:r>
              <w:rPr>
                <w:szCs w:val="21"/>
                <w:vertAlign w:val="superscript"/>
              </w:rPr>
              <w:t>3</w:t>
            </w:r>
            <w:r>
              <w:rPr>
                <w:szCs w:val="21"/>
              </w:rPr>
              <w:t>）</w:t>
            </w:r>
          </w:p>
        </w:tc>
        <w:tc>
          <w:tcPr>
            <w:tcW w:w="1042" w:type="dxa"/>
            <w:vAlign w:val="center"/>
          </w:tcPr>
          <w:p>
            <w:pPr>
              <w:jc w:val="center"/>
              <w:rPr>
                <w:szCs w:val="21"/>
              </w:rPr>
            </w:pPr>
            <w:r>
              <w:rPr>
                <w:szCs w:val="21"/>
              </w:rPr>
              <w:t>4.45</w:t>
            </w:r>
          </w:p>
        </w:tc>
        <w:tc>
          <w:tcPr>
            <w:tcW w:w="1042" w:type="dxa"/>
            <w:vAlign w:val="center"/>
          </w:tcPr>
          <w:p>
            <w:pPr>
              <w:jc w:val="center"/>
              <w:rPr>
                <w:szCs w:val="21"/>
              </w:rPr>
            </w:pPr>
            <w:r>
              <w:rPr>
                <w:szCs w:val="21"/>
              </w:rPr>
              <w:t>4.23</w:t>
            </w:r>
          </w:p>
        </w:tc>
        <w:tc>
          <w:tcPr>
            <w:tcW w:w="1042" w:type="dxa"/>
            <w:vAlign w:val="center"/>
          </w:tcPr>
          <w:p>
            <w:pPr>
              <w:jc w:val="center"/>
              <w:rPr>
                <w:szCs w:val="21"/>
              </w:rPr>
            </w:pPr>
            <w:r>
              <w:rPr>
                <w:szCs w:val="21"/>
              </w:rPr>
              <w:t>3.91</w:t>
            </w:r>
          </w:p>
        </w:tc>
        <w:tc>
          <w:tcPr>
            <w:tcW w:w="1042" w:type="dxa"/>
            <w:vAlign w:val="center"/>
          </w:tcPr>
          <w:p>
            <w:pPr>
              <w:jc w:val="center"/>
              <w:rPr>
                <w:szCs w:val="21"/>
              </w:rPr>
            </w:pPr>
            <w:r>
              <w:rPr>
                <w:szCs w:val="21"/>
              </w:rPr>
              <w:t>3.55</w:t>
            </w:r>
          </w:p>
        </w:tc>
        <w:tc>
          <w:tcPr>
            <w:tcW w:w="1042" w:type="dxa"/>
            <w:vAlign w:val="center"/>
          </w:tcPr>
          <w:p>
            <w:pPr>
              <w:jc w:val="center"/>
              <w:rPr>
                <w:szCs w:val="21"/>
              </w:rPr>
            </w:pPr>
            <w:r>
              <w:rPr>
                <w:szCs w:val="21"/>
              </w:rPr>
              <w:t>3.23</w:t>
            </w:r>
          </w:p>
        </w:tc>
        <w:tc>
          <w:tcPr>
            <w:tcW w:w="1042" w:type="dxa"/>
            <w:vAlign w:val="center"/>
          </w:tcPr>
          <w:p>
            <w:pPr>
              <w:jc w:val="center"/>
              <w:rPr>
                <w:szCs w:val="21"/>
              </w:rPr>
            </w:pPr>
            <w:r>
              <w:rPr>
                <w:szCs w:val="21"/>
              </w:rPr>
              <w:t>2.95</w:t>
            </w:r>
          </w:p>
        </w:tc>
        <w:tc>
          <w:tcPr>
            <w:tcW w:w="1042" w:type="dxa"/>
            <w:vAlign w:val="center"/>
          </w:tcPr>
          <w:p>
            <w:pPr>
              <w:jc w:val="center"/>
              <w:rPr>
                <w:szCs w:val="21"/>
              </w:rPr>
            </w:pPr>
            <w:r>
              <w:rPr>
                <w:szCs w:val="21"/>
              </w:rPr>
              <w:t>2.79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2" w:type="dxa"/>
            <w:gridSpan w:val="8"/>
            <w:vAlign w:val="center"/>
          </w:tcPr>
          <w:p>
            <w:pPr>
              <w:jc w:val="center"/>
              <w:rPr>
                <w:szCs w:val="21"/>
              </w:rPr>
            </w:pPr>
            <w:r>
              <w:rPr>
                <w:szCs w:val="21"/>
              </w:rPr>
              <w:t>均值Q=11.34 m</w:t>
            </w:r>
            <w:r>
              <w:rPr>
                <w:szCs w:val="21"/>
                <w:vertAlign w:val="superscript"/>
              </w:rPr>
              <w:t>3</w:t>
            </w:r>
            <w:r>
              <w:rPr>
                <w:szCs w:val="21"/>
              </w:rPr>
              <w:t>/s，Cv=0.14，cs=0.28</w:t>
            </w:r>
          </w:p>
        </w:tc>
      </w:tr>
    </w:tbl>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（2）努尔加水库</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努尔加水库位于新疆维吾尔自治区昌吉回族自治州昌吉市境内，三屯河出山口前中低山区，水库位置E：86°59′～87°04′，N：43°48′～43°52′之间。</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努尔加水库总库容6790万m</w:t>
      </w:r>
      <w:r>
        <w:rPr>
          <w:rFonts w:ascii="Times New Roman" w:hAnsi="Times New Roman" w:cs="Times New Roman"/>
          <w:color w:val="auto"/>
          <w:vertAlign w:val="superscript"/>
        </w:rPr>
        <w:t>3</w:t>
      </w:r>
      <w:r>
        <w:rPr>
          <w:rFonts w:ascii="Times New Roman" w:hAnsi="Times New Roman" w:cs="Times New Roman"/>
          <w:color w:val="auto"/>
        </w:rPr>
        <w:t>，属Ⅲ等中型水库，正常蓄水位为878.0m，相应库容5925.86万m</w:t>
      </w:r>
      <w:r>
        <w:rPr>
          <w:rFonts w:ascii="Times New Roman" w:hAnsi="Times New Roman" w:cs="Times New Roman"/>
          <w:color w:val="auto"/>
          <w:vertAlign w:val="superscript"/>
        </w:rPr>
        <w:t>3</w:t>
      </w:r>
      <w:r>
        <w:rPr>
          <w:rFonts w:ascii="Times New Roman" w:hAnsi="Times New Roman" w:cs="Times New Roman"/>
          <w:color w:val="auto"/>
        </w:rPr>
        <w:t>，死水位850m，死库容1440万m</w:t>
      </w:r>
      <w:r>
        <w:rPr>
          <w:rFonts w:ascii="Times New Roman" w:hAnsi="Times New Roman" w:cs="Times New Roman"/>
          <w:color w:val="auto"/>
          <w:vertAlign w:val="superscript"/>
        </w:rPr>
        <w:t>3</w:t>
      </w:r>
      <w:r>
        <w:rPr>
          <w:rFonts w:ascii="Times New Roman" w:hAnsi="Times New Roman" w:cs="Times New Roman"/>
          <w:color w:val="auto"/>
        </w:rPr>
        <w:t>。努尔加水库采取防洪库容和兴利库容不结合的方式，汛期限制水位即为正常蓄水位。其设计防洪标准时50年一遇，校核标准为1000年一遇。努尔加水库近期水平年供水量为2.65亿m</w:t>
      </w:r>
      <w:r>
        <w:rPr>
          <w:rFonts w:ascii="Times New Roman" w:hAnsi="Times New Roman" w:cs="Times New Roman"/>
          <w:color w:val="auto"/>
          <w:vertAlign w:val="superscript"/>
        </w:rPr>
        <w:t>3</w:t>
      </w:r>
      <w:r>
        <w:rPr>
          <w:rFonts w:ascii="Times New Roman" w:hAnsi="Times New Roman" w:cs="Times New Roman"/>
          <w:color w:val="auto"/>
        </w:rPr>
        <w:t>，2020年远期水平年供水量为3.04亿m</w:t>
      </w:r>
      <w:r>
        <w:rPr>
          <w:rFonts w:ascii="Times New Roman" w:hAnsi="Times New Roman" w:cs="Times New Roman"/>
          <w:color w:val="auto"/>
          <w:vertAlign w:val="superscript"/>
        </w:rPr>
        <w:t>3</w:t>
      </w:r>
      <w:r>
        <w:rPr>
          <w:rFonts w:ascii="Times New Roman" w:hAnsi="Times New Roman" w:cs="Times New Roman"/>
          <w:color w:val="auto"/>
        </w:rPr>
        <w:t>。</w:t>
      </w:r>
    </w:p>
    <w:p>
      <w:pPr>
        <w:pStyle w:val="148"/>
        <w:spacing w:line="460" w:lineRule="exact"/>
        <w:ind w:firstLine="480" w:firstLineChars="200"/>
        <w:rPr>
          <w:rFonts w:ascii="Times New Roman" w:hAnsi="Times New Roman" w:cs="Times New Roman"/>
          <w:color w:val="auto"/>
        </w:rPr>
      </w:pPr>
      <w:r>
        <w:rPr>
          <w:rFonts w:ascii="Times New Roman" w:hAnsi="Times New Roman" w:cs="Times New Roman"/>
          <w:color w:val="auto"/>
        </w:rPr>
        <w:t>努尔加水库已于2011年开工建设，计划2014年供水。主要为昌吉市城区、昌吉高新技术产业开发区及农业灌溉供水，其中配套建设的努尔加生产生活供水工程（水厂及供水管线等）计划于2014年供水。该工程初期设计供水能力1.13亿m</w:t>
      </w:r>
      <w:r>
        <w:rPr>
          <w:rFonts w:ascii="Times New Roman" w:hAnsi="Times New Roman" w:cs="Times New Roman"/>
          <w:color w:val="auto"/>
          <w:vertAlign w:val="superscript"/>
        </w:rPr>
        <w:t>3</w:t>
      </w:r>
      <w:r>
        <w:rPr>
          <w:rFonts w:ascii="Times New Roman" w:hAnsi="Times New Roman" w:cs="Times New Roman"/>
          <w:color w:val="auto"/>
        </w:rPr>
        <w:t>/a，其中向昌吉市城区供水6000万m</w:t>
      </w:r>
      <w:r>
        <w:rPr>
          <w:rFonts w:ascii="Times New Roman" w:hAnsi="Times New Roman" w:cs="Times New Roman"/>
          <w:color w:val="auto"/>
          <w:vertAlign w:val="superscript"/>
        </w:rPr>
        <w:t>3</w:t>
      </w:r>
      <w:r>
        <w:rPr>
          <w:rFonts w:ascii="Times New Roman" w:hAnsi="Times New Roman" w:cs="Times New Roman"/>
          <w:color w:val="auto"/>
        </w:rPr>
        <w:t>/a，向昌吉高新技术产业开发区供水5100万m</w:t>
      </w:r>
      <w:r>
        <w:rPr>
          <w:rFonts w:ascii="Times New Roman" w:hAnsi="Times New Roman" w:cs="Times New Roman"/>
          <w:color w:val="auto"/>
          <w:vertAlign w:val="superscript"/>
        </w:rPr>
        <w:t>3</w:t>
      </w:r>
      <w:r>
        <w:rPr>
          <w:rFonts w:ascii="Times New Roman" w:hAnsi="Times New Roman" w:cs="Times New Roman"/>
          <w:color w:val="auto"/>
        </w:rPr>
        <w:t>/a。水库工程特性见表</w:t>
      </w:r>
      <w:r>
        <w:rPr>
          <w:rFonts w:hint="eastAsia" w:ascii="Times New Roman" w:hAnsi="Times New Roman" w:cs="Times New Roman"/>
          <w:color w:val="auto"/>
        </w:rPr>
        <w:t>5.1-4</w:t>
      </w:r>
      <w:r>
        <w:rPr>
          <w:rFonts w:ascii="Times New Roman" w:hAnsi="Times New Roman" w:cs="Times New Roman"/>
          <w:color w:val="auto"/>
        </w:rPr>
        <w:t>。</w:t>
      </w:r>
    </w:p>
    <w:p>
      <w:pPr>
        <w:ind w:firstLine="420" w:firstLineChars="200"/>
        <w:rPr>
          <w:rFonts w:eastAsia="黑体"/>
          <w:bCs/>
          <w:szCs w:val="20"/>
        </w:rPr>
      </w:pPr>
      <w:r>
        <w:rPr>
          <w:rFonts w:hint="eastAsia" w:eastAsia="黑体"/>
          <w:bCs/>
          <w:szCs w:val="20"/>
        </w:rPr>
        <w:t>表5.1-4                努尔加水库工程特性表</w:t>
      </w:r>
    </w:p>
    <w:tbl>
      <w:tblPr>
        <w:tblStyle w:val="59"/>
        <w:tblW w:w="83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433"/>
        <w:gridCol w:w="1136"/>
        <w:gridCol w:w="1569"/>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序号</w:t>
            </w:r>
          </w:p>
        </w:tc>
        <w:tc>
          <w:tcPr>
            <w:tcW w:w="2433" w:type="dxa"/>
            <w:vAlign w:val="center"/>
          </w:tcPr>
          <w:p>
            <w:pPr>
              <w:jc w:val="center"/>
              <w:rPr>
                <w:szCs w:val="21"/>
              </w:rPr>
            </w:pPr>
            <w:r>
              <w:rPr>
                <w:szCs w:val="21"/>
              </w:rPr>
              <w:t>项目名称</w:t>
            </w:r>
          </w:p>
        </w:tc>
        <w:tc>
          <w:tcPr>
            <w:tcW w:w="1136" w:type="dxa"/>
            <w:vAlign w:val="center"/>
          </w:tcPr>
          <w:p>
            <w:pPr>
              <w:jc w:val="center"/>
              <w:rPr>
                <w:szCs w:val="21"/>
              </w:rPr>
            </w:pPr>
            <w:r>
              <w:rPr>
                <w:szCs w:val="21"/>
              </w:rPr>
              <w:t>单位</w:t>
            </w:r>
          </w:p>
        </w:tc>
        <w:tc>
          <w:tcPr>
            <w:tcW w:w="1569" w:type="dxa"/>
            <w:vAlign w:val="center"/>
          </w:tcPr>
          <w:p>
            <w:pPr>
              <w:jc w:val="center"/>
              <w:rPr>
                <w:szCs w:val="21"/>
              </w:rPr>
            </w:pPr>
            <w:r>
              <w:rPr>
                <w:szCs w:val="21"/>
              </w:rPr>
              <w:t>数量</w:t>
            </w:r>
          </w:p>
        </w:tc>
        <w:tc>
          <w:tcPr>
            <w:tcW w:w="2538" w:type="dxa"/>
            <w:vAlign w:val="center"/>
          </w:tcPr>
          <w:p>
            <w:pPr>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一、</w:t>
            </w:r>
          </w:p>
        </w:tc>
        <w:tc>
          <w:tcPr>
            <w:tcW w:w="2433" w:type="dxa"/>
            <w:vAlign w:val="center"/>
          </w:tcPr>
          <w:p>
            <w:pPr>
              <w:jc w:val="center"/>
              <w:rPr>
                <w:szCs w:val="21"/>
              </w:rPr>
            </w:pPr>
            <w:r>
              <w:rPr>
                <w:szCs w:val="21"/>
              </w:rPr>
              <w:t>水文</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w:t>
            </w:r>
          </w:p>
        </w:tc>
        <w:tc>
          <w:tcPr>
            <w:tcW w:w="2433" w:type="dxa"/>
            <w:vAlign w:val="center"/>
          </w:tcPr>
          <w:p>
            <w:pPr>
              <w:jc w:val="center"/>
              <w:rPr>
                <w:szCs w:val="21"/>
              </w:rPr>
            </w:pPr>
            <w:r>
              <w:rPr>
                <w:szCs w:val="21"/>
              </w:rPr>
              <w:t>全流域面积</w:t>
            </w:r>
          </w:p>
        </w:tc>
        <w:tc>
          <w:tcPr>
            <w:tcW w:w="1136" w:type="dxa"/>
            <w:vAlign w:val="center"/>
          </w:tcPr>
          <w:p>
            <w:pPr>
              <w:jc w:val="center"/>
              <w:rPr>
                <w:szCs w:val="21"/>
              </w:rPr>
            </w:pPr>
            <w:r>
              <w:rPr>
                <w:szCs w:val="21"/>
              </w:rPr>
              <w:t>km</w:t>
            </w:r>
            <w:r>
              <w:rPr>
                <w:szCs w:val="21"/>
                <w:vertAlign w:val="superscript"/>
              </w:rPr>
              <w:t>2</w:t>
            </w:r>
          </w:p>
        </w:tc>
        <w:tc>
          <w:tcPr>
            <w:tcW w:w="1569" w:type="dxa"/>
            <w:vAlign w:val="center"/>
          </w:tcPr>
          <w:p>
            <w:pPr>
              <w:jc w:val="center"/>
              <w:rPr>
                <w:szCs w:val="21"/>
              </w:rPr>
            </w:pPr>
            <w:r>
              <w:rPr>
                <w:szCs w:val="21"/>
              </w:rPr>
              <w:t>7964</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2.</w:t>
            </w:r>
          </w:p>
        </w:tc>
        <w:tc>
          <w:tcPr>
            <w:tcW w:w="2433" w:type="dxa"/>
            <w:vAlign w:val="center"/>
          </w:tcPr>
          <w:p>
            <w:pPr>
              <w:jc w:val="center"/>
              <w:rPr>
                <w:szCs w:val="21"/>
              </w:rPr>
            </w:pPr>
            <w:r>
              <w:rPr>
                <w:szCs w:val="21"/>
              </w:rPr>
              <w:t>河流全长</w:t>
            </w:r>
          </w:p>
        </w:tc>
        <w:tc>
          <w:tcPr>
            <w:tcW w:w="1136" w:type="dxa"/>
            <w:vAlign w:val="center"/>
          </w:tcPr>
          <w:p>
            <w:pPr>
              <w:jc w:val="center"/>
              <w:rPr>
                <w:szCs w:val="21"/>
              </w:rPr>
            </w:pPr>
            <w:r>
              <w:rPr>
                <w:szCs w:val="21"/>
              </w:rPr>
              <w:t>km</w:t>
            </w:r>
          </w:p>
        </w:tc>
        <w:tc>
          <w:tcPr>
            <w:tcW w:w="1569" w:type="dxa"/>
            <w:vAlign w:val="center"/>
          </w:tcPr>
          <w:p>
            <w:pPr>
              <w:jc w:val="center"/>
              <w:rPr>
                <w:szCs w:val="21"/>
              </w:rPr>
            </w:pPr>
            <w:r>
              <w:rPr>
                <w:szCs w:val="21"/>
              </w:rPr>
              <w:t>260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3.</w:t>
            </w:r>
          </w:p>
        </w:tc>
        <w:tc>
          <w:tcPr>
            <w:tcW w:w="2433" w:type="dxa"/>
            <w:vAlign w:val="center"/>
          </w:tcPr>
          <w:p>
            <w:pPr>
              <w:jc w:val="center"/>
              <w:rPr>
                <w:szCs w:val="21"/>
              </w:rPr>
            </w:pPr>
            <w:r>
              <w:rPr>
                <w:szCs w:val="21"/>
              </w:rPr>
              <w:t>利用的水文系列年限</w:t>
            </w:r>
          </w:p>
        </w:tc>
        <w:tc>
          <w:tcPr>
            <w:tcW w:w="1136" w:type="dxa"/>
            <w:vAlign w:val="center"/>
          </w:tcPr>
          <w:p>
            <w:pPr>
              <w:jc w:val="center"/>
              <w:rPr>
                <w:szCs w:val="21"/>
              </w:rPr>
            </w:pPr>
            <w:r>
              <w:rPr>
                <w:szCs w:val="21"/>
              </w:rPr>
              <w:t>年</w:t>
            </w:r>
          </w:p>
        </w:tc>
        <w:tc>
          <w:tcPr>
            <w:tcW w:w="1569" w:type="dxa"/>
            <w:vAlign w:val="center"/>
          </w:tcPr>
          <w:p>
            <w:pPr>
              <w:jc w:val="center"/>
              <w:rPr>
                <w:szCs w:val="21"/>
              </w:rPr>
            </w:pPr>
            <w:r>
              <w:rPr>
                <w:szCs w:val="21"/>
              </w:rPr>
              <w:t>28</w:t>
            </w:r>
          </w:p>
        </w:tc>
        <w:tc>
          <w:tcPr>
            <w:tcW w:w="2538" w:type="dxa"/>
            <w:vAlign w:val="center"/>
          </w:tcPr>
          <w:p>
            <w:pPr>
              <w:jc w:val="center"/>
              <w:rPr>
                <w:szCs w:val="21"/>
              </w:rPr>
            </w:pPr>
            <w:r>
              <w:rPr>
                <w:szCs w:val="21"/>
              </w:rPr>
              <w:t>不连续实测资料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4.</w:t>
            </w:r>
          </w:p>
        </w:tc>
        <w:tc>
          <w:tcPr>
            <w:tcW w:w="2433" w:type="dxa"/>
            <w:vAlign w:val="center"/>
          </w:tcPr>
          <w:p>
            <w:pPr>
              <w:jc w:val="center"/>
              <w:rPr>
                <w:szCs w:val="21"/>
              </w:rPr>
            </w:pPr>
            <w:r>
              <w:rPr>
                <w:szCs w:val="21"/>
              </w:rPr>
              <w:t>多年平均年径流量</w:t>
            </w:r>
          </w:p>
        </w:tc>
        <w:tc>
          <w:tcPr>
            <w:tcW w:w="1136" w:type="dxa"/>
            <w:vAlign w:val="center"/>
          </w:tcPr>
          <w:p>
            <w:pPr>
              <w:jc w:val="center"/>
              <w:rPr>
                <w:szCs w:val="21"/>
              </w:rPr>
            </w:pPr>
            <w:r>
              <w:rPr>
                <w:szCs w:val="21"/>
              </w:rPr>
              <w:t>亿m</w:t>
            </w:r>
            <w:r>
              <w:rPr>
                <w:szCs w:val="21"/>
                <w:vertAlign w:val="superscript"/>
              </w:rPr>
              <w:t>3</w:t>
            </w:r>
          </w:p>
        </w:tc>
        <w:tc>
          <w:tcPr>
            <w:tcW w:w="1569" w:type="dxa"/>
            <w:vAlign w:val="center"/>
          </w:tcPr>
          <w:p>
            <w:pPr>
              <w:jc w:val="center"/>
              <w:rPr>
                <w:szCs w:val="21"/>
              </w:rPr>
            </w:pPr>
            <w:r>
              <w:rPr>
                <w:szCs w:val="21"/>
              </w:rPr>
              <w:t>3.58</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5.</w:t>
            </w:r>
          </w:p>
        </w:tc>
        <w:tc>
          <w:tcPr>
            <w:tcW w:w="2433" w:type="dxa"/>
            <w:vAlign w:val="center"/>
          </w:tcPr>
          <w:p>
            <w:pPr>
              <w:jc w:val="center"/>
              <w:rPr>
                <w:szCs w:val="21"/>
              </w:rPr>
            </w:pPr>
            <w:r>
              <w:rPr>
                <w:szCs w:val="21"/>
              </w:rPr>
              <w:t>多年平均流量</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11.34</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二、</w:t>
            </w:r>
          </w:p>
        </w:tc>
        <w:tc>
          <w:tcPr>
            <w:tcW w:w="2433" w:type="dxa"/>
            <w:vAlign w:val="center"/>
          </w:tcPr>
          <w:p>
            <w:pPr>
              <w:jc w:val="center"/>
              <w:rPr>
                <w:szCs w:val="21"/>
              </w:rPr>
            </w:pPr>
            <w:r>
              <w:rPr>
                <w:szCs w:val="21"/>
              </w:rPr>
              <w:t>水库</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w:t>
            </w:r>
          </w:p>
        </w:tc>
        <w:tc>
          <w:tcPr>
            <w:tcW w:w="2433" w:type="dxa"/>
            <w:vAlign w:val="center"/>
          </w:tcPr>
          <w:p>
            <w:pPr>
              <w:jc w:val="center"/>
              <w:rPr>
                <w:szCs w:val="21"/>
              </w:rPr>
            </w:pPr>
            <w:r>
              <w:rPr>
                <w:szCs w:val="21"/>
              </w:rPr>
              <w:t>设计洪水P=2%</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316.61</w:t>
            </w:r>
          </w:p>
        </w:tc>
        <w:tc>
          <w:tcPr>
            <w:tcW w:w="2538" w:type="dxa"/>
            <w:vAlign w:val="center"/>
          </w:tcPr>
          <w:p>
            <w:pPr>
              <w:jc w:val="center"/>
              <w:rPr>
                <w:szCs w:val="21"/>
              </w:rPr>
            </w:pPr>
            <w:r>
              <w:rPr>
                <w:szCs w:val="21"/>
              </w:rPr>
              <w:t>洪峰流量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2.</w:t>
            </w:r>
          </w:p>
        </w:tc>
        <w:tc>
          <w:tcPr>
            <w:tcW w:w="2433" w:type="dxa"/>
            <w:vAlign w:val="center"/>
          </w:tcPr>
          <w:p>
            <w:pPr>
              <w:jc w:val="center"/>
              <w:rPr>
                <w:szCs w:val="21"/>
              </w:rPr>
            </w:pPr>
            <w:r>
              <w:rPr>
                <w:szCs w:val="21"/>
              </w:rPr>
              <w:t>校核洪水P=0.1%</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850.61</w:t>
            </w:r>
          </w:p>
        </w:tc>
        <w:tc>
          <w:tcPr>
            <w:tcW w:w="2538" w:type="dxa"/>
            <w:vAlign w:val="center"/>
          </w:tcPr>
          <w:p>
            <w:pPr>
              <w:jc w:val="center"/>
              <w:rPr>
                <w:szCs w:val="21"/>
              </w:rPr>
            </w:pPr>
            <w:r>
              <w:rPr>
                <w:szCs w:val="21"/>
              </w:rPr>
              <w:t>洪峰流量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3.</w:t>
            </w:r>
          </w:p>
        </w:tc>
        <w:tc>
          <w:tcPr>
            <w:tcW w:w="2433" w:type="dxa"/>
            <w:vAlign w:val="center"/>
          </w:tcPr>
          <w:p>
            <w:pPr>
              <w:jc w:val="center"/>
              <w:rPr>
                <w:szCs w:val="21"/>
              </w:rPr>
            </w:pPr>
            <w:r>
              <w:rPr>
                <w:szCs w:val="21"/>
              </w:rPr>
              <w:t>正常蓄水位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878.00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4.</w:t>
            </w:r>
          </w:p>
        </w:tc>
        <w:tc>
          <w:tcPr>
            <w:tcW w:w="2433" w:type="dxa"/>
            <w:vAlign w:val="center"/>
          </w:tcPr>
          <w:p>
            <w:pPr>
              <w:jc w:val="center"/>
              <w:rPr>
                <w:szCs w:val="21"/>
              </w:rPr>
            </w:pPr>
            <w:r>
              <w:rPr>
                <w:szCs w:val="21"/>
              </w:rPr>
              <w:t>死水位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850.00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5.</w:t>
            </w:r>
          </w:p>
        </w:tc>
        <w:tc>
          <w:tcPr>
            <w:tcW w:w="2433" w:type="dxa"/>
            <w:vAlign w:val="center"/>
          </w:tcPr>
          <w:p>
            <w:pPr>
              <w:jc w:val="center"/>
              <w:rPr>
                <w:szCs w:val="21"/>
              </w:rPr>
            </w:pPr>
            <w:r>
              <w:rPr>
                <w:szCs w:val="21"/>
              </w:rPr>
              <w:t>汛限水位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878.00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6.</w:t>
            </w:r>
          </w:p>
        </w:tc>
        <w:tc>
          <w:tcPr>
            <w:tcW w:w="2433" w:type="dxa"/>
            <w:vAlign w:val="center"/>
          </w:tcPr>
          <w:p>
            <w:pPr>
              <w:jc w:val="center"/>
              <w:rPr>
                <w:szCs w:val="21"/>
              </w:rPr>
            </w:pPr>
            <w:r>
              <w:rPr>
                <w:szCs w:val="21"/>
              </w:rPr>
              <w:t>防洪高水位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878.78</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7.</w:t>
            </w:r>
          </w:p>
        </w:tc>
        <w:tc>
          <w:tcPr>
            <w:tcW w:w="2433" w:type="dxa"/>
            <w:vAlign w:val="center"/>
          </w:tcPr>
          <w:p>
            <w:pPr>
              <w:jc w:val="center"/>
              <w:rPr>
                <w:szCs w:val="21"/>
              </w:rPr>
            </w:pPr>
            <w:r>
              <w:rPr>
                <w:szCs w:val="21"/>
              </w:rPr>
              <w:t>设计洪水位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879.41</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8.</w:t>
            </w:r>
          </w:p>
        </w:tc>
        <w:tc>
          <w:tcPr>
            <w:tcW w:w="2433" w:type="dxa"/>
            <w:vAlign w:val="center"/>
          </w:tcPr>
          <w:p>
            <w:pPr>
              <w:jc w:val="center"/>
              <w:rPr>
                <w:szCs w:val="21"/>
              </w:rPr>
            </w:pPr>
            <w:r>
              <w:rPr>
                <w:szCs w:val="21"/>
              </w:rPr>
              <w:t>校核洪水位</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881.77</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9.</w:t>
            </w:r>
          </w:p>
        </w:tc>
        <w:tc>
          <w:tcPr>
            <w:tcW w:w="2433" w:type="dxa"/>
            <w:vAlign w:val="center"/>
          </w:tcPr>
          <w:p>
            <w:pPr>
              <w:jc w:val="center"/>
              <w:rPr>
                <w:szCs w:val="21"/>
              </w:rPr>
            </w:pPr>
            <w:r>
              <w:rPr>
                <w:szCs w:val="21"/>
              </w:rPr>
              <w:t>总库容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6790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10.</w:t>
            </w:r>
          </w:p>
        </w:tc>
        <w:tc>
          <w:tcPr>
            <w:tcW w:w="2433" w:type="dxa"/>
            <w:vAlign w:val="center"/>
          </w:tcPr>
          <w:p>
            <w:pPr>
              <w:jc w:val="center"/>
              <w:rPr>
                <w:szCs w:val="21"/>
              </w:rPr>
            </w:pPr>
            <w:r>
              <w:rPr>
                <w:szCs w:val="21"/>
              </w:rPr>
              <w:t>正常蓄水位时库容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5925</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11.</w:t>
            </w:r>
          </w:p>
        </w:tc>
        <w:tc>
          <w:tcPr>
            <w:tcW w:w="2433" w:type="dxa"/>
            <w:vAlign w:val="center"/>
          </w:tcPr>
          <w:p>
            <w:pPr>
              <w:jc w:val="center"/>
              <w:rPr>
                <w:szCs w:val="21"/>
              </w:rPr>
            </w:pPr>
            <w:r>
              <w:rPr>
                <w:szCs w:val="21"/>
              </w:rPr>
              <w:t>防洪库容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169</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12.</w:t>
            </w:r>
          </w:p>
        </w:tc>
        <w:tc>
          <w:tcPr>
            <w:tcW w:w="2433" w:type="dxa"/>
            <w:vAlign w:val="center"/>
          </w:tcPr>
          <w:p>
            <w:pPr>
              <w:jc w:val="center"/>
              <w:rPr>
                <w:szCs w:val="21"/>
              </w:rPr>
            </w:pPr>
            <w:r>
              <w:rPr>
                <w:szCs w:val="21"/>
              </w:rPr>
              <w:t>拦洪库容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305</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13.</w:t>
            </w:r>
          </w:p>
        </w:tc>
        <w:tc>
          <w:tcPr>
            <w:tcW w:w="2433" w:type="dxa"/>
            <w:vAlign w:val="center"/>
          </w:tcPr>
          <w:p>
            <w:pPr>
              <w:jc w:val="center"/>
              <w:rPr>
                <w:szCs w:val="21"/>
              </w:rPr>
            </w:pPr>
            <w:r>
              <w:rPr>
                <w:szCs w:val="21"/>
              </w:rPr>
              <w:t>调洪库容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865</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15.</w:t>
            </w:r>
          </w:p>
        </w:tc>
        <w:tc>
          <w:tcPr>
            <w:tcW w:w="2433" w:type="dxa"/>
            <w:vAlign w:val="center"/>
          </w:tcPr>
          <w:p>
            <w:pPr>
              <w:jc w:val="center"/>
              <w:rPr>
                <w:szCs w:val="21"/>
              </w:rPr>
            </w:pPr>
            <w:r>
              <w:rPr>
                <w:szCs w:val="21"/>
              </w:rPr>
              <w:t>死库容</w:t>
            </w:r>
          </w:p>
        </w:tc>
        <w:tc>
          <w:tcPr>
            <w:tcW w:w="1136" w:type="dxa"/>
            <w:vAlign w:val="center"/>
          </w:tcPr>
          <w:p>
            <w:pPr>
              <w:jc w:val="center"/>
              <w:rPr>
                <w:szCs w:val="21"/>
              </w:rPr>
            </w:pPr>
            <w:r>
              <w:rPr>
                <w:szCs w:val="21"/>
              </w:rPr>
              <w:t>万m</w:t>
            </w:r>
            <w:r>
              <w:rPr>
                <w:szCs w:val="21"/>
                <w:vertAlign w:val="superscript"/>
              </w:rPr>
              <w:t>3</w:t>
            </w:r>
          </w:p>
        </w:tc>
        <w:tc>
          <w:tcPr>
            <w:tcW w:w="1569" w:type="dxa"/>
            <w:vAlign w:val="center"/>
          </w:tcPr>
          <w:p>
            <w:pPr>
              <w:jc w:val="center"/>
              <w:rPr>
                <w:szCs w:val="21"/>
              </w:rPr>
            </w:pPr>
            <w:r>
              <w:rPr>
                <w:szCs w:val="21"/>
              </w:rPr>
              <w:t>1440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三、</w:t>
            </w:r>
          </w:p>
        </w:tc>
        <w:tc>
          <w:tcPr>
            <w:tcW w:w="2433" w:type="dxa"/>
            <w:vAlign w:val="center"/>
          </w:tcPr>
          <w:p>
            <w:pPr>
              <w:jc w:val="center"/>
              <w:rPr>
                <w:szCs w:val="21"/>
              </w:rPr>
            </w:pPr>
            <w:r>
              <w:rPr>
                <w:szCs w:val="21"/>
              </w:rPr>
              <w:t>主要建筑物及设备</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1.</w:t>
            </w:r>
          </w:p>
        </w:tc>
        <w:tc>
          <w:tcPr>
            <w:tcW w:w="2433" w:type="dxa"/>
            <w:vAlign w:val="center"/>
          </w:tcPr>
          <w:p>
            <w:pPr>
              <w:jc w:val="center"/>
              <w:rPr>
                <w:szCs w:val="21"/>
              </w:rPr>
            </w:pPr>
            <w:r>
              <w:rPr>
                <w:szCs w:val="21"/>
              </w:rPr>
              <w:t>挡水建筑物</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坝顶高程</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883.00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防浪墙顶高程</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884.20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最大坝高</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73</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坝顶宽</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10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坝顶长度</w:t>
            </w:r>
          </w:p>
        </w:tc>
        <w:tc>
          <w:tcPr>
            <w:tcW w:w="1136" w:type="dxa"/>
            <w:vAlign w:val="center"/>
          </w:tcPr>
          <w:p>
            <w:pPr>
              <w:jc w:val="center"/>
              <w:rPr>
                <w:szCs w:val="21"/>
              </w:rPr>
            </w:pPr>
            <w:r>
              <w:rPr>
                <w:szCs w:val="21"/>
              </w:rPr>
              <w:t>km</w:t>
            </w:r>
          </w:p>
        </w:tc>
        <w:tc>
          <w:tcPr>
            <w:tcW w:w="1569" w:type="dxa"/>
            <w:vAlign w:val="center"/>
          </w:tcPr>
          <w:p>
            <w:pPr>
              <w:jc w:val="center"/>
              <w:rPr>
                <w:szCs w:val="21"/>
              </w:rPr>
            </w:pPr>
            <w:r>
              <w:rPr>
                <w:szCs w:val="21"/>
              </w:rPr>
              <w:t>485</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2.</w:t>
            </w:r>
          </w:p>
        </w:tc>
        <w:tc>
          <w:tcPr>
            <w:tcW w:w="2433" w:type="dxa"/>
            <w:vAlign w:val="center"/>
          </w:tcPr>
          <w:p>
            <w:pPr>
              <w:jc w:val="center"/>
              <w:rPr>
                <w:szCs w:val="21"/>
              </w:rPr>
            </w:pPr>
            <w:r>
              <w:rPr>
                <w:szCs w:val="21"/>
              </w:rPr>
              <w:t>引水建筑物</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设计引水流量</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3.5</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p>
        </w:tc>
        <w:tc>
          <w:tcPr>
            <w:tcW w:w="2433" w:type="dxa"/>
            <w:vAlign w:val="center"/>
          </w:tcPr>
          <w:p>
            <w:pPr>
              <w:jc w:val="center"/>
              <w:rPr>
                <w:szCs w:val="21"/>
              </w:rPr>
            </w:pPr>
            <w:r>
              <w:rPr>
                <w:szCs w:val="21"/>
              </w:rPr>
              <w:t>隧道断面尺寸（b×h）</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1.5×2.0</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Align w:val="center"/>
          </w:tcPr>
          <w:p>
            <w:pPr>
              <w:jc w:val="center"/>
              <w:rPr>
                <w:szCs w:val="21"/>
              </w:rPr>
            </w:pPr>
            <w:r>
              <w:rPr>
                <w:szCs w:val="21"/>
              </w:rPr>
              <w:t>3.</w:t>
            </w:r>
          </w:p>
        </w:tc>
        <w:tc>
          <w:tcPr>
            <w:tcW w:w="2433" w:type="dxa"/>
            <w:vAlign w:val="center"/>
          </w:tcPr>
          <w:p>
            <w:pPr>
              <w:jc w:val="center"/>
              <w:rPr>
                <w:szCs w:val="21"/>
              </w:rPr>
            </w:pPr>
            <w:r>
              <w:rPr>
                <w:szCs w:val="21"/>
              </w:rPr>
              <w:t>泄水建筑物</w:t>
            </w:r>
          </w:p>
        </w:tc>
        <w:tc>
          <w:tcPr>
            <w:tcW w:w="1136" w:type="dxa"/>
            <w:vAlign w:val="center"/>
          </w:tcPr>
          <w:p>
            <w:pPr>
              <w:jc w:val="center"/>
              <w:rPr>
                <w:szCs w:val="21"/>
              </w:rPr>
            </w:pPr>
          </w:p>
        </w:tc>
        <w:tc>
          <w:tcPr>
            <w:tcW w:w="1569" w:type="dxa"/>
            <w:vAlign w:val="center"/>
          </w:tcPr>
          <w:p>
            <w:pPr>
              <w:jc w:val="center"/>
              <w:rPr>
                <w:szCs w:val="21"/>
              </w:rPr>
            </w:pP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restart"/>
            <w:vAlign w:val="center"/>
          </w:tcPr>
          <w:p>
            <w:pPr>
              <w:jc w:val="center"/>
              <w:rPr>
                <w:szCs w:val="21"/>
              </w:rPr>
            </w:pPr>
            <w:r>
              <w:rPr>
                <w:szCs w:val="21"/>
              </w:rPr>
              <w:t>泄洪</w:t>
            </w:r>
          </w:p>
          <w:p>
            <w:pPr>
              <w:jc w:val="center"/>
              <w:rPr>
                <w:szCs w:val="21"/>
              </w:rPr>
            </w:pPr>
            <w:r>
              <w:rPr>
                <w:szCs w:val="21"/>
              </w:rPr>
              <w:t>冲洞</w:t>
            </w:r>
          </w:p>
        </w:tc>
        <w:tc>
          <w:tcPr>
            <w:tcW w:w="2433" w:type="dxa"/>
            <w:vAlign w:val="center"/>
          </w:tcPr>
          <w:p>
            <w:pPr>
              <w:jc w:val="center"/>
              <w:rPr>
                <w:szCs w:val="21"/>
              </w:rPr>
            </w:pPr>
            <w:r>
              <w:rPr>
                <w:szCs w:val="21"/>
              </w:rPr>
              <w:t>导流设计下泄量</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187.02</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隧道断面尺寸（b×h）</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5.0×6.2</w:t>
            </w:r>
          </w:p>
        </w:tc>
        <w:tc>
          <w:tcPr>
            <w:tcW w:w="2538" w:type="dxa"/>
            <w:vAlign w:val="center"/>
          </w:tcPr>
          <w:p>
            <w:pPr>
              <w:jc w:val="center"/>
              <w:rPr>
                <w:szCs w:val="21"/>
              </w:rPr>
            </w:pPr>
            <w:r>
              <w:rPr>
                <w:szCs w:val="21"/>
              </w:rPr>
              <w:t>明流隧洞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全长/隧洞长度</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1005.195/603</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restart"/>
            <w:vAlign w:val="center"/>
          </w:tcPr>
          <w:p>
            <w:pPr>
              <w:jc w:val="center"/>
              <w:rPr>
                <w:szCs w:val="21"/>
              </w:rPr>
            </w:pPr>
            <w:r>
              <w:rPr>
                <w:szCs w:val="21"/>
              </w:rPr>
              <w:t>泄</w:t>
            </w:r>
          </w:p>
          <w:p>
            <w:pPr>
              <w:jc w:val="center"/>
              <w:rPr>
                <w:szCs w:val="21"/>
              </w:rPr>
            </w:pPr>
            <w:r>
              <w:rPr>
                <w:szCs w:val="21"/>
              </w:rPr>
              <w:t>洪</w:t>
            </w:r>
          </w:p>
          <w:p>
            <w:pPr>
              <w:jc w:val="center"/>
              <w:rPr>
                <w:szCs w:val="21"/>
              </w:rPr>
            </w:pPr>
            <w:r>
              <w:rPr>
                <w:szCs w:val="21"/>
              </w:rPr>
              <w:t>洞</w:t>
            </w:r>
          </w:p>
        </w:tc>
        <w:tc>
          <w:tcPr>
            <w:tcW w:w="2433" w:type="dxa"/>
            <w:vAlign w:val="center"/>
          </w:tcPr>
          <w:p>
            <w:pPr>
              <w:jc w:val="center"/>
              <w:rPr>
                <w:szCs w:val="21"/>
              </w:rPr>
            </w:pPr>
            <w:r>
              <w:rPr>
                <w:szCs w:val="21"/>
              </w:rPr>
              <w:t>堰顶高程/孔数</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872.00/1孔</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溢洪洞尺寸（b×h）</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5.5×6.2</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全长/洞长</w:t>
            </w:r>
          </w:p>
        </w:tc>
        <w:tc>
          <w:tcPr>
            <w:tcW w:w="1136" w:type="dxa"/>
            <w:vAlign w:val="center"/>
          </w:tcPr>
          <w:p>
            <w:pPr>
              <w:jc w:val="center"/>
              <w:rPr>
                <w:szCs w:val="21"/>
              </w:rPr>
            </w:pPr>
            <w:r>
              <w:rPr>
                <w:szCs w:val="21"/>
              </w:rPr>
              <w:t>m</w:t>
            </w:r>
          </w:p>
        </w:tc>
        <w:tc>
          <w:tcPr>
            <w:tcW w:w="1569" w:type="dxa"/>
            <w:vAlign w:val="center"/>
          </w:tcPr>
          <w:p>
            <w:pPr>
              <w:jc w:val="center"/>
              <w:rPr>
                <w:szCs w:val="21"/>
              </w:rPr>
            </w:pPr>
            <w:r>
              <w:rPr>
                <w:szCs w:val="21"/>
              </w:rPr>
              <w:t>1005.195/1孔</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设计泄洪流量</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281.91</w:t>
            </w:r>
          </w:p>
        </w:tc>
        <w:tc>
          <w:tcPr>
            <w:tcW w:w="2538" w:type="dxa"/>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8" w:type="dxa"/>
            <w:vMerge w:val="continue"/>
            <w:vAlign w:val="center"/>
          </w:tcPr>
          <w:p>
            <w:pPr>
              <w:jc w:val="center"/>
              <w:rPr>
                <w:szCs w:val="21"/>
              </w:rPr>
            </w:pPr>
          </w:p>
        </w:tc>
        <w:tc>
          <w:tcPr>
            <w:tcW w:w="2433" w:type="dxa"/>
            <w:vAlign w:val="center"/>
          </w:tcPr>
          <w:p>
            <w:pPr>
              <w:jc w:val="center"/>
              <w:rPr>
                <w:szCs w:val="21"/>
              </w:rPr>
            </w:pPr>
            <w:r>
              <w:rPr>
                <w:szCs w:val="21"/>
              </w:rPr>
              <w:t>校核泄洪流量</w:t>
            </w:r>
          </w:p>
        </w:tc>
        <w:tc>
          <w:tcPr>
            <w:tcW w:w="1136" w:type="dxa"/>
            <w:vAlign w:val="center"/>
          </w:tcPr>
          <w:p>
            <w:pPr>
              <w:jc w:val="center"/>
              <w:rPr>
                <w:szCs w:val="21"/>
              </w:rPr>
            </w:pPr>
            <w:r>
              <w:rPr>
                <w:szCs w:val="21"/>
              </w:rPr>
              <w:t>m</w:t>
            </w:r>
            <w:r>
              <w:rPr>
                <w:szCs w:val="21"/>
                <w:vertAlign w:val="superscript"/>
              </w:rPr>
              <w:t>3</w:t>
            </w:r>
            <w:r>
              <w:rPr>
                <w:szCs w:val="21"/>
              </w:rPr>
              <w:t>/s</w:t>
            </w:r>
          </w:p>
        </w:tc>
        <w:tc>
          <w:tcPr>
            <w:tcW w:w="1569" w:type="dxa"/>
            <w:vAlign w:val="center"/>
          </w:tcPr>
          <w:p>
            <w:pPr>
              <w:jc w:val="center"/>
              <w:rPr>
                <w:szCs w:val="21"/>
              </w:rPr>
            </w:pPr>
            <w:r>
              <w:rPr>
                <w:szCs w:val="21"/>
              </w:rPr>
              <w:t>426.34</w:t>
            </w:r>
          </w:p>
        </w:tc>
        <w:tc>
          <w:tcPr>
            <w:tcW w:w="2538" w:type="dxa"/>
            <w:vAlign w:val="center"/>
          </w:tcPr>
          <w:p>
            <w:pPr>
              <w:jc w:val="center"/>
              <w:rPr>
                <w:szCs w:val="21"/>
              </w:rPr>
            </w:pPr>
          </w:p>
        </w:tc>
      </w:tr>
    </w:tbl>
    <w:p>
      <w:pPr>
        <w:spacing w:line="460" w:lineRule="exact"/>
        <w:ind w:firstLine="480" w:firstLineChars="200"/>
        <w:rPr>
          <w:sz w:val="24"/>
          <w:lang w:bidi="en-US"/>
        </w:rPr>
      </w:pPr>
    </w:p>
    <w:p>
      <w:pPr>
        <w:spacing w:line="460" w:lineRule="exact"/>
        <w:ind w:firstLine="480" w:firstLineChars="200"/>
        <w:rPr>
          <w:sz w:val="24"/>
          <w:lang w:bidi="en-US"/>
        </w:rPr>
      </w:pPr>
      <w:r>
        <w:rPr>
          <w:sz w:val="24"/>
          <w:lang w:bidi="en-US"/>
        </w:rPr>
        <w:t>2</w:t>
      </w:r>
      <w:r>
        <w:rPr>
          <w:rFonts w:hint="eastAsia"/>
          <w:sz w:val="24"/>
          <w:lang w:bidi="en-US"/>
        </w:rPr>
        <w:t>、地下水</w:t>
      </w:r>
    </w:p>
    <w:p>
      <w:pPr>
        <w:spacing w:line="460" w:lineRule="exact"/>
        <w:ind w:firstLine="480" w:firstLineChars="200"/>
        <w:rPr>
          <w:sz w:val="24"/>
          <w:szCs w:val="36"/>
        </w:rPr>
      </w:pPr>
      <w:r>
        <w:rPr>
          <w:rFonts w:hint="eastAsia"/>
          <w:sz w:val="24"/>
          <w:szCs w:val="36"/>
        </w:rPr>
        <w:t>昌吉市区域大厚度的第四纪堆积物，为地下水的贮存、运移提供了良好的空间，其中埋藏着丰富的孔隙潜水和承压水，其地下水的形成及埋藏分布规律，受控于该区地质构造，第四纪地层、地貌、岩性及气象水文条件。昌吉市座落于三屯河冲洪积扇中下部，为多层结构的混合水含水层。</w:t>
      </w:r>
    </w:p>
    <w:p>
      <w:pPr>
        <w:spacing w:line="460" w:lineRule="exact"/>
        <w:ind w:firstLine="480" w:firstLineChars="200"/>
        <w:rPr>
          <w:sz w:val="24"/>
          <w:szCs w:val="36"/>
        </w:rPr>
      </w:pPr>
      <w:r>
        <w:rPr>
          <w:rFonts w:hint="eastAsia"/>
          <w:sz w:val="24"/>
          <w:szCs w:val="36"/>
        </w:rPr>
        <w:t>三屯河冲洪积扇区顶到扇缘水文地质分带规律很明显，地下水的埋藏及含水层分布有名下的纵向递变规律，山前隐伏断裂构造控制和影响着出山口后地下水的埋藏深度。地下潜水的埋深自扇顶向扇缘方向逐渐变浅；含水层也由单一结构的大厚度结构松散的卵砾石、砂卵砾石潜水含水层过度为多层结构中厚度结构较致密、含不连续亚砂土、亚粘土隔水地层的混合含水层；到冲洪积扇中下部，含水层厚度向扇缘方向继续变薄，隔水层增多，且结构致密、岩层连续，该处含水层以承压含水层为主。</w:t>
      </w:r>
    </w:p>
    <w:p>
      <w:pPr>
        <w:spacing w:line="460" w:lineRule="exact"/>
        <w:ind w:firstLine="480" w:firstLineChars="200"/>
        <w:rPr>
          <w:sz w:val="24"/>
          <w:szCs w:val="36"/>
        </w:rPr>
      </w:pPr>
      <w:r>
        <w:rPr>
          <w:rFonts w:hint="eastAsia"/>
          <w:sz w:val="24"/>
          <w:szCs w:val="36"/>
        </w:rPr>
        <w:t>昌吉市南部地下水埋深在26.4～27.8m之间；中部地下水埋深在33.2～35.5m之间。钻孔揭露底层深度150m以内含水层厚度为72m左右，含水层岩性以砂砾石为主，多层结构；北部地下水埋深在26.1～31.6m之间，钻孔揭露底层深度200m以内含水层厚度为52m左右，含水层岩性以砾石、砂砾石为主，多层结构；东部地下水埋深在33.8～36.3m之间；钻孔揭露地层深度200m以内含水层厚度为41～120m不等，含水层岩性以砾石。砂卵砾石维护组，多层结构；西部地下水埋深在23.4～28.0m之间，地层深度100m以内钻孔揭露含水层厚度为55m左右，含水层岩性以粉细砂为主，多层结构。</w:t>
      </w:r>
    </w:p>
    <w:p>
      <w:pPr>
        <w:spacing w:line="460" w:lineRule="exact"/>
        <w:ind w:firstLine="480" w:firstLineChars="200"/>
        <w:rPr>
          <w:sz w:val="24"/>
          <w:szCs w:val="36"/>
        </w:rPr>
      </w:pPr>
      <w:r>
        <w:rPr>
          <w:rFonts w:hint="eastAsia"/>
          <w:sz w:val="24"/>
          <w:szCs w:val="36"/>
        </w:rPr>
        <w:t>总体来看，区域地下水埋深在23～36m之间，西南部埋深较小，东北部埋深较大，中部埋深也较大，地层深度200m以内含水层厚度大于40m，小于120m，含水层岩性以砂砾石为主，多层结构，富含潜水及承压水，属混合型含水层组。</w:t>
      </w:r>
    </w:p>
    <w:p>
      <w:pPr>
        <w:spacing w:line="460" w:lineRule="exact"/>
        <w:ind w:firstLine="480" w:firstLineChars="200"/>
        <w:rPr>
          <w:sz w:val="32"/>
          <w:szCs w:val="32"/>
          <w:lang w:bidi="en-US"/>
        </w:rPr>
      </w:pPr>
      <w:r>
        <w:rPr>
          <w:sz w:val="24"/>
          <w:szCs w:val="36"/>
        </w:rPr>
        <w:t>产业园位于三屯河流域形成的冲洪积平原下游的细土平原区，区内各大大小小农场近几年不断发展扩大，共有单位农场127家，作物灌溉全部依靠开采地下水，现共有机井457眼，其中老龙河区各农场有机井272眼，牛圈子湖区各农场有机井185眼。老龙河区井深一般在250—300m，部份井位井深达400—500m左右；牛圈子湖区区井深一般在150—180m左右。园区机井开采层位主要为埋深&gt;100m的潜水含水层、承压含水层和埋深&gt;100m的深层承压含水层。 地下水开采主要集中于4-10月，其他月份仅开采少量的地下水用于人畜饮水和工副业用水。经测算项目区地下水现状开采量为4151.7万m</w:t>
      </w:r>
      <w:r>
        <w:rPr>
          <w:sz w:val="24"/>
          <w:szCs w:val="36"/>
          <w:vertAlign w:val="superscript"/>
        </w:rPr>
        <w:t>3</w:t>
      </w:r>
      <w:r>
        <w:rPr>
          <w:sz w:val="24"/>
          <w:szCs w:val="36"/>
        </w:rPr>
        <w:t>，而该区地下水补给量仅为1242万m</w:t>
      </w:r>
      <w:r>
        <w:rPr>
          <w:sz w:val="24"/>
          <w:szCs w:val="36"/>
          <w:vertAlign w:val="superscript"/>
        </w:rPr>
        <w:t>3</w:t>
      </w:r>
      <w:r>
        <w:rPr>
          <w:sz w:val="24"/>
          <w:szCs w:val="36"/>
        </w:rPr>
        <w:t>，可开采量为916万m</w:t>
      </w:r>
      <w:r>
        <w:rPr>
          <w:sz w:val="24"/>
          <w:szCs w:val="36"/>
          <w:vertAlign w:val="superscript"/>
        </w:rPr>
        <w:t>3</w:t>
      </w:r>
      <w:r>
        <w:rPr>
          <w:sz w:val="24"/>
          <w:szCs w:val="36"/>
        </w:rPr>
        <w:t>，实际开采量远远大于补给量，地下水处于严重超采状态。</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w:t>
      </w:r>
      <w:r>
        <w:rPr>
          <w:rFonts w:ascii="Times New Roman"/>
          <w:spacing w:val="12"/>
          <w:w w:val="95"/>
          <w:kern w:val="0"/>
          <w:szCs w:val="26"/>
        </w:rPr>
        <w:t>.1.5</w:t>
      </w:r>
      <w:r>
        <w:rPr>
          <w:rFonts w:hint="eastAsia" w:ascii="Times New Roman"/>
          <w:spacing w:val="12"/>
          <w:w w:val="95"/>
          <w:kern w:val="0"/>
          <w:szCs w:val="26"/>
        </w:rPr>
        <w:t>地质条件</w:t>
      </w:r>
    </w:p>
    <w:p>
      <w:pPr>
        <w:spacing w:line="460" w:lineRule="exact"/>
        <w:ind w:firstLine="480" w:firstLineChars="200"/>
        <w:rPr>
          <w:sz w:val="24"/>
          <w:lang w:bidi="en-US"/>
        </w:rPr>
      </w:pPr>
      <w:r>
        <w:rPr>
          <w:rFonts w:hint="eastAsia"/>
          <w:sz w:val="24"/>
          <w:lang w:bidi="en-US"/>
        </w:rPr>
        <w:t>产业园从流域在地质构造上分，南部山地为古生代地槽褶皱构造带，北部沙漠地带为中、新生代隆起褶皱带，中部人类生产、生活中心的平原地带属天山褶皱带的乌鲁木齐山前坳陷区。三个构造带之间以断裂构造形成界线。</w:t>
      </w:r>
    </w:p>
    <w:p>
      <w:pPr>
        <w:spacing w:line="460" w:lineRule="exact"/>
        <w:ind w:firstLine="480" w:firstLineChars="200"/>
        <w:rPr>
          <w:sz w:val="24"/>
          <w:lang w:bidi="en-US"/>
        </w:rPr>
      </w:pPr>
      <w:r>
        <w:rPr>
          <w:rFonts w:hint="eastAsia"/>
          <w:sz w:val="24"/>
          <w:lang w:bidi="en-US"/>
        </w:rPr>
        <w:t>南部天山褶皱带为华力西运动形成，呈东西向展布，镶嵌于准噶尔盆地与吐鲁番盆地、塔里木盆地之间，其中有北西、北东向的两组共轭新断裂组成多组“х”型大小不同的构造体系，北西向断裂具有右旋压扭性质，北东向断裂具有左旋压扭性质，表现在外部形态上即山脉多具弧形构造的特征；山前的深断裂控制了山脉的延伸方向和基本轮廓，此带自古生代以来，主要以断裂 活动为主，塑性变形居次。</w:t>
      </w:r>
    </w:p>
    <w:p>
      <w:pPr>
        <w:spacing w:line="460" w:lineRule="exact"/>
        <w:ind w:firstLine="480" w:firstLineChars="200"/>
        <w:rPr>
          <w:sz w:val="24"/>
          <w:lang w:bidi="en-US"/>
        </w:rPr>
      </w:pPr>
      <w:r>
        <w:rPr>
          <w:rFonts w:hint="eastAsia"/>
          <w:sz w:val="24"/>
          <w:lang w:bidi="en-US"/>
        </w:rPr>
        <w:t>乌鲁木齐山前坳陷带，相对于南部山区的地壳隆起上升运动而属下降沉积台地，其间沉积物为晚第三纪及第四纪的碎屑沉积物，其中以第四纪碎屑沉积物居多，基底主要构造运动发生于燕山期。该地带以沉积作用为主，因而基岩埋藏较深；更新世以前及中晚期的造山运动，使山前坳陷带的中、新生界地层发生褶皱，形成轴向与天山平行的一系列背斜和向斜构造，由于风蚀夷平作用，使它们的地貌在地表反映并不明显。据物探资料反映，山前坳陷带内沉积的第四纪松散堆积物厚度达600~1300m，沉陷中心在近山前的阿维滩一带，由南向北沉积厚度逐渐变薄，沉积颗粒由粗变细，地层层次由少变多。巨厚的第四纪地层为地下水的赋存提供了良好的条件。</w:t>
      </w:r>
    </w:p>
    <w:p>
      <w:pPr>
        <w:spacing w:line="460" w:lineRule="exact"/>
        <w:ind w:firstLine="480" w:firstLineChars="200"/>
        <w:rPr>
          <w:sz w:val="24"/>
          <w:lang w:bidi="en-US"/>
        </w:rPr>
      </w:pPr>
      <w:r>
        <w:rPr>
          <w:rFonts w:hint="eastAsia"/>
          <w:sz w:val="24"/>
          <w:lang w:bidi="en-US"/>
        </w:rPr>
        <w:t>北部沙漠区处于准噶尔地块上，准噶尔地块在古生代的基底上沉积了巨厚的中生代和新生代沉积物，基底由西北向东南倾斜，局部有微弱隆起。</w:t>
      </w:r>
    </w:p>
    <w:p>
      <w:pPr>
        <w:spacing w:line="460" w:lineRule="exact"/>
        <w:ind w:firstLine="480" w:firstLineChars="200"/>
        <w:rPr>
          <w:sz w:val="24"/>
          <w:lang w:bidi="en-US"/>
        </w:rPr>
      </w:pPr>
      <w:r>
        <w:rPr>
          <w:rFonts w:hint="eastAsia"/>
          <w:sz w:val="24"/>
          <w:lang w:bidi="en-US"/>
        </w:rPr>
        <w:t>本产业园从区域地质构造上属于乌鲁木齐山前坳陷带。</w:t>
      </w:r>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82" w:name="_Toc17443"/>
      <w:bookmarkStart w:id="183" w:name="_Toc454899361"/>
      <w:r>
        <w:rPr>
          <w:rFonts w:hint="eastAsia" w:ascii="Times New Roman"/>
          <w:spacing w:val="12"/>
          <w:w w:val="95"/>
          <w:kern w:val="0"/>
          <w:szCs w:val="26"/>
        </w:rPr>
        <w:t>5</w:t>
      </w:r>
      <w:r>
        <w:rPr>
          <w:rFonts w:ascii="Times New Roman"/>
          <w:spacing w:val="12"/>
          <w:w w:val="95"/>
          <w:kern w:val="0"/>
          <w:szCs w:val="26"/>
        </w:rPr>
        <w:t>.1.</w:t>
      </w:r>
      <w:bookmarkEnd w:id="182"/>
      <w:r>
        <w:rPr>
          <w:rFonts w:ascii="Times New Roman"/>
          <w:spacing w:val="12"/>
          <w:w w:val="95"/>
          <w:kern w:val="0"/>
          <w:szCs w:val="26"/>
        </w:rPr>
        <w:t>6</w:t>
      </w:r>
      <w:r>
        <w:rPr>
          <w:rFonts w:hint="eastAsia" w:ascii="Times New Roman"/>
          <w:spacing w:val="12"/>
          <w:w w:val="95"/>
          <w:kern w:val="0"/>
          <w:szCs w:val="26"/>
        </w:rPr>
        <w:t>自然资源</w:t>
      </w:r>
    </w:p>
    <w:p>
      <w:pPr>
        <w:spacing w:line="460" w:lineRule="exact"/>
        <w:ind w:firstLine="480" w:firstLineChars="200"/>
        <w:rPr>
          <w:sz w:val="24"/>
        </w:rPr>
      </w:pPr>
      <w:r>
        <w:rPr>
          <w:rFonts w:hint="eastAsia"/>
          <w:sz w:val="24"/>
        </w:rPr>
        <w:t>1、野生动植物资源</w:t>
      </w:r>
    </w:p>
    <w:p>
      <w:pPr>
        <w:spacing w:line="460" w:lineRule="exact"/>
        <w:ind w:firstLine="480" w:firstLineChars="200"/>
        <w:rPr>
          <w:sz w:val="24"/>
        </w:rPr>
      </w:pPr>
      <w:r>
        <w:rPr>
          <w:rFonts w:hint="eastAsia"/>
          <w:sz w:val="24"/>
        </w:rPr>
        <w:t>昌吉市境内野生动植物资源种类众多。野生动植物资源中列入国家重点保护的野生动物有：雪豹、棕熊、羚羊、野马、野驴、马鹿等；野生动植物资源包括木本植物雪岭云杉、落叶松、山杨、桦树、忍冬、白腊、红柳、沙枣、青树、梭梭等多种林木，草本植物苔草、珠芽蓼、鹅冠草、野苜蓿、雀麦、羊芽、骆驼刺等，还有雪莲、贝母、甘草等药。</w:t>
      </w:r>
    </w:p>
    <w:p>
      <w:pPr>
        <w:spacing w:line="460" w:lineRule="exact"/>
        <w:ind w:firstLine="480" w:firstLineChars="200"/>
        <w:rPr>
          <w:sz w:val="24"/>
        </w:rPr>
      </w:pPr>
      <w:r>
        <w:rPr>
          <w:rFonts w:hint="eastAsia"/>
          <w:sz w:val="24"/>
        </w:rPr>
        <w:t>本项目所在地由于受到人为活动影响，无大型野生动物出没，常见的动物主要以小家鼠、田鼠、沙鼠等啮齿类动物和麻雀等鸟类为主。</w:t>
      </w:r>
    </w:p>
    <w:p>
      <w:pPr>
        <w:spacing w:line="460" w:lineRule="exact"/>
        <w:ind w:firstLine="480" w:firstLineChars="200"/>
        <w:rPr>
          <w:sz w:val="24"/>
        </w:rPr>
      </w:pPr>
      <w:r>
        <w:rPr>
          <w:rFonts w:hint="eastAsia"/>
          <w:sz w:val="24"/>
        </w:rPr>
        <w:t>2、矿产资源</w:t>
      </w:r>
    </w:p>
    <w:p>
      <w:pPr>
        <w:spacing w:line="460" w:lineRule="exact"/>
        <w:ind w:firstLine="480" w:firstLineChars="200"/>
        <w:rPr>
          <w:sz w:val="24"/>
        </w:rPr>
      </w:pPr>
      <w:r>
        <w:rPr>
          <w:rFonts w:hint="eastAsia"/>
          <w:sz w:val="24"/>
        </w:rPr>
        <w:t>昌吉市境内矿产资源丰富，主要分布在硫磺沟-庙尔沟-阿什里一带，主要品种有煤、铁、石灰石、天然气、白矾、硫磺、砂金、菱铁矿等，其中煤炭资源最为丰富，质优量大，地质蕴藏量50亿吨，年开采量150万吨。石灰石约2480万吨；天然气探明面积达60km2；芒硝在北部沙漠地表一带也随处可见。</w:t>
      </w:r>
    </w:p>
    <w:p>
      <w:pPr>
        <w:spacing w:line="460" w:lineRule="exact"/>
        <w:ind w:firstLine="480" w:firstLineChars="200"/>
        <w:rPr>
          <w:sz w:val="24"/>
        </w:rPr>
      </w:pPr>
      <w:r>
        <w:rPr>
          <w:rFonts w:hint="eastAsia"/>
          <w:sz w:val="24"/>
        </w:rPr>
        <w:t>3、土壤植被</w:t>
      </w:r>
    </w:p>
    <w:p>
      <w:pPr>
        <w:spacing w:line="460" w:lineRule="exact"/>
        <w:ind w:firstLine="480" w:firstLineChars="200"/>
        <w:rPr>
          <w:sz w:val="24"/>
          <w:szCs w:val="32"/>
        </w:rPr>
      </w:pPr>
      <w:r>
        <w:rPr>
          <w:rFonts w:hint="eastAsia"/>
          <w:sz w:val="24"/>
          <w:szCs w:val="32"/>
        </w:rPr>
        <w:t>昌吉市地域广大，自然条件复杂，当地土壤受土壤因素、地形地貌因素、降水因素和高山融雪径流以及人为活动的综合影响，土壤侵蚀具有明显的区域分布规律。</w:t>
      </w:r>
    </w:p>
    <w:p>
      <w:pPr>
        <w:spacing w:line="460" w:lineRule="exact"/>
        <w:ind w:firstLine="480" w:firstLineChars="200"/>
        <w:rPr>
          <w:sz w:val="24"/>
          <w:szCs w:val="32"/>
        </w:rPr>
      </w:pPr>
      <w:r>
        <w:rPr>
          <w:rFonts w:hint="eastAsia"/>
          <w:sz w:val="24"/>
          <w:szCs w:val="32"/>
        </w:rPr>
        <w:t>（1）南部中、高山冻融侵蚀区：主要是中度冻融侵蚀河轻度重力侵蚀。高山区位于寒风化带，海拔3000m以上，相对高差可达500-800m，雪线以上的高山为现代冰川作用和永久积雪所覆盖，植被为高山草甸带，覆盖度在80%以上。中低山区，海拔1500-2800m之间阴坡和半阴坡，天然林大多分布于此，其垂直宽度1300m左右，自然林以云杉为主，也有少量的桦树、山杨。森林的植被覆盖率约为17%。</w:t>
      </w:r>
    </w:p>
    <w:p>
      <w:pPr>
        <w:spacing w:line="460" w:lineRule="exact"/>
        <w:ind w:firstLine="480" w:firstLineChars="200"/>
        <w:rPr>
          <w:sz w:val="24"/>
          <w:szCs w:val="32"/>
        </w:rPr>
      </w:pPr>
      <w:r>
        <w:rPr>
          <w:rFonts w:hint="eastAsia"/>
          <w:sz w:val="24"/>
          <w:szCs w:val="32"/>
        </w:rPr>
        <w:t>（2）南部前山丘陵强度水蚀中度重力侵蚀区：海拔800-1700m的低山丘陵带，为前山、低山干草原和半荒漠地带，植被稀疏，南北坡降较大，低山沟谷多为风化岩石，表层黄土覆盖，植被较差，保水能力低，在春夏季节经常发生阵发性降水，时间短，汇流快，泥沙随雨水汇流而下，是河流泥沙的主要来源地区。水蚀主要为降雨侵蚀，侵蚀模数5000-8000t/km</w:t>
      </w:r>
      <w:r>
        <w:rPr>
          <w:rFonts w:hint="eastAsia"/>
          <w:sz w:val="24"/>
          <w:szCs w:val="32"/>
          <w:vertAlign w:val="superscript"/>
        </w:rPr>
        <w:t>2</w:t>
      </w:r>
      <w:r>
        <w:rPr>
          <w:rFonts w:hint="eastAsia"/>
          <w:sz w:val="24"/>
          <w:szCs w:val="32"/>
        </w:rPr>
        <w:t>·a。</w:t>
      </w:r>
    </w:p>
    <w:p>
      <w:pPr>
        <w:spacing w:line="460" w:lineRule="exact"/>
        <w:ind w:firstLine="480" w:firstLineChars="200"/>
        <w:rPr>
          <w:sz w:val="24"/>
          <w:szCs w:val="32"/>
        </w:rPr>
      </w:pPr>
      <w:r>
        <w:rPr>
          <w:rFonts w:hint="eastAsia"/>
          <w:sz w:val="24"/>
          <w:szCs w:val="32"/>
        </w:rPr>
        <w:t>（3）南部平原中度水蚀区：该区位于三工滩、阿魏滩以北、乌伊公路以南，包括硫磺沟镇、三工镇、军户农场、二六工乡、榆树沟乡南半部等。处于三屯河、头屯河冲积扇上中部，南北坡度较大，植被覆盖率低。水蚀主要为春季融雪和暴雨侵蚀，侵蚀模数2500-3000t/km</w:t>
      </w:r>
      <w:r>
        <w:rPr>
          <w:rFonts w:hint="eastAsia"/>
          <w:sz w:val="24"/>
          <w:szCs w:val="32"/>
          <w:vertAlign w:val="superscript"/>
        </w:rPr>
        <w:t>2</w:t>
      </w:r>
      <w:r>
        <w:rPr>
          <w:rFonts w:hint="eastAsia"/>
          <w:sz w:val="24"/>
          <w:szCs w:val="32"/>
        </w:rPr>
        <w:t>·a。</w:t>
      </w:r>
    </w:p>
    <w:p>
      <w:pPr>
        <w:spacing w:line="460" w:lineRule="exact"/>
        <w:ind w:firstLine="480" w:firstLineChars="200"/>
        <w:rPr>
          <w:sz w:val="24"/>
          <w:szCs w:val="32"/>
        </w:rPr>
      </w:pPr>
      <w:r>
        <w:rPr>
          <w:rFonts w:hint="eastAsia"/>
          <w:sz w:val="24"/>
          <w:szCs w:val="32"/>
        </w:rPr>
        <w:t>（4）中部平原水蚀和轻度风蚀区：本区包括六工镇、滨湖乡、佃坝乡、大西渠乡、榆树沟镇、二六工乡北半部。处于冲积扇下部及冲积平原的交接地带，地形平坦，但河道下切较深，河谷台地相间分布，局部地形破碎，植被稀疏。水蚀主要为春夏季冰雪融水对河道的冲刷，侵蚀模数2500-3000t/km</w:t>
      </w:r>
      <w:r>
        <w:rPr>
          <w:rFonts w:hint="eastAsia"/>
          <w:sz w:val="24"/>
          <w:szCs w:val="32"/>
          <w:vertAlign w:val="superscript"/>
        </w:rPr>
        <w:t>2</w:t>
      </w:r>
      <w:r>
        <w:rPr>
          <w:rFonts w:hint="eastAsia"/>
          <w:sz w:val="24"/>
          <w:szCs w:val="32"/>
        </w:rPr>
        <w:t>·a。一〇一团、一〇三团、一〇五团、共青团和军户农场等地土壤干旱，水源较缺，土壤沙化严重，春季常伴有轻度风蚀，侵蚀模数1000-1500t/km</w:t>
      </w:r>
      <w:r>
        <w:rPr>
          <w:rFonts w:hint="eastAsia"/>
          <w:sz w:val="24"/>
          <w:szCs w:val="32"/>
          <w:vertAlign w:val="superscript"/>
        </w:rPr>
        <w:t>2</w:t>
      </w:r>
      <w:r>
        <w:rPr>
          <w:rFonts w:hint="eastAsia"/>
          <w:sz w:val="24"/>
          <w:szCs w:val="32"/>
        </w:rPr>
        <w:t>·a。</w:t>
      </w:r>
    </w:p>
    <w:p>
      <w:pPr>
        <w:spacing w:line="460" w:lineRule="exact"/>
        <w:ind w:firstLine="480" w:firstLineChars="200"/>
        <w:rPr>
          <w:sz w:val="24"/>
          <w:szCs w:val="32"/>
        </w:rPr>
      </w:pPr>
      <w:r>
        <w:rPr>
          <w:rFonts w:hint="eastAsia"/>
          <w:sz w:val="24"/>
          <w:szCs w:val="32"/>
        </w:rPr>
        <w:t>（5）北部荒漠中度风蚀区：北部沙漠区是古尔班通古特沙漠的一部分，东西宽约30km，南北长约100km，面积为2794.7km</w:t>
      </w:r>
      <w:r>
        <w:rPr>
          <w:rFonts w:hint="eastAsia"/>
          <w:sz w:val="24"/>
          <w:szCs w:val="32"/>
          <w:vertAlign w:val="superscript"/>
        </w:rPr>
        <w:t>2</w:t>
      </w:r>
      <w:r>
        <w:rPr>
          <w:rFonts w:hint="eastAsia"/>
          <w:sz w:val="24"/>
          <w:szCs w:val="32"/>
        </w:rPr>
        <w:t>，系固定和半固定沙丘，由新月形沙丘、链垄状沙丘和蜂窝状沙丘组成。沙丘高度一般在20-30m左右，沙丘之间比较平坦，呈条状分布，沙漠浩瀚，人迹罕见。沙漠边缘地区尚有沙漠灌木林，主要分布在北沙窝地带，有梭梭和红柳，覆盖率仅2.5%左右。由于樵采过度，植被遭到破坏，并导致沙漠有逐渐向南推移的趋势。该区主要是中度风蚀区，侵蚀模数2500-5000t/km</w:t>
      </w:r>
      <w:r>
        <w:rPr>
          <w:rFonts w:hint="eastAsia"/>
          <w:sz w:val="24"/>
          <w:szCs w:val="32"/>
          <w:vertAlign w:val="superscript"/>
        </w:rPr>
        <w:t>2</w:t>
      </w:r>
      <w:r>
        <w:rPr>
          <w:rFonts w:hint="eastAsia"/>
          <w:sz w:val="24"/>
          <w:szCs w:val="32"/>
        </w:rPr>
        <w:t>。</w:t>
      </w:r>
    </w:p>
    <w:p>
      <w:pPr>
        <w:spacing w:line="460" w:lineRule="exact"/>
        <w:ind w:firstLine="640" w:firstLineChars="200"/>
        <w:rPr>
          <w:sz w:val="32"/>
          <w:szCs w:val="32"/>
        </w:rPr>
      </w:pPr>
    </w:p>
    <w:p>
      <w:pPr>
        <w:pStyle w:val="4"/>
        <w:adjustRightInd w:val="0"/>
        <w:spacing w:before="120" w:after="120" w:line="460" w:lineRule="exact"/>
        <w:textAlignment w:val="baseline"/>
        <w:rPr>
          <w:rFonts w:ascii="Times New Roman" w:hAnsi="Times New Roman"/>
          <w:b w:val="0"/>
          <w:szCs w:val="28"/>
        </w:rPr>
      </w:pPr>
      <w:bookmarkStart w:id="184" w:name="_Toc165386231"/>
      <w:r>
        <w:rPr>
          <w:rFonts w:hint="eastAsia" w:ascii="Times New Roman" w:hAnsi="Times New Roman"/>
          <w:b w:val="0"/>
          <w:szCs w:val="28"/>
        </w:rPr>
        <w:t xml:space="preserve">5.2 </w:t>
      </w:r>
      <w:bookmarkEnd w:id="183"/>
      <w:r>
        <w:rPr>
          <w:rFonts w:hint="eastAsia" w:ascii="Times New Roman" w:hAnsi="Times New Roman"/>
          <w:b w:val="0"/>
          <w:szCs w:val="28"/>
        </w:rPr>
        <w:t>昌吉国家农业科技园区概况</w:t>
      </w:r>
      <w:bookmarkEnd w:id="184"/>
    </w:p>
    <w:p>
      <w:pPr>
        <w:spacing w:line="460" w:lineRule="exact"/>
        <w:ind w:firstLine="480" w:firstLineChars="200"/>
        <w:rPr>
          <w:sz w:val="24"/>
        </w:rPr>
      </w:pPr>
      <w:bookmarkStart w:id="185" w:name="_Toc170869069"/>
      <w:bookmarkStart w:id="186" w:name="_Toc170970665"/>
      <w:bookmarkStart w:id="187" w:name="_Toc179522821"/>
      <w:bookmarkStart w:id="188" w:name="_Toc187800042"/>
      <w:bookmarkStart w:id="189" w:name="_Toc180891779"/>
      <w:bookmarkStart w:id="190" w:name="_Toc172698667"/>
      <w:bookmarkStart w:id="191" w:name="_Toc179653280"/>
      <w:bookmarkStart w:id="192" w:name="_Toc245882746"/>
      <w:bookmarkStart w:id="193" w:name="_Toc307906801"/>
      <w:r>
        <w:rPr>
          <w:rFonts w:hint="eastAsia"/>
          <w:sz w:val="24"/>
        </w:rPr>
        <w:t>新疆昌吉国家农业科技园区于2002年经国家科技部批准，是全国38家农业科技园区之一，也是新疆地方唯一的国家级农业科技园区。园区位于新疆昌吉州首府所在地昌吉市，东距首府乌鲁木齐市35km，距乌鲁木齐国际机场18km，312国道、第二座亚欧大陆桥和乌奎高速公路穿境而过，交通便捷。</w:t>
      </w:r>
    </w:p>
    <w:p>
      <w:pPr>
        <w:spacing w:line="460" w:lineRule="exact"/>
        <w:ind w:firstLine="480" w:firstLineChars="200"/>
        <w:rPr>
          <w:sz w:val="24"/>
        </w:rPr>
      </w:pPr>
      <w:r>
        <w:rPr>
          <w:rFonts w:hint="eastAsia"/>
          <w:sz w:val="24"/>
        </w:rPr>
        <w:t>新疆自治区党委、人民政府高度重视园区的建设与发展，2002年10月下发了《关于昌吉国家农业科技园区建设有关问题的批复》等文件，批准成立了新疆昌吉国家农业科技园区建设协调领导小组和办公室，2003年3月20日，昌吉州党委批准成立了昌吉国家农业科技园区管理委员会和党工委，正县级建制。园区管委在昌吉州人民政府的统一领导下主要计划、财务、外贸、规划、建设等经济管理和行政管理权限。</w:t>
      </w:r>
    </w:p>
    <w:p>
      <w:pPr>
        <w:spacing w:line="460" w:lineRule="exact"/>
        <w:ind w:firstLine="480" w:firstLineChars="200"/>
        <w:rPr>
          <w:sz w:val="24"/>
        </w:rPr>
      </w:pPr>
      <w:r>
        <w:rPr>
          <w:rFonts w:hint="eastAsia"/>
          <w:sz w:val="24"/>
        </w:rPr>
        <w:t>昌吉国家农业科技园区被命名为全国科普教育示范基地、国家农业产业化示范基地，在全国38家国家农业科技园区综合考评验收中名列第三。科技园区规划总面积332.3km</w:t>
      </w:r>
      <w:r>
        <w:rPr>
          <w:rFonts w:hint="eastAsia"/>
          <w:sz w:val="24"/>
          <w:vertAlign w:val="superscript"/>
        </w:rPr>
        <w:t>2</w:t>
      </w:r>
      <w:r>
        <w:rPr>
          <w:rFonts w:hint="eastAsia"/>
          <w:sz w:val="24"/>
        </w:rPr>
        <w:t>（49.8万亩），园区总体布局分为核心区、示范区、辐射区。核心区以昌吉市为主，示范区以昌吉州为主，辐射区以天山北坡为重点，辐射南北疆各地。核心区3.6万亩（集体土地和部分国有土地），示范区46.2万亩（国有土地）</w:t>
      </w:r>
    </w:p>
    <w:p>
      <w:pPr>
        <w:spacing w:line="460" w:lineRule="exact"/>
        <w:ind w:firstLine="480" w:firstLineChars="200"/>
        <w:rPr>
          <w:sz w:val="24"/>
        </w:rPr>
      </w:pPr>
      <w:r>
        <w:rPr>
          <w:rFonts w:hint="eastAsia"/>
          <w:sz w:val="24"/>
        </w:rPr>
        <w:t>科技园区发展进程中呈现出经济发展加力提速、各项事业全面进步、社会大局和谐稳定的良好局面。园区党工委、管委会团结带领广大干部职工攻坚克难,真抓实干，在综合实力、现代农业、科技创新、项目工作、基础设施建设、展会经济、党的建设、社会稳定等方面都取得了新的成绩，全年实现生产总值 22亿元，增长20% ；固定资产投资30.6亿元，增长54%；公共财政预算收入3.54亿元，同比增长51.4%；招商引资到位资金23.5亿元，同比增长55.4%；在科技部对国家农业科技园区综合评估中荣获第一。</w:t>
      </w:r>
    </w:p>
    <w:p>
      <w:pPr>
        <w:spacing w:line="460" w:lineRule="exact"/>
        <w:ind w:firstLine="480" w:firstLineChars="200"/>
        <w:rPr>
          <w:sz w:val="24"/>
        </w:rPr>
      </w:pPr>
      <w:r>
        <w:rPr>
          <w:rFonts w:hint="eastAsia"/>
          <w:sz w:val="24"/>
        </w:rPr>
        <w:t>园区初步形成西甜瓜、玉米制种业，畜牧业奶牛肉牛饲草及加工业，番茄、葡萄等农产品加工产业，农业产品交易物流业和休闲观光旅游业的产业体系。园区农业机械化水平较高，农业耕、种、收已基本实现机械化。园区耕地面积209059亩，其中小麦29216亩，棉花149534亩，30309亩玉米。按照高产、优质、高效、生态、安全的要求，连续多年实施小麦、棉花、番茄等高产创建示范项目，实现了规模化种植、产业化经营、标准化生产。2013年单产达到602公斤、186公斤、12400公斤，比全疆平均单产分别高出236公斤、72公斤、6000公斤。通过示范项目的实施，以点带面、点面结合，围绕主导产业、主要产品和主推技术，有效发挥了现代农业示范推广、辐射带动作用。</w:t>
      </w:r>
    </w:p>
    <w:p>
      <w:pPr>
        <w:spacing w:line="460" w:lineRule="exact"/>
        <w:ind w:firstLine="480" w:firstLineChars="200"/>
        <w:rPr>
          <w:sz w:val="24"/>
        </w:rPr>
      </w:pPr>
      <w:r>
        <w:rPr>
          <w:rFonts w:hint="eastAsia"/>
          <w:sz w:val="24"/>
        </w:rPr>
        <w:t>现代畜牧业稳步发展快速。泰昆集团建成30万套种禽繁育基地，年提供4000万羽鸡苗，新疆市场占有率达50%以上；天康集团建成2万头曾祖代原种猪场、6万头祖代种猪场，年提供种猪7.5万头，新疆种猪市场占有率达60%以上。引进了北京华牛肉牛肉羊育种与繁殖工程中心项目，建设国家级良种肉牛繁育场、国家级良种肉羊繁育场、育种与繁殖工程中心和院士工作站，全疆畜禽良种繁育基地作用更加凸显。</w:t>
      </w:r>
    </w:p>
    <w:p>
      <w:pPr>
        <w:spacing w:line="460" w:lineRule="exact"/>
        <w:ind w:firstLine="480" w:firstLineChars="200"/>
        <w:rPr>
          <w:sz w:val="24"/>
        </w:rPr>
      </w:pPr>
    </w:p>
    <w:p>
      <w:pPr>
        <w:spacing w:line="460" w:lineRule="exact"/>
        <w:ind w:firstLine="480" w:firstLineChars="200"/>
        <w:rPr>
          <w:sz w:val="24"/>
        </w:rPr>
      </w:pPr>
    </w:p>
    <w:p>
      <w:pPr>
        <w:pStyle w:val="4"/>
        <w:adjustRightInd w:val="0"/>
        <w:spacing w:before="120" w:after="120" w:line="460" w:lineRule="exact"/>
        <w:textAlignment w:val="baseline"/>
        <w:rPr>
          <w:rFonts w:ascii="Times New Roman" w:hAnsi="Times New Roman"/>
          <w:b w:val="0"/>
          <w:szCs w:val="28"/>
        </w:rPr>
      </w:pPr>
      <w:bookmarkStart w:id="194" w:name="_Toc165386232"/>
      <w:r>
        <w:rPr>
          <w:rFonts w:hint="eastAsia" w:ascii="Times New Roman" w:hAnsi="Times New Roman"/>
          <w:b w:val="0"/>
          <w:szCs w:val="28"/>
        </w:rPr>
        <w:t xml:space="preserve">5.3 </w:t>
      </w:r>
      <w:r>
        <w:rPr>
          <w:rFonts w:ascii="Times New Roman" w:hAnsi="Times New Roman"/>
          <w:b w:val="0"/>
          <w:szCs w:val="28"/>
        </w:rPr>
        <w:t>环境质量现状评价</w:t>
      </w:r>
      <w:bookmarkEnd w:id="194"/>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5.3</w:t>
      </w:r>
      <w:r>
        <w:rPr>
          <w:rFonts w:ascii="Times New Roman"/>
          <w:spacing w:val="12"/>
          <w:w w:val="95"/>
          <w:kern w:val="0"/>
          <w:szCs w:val="26"/>
        </w:rPr>
        <w:t>.1大气环境现状调查及评价</w:t>
      </w:r>
      <w:bookmarkEnd w:id="185"/>
      <w:bookmarkEnd w:id="186"/>
      <w:bookmarkEnd w:id="187"/>
      <w:bookmarkEnd w:id="188"/>
      <w:bookmarkEnd w:id="189"/>
      <w:bookmarkEnd w:id="190"/>
      <w:bookmarkEnd w:id="191"/>
      <w:bookmarkEnd w:id="192"/>
      <w:bookmarkEnd w:id="193"/>
    </w:p>
    <w:p>
      <w:pPr>
        <w:spacing w:line="460" w:lineRule="exact"/>
        <w:ind w:firstLine="480" w:firstLineChars="200"/>
        <w:rPr>
          <w:sz w:val="24"/>
        </w:rPr>
      </w:pPr>
      <w:r>
        <w:rPr>
          <w:rFonts w:hint="eastAsia"/>
          <w:sz w:val="24"/>
        </w:rPr>
        <w:t>1、达标区判定</w:t>
      </w:r>
    </w:p>
    <w:p>
      <w:pPr>
        <w:spacing w:line="460" w:lineRule="exact"/>
        <w:ind w:firstLine="480" w:firstLineChars="200"/>
        <w:rPr>
          <w:sz w:val="24"/>
        </w:rPr>
      </w:pPr>
      <w:r>
        <w:rPr>
          <w:rFonts w:hint="eastAsia"/>
          <w:sz w:val="24"/>
        </w:rPr>
        <w:t>（</w:t>
      </w:r>
      <w:r>
        <w:rPr>
          <w:sz w:val="24"/>
        </w:rPr>
        <w:t>1</w:t>
      </w:r>
      <w:r>
        <w:rPr>
          <w:rFonts w:hint="eastAsia"/>
          <w:sz w:val="24"/>
        </w:rPr>
        <w:t>）数据来源</w:t>
      </w:r>
    </w:p>
    <w:p>
      <w:pPr>
        <w:spacing w:line="460" w:lineRule="exact"/>
        <w:ind w:firstLine="480" w:firstLineChars="200"/>
        <w:rPr>
          <w:sz w:val="24"/>
        </w:rPr>
      </w:pPr>
      <w:r>
        <w:rPr>
          <w:rFonts w:hint="eastAsia"/>
          <w:sz w:val="24"/>
        </w:rPr>
        <w:t>根据《环境影响评价技术导则大气环境》（</w:t>
      </w:r>
      <w:r>
        <w:rPr>
          <w:sz w:val="24"/>
        </w:rPr>
        <w:t>HJ2.2-2018</w:t>
      </w:r>
      <w:r>
        <w:rPr>
          <w:rFonts w:hint="eastAsia"/>
          <w:sz w:val="24"/>
        </w:rPr>
        <w:t>）中对环境质量现状数据的要求，本次评价选择昌吉市空气监测站点 2023年的监测数据，作为本项目环境空气现状评价基本污染物</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sz w:val="24"/>
          <w:vertAlign w:val="subscript"/>
        </w:rPr>
        <w:t>10</w:t>
      </w:r>
      <w:r>
        <w:rPr>
          <w:rFonts w:hint="eastAsia"/>
          <w:sz w:val="24"/>
        </w:rPr>
        <w:t>、</w:t>
      </w:r>
      <w:r>
        <w:rPr>
          <w:sz w:val="24"/>
        </w:rPr>
        <w:t>PM</w:t>
      </w:r>
      <w:r>
        <w:rPr>
          <w:sz w:val="24"/>
          <w:vertAlign w:val="subscript"/>
        </w:rPr>
        <w:t>2.5</w:t>
      </w:r>
      <w:r>
        <w:rPr>
          <w:rFonts w:hint="eastAsia"/>
          <w:sz w:val="24"/>
        </w:rPr>
        <w:t>、</w:t>
      </w:r>
      <w:r>
        <w:rPr>
          <w:sz w:val="24"/>
        </w:rPr>
        <w:t xml:space="preserve">CO </w:t>
      </w:r>
      <w:r>
        <w:rPr>
          <w:rFonts w:hint="eastAsia"/>
          <w:sz w:val="24"/>
        </w:rPr>
        <w:t>和</w:t>
      </w:r>
      <w:r>
        <w:rPr>
          <w:sz w:val="24"/>
        </w:rPr>
        <w:t>O</w:t>
      </w:r>
      <w:r>
        <w:rPr>
          <w:sz w:val="24"/>
          <w:vertAlign w:val="subscript"/>
        </w:rPr>
        <w:t>3</w:t>
      </w:r>
      <w:r>
        <w:rPr>
          <w:sz w:val="24"/>
        </w:rPr>
        <w:t xml:space="preserve"> </w:t>
      </w:r>
      <w:r>
        <w:rPr>
          <w:rFonts w:hint="eastAsia"/>
          <w:sz w:val="24"/>
        </w:rPr>
        <w:t>的数据来源。</w:t>
      </w:r>
    </w:p>
    <w:p>
      <w:pPr>
        <w:spacing w:line="460" w:lineRule="exact"/>
        <w:ind w:firstLine="480" w:firstLineChars="200"/>
        <w:rPr>
          <w:sz w:val="24"/>
        </w:rPr>
      </w:pPr>
      <w:r>
        <w:rPr>
          <w:rFonts w:hint="eastAsia"/>
          <w:sz w:val="24"/>
        </w:rPr>
        <w:t>（</w:t>
      </w:r>
      <w:r>
        <w:rPr>
          <w:sz w:val="24"/>
        </w:rPr>
        <w:t>2</w:t>
      </w:r>
      <w:r>
        <w:rPr>
          <w:rFonts w:hint="eastAsia"/>
          <w:sz w:val="24"/>
        </w:rPr>
        <w:t>）评价标准</w:t>
      </w:r>
    </w:p>
    <w:p>
      <w:pPr>
        <w:spacing w:line="460" w:lineRule="exact"/>
        <w:ind w:firstLine="480" w:firstLineChars="200"/>
        <w:rPr>
          <w:sz w:val="24"/>
        </w:rPr>
      </w:pPr>
      <w:r>
        <w:rPr>
          <w:rFonts w:hint="eastAsia"/>
          <w:sz w:val="24"/>
        </w:rPr>
        <w:t>本次评价基本污染物执行《环境空气质量标准》（</w:t>
      </w:r>
      <w:r>
        <w:rPr>
          <w:sz w:val="24"/>
        </w:rPr>
        <w:t>GB3095-2012</w:t>
      </w:r>
      <w:r>
        <w:rPr>
          <w:rFonts w:hint="eastAsia"/>
          <w:sz w:val="24"/>
        </w:rPr>
        <w:t>）中的二级标准。</w:t>
      </w:r>
    </w:p>
    <w:p>
      <w:pPr>
        <w:spacing w:line="460" w:lineRule="exact"/>
        <w:ind w:firstLine="480" w:firstLineChars="200"/>
        <w:rPr>
          <w:sz w:val="24"/>
        </w:rPr>
      </w:pPr>
      <w:r>
        <w:rPr>
          <w:rFonts w:hint="eastAsia"/>
          <w:sz w:val="24"/>
        </w:rPr>
        <w:t>（</w:t>
      </w:r>
      <w:r>
        <w:rPr>
          <w:sz w:val="24"/>
        </w:rPr>
        <w:t>3</w:t>
      </w:r>
      <w:r>
        <w:rPr>
          <w:rFonts w:hint="eastAsia"/>
          <w:sz w:val="24"/>
        </w:rPr>
        <w:t>）评价方法</w:t>
      </w:r>
    </w:p>
    <w:p>
      <w:pPr>
        <w:spacing w:line="460" w:lineRule="exact"/>
        <w:ind w:firstLine="480" w:firstLineChars="200"/>
        <w:rPr>
          <w:sz w:val="24"/>
        </w:rPr>
      </w:pPr>
      <w:r>
        <w:rPr>
          <w:rFonts w:hint="eastAsia"/>
          <w:sz w:val="24"/>
        </w:rPr>
        <w:t>评价方法：基本污染物按照《环境空气质量评价技术规范（试行）》（</w:t>
      </w:r>
      <w:r>
        <w:rPr>
          <w:sz w:val="24"/>
        </w:rPr>
        <w:t>HJ663-2013</w:t>
      </w:r>
      <w:r>
        <w:rPr>
          <w:rFonts w:hint="eastAsia"/>
          <w:sz w:val="24"/>
        </w:rPr>
        <w:t>）中各评价项目的年评价指标进行判定。年评价指标中的年均浓度和相应百分位数</w:t>
      </w:r>
      <w:r>
        <w:rPr>
          <w:sz w:val="24"/>
        </w:rPr>
        <w:t xml:space="preserve">24h </w:t>
      </w:r>
      <w:r>
        <w:rPr>
          <w:rFonts w:hint="eastAsia"/>
          <w:sz w:val="24"/>
        </w:rPr>
        <w:t>平均或</w:t>
      </w:r>
      <w:r>
        <w:rPr>
          <w:sz w:val="24"/>
        </w:rPr>
        <w:t>8h</w:t>
      </w:r>
      <w:r>
        <w:rPr>
          <w:rFonts w:hint="eastAsia"/>
          <w:sz w:val="24"/>
        </w:rPr>
        <w:t>平均质量浓度满足</w:t>
      </w:r>
      <w:r>
        <w:rPr>
          <w:sz w:val="24"/>
        </w:rPr>
        <w:t>GB3095</w:t>
      </w:r>
      <w:r>
        <w:rPr>
          <w:rFonts w:hint="eastAsia"/>
          <w:sz w:val="24"/>
        </w:rPr>
        <w:t>中浓度限值要求的即为达标。对于超标的污染物，计算其超标倍数和超标率。</w:t>
      </w:r>
    </w:p>
    <w:p>
      <w:pPr>
        <w:spacing w:line="460" w:lineRule="exact"/>
        <w:ind w:firstLine="480" w:firstLineChars="200"/>
        <w:rPr>
          <w:sz w:val="24"/>
        </w:rPr>
      </w:pPr>
      <w:r>
        <w:rPr>
          <w:rFonts w:hint="eastAsia"/>
          <w:sz w:val="24"/>
        </w:rPr>
        <w:t>（</w:t>
      </w:r>
      <w:r>
        <w:rPr>
          <w:sz w:val="24"/>
        </w:rPr>
        <w:t>4</w:t>
      </w:r>
      <w:r>
        <w:rPr>
          <w:rFonts w:hint="eastAsia"/>
          <w:sz w:val="24"/>
        </w:rPr>
        <w:t>）空气质量达标区判定</w:t>
      </w:r>
    </w:p>
    <w:p>
      <w:pPr>
        <w:spacing w:line="460" w:lineRule="exact"/>
        <w:ind w:firstLine="480" w:firstLineChars="200"/>
        <w:rPr>
          <w:sz w:val="24"/>
        </w:rPr>
      </w:pPr>
      <w:r>
        <w:rPr>
          <w:rFonts w:hint="eastAsia"/>
          <w:sz w:val="24"/>
        </w:rPr>
        <w:t>昌吉市</w:t>
      </w:r>
      <w:r>
        <w:rPr>
          <w:sz w:val="24"/>
        </w:rPr>
        <w:t>202</w:t>
      </w:r>
      <w:r>
        <w:rPr>
          <w:rFonts w:hint="eastAsia"/>
          <w:sz w:val="24"/>
        </w:rPr>
        <w:t>3年空气质量达标区判定结果见表5.3</w:t>
      </w:r>
      <w:r>
        <w:rPr>
          <w:sz w:val="24"/>
        </w:rPr>
        <w:t>-1</w:t>
      </w:r>
      <w:r>
        <w:rPr>
          <w:rFonts w:hint="eastAsia"/>
          <w:sz w:val="24"/>
        </w:rPr>
        <w:t>。</w:t>
      </w:r>
    </w:p>
    <w:p>
      <w:pPr>
        <w:ind w:firstLine="420" w:firstLineChars="200"/>
        <w:rPr>
          <w:rFonts w:eastAsia="黑体"/>
          <w:szCs w:val="21"/>
        </w:rPr>
      </w:pPr>
      <w:r>
        <w:rPr>
          <w:rFonts w:hint="eastAsia" w:eastAsia="黑体"/>
          <w:szCs w:val="21"/>
        </w:rPr>
        <w:t>表5.3-1</w:t>
      </w:r>
      <w:r>
        <w:rPr>
          <w:rFonts w:eastAsia="黑体"/>
          <w:szCs w:val="21"/>
        </w:rPr>
        <w:t xml:space="preserve">            </w:t>
      </w:r>
      <w:r>
        <w:rPr>
          <w:rFonts w:hint="eastAsia" w:eastAsia="黑体"/>
          <w:szCs w:val="21"/>
        </w:rPr>
        <w:t>昌吉市</w:t>
      </w:r>
      <w:r>
        <w:rPr>
          <w:rFonts w:eastAsia="黑体"/>
          <w:szCs w:val="21"/>
        </w:rPr>
        <w:t>202</w:t>
      </w:r>
      <w:r>
        <w:rPr>
          <w:rFonts w:hint="eastAsia" w:eastAsia="黑体"/>
          <w:szCs w:val="21"/>
        </w:rPr>
        <w:t>3年空气质量达标区判定结果表</w:t>
      </w:r>
    </w:p>
    <w:tbl>
      <w:tblPr>
        <w:tblStyle w:val="59"/>
        <w:tblW w:w="831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1382"/>
        <w:gridCol w:w="1382"/>
        <w:gridCol w:w="1590"/>
        <w:gridCol w:w="1701"/>
        <w:gridCol w:w="1134"/>
        <w:gridCol w:w="11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12" w:space="0"/>
              <w:left w:val="nil"/>
              <w:bottom w:val="single" w:color="000000" w:sz="6" w:space="0"/>
              <w:right w:val="single" w:color="000000" w:sz="6" w:space="0"/>
            </w:tcBorders>
            <w:vAlign w:val="center"/>
          </w:tcPr>
          <w:p>
            <w:pPr>
              <w:jc w:val="center"/>
              <w:rPr>
                <w:kern w:val="0"/>
                <w:szCs w:val="21"/>
              </w:rPr>
            </w:pPr>
            <w:r>
              <w:rPr>
                <w:rFonts w:hint="eastAsia"/>
                <w:kern w:val="0"/>
                <w:szCs w:val="21"/>
              </w:rPr>
              <w:t>评价因子</w:t>
            </w:r>
          </w:p>
        </w:tc>
        <w:tc>
          <w:tcPr>
            <w:tcW w:w="1382" w:type="dxa"/>
            <w:tcBorders>
              <w:top w:val="single" w:color="000000" w:sz="12"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年评价指标</w:t>
            </w:r>
          </w:p>
        </w:tc>
        <w:tc>
          <w:tcPr>
            <w:tcW w:w="1590" w:type="dxa"/>
            <w:tcBorders>
              <w:top w:val="single" w:color="000000" w:sz="12"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现状浓度</w:t>
            </w:r>
            <w:r>
              <w:rPr>
                <w:kern w:val="0"/>
                <w:szCs w:val="21"/>
              </w:rPr>
              <w:t>μg/m</w:t>
            </w:r>
            <w:r>
              <w:rPr>
                <w:kern w:val="0"/>
                <w:szCs w:val="21"/>
                <w:vertAlign w:val="superscript"/>
              </w:rPr>
              <w:t>3</w:t>
            </w:r>
          </w:p>
        </w:tc>
        <w:tc>
          <w:tcPr>
            <w:tcW w:w="1701" w:type="dxa"/>
            <w:tcBorders>
              <w:top w:val="single" w:color="000000" w:sz="12"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评价标准</w:t>
            </w:r>
            <w:r>
              <w:rPr>
                <w:kern w:val="0"/>
                <w:szCs w:val="21"/>
              </w:rPr>
              <w:t>μg/m</w:t>
            </w:r>
            <w:r>
              <w:rPr>
                <w:kern w:val="0"/>
                <w:szCs w:val="21"/>
                <w:vertAlign w:val="superscript"/>
              </w:rPr>
              <w:t>3</w:t>
            </w:r>
          </w:p>
        </w:tc>
        <w:tc>
          <w:tcPr>
            <w:tcW w:w="1134" w:type="dxa"/>
            <w:tcBorders>
              <w:top w:val="single" w:color="000000" w:sz="12"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占标率</w:t>
            </w:r>
            <w:r>
              <w:rPr>
                <w:kern w:val="0"/>
                <w:szCs w:val="21"/>
              </w:rPr>
              <w:t>/%</w:t>
            </w:r>
          </w:p>
        </w:tc>
        <w:tc>
          <w:tcPr>
            <w:tcW w:w="1121" w:type="dxa"/>
            <w:tcBorders>
              <w:top w:val="single" w:color="000000" w:sz="12" w:space="0"/>
              <w:left w:val="single" w:color="000000" w:sz="6" w:space="0"/>
              <w:bottom w:val="single" w:color="000000" w:sz="6" w:space="0"/>
              <w:right w:val="nil"/>
            </w:tcBorders>
            <w:vAlign w:val="center"/>
          </w:tcPr>
          <w:p>
            <w:pPr>
              <w:jc w:val="center"/>
              <w:rPr>
                <w:kern w:val="0"/>
                <w:szCs w:val="21"/>
              </w:rPr>
            </w:pPr>
            <w:r>
              <w:rPr>
                <w:rFonts w:hint="eastAsia"/>
                <w:kern w:val="0"/>
                <w:szCs w:val="21"/>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SO</w:t>
            </w:r>
            <w:r>
              <w:rPr>
                <w:kern w:val="0"/>
                <w:szCs w:val="21"/>
                <w:vertAlign w:val="subscript"/>
              </w:rPr>
              <w:t>2</w:t>
            </w:r>
          </w:p>
        </w:tc>
        <w:tc>
          <w:tcPr>
            <w:tcW w:w="1382"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年平均</w:t>
            </w:r>
          </w:p>
        </w:tc>
        <w:tc>
          <w:tcPr>
            <w:tcW w:w="1590"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7</w:t>
            </w:r>
          </w:p>
        </w:tc>
        <w:tc>
          <w:tcPr>
            <w:tcW w:w="1701"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60</w:t>
            </w: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11.67</w:t>
            </w:r>
          </w:p>
        </w:tc>
        <w:tc>
          <w:tcPr>
            <w:tcW w:w="1121" w:type="dxa"/>
            <w:tcBorders>
              <w:top w:val="single" w:color="000000" w:sz="6" w:space="0"/>
              <w:left w:val="single" w:color="000000" w:sz="6" w:space="0"/>
              <w:bottom w:val="single" w:color="000000" w:sz="6" w:space="0"/>
              <w:right w:val="nil"/>
            </w:tcBorders>
            <w:vAlign w:val="center"/>
          </w:tcPr>
          <w:p>
            <w:pPr>
              <w:jc w:val="center"/>
              <w:rPr>
                <w:kern w:val="0"/>
                <w:szCs w:val="21"/>
              </w:rPr>
            </w:pPr>
            <w:r>
              <w:rPr>
                <w:rFonts w:hint="eastAsia"/>
                <w:kern w:val="0"/>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NO</w:t>
            </w:r>
            <w:r>
              <w:rPr>
                <w:kern w:val="0"/>
                <w:szCs w:val="21"/>
                <w:vertAlign w:val="subscript"/>
              </w:rPr>
              <w:t>2</w:t>
            </w:r>
          </w:p>
        </w:tc>
        <w:tc>
          <w:tcPr>
            <w:tcW w:w="1382"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年平均</w:t>
            </w:r>
          </w:p>
        </w:tc>
        <w:tc>
          <w:tcPr>
            <w:tcW w:w="1590"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32</w:t>
            </w:r>
          </w:p>
        </w:tc>
        <w:tc>
          <w:tcPr>
            <w:tcW w:w="1701"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40</w:t>
            </w: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80.00</w:t>
            </w:r>
          </w:p>
        </w:tc>
        <w:tc>
          <w:tcPr>
            <w:tcW w:w="1121" w:type="dxa"/>
            <w:tcBorders>
              <w:top w:val="single" w:color="000000" w:sz="6" w:space="0"/>
              <w:left w:val="single" w:color="000000" w:sz="6" w:space="0"/>
              <w:bottom w:val="single" w:color="000000" w:sz="6" w:space="0"/>
              <w:right w:val="nil"/>
            </w:tcBorders>
            <w:vAlign w:val="center"/>
          </w:tcPr>
          <w:p>
            <w:pPr>
              <w:jc w:val="center"/>
              <w:rPr>
                <w:kern w:val="0"/>
                <w:szCs w:val="21"/>
              </w:rPr>
            </w:pPr>
            <w:r>
              <w:rPr>
                <w:rFonts w:hint="eastAsia"/>
                <w:kern w:val="0"/>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CO</w:t>
            </w:r>
          </w:p>
        </w:tc>
        <w:tc>
          <w:tcPr>
            <w:tcW w:w="1382"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24</w:t>
            </w:r>
            <w:r>
              <w:rPr>
                <w:rFonts w:hint="eastAsia"/>
                <w:kern w:val="0"/>
                <w:szCs w:val="21"/>
              </w:rPr>
              <w:t>小时平均第</w:t>
            </w:r>
            <w:r>
              <w:rPr>
                <w:kern w:val="0"/>
                <w:szCs w:val="21"/>
              </w:rPr>
              <w:t>95</w:t>
            </w:r>
            <w:r>
              <w:rPr>
                <w:rFonts w:hint="eastAsia"/>
                <w:kern w:val="0"/>
                <w:szCs w:val="21"/>
              </w:rPr>
              <w:t>百分位数</w:t>
            </w:r>
          </w:p>
        </w:tc>
        <w:tc>
          <w:tcPr>
            <w:tcW w:w="1590"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800</w:t>
            </w:r>
          </w:p>
        </w:tc>
        <w:tc>
          <w:tcPr>
            <w:tcW w:w="1701"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4000</w:t>
            </w: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20.00</w:t>
            </w:r>
          </w:p>
        </w:tc>
        <w:tc>
          <w:tcPr>
            <w:tcW w:w="1121" w:type="dxa"/>
            <w:tcBorders>
              <w:top w:val="single" w:color="000000" w:sz="6" w:space="0"/>
              <w:left w:val="single" w:color="000000" w:sz="6" w:space="0"/>
              <w:bottom w:val="single" w:color="000000" w:sz="6" w:space="0"/>
              <w:right w:val="nil"/>
            </w:tcBorders>
            <w:vAlign w:val="center"/>
          </w:tcPr>
          <w:p>
            <w:pPr>
              <w:jc w:val="center"/>
              <w:rPr>
                <w:kern w:val="0"/>
                <w:szCs w:val="21"/>
              </w:rPr>
            </w:pPr>
            <w:r>
              <w:rPr>
                <w:rFonts w:hint="eastAsia"/>
                <w:kern w:val="0"/>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O</w:t>
            </w:r>
            <w:r>
              <w:rPr>
                <w:kern w:val="0"/>
                <w:szCs w:val="21"/>
                <w:vertAlign w:val="subscript"/>
              </w:rPr>
              <w:t>3</w:t>
            </w:r>
          </w:p>
        </w:tc>
        <w:tc>
          <w:tcPr>
            <w:tcW w:w="1382"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最大</w:t>
            </w:r>
            <w:r>
              <w:rPr>
                <w:kern w:val="0"/>
                <w:szCs w:val="21"/>
              </w:rPr>
              <w:t>8</w:t>
            </w:r>
            <w:r>
              <w:rPr>
                <w:rFonts w:hint="eastAsia"/>
                <w:kern w:val="0"/>
                <w:szCs w:val="21"/>
              </w:rPr>
              <w:t>小时滑动平均值第</w:t>
            </w:r>
            <w:r>
              <w:rPr>
                <w:kern w:val="0"/>
                <w:szCs w:val="21"/>
              </w:rPr>
              <w:t>90</w:t>
            </w:r>
            <w:r>
              <w:rPr>
                <w:rFonts w:hint="eastAsia"/>
                <w:kern w:val="0"/>
                <w:szCs w:val="21"/>
              </w:rPr>
              <w:t>百分位数</w:t>
            </w:r>
          </w:p>
        </w:tc>
        <w:tc>
          <w:tcPr>
            <w:tcW w:w="1590"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96</w:t>
            </w:r>
          </w:p>
        </w:tc>
        <w:tc>
          <w:tcPr>
            <w:tcW w:w="1701"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160</w:t>
            </w: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60.00</w:t>
            </w:r>
          </w:p>
        </w:tc>
        <w:tc>
          <w:tcPr>
            <w:tcW w:w="1121" w:type="dxa"/>
            <w:tcBorders>
              <w:top w:val="single" w:color="000000" w:sz="6" w:space="0"/>
              <w:left w:val="single" w:color="000000" w:sz="6" w:space="0"/>
              <w:bottom w:val="single" w:color="000000" w:sz="6" w:space="0"/>
              <w:right w:val="nil"/>
            </w:tcBorders>
            <w:vAlign w:val="center"/>
          </w:tcPr>
          <w:p>
            <w:pPr>
              <w:jc w:val="center"/>
              <w:rPr>
                <w:kern w:val="0"/>
                <w:szCs w:val="21"/>
              </w:rPr>
            </w:pPr>
            <w:r>
              <w:rPr>
                <w:rFonts w:hint="eastAsia"/>
                <w:kern w:val="0"/>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PM</w:t>
            </w:r>
            <w:r>
              <w:rPr>
                <w:kern w:val="0"/>
                <w:szCs w:val="21"/>
                <w:vertAlign w:val="subscript"/>
              </w:rPr>
              <w:t>10</w:t>
            </w:r>
          </w:p>
        </w:tc>
        <w:tc>
          <w:tcPr>
            <w:tcW w:w="1382"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年平均</w:t>
            </w:r>
          </w:p>
        </w:tc>
        <w:tc>
          <w:tcPr>
            <w:tcW w:w="1590"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83</w:t>
            </w:r>
          </w:p>
        </w:tc>
        <w:tc>
          <w:tcPr>
            <w:tcW w:w="1701"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70</w:t>
            </w: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kern w:val="0"/>
                <w:szCs w:val="21"/>
              </w:rPr>
              <w:t>118.57</w:t>
            </w:r>
          </w:p>
        </w:tc>
        <w:tc>
          <w:tcPr>
            <w:tcW w:w="1121" w:type="dxa"/>
            <w:tcBorders>
              <w:top w:val="single" w:color="000000" w:sz="6" w:space="0"/>
              <w:left w:val="single" w:color="000000" w:sz="6" w:space="0"/>
              <w:bottom w:val="single" w:color="000000" w:sz="6" w:space="0"/>
              <w:right w:val="nil"/>
            </w:tcBorders>
            <w:vAlign w:val="center"/>
          </w:tcPr>
          <w:p>
            <w:pPr>
              <w:jc w:val="center"/>
              <w:rPr>
                <w:kern w:val="0"/>
                <w:szCs w:val="21"/>
              </w:rPr>
            </w:pPr>
            <w:r>
              <w:rPr>
                <w:rFonts w:hint="eastAsia"/>
                <w:kern w:val="0"/>
                <w:szCs w:val="21"/>
              </w:rPr>
              <w:t>不达标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382" w:type="dxa"/>
            <w:tcBorders>
              <w:top w:val="single" w:color="000000" w:sz="6" w:space="0"/>
              <w:left w:val="nil"/>
              <w:bottom w:val="single" w:color="000000" w:sz="12" w:space="0"/>
              <w:right w:val="single" w:color="000000" w:sz="6" w:space="0"/>
            </w:tcBorders>
            <w:vAlign w:val="center"/>
          </w:tcPr>
          <w:p>
            <w:pPr>
              <w:jc w:val="center"/>
              <w:rPr>
                <w:kern w:val="0"/>
                <w:szCs w:val="21"/>
              </w:rPr>
            </w:pPr>
            <w:r>
              <w:rPr>
                <w:kern w:val="0"/>
                <w:szCs w:val="21"/>
              </w:rPr>
              <w:t>PM</w:t>
            </w:r>
            <w:r>
              <w:rPr>
                <w:kern w:val="0"/>
                <w:szCs w:val="21"/>
                <w:vertAlign w:val="subscript"/>
              </w:rPr>
              <w:t>2.5</w:t>
            </w:r>
          </w:p>
        </w:tc>
        <w:tc>
          <w:tcPr>
            <w:tcW w:w="1382" w:type="dxa"/>
            <w:tcBorders>
              <w:top w:val="single" w:color="000000" w:sz="6" w:space="0"/>
              <w:left w:val="single" w:color="000000" w:sz="6" w:space="0"/>
              <w:bottom w:val="single" w:color="000000" w:sz="12" w:space="0"/>
              <w:right w:val="single" w:color="000000" w:sz="6" w:space="0"/>
            </w:tcBorders>
            <w:vAlign w:val="center"/>
          </w:tcPr>
          <w:p>
            <w:pPr>
              <w:jc w:val="center"/>
              <w:rPr>
                <w:kern w:val="0"/>
                <w:szCs w:val="21"/>
              </w:rPr>
            </w:pPr>
            <w:r>
              <w:rPr>
                <w:rFonts w:hint="eastAsia"/>
                <w:kern w:val="0"/>
                <w:szCs w:val="21"/>
              </w:rPr>
              <w:t>年平均</w:t>
            </w:r>
          </w:p>
        </w:tc>
        <w:tc>
          <w:tcPr>
            <w:tcW w:w="1590" w:type="dxa"/>
            <w:tcBorders>
              <w:top w:val="single" w:color="000000" w:sz="6" w:space="0"/>
              <w:left w:val="single" w:color="000000" w:sz="6" w:space="0"/>
              <w:bottom w:val="single" w:color="000000" w:sz="12" w:space="0"/>
              <w:right w:val="single" w:color="000000" w:sz="6" w:space="0"/>
            </w:tcBorders>
            <w:vAlign w:val="center"/>
          </w:tcPr>
          <w:p>
            <w:pPr>
              <w:jc w:val="center"/>
              <w:rPr>
                <w:kern w:val="0"/>
                <w:szCs w:val="21"/>
              </w:rPr>
            </w:pPr>
            <w:r>
              <w:rPr>
                <w:rFonts w:hint="eastAsia"/>
                <w:kern w:val="0"/>
                <w:szCs w:val="21"/>
              </w:rPr>
              <w:t>48</w:t>
            </w:r>
          </w:p>
        </w:tc>
        <w:tc>
          <w:tcPr>
            <w:tcW w:w="1701" w:type="dxa"/>
            <w:tcBorders>
              <w:top w:val="single" w:color="000000" w:sz="6" w:space="0"/>
              <w:left w:val="single" w:color="000000" w:sz="6" w:space="0"/>
              <w:bottom w:val="single" w:color="000000" w:sz="12" w:space="0"/>
              <w:right w:val="single" w:color="000000" w:sz="6" w:space="0"/>
            </w:tcBorders>
            <w:vAlign w:val="center"/>
          </w:tcPr>
          <w:p>
            <w:pPr>
              <w:jc w:val="center"/>
              <w:rPr>
                <w:kern w:val="0"/>
                <w:szCs w:val="21"/>
              </w:rPr>
            </w:pPr>
            <w:r>
              <w:rPr>
                <w:kern w:val="0"/>
                <w:szCs w:val="21"/>
              </w:rPr>
              <w:t>35</w:t>
            </w:r>
          </w:p>
        </w:tc>
        <w:tc>
          <w:tcPr>
            <w:tcW w:w="1134" w:type="dxa"/>
            <w:tcBorders>
              <w:top w:val="single" w:color="000000" w:sz="6" w:space="0"/>
              <w:left w:val="single" w:color="000000" w:sz="6" w:space="0"/>
              <w:bottom w:val="single" w:color="000000" w:sz="12" w:space="0"/>
              <w:right w:val="single" w:color="000000" w:sz="6" w:space="0"/>
            </w:tcBorders>
            <w:vAlign w:val="center"/>
          </w:tcPr>
          <w:p>
            <w:pPr>
              <w:jc w:val="center"/>
              <w:rPr>
                <w:kern w:val="0"/>
                <w:szCs w:val="21"/>
              </w:rPr>
            </w:pPr>
            <w:r>
              <w:rPr>
                <w:rFonts w:hint="eastAsia"/>
                <w:kern w:val="0"/>
                <w:szCs w:val="21"/>
              </w:rPr>
              <w:t>137.14</w:t>
            </w:r>
          </w:p>
        </w:tc>
        <w:tc>
          <w:tcPr>
            <w:tcW w:w="1121" w:type="dxa"/>
            <w:tcBorders>
              <w:top w:val="single" w:color="000000" w:sz="6" w:space="0"/>
              <w:left w:val="single" w:color="000000" w:sz="6" w:space="0"/>
              <w:bottom w:val="single" w:color="000000" w:sz="12" w:space="0"/>
              <w:right w:val="nil"/>
            </w:tcBorders>
            <w:vAlign w:val="center"/>
          </w:tcPr>
          <w:p>
            <w:pPr>
              <w:jc w:val="center"/>
              <w:rPr>
                <w:kern w:val="0"/>
                <w:szCs w:val="21"/>
              </w:rPr>
            </w:pPr>
            <w:r>
              <w:rPr>
                <w:rFonts w:hint="eastAsia"/>
                <w:kern w:val="0"/>
                <w:szCs w:val="21"/>
              </w:rPr>
              <w:t>不达标</w:t>
            </w:r>
          </w:p>
        </w:tc>
      </w:tr>
    </w:tbl>
    <w:p>
      <w:pPr>
        <w:spacing w:line="460" w:lineRule="exact"/>
        <w:ind w:firstLine="480" w:firstLineChars="200"/>
        <w:rPr>
          <w:sz w:val="24"/>
        </w:rPr>
      </w:pPr>
      <w:r>
        <w:rPr>
          <w:rFonts w:hint="eastAsia"/>
          <w:sz w:val="24"/>
        </w:rPr>
        <w:t>由上表结果得出：</w:t>
      </w:r>
      <w:r>
        <w:rPr>
          <w:rFonts w:hint="eastAsia"/>
          <w:bCs/>
          <w:sz w:val="24"/>
        </w:rPr>
        <w:t>项目所在区域</w:t>
      </w:r>
      <w:r>
        <w:rPr>
          <w:bCs/>
          <w:sz w:val="24"/>
        </w:rPr>
        <w:t>PM</w:t>
      </w:r>
      <w:r>
        <w:rPr>
          <w:bCs/>
          <w:sz w:val="24"/>
          <w:vertAlign w:val="subscript"/>
        </w:rPr>
        <w:t>10</w:t>
      </w:r>
      <w:r>
        <w:rPr>
          <w:rFonts w:hint="eastAsia"/>
          <w:bCs/>
          <w:sz w:val="24"/>
        </w:rPr>
        <w:t>和</w:t>
      </w:r>
      <w:r>
        <w:rPr>
          <w:bCs/>
          <w:sz w:val="24"/>
        </w:rPr>
        <w:t>PM</w:t>
      </w:r>
      <w:r>
        <w:rPr>
          <w:bCs/>
          <w:sz w:val="24"/>
          <w:vertAlign w:val="subscript"/>
        </w:rPr>
        <w:t>2.5</w:t>
      </w:r>
      <w:r>
        <w:rPr>
          <w:rFonts w:hint="eastAsia"/>
          <w:bCs/>
          <w:sz w:val="24"/>
        </w:rPr>
        <w:t>的年平均浓度均超过《环境空气质量标准》（</w:t>
      </w:r>
      <w:r>
        <w:rPr>
          <w:bCs/>
          <w:sz w:val="24"/>
        </w:rPr>
        <w:t>GB3095-2012</w:t>
      </w:r>
      <w:r>
        <w:rPr>
          <w:rFonts w:hint="eastAsia"/>
          <w:bCs/>
          <w:sz w:val="24"/>
        </w:rPr>
        <w:t>）的二级标准要求；</w:t>
      </w:r>
      <w:r>
        <w:rPr>
          <w:bCs/>
          <w:sz w:val="24"/>
        </w:rPr>
        <w:t>CO</w:t>
      </w:r>
      <w:r>
        <w:rPr>
          <w:rFonts w:hint="eastAsia"/>
          <w:bCs/>
          <w:sz w:val="24"/>
        </w:rPr>
        <w:t xml:space="preserve"> </w:t>
      </w:r>
      <w:r>
        <w:rPr>
          <w:bCs/>
          <w:sz w:val="24"/>
        </w:rPr>
        <w:t>24</w:t>
      </w:r>
      <w:r>
        <w:rPr>
          <w:rFonts w:hint="eastAsia"/>
          <w:bCs/>
          <w:sz w:val="24"/>
        </w:rPr>
        <w:t>小时平均第</w:t>
      </w:r>
      <w:r>
        <w:rPr>
          <w:bCs/>
          <w:sz w:val="24"/>
        </w:rPr>
        <w:t>95</w:t>
      </w:r>
      <w:r>
        <w:rPr>
          <w:rFonts w:hint="eastAsia"/>
          <w:bCs/>
          <w:sz w:val="24"/>
        </w:rPr>
        <w:t>百分位数浓度、</w:t>
      </w:r>
      <w:r>
        <w:rPr>
          <w:bCs/>
          <w:sz w:val="24"/>
        </w:rPr>
        <w:t>O</w:t>
      </w:r>
      <w:r>
        <w:rPr>
          <w:bCs/>
          <w:sz w:val="24"/>
          <w:vertAlign w:val="subscript"/>
        </w:rPr>
        <w:t>3</w:t>
      </w:r>
      <w:r>
        <w:rPr>
          <w:rFonts w:hint="eastAsia"/>
          <w:bCs/>
          <w:sz w:val="24"/>
        </w:rPr>
        <w:t>最大</w:t>
      </w:r>
      <w:r>
        <w:rPr>
          <w:bCs/>
          <w:sz w:val="24"/>
        </w:rPr>
        <w:t>8</w:t>
      </w:r>
      <w:r>
        <w:rPr>
          <w:rFonts w:hint="eastAsia"/>
          <w:bCs/>
          <w:sz w:val="24"/>
        </w:rPr>
        <w:t>小时滑动平均值第</w:t>
      </w:r>
      <w:r>
        <w:rPr>
          <w:bCs/>
          <w:sz w:val="24"/>
        </w:rPr>
        <w:t>90</w:t>
      </w:r>
      <w:r>
        <w:rPr>
          <w:rFonts w:hint="eastAsia"/>
          <w:bCs/>
          <w:sz w:val="24"/>
        </w:rPr>
        <w:t>百分位数浓度、</w:t>
      </w:r>
      <w:r>
        <w:rPr>
          <w:bCs/>
          <w:sz w:val="24"/>
        </w:rPr>
        <w:t>SO</w:t>
      </w:r>
      <w:r>
        <w:rPr>
          <w:bCs/>
          <w:sz w:val="24"/>
          <w:vertAlign w:val="subscript"/>
        </w:rPr>
        <w:t>2</w:t>
      </w:r>
      <w:r>
        <w:rPr>
          <w:rFonts w:hint="eastAsia"/>
          <w:bCs/>
          <w:sz w:val="24"/>
        </w:rPr>
        <w:t>和</w:t>
      </w:r>
      <w:r>
        <w:rPr>
          <w:bCs/>
          <w:sz w:val="24"/>
        </w:rPr>
        <w:t>NO</w:t>
      </w:r>
      <w:r>
        <w:rPr>
          <w:bCs/>
          <w:sz w:val="24"/>
          <w:vertAlign w:val="subscript"/>
        </w:rPr>
        <w:t>2</w:t>
      </w:r>
      <w:r>
        <w:rPr>
          <w:rFonts w:hint="eastAsia"/>
          <w:bCs/>
          <w:sz w:val="24"/>
        </w:rPr>
        <w:t>的年均浓度均满足《环境空气质量标准》</w:t>
      </w:r>
      <w:r>
        <w:rPr>
          <w:bCs/>
          <w:sz w:val="24"/>
        </w:rPr>
        <w:t>GB3095-2012</w:t>
      </w:r>
      <w:r>
        <w:rPr>
          <w:rFonts w:hint="eastAsia"/>
          <w:bCs/>
          <w:sz w:val="24"/>
        </w:rPr>
        <w:t>）的二级标准要求，故本项目所在区域为不达标区域。</w:t>
      </w:r>
    </w:p>
    <w:p>
      <w:pPr>
        <w:spacing w:line="460" w:lineRule="exact"/>
        <w:ind w:firstLine="480" w:firstLineChars="200"/>
        <w:rPr>
          <w:bCs/>
          <w:sz w:val="24"/>
        </w:rPr>
      </w:pPr>
      <w:r>
        <w:rPr>
          <w:rFonts w:hint="eastAsia"/>
          <w:bCs/>
          <w:sz w:val="24"/>
        </w:rPr>
        <w:t>2、项目所在区域污染物环境质量现状评价</w:t>
      </w:r>
    </w:p>
    <w:p>
      <w:pPr>
        <w:spacing w:line="460" w:lineRule="exact"/>
        <w:ind w:firstLine="480" w:firstLineChars="200"/>
        <w:rPr>
          <w:sz w:val="24"/>
        </w:rPr>
      </w:pPr>
      <w:r>
        <w:rPr>
          <w:rFonts w:hint="eastAsia"/>
          <w:sz w:val="24"/>
        </w:rPr>
        <w:t>本次环评项目所在区域污染物环境质量现状评价采用补充监测数据进行分析评价。</w:t>
      </w:r>
    </w:p>
    <w:p>
      <w:pPr>
        <w:spacing w:line="460" w:lineRule="exact"/>
        <w:ind w:firstLine="480" w:firstLineChars="200"/>
        <w:rPr>
          <w:sz w:val="24"/>
        </w:rPr>
      </w:pPr>
      <w:r>
        <w:rPr>
          <w:rFonts w:hint="eastAsia"/>
          <w:sz w:val="24"/>
          <w:shd w:val="clear" w:color="auto" w:fill="FFFFFF" w:themeFill="background1"/>
        </w:rPr>
        <w:t>本次评价环境空气特征污染物数据采用实测数据，环评期间委托新疆锡水金山环境科技有限公司于2024年4月10日～2024年4月16日对项目区特征污染物TSP、非甲烷总烃进行监测</w:t>
      </w:r>
      <w:r>
        <w:rPr>
          <w:sz w:val="24"/>
        </w:rPr>
        <w:t>。</w:t>
      </w:r>
    </w:p>
    <w:p>
      <w:pPr>
        <w:spacing w:line="460" w:lineRule="exact"/>
        <w:ind w:firstLine="480" w:firstLineChars="200"/>
        <w:rPr>
          <w:sz w:val="24"/>
        </w:rPr>
      </w:pPr>
      <w:r>
        <w:rPr>
          <w:rFonts w:hint="eastAsia"/>
          <w:sz w:val="24"/>
        </w:rPr>
        <w:t>（1）</w:t>
      </w:r>
      <w:r>
        <w:rPr>
          <w:sz w:val="24"/>
        </w:rPr>
        <w:t>监测布点</w:t>
      </w:r>
    </w:p>
    <w:p>
      <w:pPr>
        <w:spacing w:line="460" w:lineRule="exact"/>
        <w:ind w:firstLine="480" w:firstLineChars="200"/>
        <w:rPr>
          <w:sz w:val="24"/>
        </w:rPr>
      </w:pPr>
      <w:r>
        <w:rPr>
          <w:rFonts w:hint="eastAsia"/>
          <w:sz w:val="24"/>
        </w:rPr>
        <w:t>本次</w:t>
      </w:r>
      <w:r>
        <w:rPr>
          <w:sz w:val="24"/>
        </w:rPr>
        <w:t>大气环境现状监测设</w:t>
      </w:r>
      <w:r>
        <w:rPr>
          <w:rFonts w:hint="eastAsia"/>
          <w:sz w:val="24"/>
        </w:rPr>
        <w:t>1</w:t>
      </w:r>
      <w:r>
        <w:rPr>
          <w:sz w:val="24"/>
        </w:rPr>
        <w:t>个监测点，位于项目厂址</w:t>
      </w:r>
      <w:r>
        <w:rPr>
          <w:rFonts w:hint="eastAsia"/>
          <w:sz w:val="24"/>
        </w:rPr>
        <w:t>，本项目大气监测点位置关系见表5.3-2，具体位置见图5.3-1</w:t>
      </w:r>
      <w:r>
        <w:rPr>
          <w:sz w:val="24"/>
        </w:rPr>
        <w:t>。</w:t>
      </w:r>
    </w:p>
    <w:p>
      <w:pPr>
        <w:ind w:firstLine="420" w:firstLineChars="200"/>
        <w:rPr>
          <w:rFonts w:eastAsia="黑体"/>
          <w:szCs w:val="21"/>
        </w:rPr>
      </w:pPr>
      <w:r>
        <w:rPr>
          <w:rFonts w:hint="eastAsia" w:eastAsia="黑体"/>
          <w:szCs w:val="21"/>
        </w:rPr>
        <w:t>表5.3-2            大气监测点与项目关系一览表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842"/>
        <w:gridCol w:w="1843"/>
        <w:gridCol w:w="1962"/>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pPr>
              <w:jc w:val="center"/>
              <w:rPr>
                <w:kern w:val="0"/>
                <w:sz w:val="21"/>
                <w:szCs w:val="21"/>
              </w:rPr>
            </w:pPr>
            <w:r>
              <w:rPr>
                <w:rFonts w:hint="eastAsia"/>
                <w:kern w:val="0"/>
                <w:sz w:val="21"/>
                <w:szCs w:val="21"/>
              </w:rPr>
              <w:t>监测点名称</w:t>
            </w:r>
          </w:p>
        </w:tc>
        <w:tc>
          <w:tcPr>
            <w:tcW w:w="3685" w:type="dxa"/>
            <w:gridSpan w:val="2"/>
            <w:vAlign w:val="center"/>
          </w:tcPr>
          <w:p>
            <w:pPr>
              <w:jc w:val="center"/>
              <w:rPr>
                <w:kern w:val="0"/>
                <w:sz w:val="21"/>
                <w:szCs w:val="21"/>
              </w:rPr>
            </w:pPr>
            <w:r>
              <w:rPr>
                <w:rFonts w:hint="eastAsia"/>
                <w:kern w:val="0"/>
                <w:sz w:val="21"/>
                <w:szCs w:val="21"/>
              </w:rPr>
              <w:t>经纬度</w:t>
            </w:r>
          </w:p>
        </w:tc>
        <w:tc>
          <w:tcPr>
            <w:tcW w:w="1962" w:type="dxa"/>
            <w:vMerge w:val="restart"/>
            <w:vAlign w:val="center"/>
          </w:tcPr>
          <w:p>
            <w:pPr>
              <w:jc w:val="center"/>
              <w:rPr>
                <w:kern w:val="0"/>
                <w:sz w:val="21"/>
                <w:szCs w:val="21"/>
              </w:rPr>
            </w:pPr>
            <w:r>
              <w:rPr>
                <w:rFonts w:hint="eastAsia"/>
                <w:kern w:val="0"/>
                <w:sz w:val="21"/>
                <w:szCs w:val="21"/>
              </w:rPr>
              <w:t>监测因子</w:t>
            </w:r>
          </w:p>
        </w:tc>
        <w:tc>
          <w:tcPr>
            <w:tcW w:w="1688" w:type="dxa"/>
            <w:vMerge w:val="restart"/>
            <w:vAlign w:val="center"/>
          </w:tcPr>
          <w:p>
            <w:pPr>
              <w:jc w:val="center"/>
              <w:rPr>
                <w:kern w:val="0"/>
                <w:sz w:val="21"/>
                <w:szCs w:val="21"/>
              </w:rPr>
            </w:pPr>
            <w:r>
              <w:rPr>
                <w:rFonts w:hint="eastAsia"/>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jc w:val="center"/>
              <w:rPr>
                <w:kern w:val="0"/>
                <w:sz w:val="21"/>
                <w:szCs w:val="21"/>
              </w:rPr>
            </w:pPr>
          </w:p>
        </w:tc>
        <w:tc>
          <w:tcPr>
            <w:tcW w:w="1842" w:type="dxa"/>
            <w:vAlign w:val="center"/>
          </w:tcPr>
          <w:p>
            <w:pPr>
              <w:jc w:val="center"/>
              <w:rPr>
                <w:kern w:val="0"/>
                <w:sz w:val="21"/>
                <w:szCs w:val="21"/>
              </w:rPr>
            </w:pPr>
            <w:r>
              <w:rPr>
                <w:rFonts w:hint="eastAsia"/>
                <w:kern w:val="0"/>
                <w:sz w:val="21"/>
                <w:szCs w:val="21"/>
              </w:rPr>
              <w:t>东经</w:t>
            </w:r>
          </w:p>
        </w:tc>
        <w:tc>
          <w:tcPr>
            <w:tcW w:w="1843" w:type="dxa"/>
            <w:vAlign w:val="center"/>
          </w:tcPr>
          <w:p>
            <w:pPr>
              <w:jc w:val="center"/>
              <w:rPr>
                <w:kern w:val="0"/>
                <w:sz w:val="21"/>
                <w:szCs w:val="21"/>
              </w:rPr>
            </w:pPr>
            <w:r>
              <w:rPr>
                <w:rFonts w:hint="eastAsia"/>
                <w:kern w:val="0"/>
                <w:sz w:val="21"/>
                <w:szCs w:val="21"/>
              </w:rPr>
              <w:t>北纬</w:t>
            </w:r>
          </w:p>
        </w:tc>
        <w:tc>
          <w:tcPr>
            <w:tcW w:w="1962" w:type="dxa"/>
            <w:vMerge w:val="continue"/>
            <w:vAlign w:val="center"/>
          </w:tcPr>
          <w:p>
            <w:pPr>
              <w:jc w:val="center"/>
              <w:rPr>
                <w:kern w:val="0"/>
                <w:sz w:val="21"/>
                <w:szCs w:val="21"/>
              </w:rPr>
            </w:pPr>
          </w:p>
        </w:tc>
        <w:tc>
          <w:tcPr>
            <w:tcW w:w="1688" w:type="dxa"/>
            <w:vMerge w:val="continue"/>
            <w:vAlign w:val="center"/>
          </w:tcPr>
          <w:p>
            <w:pPr>
              <w:jc w:val="center"/>
              <w:rPr>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jc w:val="center"/>
              <w:rPr>
                <w:kern w:val="0"/>
                <w:sz w:val="21"/>
                <w:szCs w:val="21"/>
              </w:rPr>
            </w:pPr>
            <w:r>
              <w:rPr>
                <w:rFonts w:hint="eastAsia"/>
                <w:kern w:val="0"/>
                <w:sz w:val="21"/>
                <w:szCs w:val="21"/>
              </w:rPr>
              <w:t>厂区内</w:t>
            </w:r>
          </w:p>
        </w:tc>
        <w:tc>
          <w:tcPr>
            <w:tcW w:w="1842" w:type="dxa"/>
            <w:vAlign w:val="center"/>
          </w:tcPr>
          <w:p>
            <w:pPr>
              <w:jc w:val="center"/>
              <w:rPr>
                <w:kern w:val="0"/>
                <w:sz w:val="21"/>
                <w:szCs w:val="21"/>
              </w:rPr>
            </w:pPr>
            <w:r>
              <w:rPr>
                <w:kern w:val="0"/>
                <w:sz w:val="21"/>
                <w:szCs w:val="21"/>
              </w:rPr>
              <w:t>8</w:t>
            </w:r>
            <w:r>
              <w:rPr>
                <w:rFonts w:hint="eastAsia"/>
                <w:kern w:val="0"/>
                <w:sz w:val="21"/>
                <w:szCs w:val="21"/>
              </w:rPr>
              <w:t>7</w:t>
            </w:r>
            <w:r>
              <w:rPr>
                <w:kern w:val="0"/>
                <w:sz w:val="21"/>
                <w:szCs w:val="21"/>
              </w:rPr>
              <w:t>°1</w:t>
            </w:r>
            <w:r>
              <w:rPr>
                <w:rFonts w:hint="eastAsia"/>
                <w:kern w:val="0"/>
                <w:sz w:val="21"/>
                <w:szCs w:val="21"/>
              </w:rPr>
              <w:t>9</w:t>
            </w:r>
            <w:r>
              <w:rPr>
                <w:kern w:val="0"/>
                <w:sz w:val="21"/>
                <w:szCs w:val="21"/>
              </w:rPr>
              <w:t>′</w:t>
            </w:r>
            <w:r>
              <w:rPr>
                <w:rFonts w:hint="eastAsia"/>
                <w:kern w:val="0"/>
                <w:sz w:val="21"/>
                <w:szCs w:val="21"/>
              </w:rPr>
              <w:t>20.25</w:t>
            </w:r>
            <w:r>
              <w:rPr>
                <w:kern w:val="0"/>
                <w:sz w:val="21"/>
                <w:szCs w:val="21"/>
              </w:rPr>
              <w:t>″</w:t>
            </w:r>
          </w:p>
        </w:tc>
        <w:tc>
          <w:tcPr>
            <w:tcW w:w="1843" w:type="dxa"/>
            <w:vAlign w:val="center"/>
          </w:tcPr>
          <w:p>
            <w:pPr>
              <w:jc w:val="center"/>
              <w:rPr>
                <w:kern w:val="0"/>
                <w:sz w:val="21"/>
                <w:szCs w:val="21"/>
              </w:rPr>
            </w:pPr>
            <w:r>
              <w:rPr>
                <w:kern w:val="0"/>
                <w:sz w:val="21"/>
                <w:szCs w:val="21"/>
              </w:rPr>
              <w:t>44°</w:t>
            </w:r>
            <w:r>
              <w:rPr>
                <w:rFonts w:hint="eastAsia"/>
                <w:kern w:val="0"/>
                <w:sz w:val="21"/>
                <w:szCs w:val="21"/>
              </w:rPr>
              <w:t>13</w:t>
            </w:r>
            <w:r>
              <w:rPr>
                <w:kern w:val="0"/>
                <w:sz w:val="21"/>
                <w:szCs w:val="21"/>
              </w:rPr>
              <w:t>′</w:t>
            </w:r>
            <w:r>
              <w:rPr>
                <w:rFonts w:hint="eastAsia"/>
                <w:kern w:val="0"/>
                <w:sz w:val="21"/>
                <w:szCs w:val="21"/>
              </w:rPr>
              <w:t>30.99</w:t>
            </w:r>
            <w:r>
              <w:rPr>
                <w:kern w:val="0"/>
                <w:sz w:val="21"/>
                <w:szCs w:val="21"/>
              </w:rPr>
              <w:t>″</w:t>
            </w:r>
          </w:p>
        </w:tc>
        <w:tc>
          <w:tcPr>
            <w:tcW w:w="1962" w:type="dxa"/>
            <w:vAlign w:val="center"/>
          </w:tcPr>
          <w:p>
            <w:pPr>
              <w:jc w:val="center"/>
              <w:rPr>
                <w:kern w:val="0"/>
                <w:sz w:val="21"/>
                <w:szCs w:val="21"/>
              </w:rPr>
            </w:pPr>
            <w:r>
              <w:rPr>
                <w:rFonts w:hint="eastAsia"/>
                <w:kern w:val="0"/>
                <w:sz w:val="21"/>
                <w:szCs w:val="21"/>
              </w:rPr>
              <w:t>TSP、非甲烷总烃</w:t>
            </w:r>
          </w:p>
        </w:tc>
        <w:tc>
          <w:tcPr>
            <w:tcW w:w="1688" w:type="dxa"/>
            <w:vAlign w:val="center"/>
          </w:tcPr>
          <w:p>
            <w:pPr>
              <w:jc w:val="center"/>
              <w:rPr>
                <w:kern w:val="0"/>
                <w:sz w:val="21"/>
                <w:szCs w:val="21"/>
              </w:rPr>
            </w:pPr>
            <w:r>
              <w:rPr>
                <w:rFonts w:hint="eastAsia"/>
                <w:kern w:val="0"/>
                <w:sz w:val="21"/>
                <w:szCs w:val="21"/>
              </w:rPr>
              <w:t>/</w:t>
            </w:r>
          </w:p>
        </w:tc>
      </w:tr>
    </w:tbl>
    <w:p>
      <w:pPr>
        <w:spacing w:line="460" w:lineRule="exact"/>
        <w:ind w:firstLine="480" w:firstLineChars="200"/>
        <w:rPr>
          <w:sz w:val="24"/>
        </w:rPr>
      </w:pPr>
      <w:r>
        <w:rPr>
          <w:rFonts w:hint="eastAsia"/>
          <w:sz w:val="24"/>
        </w:rPr>
        <w:t>（2）监测项目</w:t>
      </w:r>
    </w:p>
    <w:p>
      <w:pPr>
        <w:spacing w:line="460" w:lineRule="exact"/>
        <w:ind w:firstLine="480" w:firstLineChars="200"/>
        <w:rPr>
          <w:sz w:val="24"/>
        </w:rPr>
      </w:pPr>
      <w:r>
        <w:rPr>
          <w:rFonts w:hint="eastAsia"/>
          <w:sz w:val="24"/>
        </w:rPr>
        <w:t>各类污染物监测时间见表5.3-3，监测频次要求见5.3-4。</w:t>
      </w:r>
    </w:p>
    <w:p>
      <w:pPr>
        <w:ind w:firstLine="420" w:firstLineChars="200"/>
        <w:rPr>
          <w:rFonts w:eastAsia="黑体"/>
          <w:szCs w:val="21"/>
        </w:rPr>
      </w:pPr>
      <w:r>
        <w:rPr>
          <w:rFonts w:eastAsia="黑体"/>
          <w:szCs w:val="21"/>
        </w:rPr>
        <w:t>表</w:t>
      </w:r>
      <w:r>
        <w:rPr>
          <w:rFonts w:hint="eastAsia" w:eastAsia="黑体"/>
          <w:szCs w:val="21"/>
        </w:rPr>
        <w:t>5.3-3</w:t>
      </w:r>
      <w:r>
        <w:rPr>
          <w:rFonts w:eastAsia="黑体"/>
          <w:szCs w:val="21"/>
        </w:rPr>
        <w:t xml:space="preserve">             </w:t>
      </w:r>
      <w:r>
        <w:rPr>
          <w:rFonts w:hint="eastAsia" w:eastAsia="黑体"/>
          <w:szCs w:val="21"/>
        </w:rPr>
        <w:t>各类其他污染物监测时间一览表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111"/>
        <w:gridCol w:w="2268"/>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jc w:val="center"/>
              <w:rPr>
                <w:kern w:val="0"/>
                <w:sz w:val="21"/>
                <w:szCs w:val="21"/>
              </w:rPr>
            </w:pPr>
            <w:r>
              <w:rPr>
                <w:rFonts w:hint="eastAsia"/>
                <w:kern w:val="0"/>
                <w:sz w:val="21"/>
                <w:szCs w:val="21"/>
              </w:rPr>
              <w:t>序号</w:t>
            </w:r>
          </w:p>
        </w:tc>
        <w:tc>
          <w:tcPr>
            <w:tcW w:w="4111" w:type="dxa"/>
            <w:vAlign w:val="center"/>
          </w:tcPr>
          <w:p>
            <w:pPr>
              <w:jc w:val="center"/>
              <w:rPr>
                <w:kern w:val="0"/>
                <w:sz w:val="21"/>
                <w:szCs w:val="21"/>
              </w:rPr>
            </w:pPr>
            <w:r>
              <w:rPr>
                <w:rFonts w:hint="eastAsia"/>
                <w:kern w:val="0"/>
                <w:sz w:val="21"/>
                <w:szCs w:val="21"/>
              </w:rPr>
              <w:t>污染物</w:t>
            </w:r>
          </w:p>
        </w:tc>
        <w:tc>
          <w:tcPr>
            <w:tcW w:w="2268" w:type="dxa"/>
            <w:vAlign w:val="center"/>
          </w:tcPr>
          <w:p>
            <w:pPr>
              <w:jc w:val="center"/>
              <w:rPr>
                <w:kern w:val="0"/>
                <w:sz w:val="21"/>
                <w:szCs w:val="21"/>
              </w:rPr>
            </w:pPr>
            <w:r>
              <w:rPr>
                <w:rFonts w:hint="eastAsia"/>
                <w:kern w:val="0"/>
                <w:sz w:val="21"/>
                <w:szCs w:val="21"/>
              </w:rPr>
              <w:t>监测时间</w:t>
            </w:r>
          </w:p>
        </w:tc>
        <w:tc>
          <w:tcPr>
            <w:tcW w:w="1123" w:type="dxa"/>
            <w:vAlign w:val="center"/>
          </w:tcPr>
          <w:p>
            <w:pPr>
              <w:jc w:val="center"/>
              <w:rPr>
                <w:kern w:val="0"/>
                <w:sz w:val="21"/>
                <w:szCs w:val="21"/>
              </w:rPr>
            </w:pPr>
            <w:r>
              <w:rPr>
                <w:rFonts w:hint="eastAsia"/>
                <w:kern w:val="0"/>
                <w:sz w:val="21"/>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jc w:val="center"/>
              <w:rPr>
                <w:kern w:val="0"/>
                <w:sz w:val="21"/>
                <w:szCs w:val="21"/>
              </w:rPr>
            </w:pPr>
            <w:r>
              <w:rPr>
                <w:rFonts w:hint="eastAsia"/>
                <w:kern w:val="0"/>
                <w:sz w:val="21"/>
                <w:szCs w:val="21"/>
              </w:rPr>
              <w:t>1</w:t>
            </w:r>
          </w:p>
        </w:tc>
        <w:tc>
          <w:tcPr>
            <w:tcW w:w="4111" w:type="dxa"/>
            <w:vAlign w:val="center"/>
          </w:tcPr>
          <w:p>
            <w:pPr>
              <w:jc w:val="center"/>
              <w:rPr>
                <w:kern w:val="0"/>
                <w:sz w:val="21"/>
                <w:szCs w:val="21"/>
              </w:rPr>
            </w:pPr>
            <w:r>
              <w:rPr>
                <w:rFonts w:hint="eastAsia"/>
                <w:kern w:val="0"/>
                <w:sz w:val="21"/>
                <w:szCs w:val="21"/>
              </w:rPr>
              <w:t>TSP</w:t>
            </w:r>
          </w:p>
        </w:tc>
        <w:tc>
          <w:tcPr>
            <w:tcW w:w="2268" w:type="dxa"/>
            <w:vMerge w:val="restart"/>
            <w:vAlign w:val="center"/>
          </w:tcPr>
          <w:p>
            <w:pPr>
              <w:jc w:val="center"/>
              <w:rPr>
                <w:kern w:val="0"/>
                <w:sz w:val="21"/>
                <w:szCs w:val="21"/>
              </w:rPr>
            </w:pPr>
            <w:r>
              <w:rPr>
                <w:rFonts w:hint="eastAsia"/>
                <w:kern w:val="0"/>
                <w:sz w:val="21"/>
                <w:szCs w:val="21"/>
              </w:rPr>
              <w:t>2024年4月</w:t>
            </w:r>
            <w:r>
              <w:rPr>
                <w:kern w:val="0"/>
                <w:sz w:val="21"/>
                <w:szCs w:val="21"/>
              </w:rPr>
              <w:t>1</w:t>
            </w:r>
            <w:r>
              <w:rPr>
                <w:rFonts w:hint="eastAsia"/>
                <w:kern w:val="0"/>
                <w:sz w:val="21"/>
                <w:szCs w:val="21"/>
              </w:rPr>
              <w:t>0日~2024年4月16日</w:t>
            </w:r>
          </w:p>
        </w:tc>
        <w:tc>
          <w:tcPr>
            <w:tcW w:w="1123" w:type="dxa"/>
            <w:vMerge w:val="restart"/>
            <w:vAlign w:val="center"/>
          </w:tcPr>
          <w:p>
            <w:pPr>
              <w:jc w:val="center"/>
              <w:rPr>
                <w:kern w:val="0"/>
                <w:sz w:val="21"/>
                <w:szCs w:val="21"/>
              </w:rPr>
            </w:pPr>
            <w:r>
              <w:rPr>
                <w:rFonts w:hint="eastAsia"/>
                <w:kern w:val="0"/>
                <w:sz w:val="21"/>
                <w:szCs w:val="21"/>
              </w:rPr>
              <w:t>实测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jc w:val="center"/>
              <w:rPr>
                <w:kern w:val="0"/>
                <w:sz w:val="21"/>
                <w:szCs w:val="21"/>
              </w:rPr>
            </w:pPr>
            <w:r>
              <w:rPr>
                <w:rFonts w:hint="eastAsia"/>
                <w:kern w:val="0"/>
                <w:sz w:val="21"/>
                <w:szCs w:val="21"/>
              </w:rPr>
              <w:t>2</w:t>
            </w:r>
          </w:p>
        </w:tc>
        <w:tc>
          <w:tcPr>
            <w:tcW w:w="4111" w:type="dxa"/>
            <w:vAlign w:val="center"/>
          </w:tcPr>
          <w:p>
            <w:pPr>
              <w:jc w:val="center"/>
              <w:rPr>
                <w:kern w:val="0"/>
                <w:sz w:val="21"/>
                <w:szCs w:val="21"/>
              </w:rPr>
            </w:pPr>
            <w:r>
              <w:rPr>
                <w:rFonts w:hint="eastAsia"/>
                <w:kern w:val="0"/>
                <w:sz w:val="21"/>
                <w:szCs w:val="21"/>
              </w:rPr>
              <w:t>非甲烷总烃</w:t>
            </w:r>
          </w:p>
        </w:tc>
        <w:tc>
          <w:tcPr>
            <w:tcW w:w="2268" w:type="dxa"/>
            <w:vMerge w:val="continue"/>
            <w:vAlign w:val="center"/>
          </w:tcPr>
          <w:p>
            <w:pPr>
              <w:jc w:val="center"/>
              <w:rPr>
                <w:kern w:val="0"/>
                <w:sz w:val="21"/>
                <w:szCs w:val="21"/>
              </w:rPr>
            </w:pPr>
          </w:p>
        </w:tc>
        <w:tc>
          <w:tcPr>
            <w:tcW w:w="1123" w:type="dxa"/>
            <w:vMerge w:val="continue"/>
            <w:vAlign w:val="center"/>
          </w:tcPr>
          <w:p>
            <w:pPr>
              <w:jc w:val="center"/>
              <w:rPr>
                <w:kern w:val="0"/>
                <w:sz w:val="21"/>
                <w:szCs w:val="21"/>
              </w:rPr>
            </w:pPr>
          </w:p>
        </w:tc>
      </w:tr>
    </w:tbl>
    <w:p>
      <w:pPr>
        <w:ind w:firstLine="420" w:firstLineChars="200"/>
        <w:rPr>
          <w:rFonts w:eastAsia="黑体"/>
          <w:szCs w:val="21"/>
        </w:rPr>
      </w:pPr>
    </w:p>
    <w:p>
      <w:pPr>
        <w:ind w:firstLine="420" w:firstLineChars="200"/>
        <w:rPr>
          <w:rFonts w:eastAsia="黑体"/>
          <w:szCs w:val="21"/>
        </w:rPr>
      </w:pPr>
      <w:r>
        <w:rPr>
          <w:rFonts w:eastAsia="黑体"/>
          <w:szCs w:val="21"/>
        </w:rPr>
        <w:t>表</w:t>
      </w:r>
      <w:r>
        <w:rPr>
          <w:rFonts w:hint="eastAsia" w:eastAsia="黑体"/>
          <w:szCs w:val="21"/>
        </w:rPr>
        <w:t>5.3</w:t>
      </w:r>
      <w:r>
        <w:rPr>
          <w:rFonts w:eastAsia="黑体"/>
          <w:szCs w:val="21"/>
        </w:rPr>
        <w:t xml:space="preserve">-4              </w:t>
      </w:r>
      <w:r>
        <w:rPr>
          <w:rFonts w:eastAsia="黑体"/>
          <w:szCs w:val="21"/>
        </w:rPr>
        <w:tab/>
      </w:r>
      <w:r>
        <w:rPr>
          <w:rFonts w:eastAsia="黑体"/>
          <w:szCs w:val="21"/>
        </w:rPr>
        <w:t>环境空气质量现状监测频次要求</w:t>
      </w:r>
    </w:p>
    <w:tbl>
      <w:tblPr>
        <w:tblStyle w:val="59"/>
        <w:tblW w:w="852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75"/>
        <w:gridCol w:w="2019"/>
        <w:gridCol w:w="582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Cs w:val="21"/>
              </w:rPr>
            </w:pPr>
            <w:r>
              <w:rPr>
                <w:kern w:val="0"/>
                <w:szCs w:val="21"/>
              </w:rPr>
              <w:t>序号</w:t>
            </w:r>
          </w:p>
        </w:tc>
        <w:tc>
          <w:tcPr>
            <w:tcW w:w="2019" w:type="dxa"/>
            <w:vAlign w:val="center"/>
          </w:tcPr>
          <w:p>
            <w:pPr>
              <w:jc w:val="center"/>
              <w:rPr>
                <w:kern w:val="0"/>
                <w:szCs w:val="21"/>
              </w:rPr>
            </w:pPr>
            <w:r>
              <w:rPr>
                <w:kern w:val="0"/>
                <w:szCs w:val="21"/>
              </w:rPr>
              <w:t>监测因子</w:t>
            </w:r>
          </w:p>
        </w:tc>
        <w:tc>
          <w:tcPr>
            <w:tcW w:w="5826" w:type="dxa"/>
            <w:vAlign w:val="center"/>
          </w:tcPr>
          <w:p>
            <w:pPr>
              <w:jc w:val="center"/>
              <w:rPr>
                <w:kern w:val="0"/>
                <w:szCs w:val="21"/>
              </w:rPr>
            </w:pPr>
            <w:r>
              <w:rPr>
                <w:kern w:val="0"/>
                <w:szCs w:val="21"/>
              </w:rPr>
              <w:t>监测频次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Cs w:val="21"/>
              </w:rPr>
            </w:pPr>
            <w:r>
              <w:rPr>
                <w:kern w:val="0"/>
                <w:szCs w:val="21"/>
              </w:rPr>
              <w:t>1</w:t>
            </w:r>
          </w:p>
        </w:tc>
        <w:tc>
          <w:tcPr>
            <w:tcW w:w="2019" w:type="dxa"/>
            <w:vAlign w:val="center"/>
          </w:tcPr>
          <w:p>
            <w:pPr>
              <w:jc w:val="center"/>
              <w:rPr>
                <w:kern w:val="0"/>
                <w:szCs w:val="21"/>
              </w:rPr>
            </w:pPr>
            <w:r>
              <w:rPr>
                <w:kern w:val="0"/>
                <w:szCs w:val="21"/>
              </w:rPr>
              <w:t xml:space="preserve">TSP </w:t>
            </w:r>
          </w:p>
        </w:tc>
        <w:tc>
          <w:tcPr>
            <w:tcW w:w="5826" w:type="dxa"/>
            <w:vAlign w:val="center"/>
          </w:tcPr>
          <w:p>
            <w:pPr>
              <w:jc w:val="left"/>
              <w:rPr>
                <w:kern w:val="0"/>
                <w:szCs w:val="21"/>
              </w:rPr>
            </w:pPr>
            <w:r>
              <w:rPr>
                <w:kern w:val="0"/>
                <w:szCs w:val="21"/>
              </w:rPr>
              <w:t>连续监测7天。</w:t>
            </w:r>
          </w:p>
          <w:p>
            <w:pPr>
              <w:jc w:val="left"/>
              <w:rPr>
                <w:kern w:val="0"/>
                <w:szCs w:val="21"/>
              </w:rPr>
            </w:pPr>
            <w:r>
              <w:rPr>
                <w:kern w:val="0"/>
                <w:szCs w:val="21"/>
              </w:rPr>
              <w:t>24小时平均浓度： TSP每天采样24小时。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Cs w:val="21"/>
              </w:rPr>
            </w:pPr>
            <w:r>
              <w:rPr>
                <w:kern w:val="0"/>
                <w:szCs w:val="21"/>
              </w:rPr>
              <w:t>2</w:t>
            </w:r>
          </w:p>
        </w:tc>
        <w:tc>
          <w:tcPr>
            <w:tcW w:w="2019" w:type="dxa"/>
            <w:vAlign w:val="center"/>
          </w:tcPr>
          <w:p>
            <w:pPr>
              <w:jc w:val="center"/>
              <w:rPr>
                <w:kern w:val="0"/>
                <w:szCs w:val="21"/>
              </w:rPr>
            </w:pPr>
            <w:r>
              <w:rPr>
                <w:rFonts w:hint="eastAsia"/>
                <w:kern w:val="0"/>
                <w:szCs w:val="21"/>
              </w:rPr>
              <w:t>非甲烷总烃</w:t>
            </w:r>
          </w:p>
        </w:tc>
        <w:tc>
          <w:tcPr>
            <w:tcW w:w="5826" w:type="dxa"/>
            <w:vAlign w:val="center"/>
          </w:tcPr>
          <w:p>
            <w:pPr>
              <w:jc w:val="left"/>
              <w:rPr>
                <w:kern w:val="0"/>
                <w:szCs w:val="21"/>
              </w:rPr>
            </w:pPr>
            <w:r>
              <w:rPr>
                <w:kern w:val="0"/>
                <w:szCs w:val="21"/>
              </w:rPr>
              <w:t>连续监测7天。</w:t>
            </w:r>
          </w:p>
          <w:p>
            <w:pPr>
              <w:jc w:val="left"/>
              <w:rPr>
                <w:kern w:val="0"/>
                <w:szCs w:val="21"/>
              </w:rPr>
            </w:pPr>
            <w:r>
              <w:rPr>
                <w:kern w:val="0"/>
                <w:szCs w:val="21"/>
              </w:rPr>
              <w:t>一次浓度：每天采样4次，采样时间为北京时间02:00、08：00、14：00、20：00。</w:t>
            </w:r>
          </w:p>
        </w:tc>
      </w:tr>
    </w:tbl>
    <w:p>
      <w:pPr>
        <w:spacing w:line="460" w:lineRule="exact"/>
        <w:ind w:firstLine="480" w:firstLineChars="200"/>
        <w:rPr>
          <w:sz w:val="24"/>
        </w:rPr>
      </w:pPr>
    </w:p>
    <w:p>
      <w:pPr>
        <w:spacing w:line="460" w:lineRule="exact"/>
        <w:ind w:firstLine="480" w:firstLineChars="200"/>
        <w:rPr>
          <w:sz w:val="24"/>
        </w:rPr>
      </w:pPr>
      <w:r>
        <w:rPr>
          <w:rFonts w:hint="eastAsia"/>
          <w:sz w:val="24"/>
        </w:rPr>
        <w:t>（3）采样分析方法</w:t>
      </w:r>
    </w:p>
    <w:p>
      <w:pPr>
        <w:spacing w:line="460" w:lineRule="exact"/>
        <w:ind w:firstLine="480" w:firstLineChars="200"/>
        <w:rPr>
          <w:sz w:val="24"/>
        </w:rPr>
      </w:pPr>
      <w:r>
        <w:rPr>
          <w:rFonts w:hint="eastAsia"/>
          <w:sz w:val="24"/>
        </w:rPr>
        <w:t>本次评价环境空气采样及分析方法均根据原国家环保总局颁布的《空气和废气监测分析方法》、《环境监测技术规范》中的有关规定执行。环境空气监测项目分析方法见表5.3</w:t>
      </w:r>
      <w:r>
        <w:rPr>
          <w:sz w:val="24"/>
        </w:rPr>
        <w:t>-</w:t>
      </w:r>
      <w:r>
        <w:rPr>
          <w:rFonts w:hint="eastAsia"/>
          <w:sz w:val="24"/>
        </w:rPr>
        <w:t>5。</w:t>
      </w:r>
    </w:p>
    <w:p>
      <w:pPr>
        <w:ind w:firstLine="420" w:firstLineChars="200"/>
        <w:rPr>
          <w:rFonts w:eastAsia="黑体"/>
          <w:szCs w:val="21"/>
        </w:rPr>
      </w:pPr>
      <w:r>
        <w:rPr>
          <w:rFonts w:hint="eastAsia" w:eastAsia="黑体"/>
          <w:szCs w:val="21"/>
        </w:rPr>
        <w:t>表5.3</w:t>
      </w:r>
      <w:r>
        <w:rPr>
          <w:rFonts w:eastAsia="黑体"/>
          <w:szCs w:val="21"/>
        </w:rPr>
        <w:t>-</w:t>
      </w:r>
      <w:r>
        <w:rPr>
          <w:rFonts w:hint="eastAsia" w:eastAsia="黑体"/>
          <w:szCs w:val="21"/>
        </w:rPr>
        <w:t>5</w:t>
      </w:r>
      <w:r>
        <w:rPr>
          <w:rFonts w:eastAsia="黑体"/>
          <w:szCs w:val="21"/>
        </w:rPr>
        <w:t xml:space="preserve">                </w:t>
      </w:r>
      <w:r>
        <w:rPr>
          <w:rFonts w:hint="eastAsia" w:eastAsia="黑体"/>
          <w:szCs w:val="21"/>
        </w:rPr>
        <w:t>环境空气监测项目分析方法</w:t>
      </w:r>
    </w:p>
    <w:tbl>
      <w:tblPr>
        <w:tblStyle w:val="59"/>
        <w:tblW w:w="88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14"/>
        <w:gridCol w:w="3271"/>
        <w:gridCol w:w="1906"/>
        <w:gridCol w:w="137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1014" w:type="dxa"/>
            <w:vAlign w:val="center"/>
          </w:tcPr>
          <w:p>
            <w:pPr>
              <w:jc w:val="center"/>
              <w:rPr>
                <w:kern w:val="0"/>
                <w:szCs w:val="21"/>
              </w:rPr>
            </w:pPr>
            <w:r>
              <w:rPr>
                <w:kern w:val="0"/>
                <w:szCs w:val="21"/>
              </w:rPr>
              <w:t>监测项目</w:t>
            </w:r>
          </w:p>
        </w:tc>
        <w:tc>
          <w:tcPr>
            <w:tcW w:w="3271" w:type="dxa"/>
            <w:vAlign w:val="center"/>
          </w:tcPr>
          <w:p>
            <w:pPr>
              <w:jc w:val="center"/>
              <w:rPr>
                <w:kern w:val="0"/>
                <w:szCs w:val="21"/>
              </w:rPr>
            </w:pPr>
            <w:r>
              <w:rPr>
                <w:kern w:val="0"/>
                <w:szCs w:val="21"/>
              </w:rPr>
              <w:t>监测方法及依据</w:t>
            </w:r>
          </w:p>
        </w:tc>
        <w:tc>
          <w:tcPr>
            <w:tcW w:w="1906" w:type="dxa"/>
            <w:vAlign w:val="center"/>
          </w:tcPr>
          <w:p>
            <w:pPr>
              <w:jc w:val="center"/>
              <w:rPr>
                <w:kern w:val="0"/>
                <w:szCs w:val="21"/>
              </w:rPr>
            </w:pPr>
            <w:r>
              <w:rPr>
                <w:kern w:val="0"/>
                <w:szCs w:val="21"/>
              </w:rPr>
              <w:t>所用仪器</w:t>
            </w:r>
          </w:p>
        </w:tc>
        <w:tc>
          <w:tcPr>
            <w:tcW w:w="1378" w:type="dxa"/>
            <w:vAlign w:val="center"/>
          </w:tcPr>
          <w:p>
            <w:pPr>
              <w:jc w:val="center"/>
              <w:rPr>
                <w:kern w:val="0"/>
                <w:szCs w:val="21"/>
              </w:rPr>
            </w:pPr>
            <w:r>
              <w:rPr>
                <w:kern w:val="0"/>
                <w:szCs w:val="21"/>
              </w:rPr>
              <w:t>仪器编号</w:t>
            </w:r>
          </w:p>
        </w:tc>
        <w:tc>
          <w:tcPr>
            <w:tcW w:w="1262" w:type="dxa"/>
            <w:vAlign w:val="center"/>
          </w:tcPr>
          <w:p>
            <w:pPr>
              <w:jc w:val="center"/>
              <w:rPr>
                <w:kern w:val="0"/>
                <w:szCs w:val="21"/>
              </w:rPr>
            </w:pPr>
            <w:r>
              <w:rPr>
                <w:kern w:val="0"/>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1014" w:type="dxa"/>
            <w:vAlign w:val="center"/>
          </w:tcPr>
          <w:p>
            <w:pPr>
              <w:jc w:val="center"/>
              <w:rPr>
                <w:kern w:val="0"/>
                <w:szCs w:val="21"/>
              </w:rPr>
            </w:pPr>
            <w:r>
              <w:rPr>
                <w:rFonts w:hint="eastAsia"/>
                <w:kern w:val="0"/>
                <w:szCs w:val="21"/>
              </w:rPr>
              <w:t>TSP</w:t>
            </w:r>
          </w:p>
        </w:tc>
        <w:tc>
          <w:tcPr>
            <w:tcW w:w="3271" w:type="dxa"/>
            <w:vAlign w:val="center"/>
          </w:tcPr>
          <w:p>
            <w:pPr>
              <w:jc w:val="center"/>
              <w:rPr>
                <w:kern w:val="0"/>
                <w:szCs w:val="21"/>
              </w:rPr>
            </w:pPr>
            <w:r>
              <w:rPr>
                <w:rFonts w:hint="eastAsia"/>
                <w:kern w:val="0"/>
                <w:szCs w:val="21"/>
              </w:rPr>
              <w:t>环境空气 总悬浮颗粒物的测定 重量法 HJ1263-2022</w:t>
            </w:r>
          </w:p>
        </w:tc>
        <w:tc>
          <w:tcPr>
            <w:tcW w:w="1906" w:type="dxa"/>
            <w:vAlign w:val="center"/>
          </w:tcPr>
          <w:p>
            <w:pPr>
              <w:jc w:val="center"/>
              <w:rPr>
                <w:kern w:val="0"/>
                <w:szCs w:val="21"/>
              </w:rPr>
            </w:pPr>
            <w:r>
              <w:rPr>
                <w:rFonts w:hint="eastAsia"/>
                <w:kern w:val="0"/>
                <w:szCs w:val="21"/>
              </w:rPr>
              <w:t>SQP电子天平(十万分之一)</w:t>
            </w:r>
          </w:p>
        </w:tc>
        <w:tc>
          <w:tcPr>
            <w:tcW w:w="1378" w:type="dxa"/>
            <w:vAlign w:val="center"/>
          </w:tcPr>
          <w:p>
            <w:pPr>
              <w:jc w:val="center"/>
              <w:rPr>
                <w:kern w:val="0"/>
                <w:szCs w:val="21"/>
              </w:rPr>
            </w:pPr>
            <w:r>
              <w:rPr>
                <w:rFonts w:hint="eastAsia"/>
                <w:kern w:val="0"/>
                <w:szCs w:val="21"/>
              </w:rPr>
              <w:t>XSJS/YQ-53</w:t>
            </w:r>
          </w:p>
        </w:tc>
        <w:tc>
          <w:tcPr>
            <w:tcW w:w="1262" w:type="dxa"/>
            <w:vAlign w:val="center"/>
          </w:tcPr>
          <w:p>
            <w:pPr>
              <w:jc w:val="center"/>
              <w:rPr>
                <w:kern w:val="0"/>
                <w:szCs w:val="21"/>
              </w:rPr>
            </w:pPr>
            <w:r>
              <w:rPr>
                <w:kern w:val="0"/>
                <w:szCs w:val="21"/>
              </w:rPr>
              <w:t>0.00</w:t>
            </w:r>
            <w:r>
              <w:rPr>
                <w:rFonts w:hint="eastAsia"/>
                <w:kern w:val="0"/>
                <w:szCs w:val="21"/>
              </w:rPr>
              <w:t>7</w:t>
            </w:r>
            <w:r>
              <w:rPr>
                <w:kern w:val="0"/>
                <w:szCs w:val="21"/>
              </w:rPr>
              <w:t>mg/m</w:t>
            </w:r>
            <w:r>
              <w:rPr>
                <w:kern w:val="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1014" w:type="dxa"/>
            <w:vAlign w:val="center"/>
          </w:tcPr>
          <w:p>
            <w:pPr>
              <w:jc w:val="center"/>
              <w:rPr>
                <w:kern w:val="0"/>
                <w:szCs w:val="21"/>
              </w:rPr>
            </w:pPr>
            <w:r>
              <w:rPr>
                <w:rFonts w:hint="eastAsia"/>
                <w:kern w:val="0"/>
                <w:szCs w:val="21"/>
              </w:rPr>
              <w:t>非甲烷总烃</w:t>
            </w:r>
          </w:p>
        </w:tc>
        <w:tc>
          <w:tcPr>
            <w:tcW w:w="3271" w:type="dxa"/>
            <w:vAlign w:val="center"/>
          </w:tcPr>
          <w:p>
            <w:pPr>
              <w:spacing w:line="240" w:lineRule="exact"/>
              <w:jc w:val="center"/>
              <w:rPr>
                <w:kern w:val="0"/>
                <w:szCs w:val="21"/>
              </w:rPr>
            </w:pPr>
            <w:r>
              <w:rPr>
                <w:kern w:val="0"/>
                <w:szCs w:val="21"/>
              </w:rPr>
              <w:t>环境空气 总烃、甲烷和非甲烷总烃的测定 直接进样-气相色谱法</w:t>
            </w:r>
            <w:r>
              <w:rPr>
                <w:rFonts w:hint="eastAsia"/>
                <w:kern w:val="0"/>
                <w:szCs w:val="21"/>
              </w:rPr>
              <w:t xml:space="preserve"> </w:t>
            </w:r>
            <w:r>
              <w:rPr>
                <w:kern w:val="0"/>
                <w:szCs w:val="21"/>
              </w:rPr>
              <w:t>HJ 604-2017</w:t>
            </w:r>
          </w:p>
        </w:tc>
        <w:tc>
          <w:tcPr>
            <w:tcW w:w="1906" w:type="dxa"/>
            <w:vAlign w:val="center"/>
          </w:tcPr>
          <w:p>
            <w:pPr>
              <w:jc w:val="center"/>
              <w:rPr>
                <w:kern w:val="0"/>
                <w:szCs w:val="21"/>
              </w:rPr>
            </w:pPr>
            <w:r>
              <w:rPr>
                <w:rFonts w:hint="eastAsia"/>
                <w:kern w:val="0"/>
                <w:szCs w:val="21"/>
              </w:rPr>
              <w:t xml:space="preserve">GC-5890N型气相色谱仪 </w:t>
            </w:r>
          </w:p>
        </w:tc>
        <w:tc>
          <w:tcPr>
            <w:tcW w:w="1378" w:type="dxa"/>
            <w:vAlign w:val="center"/>
          </w:tcPr>
          <w:p>
            <w:pPr>
              <w:jc w:val="center"/>
              <w:rPr>
                <w:kern w:val="0"/>
                <w:szCs w:val="21"/>
              </w:rPr>
            </w:pPr>
            <w:r>
              <w:rPr>
                <w:kern w:val="0"/>
                <w:szCs w:val="21"/>
              </w:rPr>
              <w:t>XSJS/YQ-</w:t>
            </w:r>
            <w:r>
              <w:rPr>
                <w:rFonts w:hint="eastAsia"/>
                <w:kern w:val="0"/>
                <w:szCs w:val="21"/>
              </w:rPr>
              <w:t>78</w:t>
            </w:r>
          </w:p>
        </w:tc>
        <w:tc>
          <w:tcPr>
            <w:tcW w:w="1262" w:type="dxa"/>
            <w:vAlign w:val="center"/>
          </w:tcPr>
          <w:p>
            <w:pPr>
              <w:jc w:val="center"/>
              <w:rPr>
                <w:kern w:val="0"/>
                <w:szCs w:val="21"/>
              </w:rPr>
            </w:pPr>
            <w:r>
              <w:rPr>
                <w:kern w:val="0"/>
                <w:szCs w:val="21"/>
              </w:rPr>
              <w:t>0.07mg/m</w:t>
            </w:r>
            <w:r>
              <w:rPr>
                <w:kern w:val="0"/>
                <w:szCs w:val="21"/>
                <w:vertAlign w:val="superscript"/>
              </w:rPr>
              <w:t>3</w:t>
            </w:r>
          </w:p>
        </w:tc>
      </w:tr>
    </w:tbl>
    <w:p>
      <w:pPr>
        <w:spacing w:line="460" w:lineRule="exact"/>
        <w:ind w:firstLine="480" w:firstLineChars="200"/>
        <w:rPr>
          <w:sz w:val="24"/>
        </w:rPr>
      </w:pPr>
    </w:p>
    <w:p>
      <w:pPr>
        <w:spacing w:line="460" w:lineRule="exact"/>
        <w:ind w:firstLine="480" w:firstLineChars="200"/>
        <w:rPr>
          <w:sz w:val="24"/>
        </w:rPr>
      </w:pPr>
      <w:r>
        <w:rPr>
          <w:rFonts w:hint="eastAsia"/>
          <w:sz w:val="24"/>
        </w:rPr>
        <w:t>（4）</w:t>
      </w:r>
      <w:r>
        <w:rPr>
          <w:sz w:val="24"/>
        </w:rPr>
        <w:t>评价方法</w:t>
      </w:r>
    </w:p>
    <w:p>
      <w:pPr>
        <w:autoSpaceDE w:val="0"/>
        <w:autoSpaceDN w:val="0"/>
        <w:spacing w:line="460" w:lineRule="exact"/>
        <w:ind w:firstLine="480" w:firstLineChars="200"/>
        <w:textAlignment w:val="baseline"/>
        <w:rPr>
          <w:sz w:val="24"/>
        </w:rPr>
      </w:pPr>
      <w:r>
        <w:rPr>
          <w:rFonts w:hint="eastAsia"/>
          <w:sz w:val="24"/>
        </w:rPr>
        <w:t>评价方法采用最大质量浓度占相应标准质量浓度的百分比及超标率对监测结果进行评价分析。</w:t>
      </w:r>
      <w:r>
        <w:rPr>
          <w:sz w:val="24"/>
        </w:rPr>
        <w:t>计算公式为：</w:t>
      </w:r>
    </w:p>
    <w:p>
      <w:pPr>
        <w:autoSpaceDE w:val="0"/>
        <w:autoSpaceDN w:val="0"/>
        <w:spacing w:line="460" w:lineRule="exact"/>
        <w:jc w:val="center"/>
        <w:textAlignment w:val="baseline"/>
        <w:rPr>
          <w:i/>
          <w:sz w:val="24"/>
        </w:rPr>
      </w:pPr>
      <w:r>
        <w:rPr>
          <w:i/>
          <w:sz w:val="24"/>
        </w:rPr>
        <w:t>P</w:t>
      </w:r>
      <w:r>
        <w:rPr>
          <w:i/>
          <w:sz w:val="24"/>
          <w:vertAlign w:val="subscript"/>
        </w:rPr>
        <w:t>i</w:t>
      </w:r>
      <w:r>
        <w:rPr>
          <w:i/>
          <w:sz w:val="24"/>
        </w:rPr>
        <w:t>=C</w:t>
      </w:r>
      <w:r>
        <w:rPr>
          <w:i/>
          <w:sz w:val="24"/>
          <w:vertAlign w:val="subscript"/>
        </w:rPr>
        <w:t>i</w:t>
      </w:r>
      <w:r>
        <w:rPr>
          <w:i/>
          <w:sz w:val="24"/>
        </w:rPr>
        <w:t>/C</w:t>
      </w:r>
      <w:r>
        <w:rPr>
          <w:i/>
          <w:sz w:val="24"/>
          <w:vertAlign w:val="subscript"/>
        </w:rPr>
        <w:t>oi</w:t>
      </w:r>
      <w:r>
        <w:rPr>
          <w:i/>
          <w:sz w:val="24"/>
        </w:rPr>
        <w:t>×100%</w:t>
      </w:r>
    </w:p>
    <w:p>
      <w:pPr>
        <w:autoSpaceDE w:val="0"/>
        <w:autoSpaceDN w:val="0"/>
        <w:spacing w:line="460" w:lineRule="exact"/>
        <w:ind w:firstLine="480" w:firstLineChars="200"/>
        <w:textAlignment w:val="baseline"/>
        <w:rPr>
          <w:sz w:val="24"/>
        </w:rPr>
      </w:pPr>
      <w:r>
        <w:rPr>
          <w:sz w:val="24"/>
        </w:rPr>
        <w:t>式中：P</w:t>
      </w:r>
      <w:r>
        <w:rPr>
          <w:sz w:val="24"/>
          <w:vertAlign w:val="subscript"/>
        </w:rPr>
        <w:t>i</w:t>
      </w:r>
      <w:r>
        <w:rPr>
          <w:sz w:val="24"/>
        </w:rPr>
        <w:t>—第i个污染物的最大浓度占标率（无量纲）；</w:t>
      </w:r>
    </w:p>
    <w:p>
      <w:pPr>
        <w:autoSpaceDE w:val="0"/>
        <w:autoSpaceDN w:val="0"/>
        <w:spacing w:line="460" w:lineRule="exact"/>
        <w:ind w:firstLine="480" w:firstLineChars="200"/>
        <w:textAlignment w:val="baseline"/>
        <w:rPr>
          <w:sz w:val="24"/>
        </w:rPr>
      </w:pPr>
      <w:r>
        <w:rPr>
          <w:sz w:val="24"/>
        </w:rPr>
        <w:t xml:space="preserve">      C</w:t>
      </w:r>
      <w:r>
        <w:rPr>
          <w:sz w:val="24"/>
          <w:vertAlign w:val="subscript"/>
        </w:rPr>
        <w:t>i</w:t>
      </w:r>
      <w:r>
        <w:rPr>
          <w:sz w:val="24"/>
        </w:rPr>
        <w:t>—第i个污染物的最大浓度（μg/m</w:t>
      </w:r>
      <w:r>
        <w:rPr>
          <w:sz w:val="24"/>
          <w:vertAlign w:val="superscript"/>
        </w:rPr>
        <w:t>3</w:t>
      </w:r>
      <w:r>
        <w:rPr>
          <w:sz w:val="24"/>
        </w:rPr>
        <w:t>）；</w:t>
      </w:r>
    </w:p>
    <w:p>
      <w:pPr>
        <w:autoSpaceDE w:val="0"/>
        <w:autoSpaceDN w:val="0"/>
        <w:spacing w:line="460" w:lineRule="exact"/>
        <w:ind w:firstLine="480" w:firstLineChars="200"/>
        <w:textAlignment w:val="baseline"/>
        <w:rPr>
          <w:sz w:val="24"/>
        </w:rPr>
      </w:pPr>
      <w:r>
        <w:rPr>
          <w:sz w:val="24"/>
        </w:rPr>
        <w:t xml:space="preserve">      C</w:t>
      </w:r>
      <w:r>
        <w:rPr>
          <w:sz w:val="24"/>
          <w:vertAlign w:val="subscript"/>
        </w:rPr>
        <w:t>oi</w:t>
      </w:r>
      <w:r>
        <w:rPr>
          <w:sz w:val="24"/>
        </w:rPr>
        <w:t>—第i个污染物的环境空气质量浓度标准（μg/m</w:t>
      </w:r>
      <w:r>
        <w:rPr>
          <w:sz w:val="24"/>
          <w:vertAlign w:val="superscript"/>
        </w:rPr>
        <w:t>3</w:t>
      </w:r>
      <w:r>
        <w:rPr>
          <w:sz w:val="24"/>
        </w:rPr>
        <w:t>）。</w:t>
      </w:r>
    </w:p>
    <w:p>
      <w:pPr>
        <w:spacing w:line="460" w:lineRule="exact"/>
        <w:ind w:firstLine="480" w:firstLineChars="200"/>
        <w:rPr>
          <w:sz w:val="24"/>
        </w:rPr>
      </w:pPr>
      <w:r>
        <w:rPr>
          <w:rFonts w:hint="eastAsia"/>
          <w:sz w:val="24"/>
        </w:rPr>
        <w:t>（5）评价标准</w:t>
      </w:r>
    </w:p>
    <w:p>
      <w:pPr>
        <w:spacing w:line="460" w:lineRule="exact"/>
        <w:ind w:firstLine="480" w:firstLineChars="200"/>
        <w:rPr>
          <w:sz w:val="24"/>
        </w:rPr>
      </w:pPr>
      <w:r>
        <w:rPr>
          <w:rFonts w:hint="eastAsia"/>
          <w:sz w:val="24"/>
        </w:rPr>
        <w:t>TSP执行《环境空气质量标准》（GB 3095-2012）中二级标准；非甲烷总烃参照执行《大气污染物综合排放标准详解》中的环境管理推荐限值。</w:t>
      </w:r>
    </w:p>
    <w:p>
      <w:pPr>
        <w:spacing w:line="460" w:lineRule="exact"/>
        <w:ind w:firstLine="480" w:firstLineChars="200"/>
        <w:rPr>
          <w:sz w:val="24"/>
        </w:rPr>
      </w:pPr>
      <w:r>
        <w:rPr>
          <w:rFonts w:hint="eastAsia"/>
          <w:sz w:val="24"/>
        </w:rPr>
        <w:t>（6）</w:t>
      </w:r>
      <w:r>
        <w:rPr>
          <w:sz w:val="24"/>
        </w:rPr>
        <w:t>监测结果统计</w:t>
      </w:r>
    </w:p>
    <w:p>
      <w:pPr>
        <w:spacing w:line="460" w:lineRule="exact"/>
        <w:ind w:firstLine="480" w:firstLineChars="200"/>
        <w:rPr>
          <w:sz w:val="24"/>
        </w:rPr>
      </w:pPr>
      <w:r>
        <w:rPr>
          <w:rFonts w:hint="eastAsia"/>
          <w:sz w:val="24"/>
        </w:rPr>
        <w:t>环境空气特征污染物现状监测结果评价汇总见表5.3-6</w:t>
      </w:r>
      <w:r>
        <w:rPr>
          <w:sz w:val="24"/>
        </w:rPr>
        <w:t>。</w:t>
      </w:r>
    </w:p>
    <w:p>
      <w:pPr>
        <w:ind w:firstLine="420" w:firstLineChars="200"/>
        <w:rPr>
          <w:rFonts w:eastAsia="黑体"/>
          <w:szCs w:val="21"/>
        </w:rPr>
      </w:pPr>
      <w:r>
        <w:rPr>
          <w:rFonts w:eastAsia="黑体"/>
          <w:szCs w:val="21"/>
        </w:rPr>
        <w:t>表</w:t>
      </w:r>
      <w:r>
        <w:rPr>
          <w:rFonts w:hint="eastAsia" w:eastAsia="黑体"/>
          <w:szCs w:val="21"/>
        </w:rPr>
        <w:t>5.3-6</w:t>
      </w:r>
      <w:r>
        <w:rPr>
          <w:rFonts w:eastAsia="黑体"/>
          <w:szCs w:val="21"/>
        </w:rPr>
        <w:t xml:space="preserve">             </w:t>
      </w:r>
      <w:r>
        <w:rPr>
          <w:rFonts w:hint="eastAsia" w:eastAsia="黑体"/>
          <w:szCs w:val="21"/>
        </w:rPr>
        <w:t xml:space="preserve"> </w:t>
      </w:r>
      <w:r>
        <w:rPr>
          <w:rFonts w:eastAsia="黑体"/>
          <w:szCs w:val="21"/>
        </w:rPr>
        <w:t xml:space="preserve">  环境空气质量现状监测及评价结果</w:t>
      </w:r>
    </w:p>
    <w:tbl>
      <w:tblPr>
        <w:tblStyle w:val="60"/>
        <w:tblW w:w="90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276"/>
        <w:gridCol w:w="1409"/>
        <w:gridCol w:w="1146"/>
        <w:gridCol w:w="1417"/>
        <w:gridCol w:w="1273"/>
        <w:gridCol w:w="851"/>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spacing w:line="240" w:lineRule="exact"/>
              <w:jc w:val="center"/>
              <w:rPr>
                <w:kern w:val="0"/>
                <w:sz w:val="21"/>
                <w:szCs w:val="21"/>
              </w:rPr>
            </w:pPr>
            <w:r>
              <w:rPr>
                <w:kern w:val="0"/>
                <w:sz w:val="21"/>
                <w:szCs w:val="21"/>
              </w:rPr>
              <w:t>监测</w:t>
            </w:r>
            <w:r>
              <w:rPr>
                <w:rFonts w:hint="eastAsia"/>
                <w:kern w:val="0"/>
                <w:sz w:val="21"/>
                <w:szCs w:val="21"/>
              </w:rPr>
              <w:t xml:space="preserve"> </w:t>
            </w:r>
            <w:r>
              <w:rPr>
                <w:kern w:val="0"/>
                <w:sz w:val="21"/>
                <w:szCs w:val="21"/>
              </w:rPr>
              <w:t xml:space="preserve">            点位</w:t>
            </w:r>
          </w:p>
        </w:tc>
        <w:tc>
          <w:tcPr>
            <w:tcW w:w="1276" w:type="dxa"/>
            <w:vAlign w:val="center"/>
          </w:tcPr>
          <w:p>
            <w:pPr>
              <w:spacing w:line="240" w:lineRule="exact"/>
              <w:jc w:val="center"/>
              <w:rPr>
                <w:kern w:val="0"/>
                <w:sz w:val="21"/>
                <w:szCs w:val="21"/>
              </w:rPr>
            </w:pPr>
            <w:r>
              <w:rPr>
                <w:kern w:val="0"/>
                <w:sz w:val="21"/>
                <w:szCs w:val="21"/>
              </w:rPr>
              <w:t>污染物</w:t>
            </w:r>
          </w:p>
        </w:tc>
        <w:tc>
          <w:tcPr>
            <w:tcW w:w="1409" w:type="dxa"/>
            <w:vAlign w:val="center"/>
          </w:tcPr>
          <w:p>
            <w:pPr>
              <w:spacing w:line="240" w:lineRule="exact"/>
              <w:jc w:val="center"/>
              <w:rPr>
                <w:kern w:val="0"/>
                <w:sz w:val="21"/>
                <w:szCs w:val="21"/>
              </w:rPr>
            </w:pPr>
            <w:r>
              <w:rPr>
                <w:kern w:val="0"/>
                <w:sz w:val="21"/>
                <w:szCs w:val="21"/>
              </w:rPr>
              <w:t>平均时间</w:t>
            </w:r>
          </w:p>
        </w:tc>
        <w:tc>
          <w:tcPr>
            <w:tcW w:w="1146" w:type="dxa"/>
            <w:vAlign w:val="center"/>
          </w:tcPr>
          <w:p>
            <w:pPr>
              <w:spacing w:line="240" w:lineRule="exact"/>
              <w:jc w:val="center"/>
              <w:rPr>
                <w:kern w:val="0"/>
                <w:sz w:val="21"/>
                <w:szCs w:val="21"/>
              </w:rPr>
            </w:pPr>
            <w:r>
              <w:rPr>
                <w:kern w:val="0"/>
                <w:sz w:val="21"/>
                <w:szCs w:val="21"/>
              </w:rPr>
              <w:t>评价标准（μg/m</w:t>
            </w:r>
            <w:r>
              <w:rPr>
                <w:kern w:val="0"/>
                <w:sz w:val="21"/>
                <w:szCs w:val="21"/>
                <w:vertAlign w:val="superscript"/>
              </w:rPr>
              <w:t>3</w:t>
            </w:r>
            <w:r>
              <w:rPr>
                <w:kern w:val="0"/>
                <w:sz w:val="21"/>
                <w:szCs w:val="21"/>
              </w:rPr>
              <w:t>）</w:t>
            </w:r>
          </w:p>
        </w:tc>
        <w:tc>
          <w:tcPr>
            <w:tcW w:w="1417" w:type="dxa"/>
            <w:vAlign w:val="center"/>
          </w:tcPr>
          <w:p>
            <w:pPr>
              <w:spacing w:line="240" w:lineRule="exact"/>
              <w:jc w:val="center"/>
              <w:rPr>
                <w:kern w:val="0"/>
                <w:sz w:val="21"/>
                <w:szCs w:val="21"/>
              </w:rPr>
            </w:pPr>
            <w:r>
              <w:rPr>
                <w:kern w:val="0"/>
                <w:sz w:val="21"/>
                <w:szCs w:val="21"/>
              </w:rPr>
              <w:t>监测浓度范围（μg/m</w:t>
            </w:r>
            <w:r>
              <w:rPr>
                <w:kern w:val="0"/>
                <w:sz w:val="21"/>
                <w:szCs w:val="21"/>
                <w:vertAlign w:val="superscript"/>
              </w:rPr>
              <w:t>3</w:t>
            </w:r>
            <w:r>
              <w:rPr>
                <w:kern w:val="0"/>
                <w:sz w:val="21"/>
                <w:szCs w:val="21"/>
              </w:rPr>
              <w:t>）</w:t>
            </w:r>
          </w:p>
        </w:tc>
        <w:tc>
          <w:tcPr>
            <w:tcW w:w="1273" w:type="dxa"/>
            <w:vAlign w:val="center"/>
          </w:tcPr>
          <w:p>
            <w:pPr>
              <w:spacing w:line="240" w:lineRule="exact"/>
              <w:jc w:val="center"/>
              <w:rPr>
                <w:kern w:val="0"/>
                <w:sz w:val="21"/>
                <w:szCs w:val="21"/>
              </w:rPr>
            </w:pPr>
            <w:r>
              <w:rPr>
                <w:kern w:val="0"/>
                <w:sz w:val="21"/>
                <w:szCs w:val="21"/>
              </w:rPr>
              <w:t>最大浓度占标率（%）</w:t>
            </w:r>
          </w:p>
        </w:tc>
        <w:tc>
          <w:tcPr>
            <w:tcW w:w="851" w:type="dxa"/>
            <w:vAlign w:val="center"/>
          </w:tcPr>
          <w:p>
            <w:pPr>
              <w:spacing w:line="240" w:lineRule="exact"/>
              <w:jc w:val="center"/>
              <w:rPr>
                <w:kern w:val="0"/>
                <w:sz w:val="21"/>
                <w:szCs w:val="21"/>
              </w:rPr>
            </w:pPr>
            <w:r>
              <w:rPr>
                <w:kern w:val="0"/>
                <w:sz w:val="21"/>
                <w:szCs w:val="21"/>
              </w:rPr>
              <w:t>超标率（%）</w:t>
            </w:r>
          </w:p>
        </w:tc>
        <w:tc>
          <w:tcPr>
            <w:tcW w:w="708" w:type="dxa"/>
            <w:vAlign w:val="center"/>
          </w:tcPr>
          <w:p>
            <w:pPr>
              <w:spacing w:line="240" w:lineRule="exact"/>
              <w:jc w:val="center"/>
              <w:rPr>
                <w:kern w:val="0"/>
                <w:sz w:val="21"/>
                <w:szCs w:val="21"/>
              </w:rPr>
            </w:pPr>
            <w:r>
              <w:rPr>
                <w:kern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pPr>
              <w:spacing w:line="240" w:lineRule="exact"/>
              <w:jc w:val="center"/>
              <w:rPr>
                <w:kern w:val="0"/>
                <w:sz w:val="21"/>
                <w:szCs w:val="21"/>
              </w:rPr>
            </w:pPr>
            <w:r>
              <w:rPr>
                <w:rFonts w:hint="eastAsia"/>
                <w:kern w:val="0"/>
                <w:sz w:val="21"/>
                <w:szCs w:val="21"/>
              </w:rPr>
              <w:t>厂址</w:t>
            </w:r>
          </w:p>
        </w:tc>
        <w:tc>
          <w:tcPr>
            <w:tcW w:w="1276" w:type="dxa"/>
            <w:vAlign w:val="center"/>
          </w:tcPr>
          <w:p>
            <w:pPr>
              <w:spacing w:line="240" w:lineRule="exact"/>
              <w:jc w:val="center"/>
              <w:rPr>
                <w:kern w:val="0"/>
                <w:sz w:val="21"/>
                <w:szCs w:val="21"/>
              </w:rPr>
            </w:pPr>
            <w:r>
              <w:rPr>
                <w:rFonts w:hint="eastAsia"/>
                <w:kern w:val="0"/>
                <w:sz w:val="21"/>
                <w:szCs w:val="21"/>
              </w:rPr>
              <w:t>TSP</w:t>
            </w:r>
          </w:p>
        </w:tc>
        <w:tc>
          <w:tcPr>
            <w:tcW w:w="1409" w:type="dxa"/>
            <w:vAlign w:val="center"/>
          </w:tcPr>
          <w:p>
            <w:pPr>
              <w:spacing w:line="240" w:lineRule="exact"/>
              <w:jc w:val="center"/>
              <w:rPr>
                <w:kern w:val="0"/>
                <w:sz w:val="21"/>
                <w:szCs w:val="21"/>
              </w:rPr>
            </w:pPr>
            <w:r>
              <w:rPr>
                <w:rFonts w:hint="eastAsia"/>
                <w:kern w:val="0"/>
                <w:sz w:val="21"/>
                <w:szCs w:val="21"/>
              </w:rPr>
              <w:t>2</w:t>
            </w:r>
            <w:r>
              <w:rPr>
                <w:kern w:val="0"/>
                <w:sz w:val="21"/>
                <w:szCs w:val="21"/>
              </w:rPr>
              <w:t>4</w:t>
            </w:r>
            <w:r>
              <w:rPr>
                <w:rFonts w:hint="eastAsia"/>
                <w:kern w:val="0"/>
                <w:sz w:val="21"/>
                <w:szCs w:val="21"/>
              </w:rPr>
              <w:t>小时平均</w:t>
            </w:r>
          </w:p>
        </w:tc>
        <w:tc>
          <w:tcPr>
            <w:tcW w:w="1146" w:type="dxa"/>
            <w:vAlign w:val="center"/>
          </w:tcPr>
          <w:p>
            <w:pPr>
              <w:spacing w:line="240" w:lineRule="exact"/>
              <w:jc w:val="center"/>
              <w:rPr>
                <w:kern w:val="0"/>
                <w:sz w:val="21"/>
                <w:szCs w:val="21"/>
              </w:rPr>
            </w:pPr>
            <w:r>
              <w:rPr>
                <w:rFonts w:hint="eastAsia"/>
                <w:kern w:val="0"/>
                <w:sz w:val="21"/>
                <w:szCs w:val="21"/>
              </w:rPr>
              <w:t>300</w:t>
            </w:r>
          </w:p>
        </w:tc>
        <w:tc>
          <w:tcPr>
            <w:tcW w:w="1417" w:type="dxa"/>
            <w:vAlign w:val="center"/>
          </w:tcPr>
          <w:p>
            <w:pPr>
              <w:spacing w:line="240" w:lineRule="exact"/>
              <w:jc w:val="center"/>
              <w:rPr>
                <w:kern w:val="0"/>
                <w:sz w:val="21"/>
                <w:szCs w:val="21"/>
              </w:rPr>
            </w:pPr>
            <w:r>
              <w:rPr>
                <w:rFonts w:hint="eastAsia"/>
                <w:kern w:val="0"/>
                <w:sz w:val="21"/>
                <w:szCs w:val="21"/>
              </w:rPr>
              <w:t>155～164</w:t>
            </w:r>
          </w:p>
        </w:tc>
        <w:tc>
          <w:tcPr>
            <w:tcW w:w="1273" w:type="dxa"/>
            <w:vAlign w:val="center"/>
          </w:tcPr>
          <w:p>
            <w:pPr>
              <w:spacing w:line="240" w:lineRule="exact"/>
              <w:jc w:val="center"/>
              <w:rPr>
                <w:kern w:val="0"/>
                <w:sz w:val="21"/>
                <w:szCs w:val="21"/>
              </w:rPr>
            </w:pPr>
            <w:r>
              <w:rPr>
                <w:rFonts w:hint="eastAsia"/>
                <w:kern w:val="0"/>
                <w:sz w:val="21"/>
                <w:szCs w:val="21"/>
              </w:rPr>
              <w:t>54.67</w:t>
            </w:r>
          </w:p>
        </w:tc>
        <w:tc>
          <w:tcPr>
            <w:tcW w:w="851" w:type="dxa"/>
            <w:vAlign w:val="center"/>
          </w:tcPr>
          <w:p>
            <w:pPr>
              <w:spacing w:line="240" w:lineRule="exact"/>
              <w:jc w:val="center"/>
              <w:rPr>
                <w:kern w:val="0"/>
                <w:sz w:val="21"/>
                <w:szCs w:val="21"/>
              </w:rPr>
            </w:pPr>
            <w:r>
              <w:rPr>
                <w:kern w:val="0"/>
                <w:sz w:val="21"/>
                <w:szCs w:val="21"/>
              </w:rPr>
              <w:t>0</w:t>
            </w:r>
          </w:p>
        </w:tc>
        <w:tc>
          <w:tcPr>
            <w:tcW w:w="708" w:type="dxa"/>
            <w:vAlign w:val="center"/>
          </w:tcPr>
          <w:p>
            <w:pPr>
              <w:spacing w:line="240" w:lineRule="exact"/>
              <w:jc w:val="center"/>
              <w:rPr>
                <w:kern w:val="0"/>
                <w:sz w:val="21"/>
                <w:szCs w:val="21"/>
              </w:rPr>
            </w:pPr>
            <w:r>
              <w:rPr>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pPr>
              <w:spacing w:line="240" w:lineRule="exact"/>
              <w:jc w:val="center"/>
              <w:rPr>
                <w:kern w:val="0"/>
                <w:sz w:val="21"/>
                <w:szCs w:val="21"/>
              </w:rPr>
            </w:pPr>
          </w:p>
        </w:tc>
        <w:tc>
          <w:tcPr>
            <w:tcW w:w="1276" w:type="dxa"/>
            <w:vAlign w:val="center"/>
          </w:tcPr>
          <w:p>
            <w:pPr>
              <w:spacing w:line="240" w:lineRule="exact"/>
              <w:jc w:val="center"/>
              <w:rPr>
                <w:kern w:val="0"/>
                <w:sz w:val="21"/>
                <w:szCs w:val="21"/>
              </w:rPr>
            </w:pPr>
            <w:r>
              <w:rPr>
                <w:rFonts w:hint="eastAsia"/>
                <w:kern w:val="0"/>
                <w:sz w:val="21"/>
                <w:szCs w:val="21"/>
              </w:rPr>
              <w:t>非甲烷总烃</w:t>
            </w:r>
          </w:p>
        </w:tc>
        <w:tc>
          <w:tcPr>
            <w:tcW w:w="1409" w:type="dxa"/>
            <w:vAlign w:val="center"/>
          </w:tcPr>
          <w:p>
            <w:pPr>
              <w:spacing w:line="240" w:lineRule="exact"/>
              <w:jc w:val="center"/>
              <w:rPr>
                <w:kern w:val="0"/>
                <w:sz w:val="21"/>
                <w:szCs w:val="21"/>
              </w:rPr>
            </w:pPr>
            <w:r>
              <w:rPr>
                <w:rFonts w:hint="eastAsia"/>
                <w:kern w:val="0"/>
                <w:sz w:val="21"/>
                <w:szCs w:val="21"/>
              </w:rPr>
              <w:t>1小时</w:t>
            </w:r>
          </w:p>
        </w:tc>
        <w:tc>
          <w:tcPr>
            <w:tcW w:w="1146" w:type="dxa"/>
            <w:vAlign w:val="center"/>
          </w:tcPr>
          <w:p>
            <w:pPr>
              <w:spacing w:line="240" w:lineRule="exact"/>
              <w:jc w:val="center"/>
              <w:rPr>
                <w:kern w:val="0"/>
                <w:sz w:val="21"/>
                <w:szCs w:val="21"/>
              </w:rPr>
            </w:pPr>
            <w:r>
              <w:rPr>
                <w:rFonts w:hint="eastAsia"/>
                <w:kern w:val="0"/>
                <w:sz w:val="21"/>
                <w:szCs w:val="21"/>
              </w:rPr>
              <w:t>2</w:t>
            </w:r>
            <w:r>
              <w:rPr>
                <w:kern w:val="0"/>
                <w:sz w:val="21"/>
                <w:szCs w:val="21"/>
              </w:rPr>
              <w:t>000</w:t>
            </w:r>
          </w:p>
        </w:tc>
        <w:tc>
          <w:tcPr>
            <w:tcW w:w="1417" w:type="dxa"/>
            <w:vAlign w:val="center"/>
          </w:tcPr>
          <w:p>
            <w:pPr>
              <w:spacing w:line="240" w:lineRule="exact"/>
              <w:jc w:val="center"/>
              <w:rPr>
                <w:kern w:val="0"/>
                <w:sz w:val="21"/>
                <w:szCs w:val="21"/>
              </w:rPr>
            </w:pPr>
            <w:r>
              <w:rPr>
                <w:rFonts w:hint="eastAsia"/>
                <w:kern w:val="0"/>
                <w:sz w:val="21"/>
                <w:szCs w:val="21"/>
              </w:rPr>
              <w:t>700～740</w:t>
            </w:r>
          </w:p>
        </w:tc>
        <w:tc>
          <w:tcPr>
            <w:tcW w:w="1273" w:type="dxa"/>
            <w:vAlign w:val="center"/>
          </w:tcPr>
          <w:p>
            <w:pPr>
              <w:spacing w:line="240" w:lineRule="exact"/>
              <w:jc w:val="center"/>
              <w:rPr>
                <w:kern w:val="0"/>
                <w:sz w:val="21"/>
                <w:szCs w:val="21"/>
              </w:rPr>
            </w:pPr>
            <w:r>
              <w:rPr>
                <w:rFonts w:hint="eastAsia"/>
                <w:kern w:val="0"/>
                <w:sz w:val="21"/>
                <w:szCs w:val="21"/>
              </w:rPr>
              <w:t>37.00</w:t>
            </w:r>
          </w:p>
        </w:tc>
        <w:tc>
          <w:tcPr>
            <w:tcW w:w="851" w:type="dxa"/>
            <w:vAlign w:val="center"/>
          </w:tcPr>
          <w:p>
            <w:pPr>
              <w:spacing w:line="240" w:lineRule="exact"/>
              <w:jc w:val="center"/>
              <w:rPr>
                <w:kern w:val="0"/>
                <w:sz w:val="21"/>
                <w:szCs w:val="21"/>
              </w:rPr>
            </w:pPr>
            <w:r>
              <w:rPr>
                <w:rFonts w:hint="eastAsia"/>
                <w:kern w:val="0"/>
                <w:sz w:val="21"/>
                <w:szCs w:val="21"/>
              </w:rPr>
              <w:t>0</w:t>
            </w:r>
          </w:p>
        </w:tc>
        <w:tc>
          <w:tcPr>
            <w:tcW w:w="708" w:type="dxa"/>
            <w:vAlign w:val="center"/>
          </w:tcPr>
          <w:p>
            <w:pPr>
              <w:spacing w:line="240" w:lineRule="exact"/>
              <w:jc w:val="center"/>
              <w:rPr>
                <w:kern w:val="0"/>
                <w:sz w:val="21"/>
                <w:szCs w:val="21"/>
              </w:rPr>
            </w:pPr>
            <w:r>
              <w:rPr>
                <w:rFonts w:hint="eastAsia"/>
                <w:kern w:val="0"/>
                <w:sz w:val="21"/>
                <w:szCs w:val="21"/>
              </w:rPr>
              <w:t>达标</w:t>
            </w:r>
          </w:p>
        </w:tc>
      </w:tr>
    </w:tbl>
    <w:p>
      <w:pPr>
        <w:spacing w:line="460" w:lineRule="exact"/>
        <w:ind w:firstLine="480" w:firstLineChars="200"/>
        <w:rPr>
          <w:sz w:val="24"/>
        </w:rPr>
      </w:pPr>
    </w:p>
    <w:p>
      <w:pPr>
        <w:spacing w:line="460" w:lineRule="exact"/>
        <w:ind w:firstLine="480" w:firstLineChars="200"/>
        <w:rPr>
          <w:sz w:val="24"/>
        </w:rPr>
      </w:pPr>
      <w:r>
        <w:rPr>
          <w:rFonts w:hint="eastAsia"/>
          <w:sz w:val="24"/>
        </w:rPr>
        <w:t>由表5.3-6可知，监测期间评价区内TSP满足《环境空气质量标准》（GB3095-2012）中二级标准；非甲烷总烃满足《大气污染物综合排放标准详解》中要求。</w:t>
      </w:r>
    </w:p>
    <w:p>
      <w:pPr>
        <w:pStyle w:val="5"/>
        <w:numPr>
          <w:ilvl w:val="0"/>
          <w:numId w:val="0"/>
        </w:numPr>
        <w:adjustRightInd w:val="0"/>
        <w:spacing w:before="0" w:line="460" w:lineRule="exact"/>
        <w:ind w:left="113" w:firstLine="126" w:firstLineChars="50"/>
        <w:textAlignment w:val="baseline"/>
        <w:rPr>
          <w:rFonts w:ascii="Times New Roman"/>
          <w:szCs w:val="24"/>
        </w:rPr>
      </w:pPr>
      <w:r>
        <w:rPr>
          <w:rFonts w:hint="eastAsia" w:ascii="Times New Roman"/>
          <w:spacing w:val="12"/>
          <w:w w:val="95"/>
          <w:kern w:val="0"/>
          <w:szCs w:val="26"/>
        </w:rPr>
        <w:t>5.3.2地下</w:t>
      </w:r>
      <w:r>
        <w:rPr>
          <w:rFonts w:ascii="Times New Roman"/>
          <w:spacing w:val="12"/>
          <w:w w:val="95"/>
          <w:kern w:val="0"/>
          <w:szCs w:val="26"/>
        </w:rPr>
        <w:t>水环境</w:t>
      </w:r>
      <w:r>
        <w:rPr>
          <w:rFonts w:hint="eastAsia" w:ascii="Times New Roman"/>
          <w:spacing w:val="12"/>
          <w:w w:val="95"/>
          <w:kern w:val="0"/>
          <w:szCs w:val="26"/>
        </w:rPr>
        <w:t>质量</w:t>
      </w:r>
      <w:r>
        <w:rPr>
          <w:rFonts w:ascii="Times New Roman"/>
          <w:spacing w:val="12"/>
          <w:w w:val="95"/>
          <w:kern w:val="0"/>
          <w:szCs w:val="26"/>
        </w:rPr>
        <w:t>现状调查及评价</w:t>
      </w:r>
    </w:p>
    <w:p>
      <w:pPr>
        <w:spacing w:line="460" w:lineRule="exact"/>
        <w:ind w:firstLine="480" w:firstLineChars="200"/>
        <w:rPr>
          <w:sz w:val="24"/>
        </w:rPr>
      </w:pPr>
      <w:r>
        <w:rPr>
          <w:rFonts w:hint="eastAsia"/>
          <w:sz w:val="24"/>
        </w:rPr>
        <w:t>本次评价地下水环境质量现状调查与评价采用实测方式，环评期间委托新疆锡水金山环境科技有限公司于2024年4月10日对项目区地下水环境进行监测。</w:t>
      </w:r>
    </w:p>
    <w:p>
      <w:pPr>
        <w:spacing w:line="460" w:lineRule="exact"/>
        <w:ind w:firstLine="480" w:firstLineChars="200"/>
        <w:rPr>
          <w:sz w:val="24"/>
        </w:rPr>
      </w:pPr>
      <w:r>
        <w:rPr>
          <w:rFonts w:hint="eastAsia"/>
          <w:sz w:val="24"/>
        </w:rPr>
        <w:t>1、</w:t>
      </w:r>
      <w:r>
        <w:rPr>
          <w:sz w:val="24"/>
        </w:rPr>
        <w:t>监测点位</w:t>
      </w:r>
    </w:p>
    <w:p>
      <w:pPr>
        <w:spacing w:line="460" w:lineRule="exact"/>
        <w:ind w:firstLine="480" w:firstLineChars="200"/>
        <w:rPr>
          <w:sz w:val="24"/>
        </w:rPr>
      </w:pPr>
      <w:r>
        <w:rPr>
          <w:rFonts w:hint="eastAsia"/>
          <w:sz w:val="24"/>
        </w:rPr>
        <w:t>项目地下水监测点位与项目位置关系见表5.3-7，位置关系图见图5.3-1</w:t>
      </w:r>
      <w:r>
        <w:rPr>
          <w:sz w:val="24"/>
        </w:rPr>
        <w:t>。</w:t>
      </w:r>
    </w:p>
    <w:p>
      <w:pPr>
        <w:ind w:firstLine="420" w:firstLineChars="200"/>
        <w:rPr>
          <w:rFonts w:eastAsia="黑体"/>
          <w:szCs w:val="21"/>
        </w:rPr>
      </w:pPr>
      <w:r>
        <w:rPr>
          <w:rFonts w:hint="eastAsia" w:eastAsia="黑体"/>
          <w:szCs w:val="21"/>
        </w:rPr>
        <w:t>表5.3-7              地下水监测点位置关系一览表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2126"/>
        <w:gridCol w:w="1843"/>
        <w:gridCol w:w="2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1"/>
                <w:szCs w:val="21"/>
              </w:rPr>
            </w:pPr>
            <w:r>
              <w:rPr>
                <w:rFonts w:hint="eastAsia"/>
                <w:kern w:val="0"/>
                <w:sz w:val="21"/>
                <w:szCs w:val="21"/>
              </w:rPr>
              <w:t>序号</w:t>
            </w:r>
          </w:p>
        </w:tc>
        <w:tc>
          <w:tcPr>
            <w:tcW w:w="1418" w:type="dxa"/>
            <w:vAlign w:val="center"/>
          </w:tcPr>
          <w:p>
            <w:pPr>
              <w:jc w:val="center"/>
              <w:rPr>
                <w:kern w:val="0"/>
                <w:sz w:val="21"/>
                <w:szCs w:val="21"/>
              </w:rPr>
            </w:pPr>
            <w:r>
              <w:rPr>
                <w:rFonts w:hint="eastAsia"/>
                <w:kern w:val="0"/>
                <w:sz w:val="21"/>
                <w:szCs w:val="21"/>
              </w:rPr>
              <w:t>监测点位</w:t>
            </w:r>
          </w:p>
        </w:tc>
        <w:tc>
          <w:tcPr>
            <w:tcW w:w="2126" w:type="dxa"/>
            <w:vAlign w:val="center"/>
          </w:tcPr>
          <w:p>
            <w:pPr>
              <w:jc w:val="center"/>
              <w:rPr>
                <w:kern w:val="0"/>
                <w:sz w:val="21"/>
                <w:szCs w:val="21"/>
              </w:rPr>
            </w:pPr>
            <w:r>
              <w:rPr>
                <w:rFonts w:hint="eastAsia"/>
                <w:kern w:val="0"/>
                <w:sz w:val="21"/>
                <w:szCs w:val="21"/>
              </w:rPr>
              <w:t>地理坐标</w:t>
            </w:r>
          </w:p>
        </w:tc>
        <w:tc>
          <w:tcPr>
            <w:tcW w:w="1843" w:type="dxa"/>
            <w:vAlign w:val="center"/>
          </w:tcPr>
          <w:p>
            <w:pPr>
              <w:jc w:val="center"/>
              <w:rPr>
                <w:kern w:val="0"/>
                <w:sz w:val="21"/>
                <w:szCs w:val="21"/>
              </w:rPr>
            </w:pPr>
            <w:r>
              <w:rPr>
                <w:rFonts w:hint="eastAsia"/>
                <w:kern w:val="0"/>
                <w:sz w:val="21"/>
                <w:szCs w:val="21"/>
              </w:rPr>
              <w:t>与项目方位关系</w:t>
            </w:r>
          </w:p>
        </w:tc>
        <w:tc>
          <w:tcPr>
            <w:tcW w:w="2374" w:type="dxa"/>
            <w:vAlign w:val="center"/>
          </w:tcPr>
          <w:p>
            <w:pPr>
              <w:jc w:val="center"/>
              <w:rPr>
                <w:kern w:val="0"/>
                <w:sz w:val="21"/>
                <w:szCs w:val="21"/>
              </w:rPr>
            </w:pPr>
            <w:r>
              <w:rPr>
                <w:rFonts w:hint="eastAsia"/>
                <w:kern w:val="0"/>
                <w:sz w:val="21"/>
                <w:szCs w:val="21"/>
              </w:rPr>
              <w:t>含水层及井深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1"/>
                <w:szCs w:val="21"/>
              </w:rPr>
            </w:pPr>
            <w:r>
              <w:rPr>
                <w:rFonts w:hint="eastAsia"/>
                <w:kern w:val="0"/>
                <w:sz w:val="21"/>
                <w:szCs w:val="21"/>
              </w:rPr>
              <w:t>W1</w:t>
            </w:r>
          </w:p>
        </w:tc>
        <w:tc>
          <w:tcPr>
            <w:tcW w:w="1418" w:type="dxa"/>
            <w:vAlign w:val="center"/>
          </w:tcPr>
          <w:p>
            <w:pPr>
              <w:jc w:val="center"/>
              <w:rPr>
                <w:kern w:val="0"/>
                <w:sz w:val="21"/>
                <w:szCs w:val="21"/>
              </w:rPr>
            </w:pPr>
            <w:r>
              <w:rPr>
                <w:rFonts w:hint="eastAsia"/>
                <w:kern w:val="0"/>
                <w:sz w:val="21"/>
                <w:szCs w:val="21"/>
              </w:rPr>
              <w:t>厂区内</w:t>
            </w:r>
          </w:p>
        </w:tc>
        <w:tc>
          <w:tcPr>
            <w:tcW w:w="2126" w:type="dxa"/>
            <w:vAlign w:val="center"/>
          </w:tcPr>
          <w:p>
            <w:pPr>
              <w:jc w:val="center"/>
              <w:rPr>
                <w:kern w:val="0"/>
                <w:sz w:val="21"/>
                <w:szCs w:val="21"/>
              </w:rPr>
            </w:pPr>
            <w:r>
              <w:rPr>
                <w:rFonts w:hint="eastAsia"/>
                <w:kern w:val="0"/>
                <w:sz w:val="21"/>
                <w:szCs w:val="21"/>
              </w:rPr>
              <w:t>N</w:t>
            </w:r>
            <w:r>
              <w:rPr>
                <w:kern w:val="0"/>
                <w:sz w:val="21"/>
                <w:szCs w:val="21"/>
              </w:rPr>
              <w:t>4</w:t>
            </w:r>
            <w:r>
              <w:rPr>
                <w:rFonts w:hint="eastAsia"/>
                <w:kern w:val="0"/>
                <w:sz w:val="21"/>
                <w:szCs w:val="21"/>
              </w:rPr>
              <w:t>4</w:t>
            </w:r>
            <w:r>
              <w:rPr>
                <w:kern w:val="0"/>
                <w:sz w:val="21"/>
                <w:szCs w:val="21"/>
              </w:rPr>
              <w:t>°</w:t>
            </w:r>
            <w:r>
              <w:rPr>
                <w:rFonts w:hint="eastAsia"/>
                <w:kern w:val="0"/>
                <w:sz w:val="21"/>
                <w:szCs w:val="21"/>
              </w:rPr>
              <w:t>13</w:t>
            </w:r>
            <w:r>
              <w:rPr>
                <w:kern w:val="0"/>
                <w:sz w:val="21"/>
                <w:szCs w:val="21"/>
              </w:rPr>
              <w:t>'</w:t>
            </w:r>
            <w:r>
              <w:rPr>
                <w:rFonts w:hint="eastAsia"/>
                <w:kern w:val="0"/>
                <w:sz w:val="21"/>
                <w:szCs w:val="21"/>
              </w:rPr>
              <w:t>30.83</w:t>
            </w:r>
            <w:r>
              <w:rPr>
                <w:kern w:val="0"/>
                <w:sz w:val="21"/>
                <w:szCs w:val="21"/>
              </w:rPr>
              <w:t>"</w:t>
            </w:r>
          </w:p>
          <w:p>
            <w:pPr>
              <w:jc w:val="center"/>
              <w:rPr>
                <w:kern w:val="0"/>
                <w:sz w:val="21"/>
                <w:szCs w:val="21"/>
              </w:rPr>
            </w:pPr>
            <w:r>
              <w:rPr>
                <w:rFonts w:hint="eastAsia"/>
                <w:kern w:val="0"/>
                <w:sz w:val="21"/>
                <w:szCs w:val="21"/>
              </w:rPr>
              <w:t>E</w:t>
            </w:r>
            <w:r>
              <w:rPr>
                <w:kern w:val="0"/>
                <w:sz w:val="21"/>
                <w:szCs w:val="21"/>
              </w:rPr>
              <w:t>8</w:t>
            </w:r>
            <w:r>
              <w:rPr>
                <w:rFonts w:hint="eastAsia"/>
                <w:kern w:val="0"/>
                <w:sz w:val="21"/>
                <w:szCs w:val="21"/>
              </w:rPr>
              <w:t>7</w:t>
            </w:r>
            <w:r>
              <w:rPr>
                <w:kern w:val="0"/>
                <w:sz w:val="21"/>
                <w:szCs w:val="21"/>
              </w:rPr>
              <w:t>°</w:t>
            </w:r>
            <w:r>
              <w:rPr>
                <w:rFonts w:hint="eastAsia"/>
                <w:kern w:val="0"/>
                <w:sz w:val="21"/>
                <w:szCs w:val="21"/>
              </w:rPr>
              <w:t>19</w:t>
            </w:r>
            <w:r>
              <w:rPr>
                <w:kern w:val="0"/>
                <w:sz w:val="21"/>
                <w:szCs w:val="21"/>
              </w:rPr>
              <w:t>'</w:t>
            </w:r>
            <w:r>
              <w:rPr>
                <w:rFonts w:hint="eastAsia"/>
                <w:kern w:val="0"/>
                <w:sz w:val="21"/>
                <w:szCs w:val="21"/>
              </w:rPr>
              <w:t>20.17</w:t>
            </w:r>
            <w:r>
              <w:rPr>
                <w:kern w:val="0"/>
                <w:sz w:val="21"/>
                <w:szCs w:val="21"/>
              </w:rPr>
              <w:t>"</w:t>
            </w:r>
          </w:p>
        </w:tc>
        <w:tc>
          <w:tcPr>
            <w:tcW w:w="1843" w:type="dxa"/>
            <w:vAlign w:val="center"/>
          </w:tcPr>
          <w:p>
            <w:pPr>
              <w:jc w:val="center"/>
              <w:rPr>
                <w:kern w:val="0"/>
                <w:sz w:val="21"/>
                <w:szCs w:val="21"/>
              </w:rPr>
            </w:pPr>
            <w:r>
              <w:rPr>
                <w:rFonts w:hint="eastAsia"/>
                <w:kern w:val="0"/>
                <w:sz w:val="21"/>
                <w:szCs w:val="21"/>
              </w:rPr>
              <w:t>/</w:t>
            </w:r>
          </w:p>
        </w:tc>
        <w:tc>
          <w:tcPr>
            <w:tcW w:w="2374" w:type="dxa"/>
            <w:vAlign w:val="center"/>
          </w:tcPr>
          <w:p>
            <w:pPr>
              <w:jc w:val="center"/>
              <w:rPr>
                <w:kern w:val="0"/>
                <w:sz w:val="21"/>
                <w:szCs w:val="21"/>
              </w:rPr>
            </w:pPr>
            <w:r>
              <w:rPr>
                <w:rFonts w:hint="eastAsia"/>
                <w:kern w:val="0"/>
                <w:sz w:val="21"/>
                <w:szCs w:val="21"/>
              </w:rPr>
              <w:t>潜水含水层/220m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1"/>
                <w:szCs w:val="21"/>
              </w:rPr>
            </w:pPr>
            <w:r>
              <w:rPr>
                <w:rFonts w:hint="eastAsia"/>
                <w:kern w:val="0"/>
                <w:sz w:val="21"/>
                <w:szCs w:val="21"/>
              </w:rPr>
              <w:t>W 2</w:t>
            </w:r>
          </w:p>
        </w:tc>
        <w:tc>
          <w:tcPr>
            <w:tcW w:w="1418" w:type="dxa"/>
            <w:vAlign w:val="center"/>
          </w:tcPr>
          <w:p>
            <w:pPr>
              <w:jc w:val="center"/>
              <w:rPr>
                <w:kern w:val="0"/>
                <w:sz w:val="21"/>
                <w:szCs w:val="21"/>
              </w:rPr>
            </w:pPr>
            <w:r>
              <w:rPr>
                <w:rFonts w:hint="eastAsia"/>
                <w:kern w:val="0"/>
                <w:sz w:val="21"/>
                <w:szCs w:val="21"/>
              </w:rPr>
              <w:t>厂区北侧</w:t>
            </w:r>
          </w:p>
        </w:tc>
        <w:tc>
          <w:tcPr>
            <w:tcW w:w="2126" w:type="dxa"/>
            <w:vAlign w:val="center"/>
          </w:tcPr>
          <w:p>
            <w:pPr>
              <w:jc w:val="center"/>
              <w:rPr>
                <w:kern w:val="0"/>
                <w:sz w:val="21"/>
                <w:szCs w:val="21"/>
              </w:rPr>
            </w:pPr>
            <w:r>
              <w:rPr>
                <w:rFonts w:hint="eastAsia"/>
                <w:kern w:val="0"/>
                <w:sz w:val="21"/>
                <w:szCs w:val="21"/>
              </w:rPr>
              <w:t>N</w:t>
            </w:r>
            <w:r>
              <w:rPr>
                <w:kern w:val="0"/>
                <w:sz w:val="21"/>
                <w:szCs w:val="21"/>
              </w:rPr>
              <w:t>4</w:t>
            </w:r>
            <w:r>
              <w:rPr>
                <w:rFonts w:hint="eastAsia"/>
                <w:kern w:val="0"/>
                <w:sz w:val="21"/>
                <w:szCs w:val="21"/>
              </w:rPr>
              <w:t>4</w:t>
            </w:r>
            <w:r>
              <w:rPr>
                <w:kern w:val="0"/>
                <w:sz w:val="21"/>
                <w:szCs w:val="21"/>
              </w:rPr>
              <w:t>°</w:t>
            </w:r>
            <w:r>
              <w:rPr>
                <w:rFonts w:hint="eastAsia"/>
                <w:kern w:val="0"/>
                <w:sz w:val="21"/>
                <w:szCs w:val="21"/>
              </w:rPr>
              <w:t>13</w:t>
            </w:r>
            <w:r>
              <w:rPr>
                <w:kern w:val="0"/>
                <w:sz w:val="21"/>
                <w:szCs w:val="21"/>
              </w:rPr>
              <w:t>'</w:t>
            </w:r>
            <w:r>
              <w:rPr>
                <w:rFonts w:hint="eastAsia"/>
                <w:kern w:val="0"/>
                <w:sz w:val="21"/>
                <w:szCs w:val="21"/>
              </w:rPr>
              <w:t>46.96</w:t>
            </w:r>
            <w:r>
              <w:rPr>
                <w:kern w:val="0"/>
                <w:sz w:val="21"/>
                <w:szCs w:val="21"/>
              </w:rPr>
              <w:t>"</w:t>
            </w:r>
          </w:p>
          <w:p>
            <w:pPr>
              <w:jc w:val="center"/>
              <w:rPr>
                <w:kern w:val="0"/>
                <w:sz w:val="21"/>
                <w:szCs w:val="21"/>
              </w:rPr>
            </w:pPr>
            <w:r>
              <w:rPr>
                <w:rFonts w:hint="eastAsia"/>
                <w:kern w:val="0"/>
                <w:sz w:val="21"/>
                <w:szCs w:val="21"/>
              </w:rPr>
              <w:t>E</w:t>
            </w:r>
            <w:r>
              <w:rPr>
                <w:kern w:val="0"/>
                <w:sz w:val="21"/>
                <w:szCs w:val="21"/>
              </w:rPr>
              <w:t>8</w:t>
            </w:r>
            <w:r>
              <w:rPr>
                <w:rFonts w:hint="eastAsia"/>
                <w:kern w:val="0"/>
                <w:sz w:val="21"/>
                <w:szCs w:val="21"/>
              </w:rPr>
              <w:t>7</w:t>
            </w:r>
            <w:r>
              <w:rPr>
                <w:kern w:val="0"/>
                <w:sz w:val="21"/>
                <w:szCs w:val="21"/>
              </w:rPr>
              <w:t>°</w:t>
            </w:r>
            <w:r>
              <w:rPr>
                <w:rFonts w:hint="eastAsia"/>
                <w:kern w:val="0"/>
                <w:sz w:val="21"/>
                <w:szCs w:val="21"/>
              </w:rPr>
              <w:t>19</w:t>
            </w:r>
            <w:r>
              <w:rPr>
                <w:kern w:val="0"/>
                <w:sz w:val="21"/>
                <w:szCs w:val="21"/>
              </w:rPr>
              <w:t>'</w:t>
            </w:r>
            <w:r>
              <w:rPr>
                <w:rFonts w:hint="eastAsia"/>
                <w:kern w:val="0"/>
                <w:sz w:val="21"/>
                <w:szCs w:val="21"/>
              </w:rPr>
              <w:t>30.18</w:t>
            </w:r>
            <w:r>
              <w:rPr>
                <w:kern w:val="0"/>
                <w:sz w:val="21"/>
                <w:szCs w:val="21"/>
              </w:rPr>
              <w:t>"</w:t>
            </w:r>
          </w:p>
        </w:tc>
        <w:tc>
          <w:tcPr>
            <w:tcW w:w="1843" w:type="dxa"/>
            <w:vAlign w:val="center"/>
          </w:tcPr>
          <w:p>
            <w:pPr>
              <w:jc w:val="center"/>
              <w:rPr>
                <w:kern w:val="0"/>
                <w:sz w:val="21"/>
                <w:szCs w:val="21"/>
              </w:rPr>
            </w:pPr>
            <w:r>
              <w:rPr>
                <w:rFonts w:hint="eastAsia"/>
                <w:kern w:val="0"/>
                <w:sz w:val="21"/>
                <w:szCs w:val="21"/>
              </w:rPr>
              <w:t>N/0.50km</w:t>
            </w:r>
          </w:p>
        </w:tc>
        <w:tc>
          <w:tcPr>
            <w:tcW w:w="2374" w:type="dxa"/>
            <w:vAlign w:val="center"/>
          </w:tcPr>
          <w:p>
            <w:pPr>
              <w:jc w:val="center"/>
              <w:rPr>
                <w:kern w:val="0"/>
                <w:sz w:val="21"/>
                <w:szCs w:val="21"/>
              </w:rPr>
            </w:pPr>
            <w:r>
              <w:rPr>
                <w:rFonts w:hint="eastAsia"/>
                <w:kern w:val="0"/>
                <w:sz w:val="21"/>
                <w:szCs w:val="21"/>
              </w:rPr>
              <w:t>潜水含水层/160m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1"/>
                <w:szCs w:val="21"/>
              </w:rPr>
            </w:pPr>
            <w:r>
              <w:rPr>
                <w:rFonts w:hint="eastAsia"/>
                <w:kern w:val="0"/>
                <w:sz w:val="21"/>
                <w:szCs w:val="21"/>
              </w:rPr>
              <w:t>W 3</w:t>
            </w:r>
          </w:p>
        </w:tc>
        <w:tc>
          <w:tcPr>
            <w:tcW w:w="1418" w:type="dxa"/>
            <w:vAlign w:val="center"/>
          </w:tcPr>
          <w:p>
            <w:pPr>
              <w:jc w:val="center"/>
              <w:rPr>
                <w:kern w:val="0"/>
                <w:sz w:val="21"/>
                <w:szCs w:val="21"/>
              </w:rPr>
            </w:pPr>
            <w:r>
              <w:rPr>
                <w:rFonts w:hint="eastAsia"/>
                <w:kern w:val="0"/>
                <w:sz w:val="21"/>
                <w:szCs w:val="21"/>
              </w:rPr>
              <w:t>厂区东侧</w:t>
            </w:r>
          </w:p>
        </w:tc>
        <w:tc>
          <w:tcPr>
            <w:tcW w:w="2126" w:type="dxa"/>
            <w:vAlign w:val="center"/>
          </w:tcPr>
          <w:p>
            <w:pPr>
              <w:jc w:val="center"/>
              <w:rPr>
                <w:kern w:val="0"/>
                <w:sz w:val="21"/>
                <w:szCs w:val="21"/>
              </w:rPr>
            </w:pPr>
            <w:r>
              <w:rPr>
                <w:rFonts w:hint="eastAsia"/>
                <w:kern w:val="0"/>
                <w:sz w:val="21"/>
                <w:szCs w:val="21"/>
              </w:rPr>
              <w:t>N</w:t>
            </w:r>
            <w:r>
              <w:rPr>
                <w:kern w:val="0"/>
                <w:sz w:val="20"/>
              </w:rPr>
              <w:t xml:space="preserve"> </w:t>
            </w:r>
            <w:r>
              <w:rPr>
                <w:rFonts w:hint="eastAsia"/>
                <w:kern w:val="0"/>
                <w:sz w:val="21"/>
                <w:szCs w:val="21"/>
              </w:rPr>
              <w:t>44</w:t>
            </w:r>
            <w:r>
              <w:rPr>
                <w:kern w:val="0"/>
                <w:sz w:val="21"/>
                <w:szCs w:val="21"/>
              </w:rPr>
              <w:t>°</w:t>
            </w:r>
            <w:r>
              <w:rPr>
                <w:rFonts w:hint="eastAsia"/>
                <w:kern w:val="0"/>
                <w:sz w:val="21"/>
                <w:szCs w:val="21"/>
              </w:rPr>
              <w:t>13</w:t>
            </w:r>
            <w:r>
              <w:rPr>
                <w:kern w:val="0"/>
                <w:sz w:val="21"/>
                <w:szCs w:val="21"/>
              </w:rPr>
              <w:t>'</w:t>
            </w:r>
            <w:r>
              <w:rPr>
                <w:rFonts w:hint="eastAsia"/>
                <w:kern w:val="0"/>
                <w:sz w:val="21"/>
                <w:szCs w:val="21"/>
              </w:rPr>
              <w:t>27.70</w:t>
            </w:r>
            <w:r>
              <w:rPr>
                <w:kern w:val="0"/>
                <w:sz w:val="21"/>
                <w:szCs w:val="21"/>
              </w:rPr>
              <w:t>"</w:t>
            </w:r>
          </w:p>
          <w:p>
            <w:pPr>
              <w:jc w:val="center"/>
              <w:rPr>
                <w:kern w:val="0"/>
                <w:sz w:val="21"/>
                <w:szCs w:val="21"/>
              </w:rPr>
            </w:pPr>
            <w:r>
              <w:rPr>
                <w:rFonts w:hint="eastAsia"/>
                <w:kern w:val="0"/>
                <w:sz w:val="21"/>
                <w:szCs w:val="21"/>
              </w:rPr>
              <w:t>E</w:t>
            </w:r>
            <w:r>
              <w:rPr>
                <w:kern w:val="0"/>
                <w:sz w:val="20"/>
              </w:rPr>
              <w:t xml:space="preserve"> </w:t>
            </w:r>
            <w:r>
              <w:rPr>
                <w:kern w:val="0"/>
                <w:sz w:val="21"/>
                <w:szCs w:val="21"/>
              </w:rPr>
              <w:t>8</w:t>
            </w:r>
            <w:r>
              <w:rPr>
                <w:rFonts w:hint="eastAsia"/>
                <w:kern w:val="0"/>
                <w:sz w:val="21"/>
                <w:szCs w:val="21"/>
              </w:rPr>
              <w:t>7</w:t>
            </w:r>
            <w:r>
              <w:rPr>
                <w:kern w:val="0"/>
                <w:sz w:val="21"/>
                <w:szCs w:val="21"/>
              </w:rPr>
              <w:t>°</w:t>
            </w:r>
            <w:r>
              <w:rPr>
                <w:rFonts w:hint="eastAsia"/>
                <w:kern w:val="0"/>
                <w:sz w:val="21"/>
                <w:szCs w:val="21"/>
              </w:rPr>
              <w:t>19</w:t>
            </w:r>
            <w:r>
              <w:rPr>
                <w:kern w:val="0"/>
                <w:sz w:val="21"/>
                <w:szCs w:val="21"/>
              </w:rPr>
              <w:t>'</w:t>
            </w:r>
            <w:r>
              <w:rPr>
                <w:rFonts w:hint="eastAsia"/>
                <w:kern w:val="0"/>
                <w:sz w:val="21"/>
                <w:szCs w:val="21"/>
              </w:rPr>
              <w:t>44.65</w:t>
            </w:r>
            <w:r>
              <w:rPr>
                <w:kern w:val="0"/>
                <w:sz w:val="21"/>
                <w:szCs w:val="21"/>
              </w:rPr>
              <w:t>"</w:t>
            </w:r>
          </w:p>
        </w:tc>
        <w:tc>
          <w:tcPr>
            <w:tcW w:w="1843" w:type="dxa"/>
            <w:vAlign w:val="center"/>
          </w:tcPr>
          <w:p>
            <w:pPr>
              <w:jc w:val="center"/>
              <w:rPr>
                <w:kern w:val="0"/>
                <w:sz w:val="21"/>
                <w:szCs w:val="21"/>
              </w:rPr>
            </w:pPr>
            <w:r>
              <w:rPr>
                <w:rFonts w:hint="eastAsia"/>
                <w:kern w:val="0"/>
                <w:sz w:val="21"/>
                <w:szCs w:val="21"/>
              </w:rPr>
              <w:t>E/0.40km</w:t>
            </w:r>
          </w:p>
        </w:tc>
        <w:tc>
          <w:tcPr>
            <w:tcW w:w="2374" w:type="dxa"/>
            <w:vAlign w:val="center"/>
          </w:tcPr>
          <w:p>
            <w:pPr>
              <w:jc w:val="center"/>
              <w:rPr>
                <w:kern w:val="0"/>
                <w:sz w:val="21"/>
                <w:szCs w:val="21"/>
              </w:rPr>
            </w:pPr>
            <w:r>
              <w:rPr>
                <w:rFonts w:hint="eastAsia"/>
                <w:kern w:val="0"/>
                <w:sz w:val="21"/>
                <w:szCs w:val="21"/>
              </w:rPr>
              <w:t>潜水含水层/175m</w:t>
            </w:r>
          </w:p>
        </w:tc>
      </w:tr>
    </w:tbl>
    <w:p>
      <w:pPr>
        <w:spacing w:line="460" w:lineRule="exact"/>
        <w:ind w:firstLine="480" w:firstLineChars="200"/>
        <w:rPr>
          <w:sz w:val="24"/>
        </w:rPr>
      </w:pPr>
      <w:r>
        <w:rPr>
          <w:rFonts w:hint="eastAsia"/>
          <w:sz w:val="24"/>
        </w:rPr>
        <w:t>2、监测项目及分析方法</w:t>
      </w:r>
    </w:p>
    <w:p>
      <w:pPr>
        <w:spacing w:line="460" w:lineRule="exact"/>
        <w:ind w:firstLine="480" w:firstLineChars="200"/>
        <w:rPr>
          <w:bCs/>
          <w:sz w:val="24"/>
        </w:rPr>
      </w:pPr>
      <w:r>
        <w:rPr>
          <w:rFonts w:hint="eastAsia"/>
          <w:sz w:val="24"/>
        </w:rPr>
        <w:t>监测分析项目：</w:t>
      </w:r>
      <w:r>
        <w:rPr>
          <w:bCs/>
          <w:sz w:val="24"/>
        </w:rPr>
        <w:t>K</w:t>
      </w:r>
      <w:r>
        <w:rPr>
          <w:bCs/>
          <w:sz w:val="24"/>
          <w:vertAlign w:val="superscript"/>
        </w:rPr>
        <w:t>+</w:t>
      </w:r>
      <w:r>
        <w:rPr>
          <w:bCs/>
          <w:sz w:val="24"/>
        </w:rPr>
        <w:t>、Na</w:t>
      </w:r>
      <w:r>
        <w:rPr>
          <w:bCs/>
          <w:sz w:val="24"/>
          <w:vertAlign w:val="superscript"/>
        </w:rPr>
        <w:t>+</w:t>
      </w:r>
      <w:r>
        <w:rPr>
          <w:bCs/>
          <w:sz w:val="24"/>
        </w:rPr>
        <w:t>、Ca</w:t>
      </w:r>
      <w:r>
        <w:rPr>
          <w:bCs/>
          <w:sz w:val="24"/>
          <w:vertAlign w:val="superscript"/>
        </w:rPr>
        <w:t>2+</w:t>
      </w:r>
      <w:r>
        <w:rPr>
          <w:bCs/>
          <w:sz w:val="24"/>
        </w:rPr>
        <w:t>、Mg</w:t>
      </w:r>
      <w:r>
        <w:rPr>
          <w:bCs/>
          <w:sz w:val="24"/>
          <w:vertAlign w:val="superscript"/>
        </w:rPr>
        <w:t>2+</w:t>
      </w:r>
      <w:r>
        <w:rPr>
          <w:bCs/>
          <w:sz w:val="24"/>
        </w:rPr>
        <w:t>、CO</w:t>
      </w:r>
      <w:r>
        <w:rPr>
          <w:bCs/>
          <w:sz w:val="24"/>
          <w:vertAlign w:val="subscript"/>
        </w:rPr>
        <w:t>3</w:t>
      </w:r>
      <w:r>
        <w:rPr>
          <w:bCs/>
          <w:sz w:val="24"/>
          <w:vertAlign w:val="superscript"/>
        </w:rPr>
        <w:t>2-</w:t>
      </w:r>
      <w:r>
        <w:rPr>
          <w:bCs/>
          <w:sz w:val="24"/>
        </w:rPr>
        <w:t>、HCO</w:t>
      </w:r>
      <w:r>
        <w:rPr>
          <w:bCs/>
          <w:sz w:val="24"/>
          <w:vertAlign w:val="subscript"/>
        </w:rPr>
        <w:t>3</w:t>
      </w:r>
      <w:r>
        <w:rPr>
          <w:bCs/>
          <w:sz w:val="24"/>
          <w:vertAlign w:val="superscript"/>
        </w:rPr>
        <w:t>-</w:t>
      </w:r>
      <w:r>
        <w:rPr>
          <w:bCs/>
          <w:sz w:val="24"/>
        </w:rPr>
        <w:t>、Cl</w:t>
      </w:r>
      <w:r>
        <w:rPr>
          <w:bCs/>
          <w:sz w:val="24"/>
          <w:vertAlign w:val="superscript"/>
        </w:rPr>
        <w:t>-</w:t>
      </w:r>
      <w:r>
        <w:rPr>
          <w:bCs/>
          <w:sz w:val="24"/>
        </w:rPr>
        <w:t>、SO</w:t>
      </w:r>
      <w:r>
        <w:rPr>
          <w:bCs/>
          <w:sz w:val="24"/>
          <w:vertAlign w:val="subscript"/>
        </w:rPr>
        <w:t>4</w:t>
      </w:r>
      <w:r>
        <w:rPr>
          <w:bCs/>
          <w:sz w:val="24"/>
          <w:vertAlign w:val="superscript"/>
        </w:rPr>
        <w:t>2-</w:t>
      </w:r>
      <w:r>
        <w:rPr>
          <w:bCs/>
          <w:sz w:val="24"/>
        </w:rPr>
        <w:t>；pH、溶解性总固体、总硬度、挥发性酚类、阴离子表面活性剂、高锰酸盐指数、氨氮、氰化物、硫化物、氟化物、氯化物、硫酸盐、硝酸盐、亚硝酸盐、总大肠菌群、六价铬、铁、锰、铜、锌、汞、砷、铅、镉。</w:t>
      </w:r>
    </w:p>
    <w:p>
      <w:pPr>
        <w:spacing w:line="460" w:lineRule="exact"/>
        <w:ind w:firstLine="480" w:firstLineChars="200"/>
        <w:rPr>
          <w:sz w:val="24"/>
        </w:rPr>
      </w:pPr>
      <w:r>
        <w:rPr>
          <w:rFonts w:hint="eastAsia"/>
          <w:sz w:val="24"/>
        </w:rPr>
        <w:t>3、采样及分析方法</w:t>
      </w:r>
    </w:p>
    <w:p>
      <w:pPr>
        <w:spacing w:line="460" w:lineRule="exact"/>
        <w:ind w:firstLine="480" w:firstLineChars="200"/>
        <w:rPr>
          <w:bCs/>
          <w:sz w:val="24"/>
        </w:rPr>
      </w:pPr>
      <w:r>
        <w:rPr>
          <w:rFonts w:hint="eastAsia"/>
          <w:bCs/>
          <w:sz w:val="24"/>
        </w:rPr>
        <w:t>采样分析方法依照国家环保局《环境水质监测质量保证手册》与《水和废水监测分析方法》的规定进行。具体统计见表5.3-8。</w:t>
      </w:r>
    </w:p>
    <w:p>
      <w:pPr>
        <w:spacing w:line="460" w:lineRule="exact"/>
        <w:ind w:firstLine="480" w:firstLineChars="200"/>
        <w:rPr>
          <w:bCs/>
          <w:sz w:val="24"/>
        </w:rPr>
      </w:pPr>
      <w:r>
        <w:rPr>
          <w:bCs/>
          <w:sz w:val="24"/>
        </w:rPr>
        <w:t>本次现状监测采用一次采样。</w:t>
      </w:r>
    </w:p>
    <w:p>
      <w:pPr>
        <w:ind w:firstLine="420" w:firstLineChars="200"/>
        <w:rPr>
          <w:rFonts w:eastAsia="黑体"/>
          <w:szCs w:val="21"/>
        </w:rPr>
      </w:pPr>
      <w:r>
        <w:rPr>
          <w:rFonts w:eastAsia="黑体"/>
          <w:szCs w:val="21"/>
        </w:rPr>
        <w:t>表</w:t>
      </w:r>
      <w:r>
        <w:rPr>
          <w:rFonts w:hint="eastAsia" w:eastAsia="黑体"/>
          <w:szCs w:val="21"/>
        </w:rPr>
        <w:t>5.3</w:t>
      </w:r>
      <w:r>
        <w:rPr>
          <w:rFonts w:eastAsia="黑体"/>
          <w:szCs w:val="21"/>
        </w:rPr>
        <w:t>-8                地下水水质分析方法</w:t>
      </w:r>
    </w:p>
    <w:tbl>
      <w:tblPr>
        <w:tblStyle w:val="59"/>
        <w:tblW w:w="9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320"/>
        <w:gridCol w:w="3544"/>
        <w:gridCol w:w="2222"/>
        <w:gridCol w:w="137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szCs w:val="21"/>
              </w:rPr>
            </w:pPr>
            <w:r>
              <w:rPr>
                <w:szCs w:val="21"/>
              </w:rPr>
              <w:t>监测项目</w:t>
            </w:r>
          </w:p>
        </w:tc>
        <w:tc>
          <w:tcPr>
            <w:tcW w:w="3544" w:type="dxa"/>
            <w:vAlign w:val="center"/>
          </w:tcPr>
          <w:p>
            <w:pPr>
              <w:jc w:val="center"/>
              <w:rPr>
                <w:szCs w:val="21"/>
              </w:rPr>
            </w:pPr>
            <w:r>
              <w:rPr>
                <w:szCs w:val="21"/>
              </w:rPr>
              <w:t>监测方法及依据</w:t>
            </w:r>
          </w:p>
        </w:tc>
        <w:tc>
          <w:tcPr>
            <w:tcW w:w="2222" w:type="dxa"/>
            <w:vAlign w:val="center"/>
          </w:tcPr>
          <w:p>
            <w:pPr>
              <w:adjustRightInd w:val="0"/>
              <w:snapToGrid w:val="0"/>
              <w:jc w:val="center"/>
              <w:rPr>
                <w:szCs w:val="21"/>
              </w:rPr>
            </w:pPr>
            <w:r>
              <w:rPr>
                <w:szCs w:val="21"/>
              </w:rPr>
              <w:t>所用仪器</w:t>
            </w:r>
          </w:p>
        </w:tc>
        <w:tc>
          <w:tcPr>
            <w:tcW w:w="1378" w:type="dxa"/>
            <w:vAlign w:val="center"/>
          </w:tcPr>
          <w:p>
            <w:pPr>
              <w:adjustRightInd w:val="0"/>
              <w:snapToGrid w:val="0"/>
              <w:jc w:val="center"/>
              <w:rPr>
                <w:szCs w:val="21"/>
              </w:rPr>
            </w:pPr>
            <w:r>
              <w:rPr>
                <w:szCs w:val="21"/>
              </w:rPr>
              <w:t>仪器编号</w:t>
            </w:r>
          </w:p>
        </w:tc>
        <w:tc>
          <w:tcPr>
            <w:tcW w:w="1262" w:type="dxa"/>
            <w:vAlign w:val="center"/>
          </w:tcPr>
          <w:p>
            <w:pPr>
              <w:adjustRightInd w:val="0"/>
              <w:snapToGrid w:val="0"/>
              <w:jc w:val="center"/>
              <w:rPr>
                <w:szCs w:val="21"/>
              </w:rPr>
            </w:pPr>
            <w:r>
              <w:rPr>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pH</w:t>
            </w:r>
          </w:p>
        </w:tc>
        <w:tc>
          <w:tcPr>
            <w:tcW w:w="3544" w:type="dxa"/>
            <w:vAlign w:val="center"/>
          </w:tcPr>
          <w:p>
            <w:pPr>
              <w:widowControl/>
              <w:jc w:val="center"/>
              <w:rPr>
                <w:szCs w:val="21"/>
              </w:rPr>
            </w:pPr>
            <w:r>
              <w:rPr>
                <w:rFonts w:hint="eastAsia"/>
                <w:kern w:val="0"/>
                <w:szCs w:val="21"/>
              </w:rPr>
              <w:t>水质pH值的测定 电极法HJ1147-2020</w:t>
            </w:r>
          </w:p>
        </w:tc>
        <w:tc>
          <w:tcPr>
            <w:tcW w:w="2222" w:type="dxa"/>
            <w:vAlign w:val="center"/>
          </w:tcPr>
          <w:p>
            <w:pPr>
              <w:jc w:val="center"/>
              <w:rPr>
                <w:szCs w:val="21"/>
              </w:rPr>
            </w:pPr>
            <w:r>
              <w:rPr>
                <w:rFonts w:hint="eastAsia"/>
                <w:szCs w:val="21"/>
              </w:rPr>
              <w:t>AS218便携式酸度计</w:t>
            </w:r>
          </w:p>
        </w:tc>
        <w:tc>
          <w:tcPr>
            <w:tcW w:w="1378" w:type="dxa"/>
            <w:vAlign w:val="center"/>
          </w:tcPr>
          <w:p>
            <w:pPr>
              <w:jc w:val="center"/>
              <w:rPr>
                <w:kern w:val="0"/>
                <w:szCs w:val="21"/>
              </w:rPr>
            </w:pPr>
            <w:r>
              <w:rPr>
                <w:rFonts w:hint="eastAsia"/>
                <w:szCs w:val="21"/>
              </w:rPr>
              <w:t>XSJS/YQ-56-13</w:t>
            </w:r>
          </w:p>
        </w:tc>
        <w:tc>
          <w:tcPr>
            <w:tcW w:w="1262" w:type="dxa"/>
            <w:vAlign w:val="center"/>
          </w:tcPr>
          <w:p>
            <w:pPr>
              <w:adjustRightInd w:val="0"/>
              <w:snapToGrid w:val="0"/>
              <w:jc w:val="center"/>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总大肠菌群</w:t>
            </w:r>
          </w:p>
        </w:tc>
        <w:tc>
          <w:tcPr>
            <w:tcW w:w="3544" w:type="dxa"/>
            <w:vAlign w:val="center"/>
          </w:tcPr>
          <w:p>
            <w:pPr>
              <w:jc w:val="center"/>
              <w:rPr>
                <w:szCs w:val="21"/>
              </w:rPr>
            </w:pPr>
            <w:r>
              <w:rPr>
                <w:rFonts w:hint="eastAsia"/>
                <w:szCs w:val="21"/>
              </w:rPr>
              <w:t>水质总大肠菌群、粪大肠菌群和大肠埃希氏菌的测定 酶底物法HJ1001-2018</w:t>
            </w:r>
          </w:p>
        </w:tc>
        <w:tc>
          <w:tcPr>
            <w:tcW w:w="2222" w:type="dxa"/>
            <w:vAlign w:val="center"/>
          </w:tcPr>
          <w:p>
            <w:pPr>
              <w:jc w:val="center"/>
              <w:rPr>
                <w:szCs w:val="21"/>
              </w:rPr>
            </w:pPr>
            <w:r>
              <w:rPr>
                <w:rFonts w:hint="eastAsia"/>
                <w:szCs w:val="21"/>
              </w:rPr>
              <w:t xml:space="preserve">SPX-150型生化培养箱 </w:t>
            </w:r>
          </w:p>
        </w:tc>
        <w:tc>
          <w:tcPr>
            <w:tcW w:w="1378" w:type="dxa"/>
            <w:vAlign w:val="center"/>
          </w:tcPr>
          <w:p>
            <w:pPr>
              <w:jc w:val="center"/>
              <w:rPr>
                <w:szCs w:val="21"/>
              </w:rPr>
            </w:pPr>
            <w:r>
              <w:rPr>
                <w:rFonts w:hint="eastAsia"/>
                <w:szCs w:val="21"/>
              </w:rPr>
              <w:t>XSJS/YQ-59-3</w:t>
            </w:r>
          </w:p>
        </w:tc>
        <w:tc>
          <w:tcPr>
            <w:tcW w:w="1262" w:type="dxa"/>
            <w:vAlign w:val="center"/>
          </w:tcPr>
          <w:p>
            <w:pPr>
              <w:jc w:val="center"/>
              <w:rPr>
                <w:szCs w:val="21"/>
              </w:rPr>
            </w:pPr>
            <w:r>
              <w:rPr>
                <w:rFonts w:hint="eastAsia"/>
                <w:szCs w:val="21"/>
              </w:rPr>
              <w:t xml:space="preserve">10MPN/L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 xml:space="preserve"> 硫化物</w:t>
            </w:r>
          </w:p>
        </w:tc>
        <w:tc>
          <w:tcPr>
            <w:tcW w:w="3544" w:type="dxa"/>
            <w:vAlign w:val="center"/>
          </w:tcPr>
          <w:p>
            <w:pPr>
              <w:jc w:val="center"/>
              <w:rPr>
                <w:szCs w:val="21"/>
              </w:rPr>
            </w:pPr>
            <w:r>
              <w:rPr>
                <w:rFonts w:hint="eastAsia"/>
                <w:kern w:val="0"/>
                <w:szCs w:val="21"/>
              </w:rPr>
              <w:t>水质 硫化物的测定</w:t>
            </w:r>
            <w:r>
              <w:rPr>
                <w:rFonts w:hint="eastAsia"/>
                <w:szCs w:val="21"/>
              </w:rPr>
              <w:t>亚甲基蓝分光光度法（“酸化-蒸馏-吸收”法）</w:t>
            </w:r>
          </w:p>
          <w:p>
            <w:pPr>
              <w:jc w:val="center"/>
              <w:rPr>
                <w:szCs w:val="21"/>
              </w:rPr>
            </w:pPr>
            <w:r>
              <w:rPr>
                <w:rFonts w:hint="eastAsia"/>
                <w:kern w:val="0"/>
                <w:szCs w:val="21"/>
              </w:rPr>
              <w:t>HJ1226-2021</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XSJS/YQ-19-2</w:t>
            </w:r>
          </w:p>
        </w:tc>
        <w:tc>
          <w:tcPr>
            <w:tcW w:w="1262" w:type="dxa"/>
            <w:vAlign w:val="center"/>
          </w:tcPr>
          <w:p>
            <w:pPr>
              <w:jc w:val="center"/>
              <w:rPr>
                <w:szCs w:val="21"/>
              </w:rPr>
            </w:pPr>
            <w:r>
              <w:rPr>
                <w:rFonts w:hint="eastAsia"/>
                <w:kern w:val="0"/>
                <w:szCs w:val="21"/>
              </w:rPr>
              <w:t>0.003</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szCs w:val="21"/>
              </w:rPr>
            </w:pPr>
            <w:r>
              <w:rPr>
                <w:rFonts w:hint="eastAsia"/>
                <w:kern w:val="0"/>
                <w:szCs w:val="21"/>
              </w:rPr>
              <w:t>总硬度</w:t>
            </w:r>
          </w:p>
        </w:tc>
        <w:tc>
          <w:tcPr>
            <w:tcW w:w="3544" w:type="dxa"/>
            <w:vAlign w:val="center"/>
          </w:tcPr>
          <w:p>
            <w:pPr>
              <w:jc w:val="center"/>
              <w:rPr>
                <w:szCs w:val="21"/>
              </w:rPr>
            </w:pPr>
            <w:r>
              <w:rPr>
                <w:rFonts w:hint="eastAsia"/>
                <w:szCs w:val="21"/>
              </w:rPr>
              <w:t>水质钙和镁总量的测定EDTA滴定法GB7477-1987</w:t>
            </w:r>
          </w:p>
        </w:tc>
        <w:tc>
          <w:tcPr>
            <w:tcW w:w="2222" w:type="dxa"/>
            <w:vAlign w:val="center"/>
          </w:tcPr>
          <w:p>
            <w:pPr>
              <w:jc w:val="center"/>
              <w:rPr>
                <w:szCs w:val="21"/>
              </w:rPr>
            </w:pPr>
            <w:r>
              <w:rPr>
                <w:rFonts w:hint="eastAsia"/>
                <w:szCs w:val="21"/>
              </w:rPr>
              <w:t>/</w:t>
            </w:r>
          </w:p>
        </w:tc>
        <w:tc>
          <w:tcPr>
            <w:tcW w:w="1378" w:type="dxa"/>
            <w:vAlign w:val="center"/>
          </w:tcPr>
          <w:p>
            <w:pPr>
              <w:jc w:val="center"/>
              <w:rPr>
                <w:szCs w:val="21"/>
              </w:rPr>
            </w:pPr>
            <w:r>
              <w:rPr>
                <w:rFonts w:hint="eastAsia"/>
                <w:szCs w:val="21"/>
              </w:rPr>
              <w:t>/</w:t>
            </w:r>
          </w:p>
        </w:tc>
        <w:tc>
          <w:tcPr>
            <w:tcW w:w="1262" w:type="dxa"/>
            <w:vAlign w:val="center"/>
          </w:tcPr>
          <w:p>
            <w:pPr>
              <w:jc w:val="center"/>
              <w:rPr>
                <w:szCs w:val="21"/>
              </w:rPr>
            </w:pPr>
            <w:r>
              <w:rPr>
                <w:rFonts w:hint="eastAsia"/>
                <w:szCs w:val="21"/>
              </w:rPr>
              <w:t>5.00mg/L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szCs w:val="21"/>
              </w:rPr>
            </w:pPr>
            <w:r>
              <w:rPr>
                <w:rFonts w:hint="eastAsia"/>
                <w:szCs w:val="21"/>
              </w:rPr>
              <w:t>耗氧量（</w:t>
            </w:r>
            <w:r>
              <w:rPr>
                <w:kern w:val="0"/>
                <w:szCs w:val="21"/>
              </w:rPr>
              <w:t>高锰酸盐指数</w:t>
            </w:r>
            <w:r>
              <w:rPr>
                <w:rFonts w:hint="eastAsia"/>
                <w:szCs w:val="21"/>
              </w:rPr>
              <w:t>）</w:t>
            </w:r>
          </w:p>
        </w:tc>
        <w:tc>
          <w:tcPr>
            <w:tcW w:w="3544" w:type="dxa"/>
            <w:vAlign w:val="center"/>
          </w:tcPr>
          <w:p>
            <w:pPr>
              <w:jc w:val="center"/>
              <w:rPr>
                <w:szCs w:val="21"/>
              </w:rPr>
            </w:pPr>
            <w:r>
              <w:rPr>
                <w:szCs w:val="21"/>
              </w:rPr>
              <w:t>水质 高锰酸盐指数的测定 GB11892-</w:t>
            </w:r>
            <w:r>
              <w:rPr>
                <w:rFonts w:hint="eastAsia"/>
                <w:szCs w:val="21"/>
              </w:rPr>
              <w:t>19</w:t>
            </w:r>
            <w:r>
              <w:rPr>
                <w:szCs w:val="21"/>
              </w:rPr>
              <w:t>89</w:t>
            </w:r>
          </w:p>
        </w:tc>
        <w:tc>
          <w:tcPr>
            <w:tcW w:w="2222" w:type="dxa"/>
            <w:vAlign w:val="center"/>
          </w:tcPr>
          <w:p>
            <w:pPr>
              <w:jc w:val="center"/>
              <w:rPr>
                <w:szCs w:val="21"/>
              </w:rPr>
            </w:pPr>
            <w:r>
              <w:rPr>
                <w:rFonts w:hint="eastAsia"/>
                <w:kern w:val="0"/>
                <w:szCs w:val="21"/>
              </w:rPr>
              <w:t>/</w:t>
            </w:r>
          </w:p>
        </w:tc>
        <w:tc>
          <w:tcPr>
            <w:tcW w:w="1378" w:type="dxa"/>
            <w:vAlign w:val="center"/>
          </w:tcPr>
          <w:p>
            <w:pPr>
              <w:adjustRightInd w:val="0"/>
              <w:snapToGrid w:val="0"/>
              <w:jc w:val="center"/>
              <w:rPr>
                <w:szCs w:val="21"/>
              </w:rPr>
            </w:pPr>
            <w:r>
              <w:rPr>
                <w:rFonts w:hint="eastAsia"/>
                <w:szCs w:val="21"/>
              </w:rPr>
              <w:t>/</w:t>
            </w:r>
          </w:p>
        </w:tc>
        <w:tc>
          <w:tcPr>
            <w:tcW w:w="1262" w:type="dxa"/>
            <w:vAlign w:val="center"/>
          </w:tcPr>
          <w:p>
            <w:pPr>
              <w:adjustRightInd w:val="0"/>
              <w:snapToGrid w:val="0"/>
              <w:jc w:val="center"/>
              <w:rPr>
                <w:szCs w:val="21"/>
              </w:rPr>
            </w:pPr>
            <w:r>
              <w:rPr>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氯离子</w:t>
            </w:r>
          </w:p>
        </w:tc>
        <w:tc>
          <w:tcPr>
            <w:tcW w:w="3544" w:type="dxa"/>
            <w:vAlign w:val="center"/>
          </w:tcPr>
          <w:p>
            <w:pPr>
              <w:adjustRightInd w:val="0"/>
              <w:snapToGrid w:val="0"/>
              <w:jc w:val="center"/>
              <w:rPr>
                <w:szCs w:val="21"/>
              </w:rPr>
            </w:pPr>
            <w:r>
              <w:rPr>
                <w:szCs w:val="21"/>
              </w:rPr>
              <w:t xml:space="preserve"> 地下水质分析方法 第50部分：氯化物的测定 银量滴定法</w:t>
            </w:r>
          </w:p>
          <w:p>
            <w:pPr>
              <w:adjustRightInd w:val="0"/>
              <w:snapToGrid w:val="0"/>
              <w:jc w:val="center"/>
              <w:rPr>
                <w:szCs w:val="21"/>
              </w:rPr>
            </w:pPr>
            <w:r>
              <w:rPr>
                <w:szCs w:val="21"/>
              </w:rPr>
              <w:t>DZ/T 0064.50-2021</w:t>
            </w:r>
          </w:p>
        </w:tc>
        <w:tc>
          <w:tcPr>
            <w:tcW w:w="2222" w:type="dxa"/>
            <w:vAlign w:val="center"/>
          </w:tcPr>
          <w:p>
            <w:pPr>
              <w:adjustRightInd w:val="0"/>
              <w:snapToGrid w:val="0"/>
              <w:jc w:val="center"/>
              <w:rPr>
                <w:szCs w:val="21"/>
              </w:rPr>
            </w:pPr>
            <w:r>
              <w:rPr>
                <w:rFonts w:hint="eastAsia"/>
                <w:kern w:val="0"/>
                <w:szCs w:val="21"/>
              </w:rPr>
              <w:t>/</w:t>
            </w:r>
          </w:p>
        </w:tc>
        <w:tc>
          <w:tcPr>
            <w:tcW w:w="1378" w:type="dxa"/>
            <w:vAlign w:val="center"/>
          </w:tcPr>
          <w:p>
            <w:pPr>
              <w:adjustRightInd w:val="0"/>
              <w:snapToGrid w:val="0"/>
              <w:jc w:val="center"/>
              <w:rPr>
                <w:szCs w:val="21"/>
              </w:rPr>
            </w:pPr>
            <w:r>
              <w:rPr>
                <w:rFonts w:hint="eastAsia"/>
                <w:szCs w:val="21"/>
              </w:rPr>
              <w:t>/</w:t>
            </w:r>
          </w:p>
        </w:tc>
        <w:tc>
          <w:tcPr>
            <w:tcW w:w="1262" w:type="dxa"/>
            <w:vAlign w:val="center"/>
          </w:tcPr>
          <w:p>
            <w:pPr>
              <w:jc w:val="center"/>
              <w:rPr>
                <w:szCs w:val="21"/>
              </w:rPr>
            </w:pPr>
            <w:r>
              <w:rPr>
                <w:rFonts w:hint="eastAsia"/>
                <w:szCs w:val="21"/>
              </w:rPr>
              <w:t>3.0</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硫酸根离子</w:t>
            </w:r>
          </w:p>
        </w:tc>
        <w:tc>
          <w:tcPr>
            <w:tcW w:w="3544" w:type="dxa"/>
            <w:vAlign w:val="center"/>
          </w:tcPr>
          <w:p>
            <w:pPr>
              <w:adjustRightInd w:val="0"/>
              <w:snapToGrid w:val="0"/>
              <w:jc w:val="center"/>
              <w:rPr>
                <w:szCs w:val="21"/>
              </w:rPr>
            </w:pPr>
            <w:r>
              <w:rPr>
                <w:szCs w:val="21"/>
              </w:rPr>
              <w:t>水质</w:t>
            </w:r>
            <w:r>
              <w:rPr>
                <w:rFonts w:hint="eastAsia"/>
                <w:szCs w:val="21"/>
              </w:rPr>
              <w:t xml:space="preserve"> </w:t>
            </w:r>
            <w:r>
              <w:rPr>
                <w:rFonts w:hint="eastAsia"/>
                <w:kern w:val="0"/>
                <w:szCs w:val="21"/>
              </w:rPr>
              <w:t>硫酸盐的测定 铬酸钡分光光度法</w:t>
            </w:r>
            <w:r>
              <w:rPr>
                <w:rFonts w:hint="eastAsia"/>
                <w:szCs w:val="21"/>
              </w:rPr>
              <w:t>（试行）</w:t>
            </w:r>
            <w:r>
              <w:rPr>
                <w:rFonts w:hint="eastAsia"/>
                <w:kern w:val="0"/>
                <w:szCs w:val="21"/>
              </w:rPr>
              <w:t xml:space="preserve"> HJ/T 342-2007</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w:t>
            </w:r>
          </w:p>
        </w:tc>
        <w:tc>
          <w:tcPr>
            <w:tcW w:w="1262" w:type="dxa"/>
            <w:vAlign w:val="center"/>
          </w:tcPr>
          <w:p>
            <w:pPr>
              <w:jc w:val="center"/>
              <w:rPr>
                <w:szCs w:val="21"/>
              </w:rPr>
            </w:pPr>
            <w:r>
              <w:rPr>
                <w:rFonts w:hint="eastAsia"/>
                <w:szCs w:val="21"/>
              </w:rPr>
              <w:t>8</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溶解性总固体</w:t>
            </w:r>
          </w:p>
        </w:tc>
        <w:tc>
          <w:tcPr>
            <w:tcW w:w="3544" w:type="dxa"/>
            <w:vAlign w:val="center"/>
          </w:tcPr>
          <w:p>
            <w:pPr>
              <w:jc w:val="center"/>
              <w:rPr>
                <w:szCs w:val="21"/>
              </w:rPr>
            </w:pPr>
            <w:r>
              <w:rPr>
                <w:rFonts w:hint="eastAsia"/>
                <w:szCs w:val="21"/>
              </w:rPr>
              <w:t>地下水质分析方法 第9部分：溶解性固体总量的测定 重量法DZ/T0064.9-2021</w:t>
            </w:r>
          </w:p>
        </w:tc>
        <w:tc>
          <w:tcPr>
            <w:tcW w:w="2222" w:type="dxa"/>
            <w:vAlign w:val="center"/>
          </w:tcPr>
          <w:p>
            <w:pPr>
              <w:jc w:val="center"/>
              <w:rPr>
                <w:szCs w:val="21"/>
              </w:rPr>
            </w:pPr>
            <w:r>
              <w:rPr>
                <w:szCs w:val="21"/>
              </w:rPr>
              <w:t xml:space="preserve">FA2004N型万分之一电子天平 </w:t>
            </w:r>
          </w:p>
        </w:tc>
        <w:tc>
          <w:tcPr>
            <w:tcW w:w="1378" w:type="dxa"/>
            <w:vAlign w:val="center"/>
          </w:tcPr>
          <w:p>
            <w:pPr>
              <w:jc w:val="center"/>
              <w:rPr>
                <w:szCs w:val="21"/>
              </w:rPr>
            </w:pPr>
            <w:r>
              <w:rPr>
                <w:rFonts w:hint="eastAsia"/>
                <w:szCs w:val="21"/>
              </w:rPr>
              <w:t>XSJS/YQ-118</w:t>
            </w:r>
          </w:p>
        </w:tc>
        <w:tc>
          <w:tcPr>
            <w:tcW w:w="1262" w:type="dxa"/>
            <w:vAlign w:val="center"/>
          </w:tcPr>
          <w:p>
            <w:pPr>
              <w:jc w:val="center"/>
              <w:rPr>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氨氮</w:t>
            </w:r>
          </w:p>
        </w:tc>
        <w:tc>
          <w:tcPr>
            <w:tcW w:w="3544" w:type="dxa"/>
            <w:vAlign w:val="center"/>
          </w:tcPr>
          <w:p>
            <w:pPr>
              <w:widowControl/>
              <w:jc w:val="center"/>
              <w:rPr>
                <w:szCs w:val="21"/>
              </w:rPr>
            </w:pPr>
            <w:r>
              <w:rPr>
                <w:szCs w:val="21"/>
              </w:rPr>
              <w:t>水质 氨氮的测定 纳氏试剂分光光度法HJ535-2009</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XSJS/YQ-19-2</w:t>
            </w:r>
          </w:p>
        </w:tc>
        <w:tc>
          <w:tcPr>
            <w:tcW w:w="1262" w:type="dxa"/>
            <w:vAlign w:val="center"/>
          </w:tcPr>
          <w:p>
            <w:pPr>
              <w:jc w:val="center"/>
              <w:rPr>
                <w:szCs w:val="21"/>
              </w:rPr>
            </w:pPr>
            <w:r>
              <w:rPr>
                <w:szCs w:val="21"/>
              </w:rPr>
              <w:t>0.02</w:t>
            </w:r>
            <w:r>
              <w:rPr>
                <w:rFonts w:hint="eastAsia"/>
                <w:szCs w:val="21"/>
              </w:rPr>
              <w:t>5</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硝酸盐氮</w:t>
            </w:r>
          </w:p>
        </w:tc>
        <w:tc>
          <w:tcPr>
            <w:tcW w:w="3544" w:type="dxa"/>
            <w:vAlign w:val="center"/>
          </w:tcPr>
          <w:p>
            <w:pPr>
              <w:adjustRightInd w:val="0"/>
              <w:snapToGrid w:val="0"/>
              <w:jc w:val="center"/>
              <w:rPr>
                <w:szCs w:val="21"/>
              </w:rPr>
            </w:pPr>
            <w:r>
              <w:rPr>
                <w:szCs w:val="21"/>
              </w:rPr>
              <w:t>水质</w:t>
            </w:r>
            <w:r>
              <w:rPr>
                <w:rFonts w:hint="eastAsia"/>
                <w:szCs w:val="21"/>
              </w:rPr>
              <w:t xml:space="preserve"> </w:t>
            </w:r>
            <w:r>
              <w:rPr>
                <w:rFonts w:hint="eastAsia"/>
                <w:kern w:val="0"/>
                <w:szCs w:val="21"/>
              </w:rPr>
              <w:t>硝酸盐氮的测定 紫外</w:t>
            </w:r>
            <w:r>
              <w:rPr>
                <w:szCs w:val="21"/>
              </w:rPr>
              <w:t>分光光度法</w:t>
            </w:r>
            <w:r>
              <w:rPr>
                <w:rFonts w:hint="eastAsia"/>
                <w:szCs w:val="21"/>
              </w:rPr>
              <w:t>（试行）</w:t>
            </w:r>
            <w:r>
              <w:rPr>
                <w:rFonts w:hint="eastAsia"/>
                <w:kern w:val="0"/>
                <w:szCs w:val="21"/>
              </w:rPr>
              <w:t>HJ/T346-2007</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w:t>
            </w:r>
          </w:p>
        </w:tc>
        <w:tc>
          <w:tcPr>
            <w:tcW w:w="1262" w:type="dxa"/>
            <w:vAlign w:val="center"/>
          </w:tcPr>
          <w:p>
            <w:pPr>
              <w:jc w:val="center"/>
              <w:rPr>
                <w:szCs w:val="21"/>
              </w:rPr>
            </w:pPr>
            <w:r>
              <w:rPr>
                <w:rFonts w:hint="eastAsia"/>
                <w:szCs w:val="21"/>
              </w:rPr>
              <w:t>0.08</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亚硝酸盐氮</w:t>
            </w:r>
          </w:p>
        </w:tc>
        <w:tc>
          <w:tcPr>
            <w:tcW w:w="3544" w:type="dxa"/>
            <w:vAlign w:val="center"/>
          </w:tcPr>
          <w:p>
            <w:pPr>
              <w:widowControl/>
              <w:jc w:val="center"/>
              <w:rPr>
                <w:szCs w:val="21"/>
              </w:rPr>
            </w:pPr>
            <w:r>
              <w:rPr>
                <w:rFonts w:hint="eastAsia"/>
                <w:kern w:val="0"/>
                <w:szCs w:val="21"/>
              </w:rPr>
              <w:t>水质 亚硝酸盐氮的测定 分光光度法 GB7493-1987</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w:t>
            </w:r>
          </w:p>
        </w:tc>
        <w:tc>
          <w:tcPr>
            <w:tcW w:w="1262" w:type="dxa"/>
            <w:vAlign w:val="center"/>
          </w:tcPr>
          <w:p>
            <w:pPr>
              <w:jc w:val="center"/>
              <w:rPr>
                <w:szCs w:val="21"/>
              </w:rPr>
            </w:pPr>
            <w:r>
              <w:rPr>
                <w:rFonts w:hint="eastAsia"/>
                <w:kern w:val="0"/>
                <w:szCs w:val="21"/>
              </w:rPr>
              <w:t>0.003</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szCs w:val="21"/>
              </w:rPr>
            </w:pPr>
            <w:r>
              <w:rPr>
                <w:rFonts w:hint="eastAsia"/>
                <w:kern w:val="0"/>
                <w:szCs w:val="21"/>
              </w:rPr>
              <w:t>氟化物</w:t>
            </w:r>
          </w:p>
        </w:tc>
        <w:tc>
          <w:tcPr>
            <w:tcW w:w="3544" w:type="dxa"/>
            <w:vAlign w:val="center"/>
          </w:tcPr>
          <w:p>
            <w:pPr>
              <w:adjustRightInd w:val="0"/>
              <w:snapToGrid w:val="0"/>
              <w:jc w:val="center"/>
              <w:rPr>
                <w:szCs w:val="21"/>
              </w:rPr>
            </w:pPr>
            <w:r>
              <w:rPr>
                <w:rFonts w:hint="eastAsia"/>
                <w:szCs w:val="21"/>
              </w:rPr>
              <w:t>水质 氟化物的测定 离子选择电极法 GB7484-1987</w:t>
            </w:r>
          </w:p>
        </w:tc>
        <w:tc>
          <w:tcPr>
            <w:tcW w:w="2222" w:type="dxa"/>
            <w:vAlign w:val="center"/>
          </w:tcPr>
          <w:p>
            <w:pPr>
              <w:adjustRightInd w:val="0"/>
              <w:snapToGrid w:val="0"/>
              <w:jc w:val="center"/>
              <w:rPr>
                <w:szCs w:val="21"/>
              </w:rPr>
            </w:pPr>
            <w:r>
              <w:rPr>
                <w:rFonts w:hint="eastAsia"/>
                <w:kern w:val="0"/>
                <w:szCs w:val="21"/>
              </w:rPr>
              <w:t>PXS-270离子计</w:t>
            </w:r>
          </w:p>
        </w:tc>
        <w:tc>
          <w:tcPr>
            <w:tcW w:w="1378" w:type="dxa"/>
            <w:vAlign w:val="center"/>
          </w:tcPr>
          <w:p>
            <w:pPr>
              <w:adjustRightInd w:val="0"/>
              <w:snapToGrid w:val="0"/>
              <w:jc w:val="center"/>
              <w:rPr>
                <w:szCs w:val="21"/>
              </w:rPr>
            </w:pPr>
            <w:r>
              <w:rPr>
                <w:rFonts w:hint="eastAsia"/>
                <w:szCs w:val="21"/>
              </w:rPr>
              <w:t>XSJS/YQ-31</w:t>
            </w:r>
          </w:p>
        </w:tc>
        <w:tc>
          <w:tcPr>
            <w:tcW w:w="1262" w:type="dxa"/>
            <w:vAlign w:val="center"/>
          </w:tcPr>
          <w:p>
            <w:pPr>
              <w:jc w:val="center"/>
              <w:rPr>
                <w:szCs w:val="21"/>
              </w:rPr>
            </w:pPr>
            <w:r>
              <w:rPr>
                <w:rFonts w:hint="eastAsia"/>
                <w:szCs w:val="21"/>
              </w:rPr>
              <w:t>0.05</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氰化物</w:t>
            </w:r>
          </w:p>
        </w:tc>
        <w:tc>
          <w:tcPr>
            <w:tcW w:w="3544" w:type="dxa"/>
            <w:vAlign w:val="center"/>
          </w:tcPr>
          <w:p>
            <w:pPr>
              <w:jc w:val="center"/>
              <w:rPr>
                <w:szCs w:val="21"/>
              </w:rPr>
            </w:pPr>
            <w:r>
              <w:rPr>
                <w:rFonts w:hint="eastAsia"/>
                <w:szCs w:val="21"/>
              </w:rPr>
              <w:t>地下水质分析方法第52部分：氰化物的测定 吡啶-吡唑啉酮分光光度法 DZ/T0064.52-2021</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XSJS/YQ-19-2</w:t>
            </w:r>
          </w:p>
        </w:tc>
        <w:tc>
          <w:tcPr>
            <w:tcW w:w="1262" w:type="dxa"/>
            <w:vAlign w:val="center"/>
          </w:tcPr>
          <w:p>
            <w:pPr>
              <w:jc w:val="center"/>
              <w:rPr>
                <w:szCs w:val="21"/>
              </w:rPr>
            </w:pPr>
            <w:r>
              <w:rPr>
                <w:rFonts w:hint="eastAsia"/>
                <w:szCs w:val="21"/>
              </w:rPr>
              <w:t>0.002</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挥发酚</w:t>
            </w:r>
          </w:p>
        </w:tc>
        <w:tc>
          <w:tcPr>
            <w:tcW w:w="3544" w:type="dxa"/>
            <w:vAlign w:val="center"/>
          </w:tcPr>
          <w:p>
            <w:pPr>
              <w:jc w:val="center"/>
              <w:rPr>
                <w:szCs w:val="21"/>
              </w:rPr>
            </w:pPr>
            <w:r>
              <w:rPr>
                <w:szCs w:val="21"/>
              </w:rPr>
              <w:t>水质 挥发酚的测定 4-氨基安替比林分光光度法HJ503-2009</w:t>
            </w:r>
            <w:r>
              <w:rPr>
                <w:rFonts w:hint="eastAsia"/>
                <w:szCs w:val="21"/>
              </w:rPr>
              <w:t>（方法1萃取分光光度法）</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XSJS/YQ-19-2</w:t>
            </w:r>
          </w:p>
        </w:tc>
        <w:tc>
          <w:tcPr>
            <w:tcW w:w="1262" w:type="dxa"/>
            <w:vAlign w:val="center"/>
          </w:tcPr>
          <w:p>
            <w:pPr>
              <w:jc w:val="center"/>
              <w:rPr>
                <w:szCs w:val="21"/>
              </w:rPr>
            </w:pPr>
            <w:r>
              <w:rPr>
                <w:szCs w:val="21"/>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阴离子表面活性剂</w:t>
            </w:r>
          </w:p>
        </w:tc>
        <w:tc>
          <w:tcPr>
            <w:tcW w:w="3544" w:type="dxa"/>
            <w:vAlign w:val="center"/>
          </w:tcPr>
          <w:p>
            <w:pPr>
              <w:jc w:val="center"/>
              <w:rPr>
                <w:szCs w:val="21"/>
              </w:rPr>
            </w:pPr>
            <w:r>
              <w:rPr>
                <w:szCs w:val="21"/>
              </w:rPr>
              <w:t>水质 阴离子表面活性剂的测定 亚甲蓝分光光度法GB7494-1987</w:t>
            </w:r>
          </w:p>
        </w:tc>
        <w:tc>
          <w:tcPr>
            <w:tcW w:w="2222" w:type="dxa"/>
            <w:vAlign w:val="center"/>
          </w:tcPr>
          <w:p>
            <w:pPr>
              <w:jc w:val="center"/>
              <w:rPr>
                <w:szCs w:val="21"/>
              </w:rPr>
            </w:pPr>
            <w:r>
              <w:rPr>
                <w:szCs w:val="21"/>
              </w:rPr>
              <w:t xml:space="preserve">UV-1600型紫外可见分光光度计 </w:t>
            </w:r>
          </w:p>
        </w:tc>
        <w:tc>
          <w:tcPr>
            <w:tcW w:w="1378" w:type="dxa"/>
            <w:vAlign w:val="center"/>
          </w:tcPr>
          <w:p>
            <w:pPr>
              <w:jc w:val="center"/>
              <w:rPr>
                <w:szCs w:val="21"/>
              </w:rPr>
            </w:pPr>
            <w:r>
              <w:rPr>
                <w:rFonts w:hint="eastAsia"/>
                <w:szCs w:val="21"/>
              </w:rPr>
              <w:t>XSJS/YQ-19</w:t>
            </w:r>
          </w:p>
        </w:tc>
        <w:tc>
          <w:tcPr>
            <w:tcW w:w="1262" w:type="dxa"/>
            <w:vAlign w:val="center"/>
          </w:tcPr>
          <w:p>
            <w:pPr>
              <w:adjustRightInd w:val="0"/>
              <w:snapToGrid w:val="0"/>
              <w:jc w:val="center"/>
              <w:rPr>
                <w:szCs w:val="21"/>
              </w:rPr>
            </w:pPr>
            <w:r>
              <w:rPr>
                <w:szCs w:val="21"/>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镉</w:t>
            </w:r>
          </w:p>
        </w:tc>
        <w:tc>
          <w:tcPr>
            <w:tcW w:w="3544" w:type="dxa"/>
            <w:vAlign w:val="center"/>
          </w:tcPr>
          <w:p>
            <w:pPr>
              <w:jc w:val="center"/>
              <w:rPr>
                <w:szCs w:val="21"/>
              </w:rPr>
            </w:pPr>
            <w:r>
              <w:rPr>
                <w:rFonts w:hint="eastAsia"/>
                <w:szCs w:val="21"/>
              </w:rPr>
              <w:t>水质 铜、锌、铅、镉的测定 原子吸收分光光度法GB7475-1987（螯合萃取法）</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jc w:val="center"/>
              <w:rPr>
                <w:szCs w:val="21"/>
              </w:rPr>
            </w:pPr>
            <w:r>
              <w:rPr>
                <w:rFonts w:hint="eastAsia"/>
                <w:szCs w:val="21"/>
              </w:rPr>
              <w:t>XSJS/YQ-04</w:t>
            </w:r>
          </w:p>
        </w:tc>
        <w:tc>
          <w:tcPr>
            <w:tcW w:w="1262" w:type="dxa"/>
            <w:vAlign w:val="center"/>
          </w:tcPr>
          <w:p>
            <w:pPr>
              <w:jc w:val="center"/>
              <w:rPr>
                <w:szCs w:val="21"/>
              </w:rPr>
            </w:pPr>
            <w:r>
              <w:rPr>
                <w:rFonts w:hint="eastAsia"/>
                <w:szCs w:val="21"/>
              </w:rPr>
              <w:t>1</w:t>
            </w:r>
            <w:r>
              <w:rPr>
                <w:szCs w:val="21"/>
              </w:rPr>
              <w:t>μg/</w:t>
            </w:r>
            <w:r>
              <w:rPr>
                <w:rFonts w:hint="eastAsia"/>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碳酸根离子</w:t>
            </w:r>
          </w:p>
        </w:tc>
        <w:tc>
          <w:tcPr>
            <w:tcW w:w="3544" w:type="dxa"/>
            <w:vAlign w:val="center"/>
          </w:tcPr>
          <w:p>
            <w:pPr>
              <w:jc w:val="center"/>
              <w:rPr>
                <w:szCs w:val="21"/>
              </w:rPr>
            </w:pPr>
            <w:r>
              <w:rPr>
                <w:rFonts w:hint="eastAsia"/>
                <w:szCs w:val="21"/>
              </w:rPr>
              <w:t>地下水质分析方法 第49部分：碳酸根、重碳酸根和氢氧根离子的测定 滴定法 DZ/T 0064.49-2021</w:t>
            </w:r>
          </w:p>
        </w:tc>
        <w:tc>
          <w:tcPr>
            <w:tcW w:w="2222" w:type="dxa"/>
            <w:vAlign w:val="center"/>
          </w:tcPr>
          <w:p>
            <w:pPr>
              <w:jc w:val="center"/>
              <w:rPr>
                <w:szCs w:val="21"/>
              </w:rPr>
            </w:pPr>
            <w:r>
              <w:rPr>
                <w:rFonts w:hint="eastAsia"/>
                <w:kern w:val="0"/>
                <w:szCs w:val="21"/>
              </w:rPr>
              <w:t>/</w:t>
            </w:r>
          </w:p>
        </w:tc>
        <w:tc>
          <w:tcPr>
            <w:tcW w:w="1378" w:type="dxa"/>
            <w:vAlign w:val="center"/>
          </w:tcPr>
          <w:p>
            <w:pPr>
              <w:jc w:val="center"/>
              <w:rPr>
                <w:szCs w:val="21"/>
              </w:rPr>
            </w:pPr>
            <w:r>
              <w:rPr>
                <w:rFonts w:hint="eastAsia"/>
                <w:kern w:val="0"/>
                <w:szCs w:val="21"/>
              </w:rPr>
              <w:t>/</w:t>
            </w:r>
          </w:p>
        </w:tc>
        <w:tc>
          <w:tcPr>
            <w:tcW w:w="1262" w:type="dxa"/>
            <w:vAlign w:val="center"/>
          </w:tcPr>
          <w:p>
            <w:pPr>
              <w:jc w:val="center"/>
              <w:rPr>
                <w:szCs w:val="21"/>
              </w:rPr>
            </w:pPr>
            <w:r>
              <w:rPr>
                <w:rFonts w:hint="eastAsia"/>
                <w:szCs w:val="21"/>
              </w:rPr>
              <w:t>5</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碳酸氢根离子</w:t>
            </w:r>
          </w:p>
        </w:tc>
        <w:tc>
          <w:tcPr>
            <w:tcW w:w="3544" w:type="dxa"/>
            <w:vAlign w:val="center"/>
          </w:tcPr>
          <w:p>
            <w:pPr>
              <w:jc w:val="center"/>
              <w:rPr>
                <w:szCs w:val="21"/>
              </w:rPr>
            </w:pPr>
            <w:r>
              <w:rPr>
                <w:rFonts w:hint="eastAsia"/>
                <w:szCs w:val="21"/>
              </w:rPr>
              <w:t>地下水质分析方法 第49部分：碳酸根、重碳酸根和氢氧根离子的测定 滴定法 DZ/T 0064.49-2021</w:t>
            </w:r>
          </w:p>
        </w:tc>
        <w:tc>
          <w:tcPr>
            <w:tcW w:w="2222" w:type="dxa"/>
            <w:vAlign w:val="center"/>
          </w:tcPr>
          <w:p>
            <w:pPr>
              <w:jc w:val="center"/>
              <w:rPr>
                <w:szCs w:val="21"/>
              </w:rPr>
            </w:pPr>
            <w:r>
              <w:rPr>
                <w:rFonts w:hint="eastAsia"/>
                <w:kern w:val="0"/>
                <w:szCs w:val="21"/>
              </w:rPr>
              <w:t>/</w:t>
            </w:r>
          </w:p>
        </w:tc>
        <w:tc>
          <w:tcPr>
            <w:tcW w:w="1378" w:type="dxa"/>
            <w:vAlign w:val="center"/>
          </w:tcPr>
          <w:p>
            <w:pPr>
              <w:jc w:val="center"/>
              <w:rPr>
                <w:szCs w:val="21"/>
              </w:rPr>
            </w:pPr>
            <w:r>
              <w:rPr>
                <w:rFonts w:hint="eastAsia"/>
                <w:kern w:val="0"/>
                <w:szCs w:val="21"/>
              </w:rPr>
              <w:t>/</w:t>
            </w:r>
          </w:p>
        </w:tc>
        <w:tc>
          <w:tcPr>
            <w:tcW w:w="1262" w:type="dxa"/>
            <w:vAlign w:val="center"/>
          </w:tcPr>
          <w:p>
            <w:pPr>
              <w:jc w:val="center"/>
              <w:rPr>
                <w:szCs w:val="21"/>
              </w:rPr>
            </w:pPr>
            <w:r>
              <w:rPr>
                <w:rFonts w:hint="eastAsia"/>
                <w:szCs w:val="21"/>
              </w:rPr>
              <w:t>5</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钾离子</w:t>
            </w:r>
          </w:p>
        </w:tc>
        <w:tc>
          <w:tcPr>
            <w:tcW w:w="3544" w:type="dxa"/>
            <w:vAlign w:val="center"/>
          </w:tcPr>
          <w:p>
            <w:pPr>
              <w:jc w:val="center"/>
              <w:rPr>
                <w:szCs w:val="21"/>
              </w:rPr>
            </w:pPr>
            <w:r>
              <w:rPr>
                <w:rFonts w:hint="eastAsia"/>
                <w:szCs w:val="21"/>
              </w:rPr>
              <w:t>水质32种元素的测定 电感耦合等离子体发射光谱法HJ776-2015</w:t>
            </w:r>
          </w:p>
        </w:tc>
        <w:tc>
          <w:tcPr>
            <w:tcW w:w="2222" w:type="dxa"/>
            <w:vAlign w:val="center"/>
          </w:tcPr>
          <w:p>
            <w:pPr>
              <w:jc w:val="center"/>
              <w:rPr>
                <w:szCs w:val="21"/>
              </w:rPr>
            </w:pPr>
            <w:r>
              <w:rPr>
                <w:szCs w:val="21"/>
              </w:rPr>
              <w:t>Plasma 2000</w:t>
            </w:r>
            <w:r>
              <w:rPr>
                <w:rFonts w:hint="eastAsia"/>
                <w:szCs w:val="21"/>
              </w:rPr>
              <w:t>型</w:t>
            </w:r>
            <w:r>
              <w:rPr>
                <w:szCs w:val="21"/>
              </w:rPr>
              <w:t>电感耦合等离子体原子发射光谱仪</w:t>
            </w:r>
          </w:p>
        </w:tc>
        <w:tc>
          <w:tcPr>
            <w:tcW w:w="1378" w:type="dxa"/>
            <w:vAlign w:val="center"/>
          </w:tcPr>
          <w:p>
            <w:pPr>
              <w:jc w:val="center"/>
              <w:rPr>
                <w:szCs w:val="21"/>
              </w:rPr>
            </w:pPr>
            <w:r>
              <w:rPr>
                <w:szCs w:val="21"/>
              </w:rPr>
              <w:t>XSJS/YQ-82</w:t>
            </w:r>
          </w:p>
        </w:tc>
        <w:tc>
          <w:tcPr>
            <w:tcW w:w="1262" w:type="dxa"/>
            <w:vAlign w:val="center"/>
          </w:tcPr>
          <w:p>
            <w:pPr>
              <w:jc w:val="center"/>
              <w:rPr>
                <w:szCs w:val="21"/>
              </w:rPr>
            </w:pPr>
            <w:r>
              <w:rPr>
                <w:rFonts w:hint="eastAsia"/>
                <w:szCs w:val="21"/>
              </w:rPr>
              <w:t>0.07</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钙离子</w:t>
            </w:r>
          </w:p>
        </w:tc>
        <w:tc>
          <w:tcPr>
            <w:tcW w:w="3544" w:type="dxa"/>
            <w:vAlign w:val="center"/>
          </w:tcPr>
          <w:p>
            <w:pPr>
              <w:jc w:val="center"/>
              <w:rPr>
                <w:szCs w:val="21"/>
              </w:rPr>
            </w:pPr>
            <w:r>
              <w:rPr>
                <w:rFonts w:hint="eastAsia"/>
                <w:szCs w:val="21"/>
              </w:rPr>
              <w:t>水质32种元素的测定 电感耦合等离子体发射光谱法HJ776-2015</w:t>
            </w:r>
          </w:p>
        </w:tc>
        <w:tc>
          <w:tcPr>
            <w:tcW w:w="2222" w:type="dxa"/>
            <w:vAlign w:val="center"/>
          </w:tcPr>
          <w:p>
            <w:pPr>
              <w:jc w:val="center"/>
              <w:rPr>
                <w:szCs w:val="21"/>
              </w:rPr>
            </w:pPr>
            <w:r>
              <w:rPr>
                <w:szCs w:val="21"/>
              </w:rPr>
              <w:t>Plasma 2000</w:t>
            </w:r>
            <w:r>
              <w:rPr>
                <w:rFonts w:hint="eastAsia"/>
                <w:szCs w:val="21"/>
              </w:rPr>
              <w:t>型</w:t>
            </w:r>
            <w:r>
              <w:rPr>
                <w:szCs w:val="21"/>
              </w:rPr>
              <w:t>电感耦合等离子体原子发射光谱仪</w:t>
            </w:r>
          </w:p>
        </w:tc>
        <w:tc>
          <w:tcPr>
            <w:tcW w:w="1378" w:type="dxa"/>
            <w:vAlign w:val="center"/>
          </w:tcPr>
          <w:p>
            <w:pPr>
              <w:jc w:val="center"/>
              <w:rPr>
                <w:szCs w:val="21"/>
              </w:rPr>
            </w:pPr>
            <w:r>
              <w:rPr>
                <w:szCs w:val="21"/>
              </w:rPr>
              <w:t>XSJS/YQ-82</w:t>
            </w:r>
          </w:p>
        </w:tc>
        <w:tc>
          <w:tcPr>
            <w:tcW w:w="1262" w:type="dxa"/>
            <w:vAlign w:val="center"/>
          </w:tcPr>
          <w:p>
            <w:pPr>
              <w:jc w:val="center"/>
              <w:rPr>
                <w:szCs w:val="21"/>
              </w:rPr>
            </w:pPr>
            <w:r>
              <w:rPr>
                <w:rFonts w:hint="eastAsia"/>
                <w:szCs w:val="21"/>
              </w:rPr>
              <w:t>0.02</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镁离子</w:t>
            </w:r>
          </w:p>
        </w:tc>
        <w:tc>
          <w:tcPr>
            <w:tcW w:w="3544" w:type="dxa"/>
            <w:vAlign w:val="center"/>
          </w:tcPr>
          <w:p>
            <w:pPr>
              <w:jc w:val="center"/>
              <w:rPr>
                <w:szCs w:val="21"/>
              </w:rPr>
            </w:pPr>
            <w:r>
              <w:rPr>
                <w:rFonts w:hint="eastAsia"/>
                <w:szCs w:val="21"/>
              </w:rPr>
              <w:t>水质32种元素的测定 电感耦合等离子体发射光谱法HJ776-2015</w:t>
            </w:r>
          </w:p>
        </w:tc>
        <w:tc>
          <w:tcPr>
            <w:tcW w:w="2222" w:type="dxa"/>
            <w:vAlign w:val="center"/>
          </w:tcPr>
          <w:p>
            <w:pPr>
              <w:jc w:val="center"/>
              <w:rPr>
                <w:szCs w:val="21"/>
              </w:rPr>
            </w:pPr>
            <w:r>
              <w:rPr>
                <w:szCs w:val="21"/>
              </w:rPr>
              <w:t>Plasma 2000</w:t>
            </w:r>
            <w:r>
              <w:rPr>
                <w:rFonts w:hint="eastAsia"/>
                <w:szCs w:val="21"/>
              </w:rPr>
              <w:t>型</w:t>
            </w:r>
            <w:r>
              <w:rPr>
                <w:szCs w:val="21"/>
              </w:rPr>
              <w:t>电感耦合等离子体原子发射光谱仪</w:t>
            </w:r>
          </w:p>
        </w:tc>
        <w:tc>
          <w:tcPr>
            <w:tcW w:w="1378" w:type="dxa"/>
            <w:vAlign w:val="center"/>
          </w:tcPr>
          <w:p>
            <w:pPr>
              <w:jc w:val="center"/>
              <w:rPr>
                <w:szCs w:val="21"/>
              </w:rPr>
            </w:pPr>
            <w:r>
              <w:rPr>
                <w:szCs w:val="21"/>
              </w:rPr>
              <w:t>XSJS/YQ-82</w:t>
            </w:r>
          </w:p>
        </w:tc>
        <w:tc>
          <w:tcPr>
            <w:tcW w:w="1262" w:type="dxa"/>
            <w:vAlign w:val="center"/>
          </w:tcPr>
          <w:p>
            <w:pPr>
              <w:jc w:val="center"/>
              <w:rPr>
                <w:szCs w:val="21"/>
              </w:rPr>
            </w:pPr>
            <w:r>
              <w:rPr>
                <w:rFonts w:hint="eastAsia"/>
                <w:szCs w:val="21"/>
              </w:rPr>
              <w:t>0.02</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szCs w:val="21"/>
              </w:rPr>
              <w:t>钠离子</w:t>
            </w:r>
          </w:p>
        </w:tc>
        <w:tc>
          <w:tcPr>
            <w:tcW w:w="3544" w:type="dxa"/>
            <w:vAlign w:val="center"/>
          </w:tcPr>
          <w:p>
            <w:pPr>
              <w:jc w:val="center"/>
              <w:rPr>
                <w:szCs w:val="21"/>
              </w:rPr>
            </w:pPr>
            <w:r>
              <w:rPr>
                <w:szCs w:val="21"/>
              </w:rPr>
              <w:t>水质32种元素的测定 电感耦合等离子体发射光谱法HJ776-2015</w:t>
            </w:r>
          </w:p>
        </w:tc>
        <w:tc>
          <w:tcPr>
            <w:tcW w:w="2222" w:type="dxa"/>
            <w:vAlign w:val="center"/>
          </w:tcPr>
          <w:p>
            <w:pPr>
              <w:jc w:val="center"/>
              <w:rPr>
                <w:szCs w:val="21"/>
              </w:rPr>
            </w:pPr>
            <w:r>
              <w:rPr>
                <w:szCs w:val="21"/>
              </w:rPr>
              <w:t>Plasma 2000型电感耦合等离子体原子发射光谱仪</w:t>
            </w:r>
          </w:p>
        </w:tc>
        <w:tc>
          <w:tcPr>
            <w:tcW w:w="1378" w:type="dxa"/>
            <w:vAlign w:val="center"/>
          </w:tcPr>
          <w:p>
            <w:pPr>
              <w:jc w:val="center"/>
              <w:rPr>
                <w:szCs w:val="21"/>
              </w:rPr>
            </w:pPr>
            <w:r>
              <w:rPr>
                <w:szCs w:val="21"/>
              </w:rPr>
              <w:t>XSJS/YQ-82</w:t>
            </w:r>
          </w:p>
        </w:tc>
        <w:tc>
          <w:tcPr>
            <w:tcW w:w="1262" w:type="dxa"/>
            <w:vAlign w:val="center"/>
          </w:tcPr>
          <w:p>
            <w:pPr>
              <w:jc w:val="center"/>
              <w:rPr>
                <w:szCs w:val="21"/>
              </w:rPr>
            </w:pPr>
            <w:r>
              <w:rPr>
                <w:szCs w:val="21"/>
              </w:rPr>
              <w:t>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砷</w:t>
            </w:r>
          </w:p>
        </w:tc>
        <w:tc>
          <w:tcPr>
            <w:tcW w:w="3544" w:type="dxa"/>
            <w:vAlign w:val="center"/>
          </w:tcPr>
          <w:p>
            <w:pPr>
              <w:jc w:val="center"/>
              <w:rPr>
                <w:szCs w:val="21"/>
              </w:rPr>
            </w:pPr>
            <w:r>
              <w:rPr>
                <w:szCs w:val="21"/>
              </w:rPr>
              <w:t>水质 汞、砷、硒、铋和锑的测定 原子荧光法HJ694-2014</w:t>
            </w:r>
          </w:p>
        </w:tc>
        <w:tc>
          <w:tcPr>
            <w:tcW w:w="2222" w:type="dxa"/>
            <w:vAlign w:val="center"/>
          </w:tcPr>
          <w:p>
            <w:pPr>
              <w:jc w:val="center"/>
              <w:rPr>
                <w:szCs w:val="21"/>
              </w:rPr>
            </w:pPr>
            <w:r>
              <w:rPr>
                <w:rFonts w:hint="eastAsia"/>
                <w:szCs w:val="21"/>
              </w:rPr>
              <w:t xml:space="preserve">AFS-230E型原子荧光分光光度计 </w:t>
            </w:r>
          </w:p>
        </w:tc>
        <w:tc>
          <w:tcPr>
            <w:tcW w:w="1378" w:type="dxa"/>
            <w:vAlign w:val="center"/>
          </w:tcPr>
          <w:p>
            <w:pPr>
              <w:jc w:val="center"/>
              <w:rPr>
                <w:szCs w:val="21"/>
              </w:rPr>
            </w:pPr>
            <w:r>
              <w:rPr>
                <w:rFonts w:hint="eastAsia"/>
                <w:szCs w:val="21"/>
              </w:rPr>
              <w:t>XSJS/YQ-01</w:t>
            </w:r>
          </w:p>
        </w:tc>
        <w:tc>
          <w:tcPr>
            <w:tcW w:w="1262" w:type="dxa"/>
            <w:vAlign w:val="center"/>
          </w:tcPr>
          <w:p>
            <w:pPr>
              <w:jc w:val="center"/>
              <w:rPr>
                <w:szCs w:val="21"/>
              </w:rPr>
            </w:pPr>
            <w:r>
              <w:rPr>
                <w:szCs w:val="21"/>
              </w:rPr>
              <w:t>0.3μg/</w:t>
            </w:r>
            <w:r>
              <w:rPr>
                <w:rFonts w:hint="eastAsia"/>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汞</w:t>
            </w:r>
          </w:p>
        </w:tc>
        <w:tc>
          <w:tcPr>
            <w:tcW w:w="3544" w:type="dxa"/>
            <w:vAlign w:val="center"/>
          </w:tcPr>
          <w:p>
            <w:pPr>
              <w:jc w:val="center"/>
              <w:rPr>
                <w:szCs w:val="21"/>
              </w:rPr>
            </w:pPr>
            <w:r>
              <w:rPr>
                <w:szCs w:val="21"/>
              </w:rPr>
              <w:t>水质 汞、砷、硒、铋和锑的测定 原子荧光法HJ694-2014</w:t>
            </w:r>
          </w:p>
        </w:tc>
        <w:tc>
          <w:tcPr>
            <w:tcW w:w="2222" w:type="dxa"/>
            <w:vAlign w:val="center"/>
          </w:tcPr>
          <w:p>
            <w:pPr>
              <w:jc w:val="center"/>
              <w:rPr>
                <w:szCs w:val="21"/>
              </w:rPr>
            </w:pPr>
            <w:r>
              <w:rPr>
                <w:rFonts w:hint="eastAsia"/>
                <w:szCs w:val="21"/>
              </w:rPr>
              <w:t xml:space="preserve">AFS-230E型原子荧光分光光度计 </w:t>
            </w:r>
          </w:p>
        </w:tc>
        <w:tc>
          <w:tcPr>
            <w:tcW w:w="1378" w:type="dxa"/>
            <w:vAlign w:val="center"/>
          </w:tcPr>
          <w:p>
            <w:pPr>
              <w:jc w:val="center"/>
              <w:rPr>
                <w:szCs w:val="21"/>
              </w:rPr>
            </w:pPr>
            <w:r>
              <w:rPr>
                <w:rFonts w:hint="eastAsia"/>
                <w:szCs w:val="21"/>
              </w:rPr>
              <w:t>XSJS/YQ-01</w:t>
            </w:r>
          </w:p>
        </w:tc>
        <w:tc>
          <w:tcPr>
            <w:tcW w:w="1262" w:type="dxa"/>
            <w:vAlign w:val="center"/>
          </w:tcPr>
          <w:p>
            <w:pPr>
              <w:jc w:val="center"/>
              <w:rPr>
                <w:szCs w:val="21"/>
              </w:rPr>
            </w:pPr>
            <w:r>
              <w:rPr>
                <w:szCs w:val="21"/>
              </w:rPr>
              <w:t>0.04μg/</w:t>
            </w:r>
            <w:r>
              <w:rPr>
                <w:rFonts w:hint="eastAsia"/>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铜</w:t>
            </w:r>
          </w:p>
        </w:tc>
        <w:tc>
          <w:tcPr>
            <w:tcW w:w="3544" w:type="dxa"/>
            <w:vAlign w:val="center"/>
          </w:tcPr>
          <w:p>
            <w:pPr>
              <w:jc w:val="center"/>
              <w:rPr>
                <w:szCs w:val="21"/>
              </w:rPr>
            </w:pPr>
            <w:r>
              <w:rPr>
                <w:rFonts w:hint="eastAsia"/>
                <w:szCs w:val="21"/>
              </w:rPr>
              <w:t>水质 铜、锌、铅、镉的测定 原子吸收分光光度法GB7475-1987（螯合萃取法）</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adjustRightInd w:val="0"/>
              <w:snapToGrid w:val="0"/>
              <w:jc w:val="center"/>
              <w:rPr>
                <w:szCs w:val="21"/>
              </w:rPr>
            </w:pPr>
            <w:r>
              <w:rPr>
                <w:rFonts w:hint="eastAsia"/>
                <w:szCs w:val="21"/>
              </w:rPr>
              <w:t>XSJS/YQ-04</w:t>
            </w:r>
          </w:p>
        </w:tc>
        <w:tc>
          <w:tcPr>
            <w:tcW w:w="1262" w:type="dxa"/>
            <w:vAlign w:val="center"/>
          </w:tcPr>
          <w:p>
            <w:pPr>
              <w:jc w:val="center"/>
              <w:rPr>
                <w:szCs w:val="21"/>
              </w:rPr>
            </w:pPr>
            <w:r>
              <w:rPr>
                <w:rFonts w:hint="eastAsia"/>
                <w:szCs w:val="21"/>
              </w:rPr>
              <w:t>1</w:t>
            </w:r>
            <w:r>
              <w:rPr>
                <w:szCs w:val="21"/>
              </w:rPr>
              <w:t>μg/</w:t>
            </w:r>
            <w:r>
              <w:rPr>
                <w:rFonts w:hint="eastAsia"/>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锌</w:t>
            </w:r>
          </w:p>
        </w:tc>
        <w:tc>
          <w:tcPr>
            <w:tcW w:w="3544" w:type="dxa"/>
            <w:vAlign w:val="center"/>
          </w:tcPr>
          <w:p>
            <w:pPr>
              <w:jc w:val="center"/>
              <w:rPr>
                <w:szCs w:val="21"/>
              </w:rPr>
            </w:pPr>
            <w:r>
              <w:rPr>
                <w:rFonts w:hint="eastAsia"/>
                <w:szCs w:val="21"/>
              </w:rPr>
              <w:t>水质 铜、锌、铅、镉的测定 原子吸收分光光度法GB7475-1987</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jc w:val="center"/>
              <w:rPr>
                <w:szCs w:val="21"/>
              </w:rPr>
            </w:pPr>
            <w:r>
              <w:rPr>
                <w:rFonts w:hint="eastAsia"/>
                <w:szCs w:val="21"/>
              </w:rPr>
              <w:t>XSJS/YQ-04</w:t>
            </w:r>
          </w:p>
        </w:tc>
        <w:tc>
          <w:tcPr>
            <w:tcW w:w="1262" w:type="dxa"/>
            <w:vAlign w:val="center"/>
          </w:tcPr>
          <w:p>
            <w:pPr>
              <w:pStyle w:val="53"/>
              <w:adjustRightInd w:val="0"/>
              <w:spacing w:line="400" w:lineRule="exact"/>
              <w:jc w:val="center"/>
              <w:rPr>
                <w:rFonts w:ascii="Times New Roman" w:hAnsi="Times New Roman" w:cs="Times New Roman"/>
                <w:sz w:val="21"/>
                <w:szCs w:val="21"/>
              </w:rPr>
            </w:pPr>
            <w:r>
              <w:rPr>
                <w:rFonts w:hint="eastAsia" w:ascii="Times New Roman" w:hAnsi="Times New Roman" w:cs="Times New Roman"/>
                <w:sz w:val="21"/>
                <w:szCs w:val="21"/>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铅</w:t>
            </w:r>
          </w:p>
        </w:tc>
        <w:tc>
          <w:tcPr>
            <w:tcW w:w="3544" w:type="dxa"/>
            <w:vAlign w:val="center"/>
          </w:tcPr>
          <w:p>
            <w:pPr>
              <w:jc w:val="center"/>
              <w:rPr>
                <w:szCs w:val="21"/>
              </w:rPr>
            </w:pPr>
            <w:r>
              <w:rPr>
                <w:rFonts w:hint="eastAsia"/>
                <w:szCs w:val="21"/>
              </w:rPr>
              <w:t>水质 铜、锌、铅、镉的测定 原子吸收分光光度法GB7475-1987（螯合萃取法）</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jc w:val="center"/>
              <w:rPr>
                <w:szCs w:val="21"/>
              </w:rPr>
            </w:pPr>
            <w:r>
              <w:rPr>
                <w:rFonts w:hint="eastAsia"/>
                <w:szCs w:val="21"/>
              </w:rPr>
              <w:t>XSJS/YQ-04</w:t>
            </w:r>
          </w:p>
        </w:tc>
        <w:tc>
          <w:tcPr>
            <w:tcW w:w="1262" w:type="dxa"/>
            <w:vAlign w:val="center"/>
          </w:tcPr>
          <w:p>
            <w:pPr>
              <w:jc w:val="center"/>
              <w:rPr>
                <w:szCs w:val="21"/>
              </w:rPr>
            </w:pPr>
            <w:r>
              <w:rPr>
                <w:rFonts w:hint="eastAsia"/>
                <w:szCs w:val="21"/>
              </w:rPr>
              <w:t>10</w:t>
            </w:r>
            <w:r>
              <w:rPr>
                <w:szCs w:val="21"/>
              </w:rPr>
              <w:t>μg/</w:t>
            </w:r>
            <w:r>
              <w:rPr>
                <w:rFonts w:hint="eastAsia"/>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六价铬</w:t>
            </w:r>
          </w:p>
        </w:tc>
        <w:tc>
          <w:tcPr>
            <w:tcW w:w="3544" w:type="dxa"/>
            <w:vAlign w:val="center"/>
          </w:tcPr>
          <w:p>
            <w:pPr>
              <w:jc w:val="center"/>
              <w:rPr>
                <w:szCs w:val="21"/>
              </w:rPr>
            </w:pPr>
            <w:r>
              <w:rPr>
                <w:rFonts w:hint="eastAsia"/>
                <w:szCs w:val="21"/>
              </w:rPr>
              <w:t>地下水质分析方法 第17部分：总铬和六价铬量的测定 二苯碳酰二肼分光光度法DZ/T0064.17-2021</w:t>
            </w:r>
          </w:p>
        </w:tc>
        <w:tc>
          <w:tcPr>
            <w:tcW w:w="2222" w:type="dxa"/>
            <w:vAlign w:val="center"/>
          </w:tcPr>
          <w:p>
            <w:pPr>
              <w:jc w:val="center"/>
              <w:rPr>
                <w:kern w:val="0"/>
                <w:szCs w:val="21"/>
              </w:rPr>
            </w:pPr>
            <w:r>
              <w:rPr>
                <w:rFonts w:hint="eastAsia"/>
                <w:kern w:val="0"/>
                <w:szCs w:val="21"/>
              </w:rPr>
              <w:t xml:space="preserve">UV-1600型紫外可见分光光度计 </w:t>
            </w:r>
          </w:p>
        </w:tc>
        <w:tc>
          <w:tcPr>
            <w:tcW w:w="1378" w:type="dxa"/>
            <w:vAlign w:val="center"/>
          </w:tcPr>
          <w:p>
            <w:pPr>
              <w:jc w:val="center"/>
              <w:rPr>
                <w:kern w:val="0"/>
                <w:szCs w:val="21"/>
              </w:rPr>
            </w:pPr>
            <w:r>
              <w:rPr>
                <w:rFonts w:hint="eastAsia"/>
                <w:kern w:val="0"/>
                <w:szCs w:val="21"/>
              </w:rPr>
              <w:t>XSJS/YQ-19</w:t>
            </w:r>
          </w:p>
        </w:tc>
        <w:tc>
          <w:tcPr>
            <w:tcW w:w="1262" w:type="dxa"/>
            <w:vAlign w:val="center"/>
          </w:tcPr>
          <w:p>
            <w:pPr>
              <w:jc w:val="center"/>
              <w:rPr>
                <w:szCs w:val="21"/>
              </w:rPr>
            </w:pPr>
            <w:r>
              <w:rPr>
                <w:rFonts w:hint="eastAsia"/>
                <w:szCs w:val="21"/>
              </w:rPr>
              <w:t>0.004</w:t>
            </w:r>
            <w:r>
              <w:rPr>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铁</w:t>
            </w:r>
          </w:p>
        </w:tc>
        <w:tc>
          <w:tcPr>
            <w:tcW w:w="3544" w:type="dxa"/>
            <w:vAlign w:val="center"/>
          </w:tcPr>
          <w:p>
            <w:pPr>
              <w:jc w:val="center"/>
              <w:rPr>
                <w:szCs w:val="21"/>
              </w:rPr>
            </w:pPr>
            <w:r>
              <w:rPr>
                <w:szCs w:val="21"/>
              </w:rPr>
              <w:t>水质 铁、锰的测定 火焰原子吸收分光光度法GB11911-1989</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jc w:val="center"/>
              <w:rPr>
                <w:szCs w:val="21"/>
              </w:rPr>
            </w:pPr>
            <w:r>
              <w:rPr>
                <w:rFonts w:hint="eastAsia"/>
                <w:szCs w:val="21"/>
              </w:rPr>
              <w:t>XSJS/YQ-04</w:t>
            </w:r>
          </w:p>
        </w:tc>
        <w:tc>
          <w:tcPr>
            <w:tcW w:w="1262" w:type="dxa"/>
            <w:vAlign w:val="center"/>
          </w:tcPr>
          <w:p>
            <w:pPr>
              <w:jc w:val="center"/>
              <w:rPr>
                <w:szCs w:val="21"/>
              </w:rPr>
            </w:pPr>
            <w:r>
              <w:rPr>
                <w:szCs w:val="21"/>
              </w:rPr>
              <w:t>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320" w:type="dxa"/>
            <w:vAlign w:val="center"/>
          </w:tcPr>
          <w:p>
            <w:pPr>
              <w:jc w:val="center"/>
              <w:rPr>
                <w:kern w:val="0"/>
                <w:szCs w:val="21"/>
              </w:rPr>
            </w:pPr>
            <w:r>
              <w:rPr>
                <w:rFonts w:hint="eastAsia"/>
                <w:kern w:val="0"/>
                <w:szCs w:val="21"/>
              </w:rPr>
              <w:t>锰</w:t>
            </w:r>
          </w:p>
        </w:tc>
        <w:tc>
          <w:tcPr>
            <w:tcW w:w="3544" w:type="dxa"/>
            <w:vAlign w:val="center"/>
          </w:tcPr>
          <w:p>
            <w:pPr>
              <w:jc w:val="center"/>
              <w:rPr>
                <w:szCs w:val="21"/>
              </w:rPr>
            </w:pPr>
            <w:r>
              <w:rPr>
                <w:szCs w:val="21"/>
              </w:rPr>
              <w:t>水质 铁、锰的测定 火焰原子吸收分光光度法GB11911-1989</w:t>
            </w:r>
          </w:p>
        </w:tc>
        <w:tc>
          <w:tcPr>
            <w:tcW w:w="2222" w:type="dxa"/>
            <w:vAlign w:val="center"/>
          </w:tcPr>
          <w:p>
            <w:pPr>
              <w:jc w:val="center"/>
              <w:rPr>
                <w:szCs w:val="21"/>
              </w:rPr>
            </w:pPr>
            <w:r>
              <w:rPr>
                <w:szCs w:val="21"/>
              </w:rPr>
              <w:t xml:space="preserve">GGX-830型石墨炉/火焰原子吸收分光光度计 </w:t>
            </w:r>
          </w:p>
        </w:tc>
        <w:tc>
          <w:tcPr>
            <w:tcW w:w="1378" w:type="dxa"/>
            <w:vAlign w:val="center"/>
          </w:tcPr>
          <w:p>
            <w:pPr>
              <w:jc w:val="center"/>
              <w:rPr>
                <w:szCs w:val="21"/>
              </w:rPr>
            </w:pPr>
            <w:r>
              <w:rPr>
                <w:rFonts w:hint="eastAsia"/>
                <w:szCs w:val="21"/>
              </w:rPr>
              <w:t>XSJS/YQ-04</w:t>
            </w:r>
          </w:p>
        </w:tc>
        <w:tc>
          <w:tcPr>
            <w:tcW w:w="1262" w:type="dxa"/>
            <w:vAlign w:val="center"/>
          </w:tcPr>
          <w:p>
            <w:pPr>
              <w:jc w:val="center"/>
              <w:rPr>
                <w:szCs w:val="21"/>
              </w:rPr>
            </w:pPr>
            <w:r>
              <w:rPr>
                <w:szCs w:val="21"/>
              </w:rPr>
              <w:t>0.0</w:t>
            </w:r>
            <w:r>
              <w:rPr>
                <w:rFonts w:hint="eastAsia"/>
                <w:szCs w:val="21"/>
              </w:rPr>
              <w:t>1</w:t>
            </w:r>
            <w:r>
              <w:rPr>
                <w:szCs w:val="21"/>
              </w:rPr>
              <w:t>mg/L</w:t>
            </w:r>
          </w:p>
        </w:tc>
      </w:tr>
    </w:tbl>
    <w:p>
      <w:pPr>
        <w:spacing w:line="460" w:lineRule="exact"/>
        <w:ind w:firstLine="480" w:firstLineChars="200"/>
        <w:rPr>
          <w:sz w:val="24"/>
        </w:rPr>
      </w:pPr>
    </w:p>
    <w:p>
      <w:pPr>
        <w:spacing w:line="460" w:lineRule="exact"/>
        <w:ind w:firstLine="480" w:firstLineChars="200"/>
        <w:rPr>
          <w:sz w:val="24"/>
        </w:rPr>
      </w:pPr>
      <w:r>
        <w:rPr>
          <w:rFonts w:hint="eastAsia"/>
          <w:sz w:val="24"/>
        </w:rPr>
        <w:t>4、</w:t>
      </w:r>
      <w:r>
        <w:rPr>
          <w:sz w:val="24"/>
        </w:rPr>
        <w:t>评价标准</w:t>
      </w:r>
    </w:p>
    <w:p>
      <w:pPr>
        <w:spacing w:line="460" w:lineRule="exact"/>
        <w:ind w:firstLine="480" w:firstLineChars="200"/>
        <w:rPr>
          <w:sz w:val="24"/>
        </w:rPr>
      </w:pPr>
      <w:r>
        <w:rPr>
          <w:sz w:val="24"/>
        </w:rPr>
        <w:t>执行地下水质量执行《地下水质量标准》（GB/T14848-2017）中</w:t>
      </w:r>
      <w:r>
        <w:rPr>
          <w:rFonts w:ascii="宋体"/>
          <w:sz w:val="24"/>
        </w:rPr>
        <w:t>Ⅲ</w:t>
      </w:r>
      <w:r>
        <w:rPr>
          <w:sz w:val="24"/>
        </w:rPr>
        <w:t>类标准。</w:t>
      </w:r>
    </w:p>
    <w:p>
      <w:pPr>
        <w:spacing w:line="460" w:lineRule="exact"/>
        <w:ind w:firstLine="480" w:firstLineChars="200"/>
        <w:rPr>
          <w:sz w:val="24"/>
        </w:rPr>
      </w:pPr>
      <w:r>
        <w:rPr>
          <w:rFonts w:hint="eastAsia"/>
          <w:sz w:val="24"/>
        </w:rPr>
        <w:t>5、</w:t>
      </w:r>
      <w:r>
        <w:rPr>
          <w:sz w:val="24"/>
        </w:rPr>
        <w:t>评价方法</w:t>
      </w:r>
    </w:p>
    <w:p>
      <w:pPr>
        <w:spacing w:line="460" w:lineRule="exact"/>
        <w:ind w:firstLine="480" w:firstLineChars="200"/>
      </w:pPr>
      <w:r>
        <w:rPr>
          <w:rFonts w:hint="eastAsia"/>
          <w:sz w:val="24"/>
        </w:rPr>
        <w:t>采用标准指数法对地下水现状进行评价。</w:t>
      </w:r>
      <w:r>
        <w:rPr>
          <w:sz w:val="24"/>
        </w:rPr>
        <w:t>公式如下：</w:t>
      </w:r>
    </w:p>
    <w:p>
      <w:pPr>
        <w:ind w:firstLine="560"/>
        <w:jc w:val="center"/>
      </w:pPr>
      <w:r>
        <w:rPr>
          <w:position w:val="-12"/>
        </w:rPr>
        <w:object>
          <v:shape id="_x0000_i1034" o:spt="75" type="#_x0000_t75" style="height:21.75pt;width:65.3pt;" o:ole="t" fillcolor="#000011" filled="f" o:preferrelative="t" stroked="f" coordsize="21600,21600">
            <v:path/>
            <v:fill on="f" focussize="0,0"/>
            <v:stroke on="f" joinstyle="miter"/>
            <v:imagedata r:id="rId27" o:title=""/>
            <o:lock v:ext="edit" aspectratio="t"/>
            <w10:wrap type="none"/>
            <w10:anchorlock/>
          </v:shape>
          <o:OLEObject Type="Embed" ProgID="Equation.3" ShapeID="_x0000_i1034" DrawAspect="Content" ObjectID="_1468075734" r:id="rId26">
            <o:LockedField>false</o:LockedField>
          </o:OLEObject>
        </w:object>
      </w:r>
    </w:p>
    <w:p>
      <w:pPr>
        <w:spacing w:line="460" w:lineRule="exact"/>
        <w:ind w:firstLine="480" w:firstLineChars="200"/>
        <w:rPr>
          <w:sz w:val="24"/>
        </w:rPr>
      </w:pPr>
      <w:r>
        <w:rPr>
          <w:sz w:val="24"/>
        </w:rPr>
        <w:t>式中：</w:t>
      </w:r>
      <w:r>
        <w:rPr>
          <w:i/>
          <w:sz w:val="24"/>
        </w:rPr>
        <w:t>S</w:t>
      </w:r>
      <w:r>
        <w:rPr>
          <w:i/>
          <w:sz w:val="24"/>
          <w:vertAlign w:val="subscript"/>
        </w:rPr>
        <w:t>i</w:t>
      </w:r>
      <w:r>
        <w:rPr>
          <w:sz w:val="24"/>
        </w:rPr>
        <w:t>—i污染物单因子污染指数；</w:t>
      </w:r>
    </w:p>
    <w:p>
      <w:pPr>
        <w:spacing w:line="460" w:lineRule="exact"/>
        <w:ind w:firstLine="1200" w:firstLineChars="500"/>
        <w:rPr>
          <w:sz w:val="24"/>
        </w:rPr>
      </w:pPr>
      <w:r>
        <w:rPr>
          <w:i/>
          <w:sz w:val="24"/>
        </w:rPr>
        <w:t>C</w:t>
      </w:r>
      <w:r>
        <w:rPr>
          <w:i/>
          <w:sz w:val="24"/>
          <w:vertAlign w:val="subscript"/>
        </w:rPr>
        <w:t>i</w:t>
      </w:r>
      <w:r>
        <w:rPr>
          <w:sz w:val="24"/>
        </w:rPr>
        <w:t>—i污染物的实测浓度均值 mg//L；</w:t>
      </w:r>
    </w:p>
    <w:p>
      <w:pPr>
        <w:spacing w:line="460" w:lineRule="exact"/>
        <w:ind w:firstLine="1200" w:firstLineChars="500"/>
        <w:rPr>
          <w:sz w:val="24"/>
        </w:rPr>
      </w:pPr>
      <w:r>
        <w:rPr>
          <w:i/>
          <w:sz w:val="24"/>
        </w:rPr>
        <w:t>Csi</w:t>
      </w:r>
      <w:r>
        <w:rPr>
          <w:sz w:val="24"/>
        </w:rPr>
        <w:t>—i污染物评价标准值 mg//L；</w:t>
      </w:r>
    </w:p>
    <w:p>
      <w:pPr>
        <w:spacing w:line="460" w:lineRule="exact"/>
        <w:ind w:firstLine="480" w:firstLineChars="200"/>
        <w:rPr>
          <w:sz w:val="24"/>
        </w:rPr>
      </w:pPr>
      <w:r>
        <w:rPr>
          <w:sz w:val="24"/>
        </w:rPr>
        <w:t>pH值单值质量指数模式为：</w:t>
      </w:r>
    </w:p>
    <w:p>
      <w:pPr>
        <w:spacing w:line="360" w:lineRule="auto"/>
        <w:ind w:firstLine="1680" w:firstLineChars="800"/>
      </w:pPr>
      <w:r>
        <w:rPr>
          <w:position w:val="-10"/>
        </w:rPr>
        <w:object>
          <v:shape id="_x0000_i1035" o:spt="75" type="#_x0000_t75" style="height:14.25pt;width:21.75pt;" o:ole="t" fillcolor="#000011"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r>
        <w:rPr>
          <w:sz w:val="24"/>
        </w:rPr>
        <w:t>≤7.0时</w:t>
      </w:r>
      <w:r>
        <w:t>：</w:t>
      </w:r>
      <w:r>
        <w:rPr>
          <w:position w:val="-30"/>
        </w:rPr>
        <w:object>
          <v:shape id="_x0000_i1036" o:spt="75" type="#_x0000_t75" style="height:36.85pt;width:93.75pt;" o:ole="t" fillcolor="#000011" filled="f" o:preferrelative="t" stroked="f" coordsize="21600,21600">
            <v:path/>
            <v:fill on="f" focussize="0,0"/>
            <v:stroke on="f" joinstyle="miter"/>
            <v:imagedata r:id="rId31" o:title=""/>
            <o:lock v:ext="edit" aspectratio="t"/>
            <w10:wrap type="none"/>
            <w10:anchorlock/>
          </v:shape>
          <o:OLEObject Type="Embed" ProgID="Equation.3" ShapeID="_x0000_i1036" DrawAspect="Content" ObjectID="_1468075736" r:id="rId30">
            <o:LockedField>false</o:LockedField>
          </o:OLEObject>
        </w:object>
      </w:r>
    </w:p>
    <w:p>
      <w:pPr>
        <w:spacing w:line="360" w:lineRule="auto"/>
        <w:ind w:firstLine="1680" w:firstLineChars="800"/>
      </w:pPr>
      <w:r>
        <w:rPr>
          <w:position w:val="-10"/>
        </w:rPr>
        <w:object>
          <v:shape id="_x0000_i1037" o:spt="75" type="#_x0000_t75" style="height:14.25pt;width:21.75pt;" o:ole="t" fillcolor="#000011" filled="f" o:preferrelative="t" stroked="f" coordsize="21600,21600">
            <v:path/>
            <v:fill on="f" focussize="0,0"/>
            <v:stroke on="f" joinstyle="miter"/>
            <v:imagedata r:id="rId33" o:title=""/>
            <o:lock v:ext="edit" aspectratio="t"/>
            <w10:wrap type="none"/>
            <w10:anchorlock/>
          </v:shape>
          <o:OLEObject Type="Embed" ProgID="Equation.3" ShapeID="_x0000_i1037" DrawAspect="Content" ObjectID="_1468075737" r:id="rId32">
            <o:LockedField>false</o:LockedField>
          </o:OLEObject>
        </w:object>
      </w:r>
      <w:r>
        <w:rPr>
          <w:sz w:val="24"/>
        </w:rPr>
        <w:t>＞7.0时</w:t>
      </w:r>
      <w:r>
        <w:t>：</w:t>
      </w:r>
      <w:r>
        <w:rPr>
          <w:position w:val="-30"/>
        </w:rPr>
        <w:object>
          <v:shape id="_x0000_i1038" o:spt="75" type="#_x0000_t75" style="height:35.15pt;width:93.75pt;" o:ole="t" fillcolor="#000011" filled="f" o:preferrelative="t" stroked="f" coordsize="21600,21600">
            <v:path/>
            <v:fill on="f" focussize="0,0"/>
            <v:stroke on="f" joinstyle="miter"/>
            <v:imagedata r:id="rId35" o:title=""/>
            <o:lock v:ext="edit" aspectratio="t"/>
            <w10:wrap type="none"/>
            <w10:anchorlock/>
          </v:shape>
          <o:OLEObject Type="Embed" ProgID="Equation.3" ShapeID="_x0000_i1038" DrawAspect="Content" ObjectID="_1468075738" r:id="rId34">
            <o:LockedField>false</o:LockedField>
          </o:OLEObject>
        </w:object>
      </w:r>
    </w:p>
    <w:p>
      <w:pPr>
        <w:spacing w:line="460" w:lineRule="exact"/>
        <w:ind w:firstLine="480" w:firstLineChars="200"/>
        <w:rPr>
          <w:sz w:val="24"/>
        </w:rPr>
      </w:pPr>
      <w:r>
        <w:rPr>
          <w:sz w:val="24"/>
        </w:rPr>
        <w:t>式中：</w:t>
      </w:r>
      <w:r>
        <w:rPr>
          <w:i/>
          <w:sz w:val="24"/>
        </w:rPr>
        <w:t>S</w:t>
      </w:r>
      <w:r>
        <w:rPr>
          <w:i/>
          <w:sz w:val="24"/>
          <w:vertAlign w:val="subscript"/>
        </w:rPr>
        <w:t>pH</w:t>
      </w:r>
      <w:r>
        <w:rPr>
          <w:sz w:val="24"/>
        </w:rPr>
        <w:t>—pH值评价指数；</w:t>
      </w:r>
    </w:p>
    <w:p>
      <w:pPr>
        <w:spacing w:line="460" w:lineRule="exact"/>
        <w:ind w:firstLine="480" w:firstLineChars="200"/>
        <w:rPr>
          <w:sz w:val="24"/>
        </w:rPr>
      </w:pPr>
      <w:r>
        <w:rPr>
          <w:rFonts w:hint="eastAsia"/>
          <w:sz w:val="24"/>
        </w:rPr>
        <w:t xml:space="preserve">      </w:t>
      </w:r>
      <w:r>
        <w:rPr>
          <w:i/>
          <w:sz w:val="24"/>
        </w:rPr>
        <w:t>pH</w:t>
      </w:r>
      <w:r>
        <w:rPr>
          <w:i/>
          <w:sz w:val="24"/>
          <w:vertAlign w:val="subscript"/>
        </w:rPr>
        <w:t>i</w:t>
      </w:r>
      <w:r>
        <w:rPr>
          <w:sz w:val="24"/>
        </w:rPr>
        <w:t>—i点实测pH值；</w:t>
      </w:r>
    </w:p>
    <w:p>
      <w:pPr>
        <w:spacing w:line="460" w:lineRule="exact"/>
        <w:ind w:firstLine="480" w:firstLineChars="200"/>
        <w:rPr>
          <w:sz w:val="24"/>
        </w:rPr>
      </w:pPr>
      <w:r>
        <w:rPr>
          <w:rFonts w:hint="eastAsia"/>
          <w:sz w:val="24"/>
        </w:rPr>
        <w:t xml:space="preserve">      </w:t>
      </w:r>
      <w:r>
        <w:rPr>
          <w:i/>
          <w:sz w:val="24"/>
        </w:rPr>
        <w:t>pH</w:t>
      </w:r>
      <w:r>
        <w:rPr>
          <w:i/>
          <w:sz w:val="24"/>
          <w:vertAlign w:val="subscript"/>
        </w:rPr>
        <w:t>sd</w:t>
      </w:r>
      <w:r>
        <w:rPr>
          <w:sz w:val="24"/>
        </w:rPr>
        <w:t>—标准中pH的下限值；</w:t>
      </w:r>
    </w:p>
    <w:p>
      <w:pPr>
        <w:spacing w:line="460" w:lineRule="exact"/>
        <w:ind w:firstLine="480" w:firstLineChars="200"/>
        <w:rPr>
          <w:sz w:val="24"/>
        </w:rPr>
      </w:pPr>
      <w:r>
        <w:rPr>
          <w:rFonts w:hint="eastAsia"/>
          <w:sz w:val="24"/>
        </w:rPr>
        <w:t xml:space="preserve">      </w:t>
      </w:r>
      <w:r>
        <w:rPr>
          <w:i/>
          <w:sz w:val="24"/>
        </w:rPr>
        <w:t>pH</w:t>
      </w:r>
      <w:r>
        <w:rPr>
          <w:i/>
          <w:sz w:val="24"/>
          <w:vertAlign w:val="subscript"/>
        </w:rPr>
        <w:t>su</w:t>
      </w:r>
      <w:r>
        <w:rPr>
          <w:sz w:val="24"/>
        </w:rPr>
        <w:t>—标准中pH的上限值。</w:t>
      </w:r>
    </w:p>
    <w:p>
      <w:pPr>
        <w:spacing w:line="460" w:lineRule="exact"/>
        <w:ind w:firstLine="480" w:firstLineChars="200"/>
        <w:rPr>
          <w:sz w:val="24"/>
        </w:rPr>
      </w:pPr>
      <w:r>
        <w:rPr>
          <w:rFonts w:hint="eastAsia"/>
          <w:sz w:val="24"/>
        </w:rPr>
        <w:t>6、</w:t>
      </w:r>
      <w:r>
        <w:rPr>
          <w:sz w:val="24"/>
        </w:rPr>
        <w:t>监测数据和评价结果</w:t>
      </w:r>
    </w:p>
    <w:p>
      <w:pPr>
        <w:spacing w:line="460" w:lineRule="exact"/>
        <w:ind w:firstLine="480" w:firstLineChars="200"/>
        <w:rPr>
          <w:sz w:val="24"/>
        </w:rPr>
      </w:pPr>
      <w:r>
        <w:rPr>
          <w:sz w:val="24"/>
        </w:rPr>
        <w:t>区域地下水监测结果及评价结果见表</w:t>
      </w:r>
      <w:r>
        <w:rPr>
          <w:rFonts w:hint="eastAsia"/>
          <w:sz w:val="24"/>
        </w:rPr>
        <w:t>5.3-9</w:t>
      </w:r>
      <w:r>
        <w:rPr>
          <w:sz w:val="24"/>
        </w:rPr>
        <w:t>。</w:t>
      </w:r>
    </w:p>
    <w:p>
      <w:pPr>
        <w:snapToGrid w:val="0"/>
        <w:ind w:firstLine="420" w:firstLineChars="200"/>
        <w:rPr>
          <w:rFonts w:eastAsia="黑体"/>
          <w:szCs w:val="21"/>
        </w:rPr>
      </w:pPr>
      <w:r>
        <w:rPr>
          <w:rFonts w:eastAsia="黑体"/>
          <w:szCs w:val="21"/>
        </w:rPr>
        <w:t>表</w:t>
      </w:r>
      <w:r>
        <w:rPr>
          <w:rFonts w:hint="eastAsia" w:eastAsia="黑体"/>
          <w:szCs w:val="21"/>
        </w:rPr>
        <w:t>5.3-9</w:t>
      </w:r>
      <w:r>
        <w:rPr>
          <w:rFonts w:eastAsia="黑体"/>
          <w:szCs w:val="21"/>
        </w:rPr>
        <w:t xml:space="preserve">               地下水水质监测及评价结果            单位：mg/L，pH外</w:t>
      </w:r>
    </w:p>
    <w:tbl>
      <w:tblPr>
        <w:tblStyle w:val="59"/>
        <w:tblW w:w="94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2"/>
        <w:gridCol w:w="1380"/>
        <w:gridCol w:w="1134"/>
        <w:gridCol w:w="1245"/>
        <w:gridCol w:w="881"/>
        <w:gridCol w:w="1385"/>
        <w:gridCol w:w="1025"/>
        <w:gridCol w:w="1025"/>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22" w:type="dxa"/>
            <w:vMerge w:val="restart"/>
            <w:vAlign w:val="center"/>
          </w:tcPr>
          <w:p>
            <w:pPr>
              <w:overflowPunct w:val="0"/>
              <w:jc w:val="center"/>
              <w:rPr>
                <w:szCs w:val="21"/>
              </w:rPr>
            </w:pPr>
            <w:r>
              <w:rPr>
                <w:szCs w:val="21"/>
              </w:rPr>
              <w:t>序号</w:t>
            </w:r>
          </w:p>
        </w:tc>
        <w:tc>
          <w:tcPr>
            <w:tcW w:w="1380" w:type="dxa"/>
            <w:vMerge w:val="restart"/>
            <w:vAlign w:val="center"/>
          </w:tcPr>
          <w:p>
            <w:pPr>
              <w:overflowPunct w:val="0"/>
              <w:jc w:val="center"/>
              <w:rPr>
                <w:szCs w:val="21"/>
              </w:rPr>
            </w:pPr>
            <w:r>
              <w:rPr>
                <w:szCs w:val="21"/>
              </w:rPr>
              <w:t>监测项目</w:t>
            </w:r>
          </w:p>
        </w:tc>
        <w:tc>
          <w:tcPr>
            <w:tcW w:w="1134" w:type="dxa"/>
            <w:vMerge w:val="restart"/>
            <w:vAlign w:val="center"/>
          </w:tcPr>
          <w:p>
            <w:pPr>
              <w:overflowPunct w:val="0"/>
              <w:jc w:val="center"/>
              <w:rPr>
                <w:szCs w:val="21"/>
              </w:rPr>
            </w:pPr>
            <w:r>
              <w:rPr>
                <w:szCs w:val="21"/>
              </w:rPr>
              <w:t>标准值</w:t>
            </w:r>
          </w:p>
        </w:tc>
        <w:tc>
          <w:tcPr>
            <w:tcW w:w="2126" w:type="dxa"/>
            <w:gridSpan w:val="2"/>
            <w:vAlign w:val="center"/>
          </w:tcPr>
          <w:p>
            <w:pPr>
              <w:overflowPunct w:val="0"/>
              <w:jc w:val="center"/>
              <w:rPr>
                <w:szCs w:val="21"/>
              </w:rPr>
            </w:pPr>
            <w:r>
              <w:rPr>
                <w:rFonts w:hint="eastAsia"/>
                <w:szCs w:val="21"/>
              </w:rPr>
              <w:t>项目厂区</w:t>
            </w:r>
          </w:p>
        </w:tc>
        <w:tc>
          <w:tcPr>
            <w:tcW w:w="2410" w:type="dxa"/>
            <w:gridSpan w:val="2"/>
            <w:vAlign w:val="center"/>
          </w:tcPr>
          <w:p>
            <w:pPr>
              <w:overflowPunct w:val="0"/>
              <w:jc w:val="center"/>
              <w:rPr>
                <w:szCs w:val="21"/>
              </w:rPr>
            </w:pPr>
            <w:r>
              <w:rPr>
                <w:rFonts w:hint="eastAsia"/>
                <w:szCs w:val="21"/>
              </w:rPr>
              <w:t>厂区北侧</w:t>
            </w:r>
          </w:p>
        </w:tc>
        <w:tc>
          <w:tcPr>
            <w:tcW w:w="2017" w:type="dxa"/>
            <w:gridSpan w:val="2"/>
            <w:vAlign w:val="center"/>
          </w:tcPr>
          <w:p>
            <w:pPr>
              <w:overflowPunct w:val="0"/>
              <w:jc w:val="center"/>
              <w:rPr>
                <w:szCs w:val="21"/>
              </w:rPr>
            </w:pPr>
            <w:r>
              <w:rPr>
                <w:rFonts w:hint="eastAsia"/>
                <w:szCs w:val="21"/>
              </w:rPr>
              <w:t>厂区东侧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22" w:type="dxa"/>
            <w:vMerge w:val="continue"/>
            <w:vAlign w:val="center"/>
          </w:tcPr>
          <w:p>
            <w:pPr>
              <w:overflowPunct w:val="0"/>
              <w:jc w:val="center"/>
              <w:rPr>
                <w:szCs w:val="21"/>
              </w:rPr>
            </w:pPr>
          </w:p>
        </w:tc>
        <w:tc>
          <w:tcPr>
            <w:tcW w:w="1380" w:type="dxa"/>
            <w:vMerge w:val="continue"/>
            <w:vAlign w:val="center"/>
          </w:tcPr>
          <w:p>
            <w:pPr>
              <w:overflowPunct w:val="0"/>
              <w:jc w:val="center"/>
              <w:rPr>
                <w:szCs w:val="21"/>
              </w:rPr>
            </w:pPr>
          </w:p>
        </w:tc>
        <w:tc>
          <w:tcPr>
            <w:tcW w:w="1134" w:type="dxa"/>
            <w:vMerge w:val="continue"/>
            <w:vAlign w:val="center"/>
          </w:tcPr>
          <w:p>
            <w:pPr>
              <w:overflowPunct w:val="0"/>
              <w:jc w:val="center"/>
              <w:rPr>
                <w:szCs w:val="21"/>
              </w:rPr>
            </w:pPr>
          </w:p>
        </w:tc>
        <w:tc>
          <w:tcPr>
            <w:tcW w:w="1245" w:type="dxa"/>
            <w:vAlign w:val="center"/>
          </w:tcPr>
          <w:p>
            <w:pPr>
              <w:overflowPunct w:val="0"/>
              <w:jc w:val="center"/>
              <w:rPr>
                <w:szCs w:val="21"/>
              </w:rPr>
            </w:pPr>
            <w:r>
              <w:rPr>
                <w:rFonts w:hint="eastAsia"/>
                <w:szCs w:val="21"/>
              </w:rPr>
              <w:t>监测值</w:t>
            </w:r>
          </w:p>
        </w:tc>
        <w:tc>
          <w:tcPr>
            <w:tcW w:w="881" w:type="dxa"/>
            <w:vAlign w:val="center"/>
          </w:tcPr>
          <w:p>
            <w:pPr>
              <w:overflowPunct w:val="0"/>
              <w:jc w:val="center"/>
              <w:rPr>
                <w:szCs w:val="21"/>
              </w:rPr>
            </w:pPr>
            <w:r>
              <w:rPr>
                <w:rFonts w:hint="eastAsia"/>
                <w:szCs w:val="21"/>
              </w:rPr>
              <w:t>Si</w:t>
            </w:r>
          </w:p>
        </w:tc>
        <w:tc>
          <w:tcPr>
            <w:tcW w:w="1385" w:type="dxa"/>
            <w:vAlign w:val="center"/>
          </w:tcPr>
          <w:p>
            <w:pPr>
              <w:overflowPunct w:val="0"/>
              <w:jc w:val="center"/>
              <w:rPr>
                <w:szCs w:val="21"/>
              </w:rPr>
            </w:pPr>
            <w:r>
              <w:rPr>
                <w:rFonts w:hint="eastAsia"/>
                <w:szCs w:val="21"/>
              </w:rPr>
              <w:t>监测值</w:t>
            </w:r>
          </w:p>
        </w:tc>
        <w:tc>
          <w:tcPr>
            <w:tcW w:w="1025" w:type="dxa"/>
            <w:vAlign w:val="center"/>
          </w:tcPr>
          <w:p>
            <w:pPr>
              <w:overflowPunct w:val="0"/>
              <w:jc w:val="center"/>
              <w:rPr>
                <w:szCs w:val="21"/>
              </w:rPr>
            </w:pPr>
            <w:r>
              <w:rPr>
                <w:rFonts w:hint="eastAsia"/>
                <w:szCs w:val="21"/>
              </w:rPr>
              <w:t>Si</w:t>
            </w:r>
          </w:p>
        </w:tc>
        <w:tc>
          <w:tcPr>
            <w:tcW w:w="1025" w:type="dxa"/>
            <w:vAlign w:val="center"/>
          </w:tcPr>
          <w:p>
            <w:pPr>
              <w:overflowPunct w:val="0"/>
              <w:jc w:val="center"/>
              <w:rPr>
                <w:szCs w:val="21"/>
              </w:rPr>
            </w:pPr>
            <w:r>
              <w:rPr>
                <w:rFonts w:hint="eastAsia"/>
                <w:szCs w:val="21"/>
              </w:rPr>
              <w:t>监测值</w:t>
            </w:r>
          </w:p>
        </w:tc>
        <w:tc>
          <w:tcPr>
            <w:tcW w:w="992" w:type="dxa"/>
            <w:vAlign w:val="center"/>
          </w:tcPr>
          <w:p>
            <w:pPr>
              <w:overflowPunct w:val="0"/>
              <w:jc w:val="center"/>
              <w:rPr>
                <w:szCs w:val="21"/>
              </w:rPr>
            </w:pPr>
            <w:r>
              <w:rPr>
                <w:rFonts w:hint="eastAsia"/>
                <w:szCs w:val="21"/>
              </w:rPr>
              <w:t>Si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w:t>
            </w:r>
          </w:p>
        </w:tc>
        <w:tc>
          <w:tcPr>
            <w:tcW w:w="1380" w:type="dxa"/>
            <w:vAlign w:val="center"/>
          </w:tcPr>
          <w:p>
            <w:pPr>
              <w:jc w:val="center"/>
              <w:rPr>
                <w:szCs w:val="21"/>
              </w:rPr>
            </w:pPr>
            <w:r>
              <w:rPr>
                <w:szCs w:val="21"/>
              </w:rPr>
              <w:t>pH</w:t>
            </w:r>
          </w:p>
        </w:tc>
        <w:tc>
          <w:tcPr>
            <w:tcW w:w="1134" w:type="dxa"/>
            <w:vAlign w:val="center"/>
          </w:tcPr>
          <w:p>
            <w:pPr>
              <w:jc w:val="center"/>
              <w:rPr>
                <w:szCs w:val="21"/>
              </w:rPr>
            </w:pPr>
            <w:r>
              <w:rPr>
                <w:szCs w:val="21"/>
              </w:rPr>
              <w:t>6.5</w:t>
            </w:r>
            <w:r>
              <w:rPr>
                <w:rFonts w:hint="eastAsia"/>
                <w:szCs w:val="21"/>
              </w:rPr>
              <w:t>～</w:t>
            </w:r>
            <w:r>
              <w:rPr>
                <w:szCs w:val="21"/>
              </w:rPr>
              <w:t>8.5</w:t>
            </w:r>
          </w:p>
        </w:tc>
        <w:tc>
          <w:tcPr>
            <w:tcW w:w="1245" w:type="dxa"/>
            <w:vAlign w:val="center"/>
          </w:tcPr>
          <w:p>
            <w:pPr>
              <w:jc w:val="center"/>
              <w:rPr>
                <w:szCs w:val="21"/>
              </w:rPr>
            </w:pPr>
            <w:r>
              <w:rPr>
                <w:rFonts w:hint="eastAsia"/>
                <w:szCs w:val="21"/>
              </w:rPr>
              <w:t>7.2</w:t>
            </w:r>
          </w:p>
        </w:tc>
        <w:tc>
          <w:tcPr>
            <w:tcW w:w="881" w:type="dxa"/>
            <w:vAlign w:val="center"/>
          </w:tcPr>
          <w:p>
            <w:pPr>
              <w:jc w:val="center"/>
              <w:rPr>
                <w:szCs w:val="21"/>
              </w:rPr>
            </w:pPr>
            <w:r>
              <w:rPr>
                <w:rFonts w:hint="eastAsia"/>
                <w:szCs w:val="21"/>
              </w:rPr>
              <w:t>0.47</w:t>
            </w:r>
          </w:p>
        </w:tc>
        <w:tc>
          <w:tcPr>
            <w:tcW w:w="1385" w:type="dxa"/>
            <w:vAlign w:val="center"/>
          </w:tcPr>
          <w:p>
            <w:pPr>
              <w:overflowPunct w:val="0"/>
              <w:jc w:val="center"/>
              <w:rPr>
                <w:szCs w:val="21"/>
              </w:rPr>
            </w:pPr>
            <w:r>
              <w:rPr>
                <w:rFonts w:hint="eastAsia"/>
                <w:szCs w:val="21"/>
              </w:rPr>
              <w:t>7.2</w:t>
            </w:r>
          </w:p>
        </w:tc>
        <w:tc>
          <w:tcPr>
            <w:tcW w:w="1025" w:type="dxa"/>
            <w:vAlign w:val="center"/>
          </w:tcPr>
          <w:p>
            <w:pPr>
              <w:overflowPunct w:val="0"/>
              <w:jc w:val="center"/>
              <w:rPr>
                <w:szCs w:val="21"/>
              </w:rPr>
            </w:pPr>
            <w:r>
              <w:rPr>
                <w:rFonts w:hint="eastAsia"/>
                <w:szCs w:val="21"/>
              </w:rPr>
              <w:t>0.47</w:t>
            </w:r>
          </w:p>
        </w:tc>
        <w:tc>
          <w:tcPr>
            <w:tcW w:w="1025" w:type="dxa"/>
            <w:vAlign w:val="center"/>
          </w:tcPr>
          <w:p>
            <w:pPr>
              <w:overflowPunct w:val="0"/>
              <w:jc w:val="center"/>
              <w:rPr>
                <w:szCs w:val="21"/>
              </w:rPr>
            </w:pPr>
            <w:r>
              <w:rPr>
                <w:rFonts w:hint="eastAsia"/>
                <w:szCs w:val="21"/>
              </w:rPr>
              <w:t>7.2</w:t>
            </w:r>
          </w:p>
        </w:tc>
        <w:tc>
          <w:tcPr>
            <w:tcW w:w="992" w:type="dxa"/>
            <w:vAlign w:val="center"/>
          </w:tcPr>
          <w:p>
            <w:pPr>
              <w:overflowPunct w:val="0"/>
              <w:jc w:val="center"/>
              <w:rPr>
                <w:szCs w:val="21"/>
              </w:rPr>
            </w:pPr>
            <w:r>
              <w:rPr>
                <w:rFonts w:hint="eastAsia"/>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w:t>
            </w:r>
          </w:p>
        </w:tc>
        <w:tc>
          <w:tcPr>
            <w:tcW w:w="1380" w:type="dxa"/>
            <w:vAlign w:val="center"/>
          </w:tcPr>
          <w:p>
            <w:pPr>
              <w:jc w:val="center"/>
              <w:rPr>
                <w:szCs w:val="21"/>
              </w:rPr>
            </w:pPr>
            <w:r>
              <w:rPr>
                <w:rFonts w:hint="eastAsia"/>
                <w:szCs w:val="21"/>
              </w:rPr>
              <w:t>溶解性总固体</w:t>
            </w:r>
          </w:p>
        </w:tc>
        <w:tc>
          <w:tcPr>
            <w:tcW w:w="1134" w:type="dxa"/>
            <w:vAlign w:val="center"/>
          </w:tcPr>
          <w:p>
            <w:pPr>
              <w:jc w:val="center"/>
              <w:rPr>
                <w:szCs w:val="21"/>
              </w:rPr>
            </w:pPr>
            <w:r>
              <w:rPr>
                <w:rFonts w:hint="eastAsia"/>
                <w:szCs w:val="21"/>
              </w:rPr>
              <w:t>≤</w:t>
            </w:r>
            <w:r>
              <w:rPr>
                <w:szCs w:val="21"/>
              </w:rPr>
              <w:t>1000</w:t>
            </w:r>
          </w:p>
        </w:tc>
        <w:tc>
          <w:tcPr>
            <w:tcW w:w="1245" w:type="dxa"/>
            <w:vAlign w:val="center"/>
          </w:tcPr>
          <w:p>
            <w:pPr>
              <w:jc w:val="center"/>
              <w:rPr>
                <w:szCs w:val="21"/>
              </w:rPr>
            </w:pPr>
            <w:r>
              <w:rPr>
                <w:rFonts w:hint="eastAsia"/>
                <w:szCs w:val="21"/>
              </w:rPr>
              <w:t>254</w:t>
            </w:r>
          </w:p>
        </w:tc>
        <w:tc>
          <w:tcPr>
            <w:tcW w:w="881" w:type="dxa"/>
            <w:vAlign w:val="center"/>
          </w:tcPr>
          <w:p>
            <w:pPr>
              <w:jc w:val="center"/>
              <w:rPr>
                <w:szCs w:val="21"/>
              </w:rPr>
            </w:pPr>
            <w:r>
              <w:rPr>
                <w:rFonts w:hint="eastAsia"/>
                <w:szCs w:val="21"/>
              </w:rPr>
              <w:t>0.25</w:t>
            </w:r>
          </w:p>
        </w:tc>
        <w:tc>
          <w:tcPr>
            <w:tcW w:w="1385" w:type="dxa"/>
            <w:vAlign w:val="center"/>
          </w:tcPr>
          <w:p>
            <w:pPr>
              <w:overflowPunct w:val="0"/>
              <w:jc w:val="center"/>
              <w:rPr>
                <w:szCs w:val="21"/>
              </w:rPr>
            </w:pPr>
            <w:r>
              <w:rPr>
                <w:rFonts w:hint="eastAsia"/>
                <w:szCs w:val="21"/>
              </w:rPr>
              <w:t>254</w:t>
            </w:r>
          </w:p>
        </w:tc>
        <w:tc>
          <w:tcPr>
            <w:tcW w:w="1025" w:type="dxa"/>
            <w:vAlign w:val="center"/>
          </w:tcPr>
          <w:p>
            <w:pPr>
              <w:jc w:val="center"/>
              <w:rPr>
                <w:szCs w:val="21"/>
              </w:rPr>
            </w:pPr>
            <w:r>
              <w:rPr>
                <w:rFonts w:hint="eastAsia"/>
                <w:szCs w:val="21"/>
              </w:rPr>
              <w:t>0.25</w:t>
            </w:r>
          </w:p>
        </w:tc>
        <w:tc>
          <w:tcPr>
            <w:tcW w:w="1025" w:type="dxa"/>
            <w:vAlign w:val="center"/>
          </w:tcPr>
          <w:p>
            <w:pPr>
              <w:overflowPunct w:val="0"/>
              <w:jc w:val="center"/>
              <w:rPr>
                <w:szCs w:val="21"/>
              </w:rPr>
            </w:pPr>
            <w:r>
              <w:rPr>
                <w:rFonts w:hint="eastAsia"/>
                <w:szCs w:val="21"/>
              </w:rPr>
              <w:t>251</w:t>
            </w:r>
          </w:p>
        </w:tc>
        <w:tc>
          <w:tcPr>
            <w:tcW w:w="992" w:type="dxa"/>
            <w:vAlign w:val="center"/>
          </w:tcPr>
          <w:p>
            <w:pPr>
              <w:overflowPunct w:val="0"/>
              <w:jc w:val="center"/>
              <w:rPr>
                <w:szCs w:val="21"/>
              </w:rPr>
            </w:pPr>
            <w:r>
              <w:rPr>
                <w:rFonts w:hint="eastAsia"/>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3</w:t>
            </w:r>
          </w:p>
        </w:tc>
        <w:tc>
          <w:tcPr>
            <w:tcW w:w="1380" w:type="dxa"/>
            <w:vAlign w:val="center"/>
          </w:tcPr>
          <w:p>
            <w:pPr>
              <w:jc w:val="center"/>
              <w:rPr>
                <w:szCs w:val="21"/>
              </w:rPr>
            </w:pPr>
            <w:r>
              <w:rPr>
                <w:rFonts w:hint="eastAsia"/>
                <w:szCs w:val="21"/>
              </w:rPr>
              <w:t>总硬度</w:t>
            </w:r>
          </w:p>
        </w:tc>
        <w:tc>
          <w:tcPr>
            <w:tcW w:w="1134" w:type="dxa"/>
            <w:vAlign w:val="center"/>
          </w:tcPr>
          <w:p>
            <w:pPr>
              <w:jc w:val="center"/>
              <w:rPr>
                <w:szCs w:val="21"/>
              </w:rPr>
            </w:pPr>
            <w:r>
              <w:rPr>
                <w:rFonts w:hint="eastAsia"/>
                <w:szCs w:val="21"/>
              </w:rPr>
              <w:t>≤</w:t>
            </w:r>
            <w:r>
              <w:rPr>
                <w:szCs w:val="21"/>
              </w:rPr>
              <w:t>450</w:t>
            </w:r>
          </w:p>
        </w:tc>
        <w:tc>
          <w:tcPr>
            <w:tcW w:w="1245" w:type="dxa"/>
            <w:vAlign w:val="center"/>
          </w:tcPr>
          <w:p>
            <w:pPr>
              <w:jc w:val="center"/>
              <w:rPr>
                <w:szCs w:val="21"/>
              </w:rPr>
            </w:pPr>
            <w:r>
              <w:rPr>
                <w:rFonts w:hint="eastAsia"/>
                <w:szCs w:val="21"/>
              </w:rPr>
              <w:t>62</w:t>
            </w:r>
          </w:p>
        </w:tc>
        <w:tc>
          <w:tcPr>
            <w:tcW w:w="881" w:type="dxa"/>
            <w:vAlign w:val="center"/>
          </w:tcPr>
          <w:p>
            <w:pPr>
              <w:jc w:val="center"/>
              <w:rPr>
                <w:szCs w:val="21"/>
              </w:rPr>
            </w:pPr>
            <w:r>
              <w:rPr>
                <w:rFonts w:hint="eastAsia"/>
                <w:szCs w:val="21"/>
              </w:rPr>
              <w:t>0.14</w:t>
            </w:r>
          </w:p>
        </w:tc>
        <w:tc>
          <w:tcPr>
            <w:tcW w:w="1385" w:type="dxa"/>
            <w:vAlign w:val="center"/>
          </w:tcPr>
          <w:p>
            <w:pPr>
              <w:overflowPunct w:val="0"/>
              <w:jc w:val="center"/>
              <w:rPr>
                <w:szCs w:val="21"/>
              </w:rPr>
            </w:pPr>
            <w:r>
              <w:rPr>
                <w:rFonts w:hint="eastAsia"/>
                <w:szCs w:val="21"/>
              </w:rPr>
              <w:t>63</w:t>
            </w:r>
          </w:p>
        </w:tc>
        <w:tc>
          <w:tcPr>
            <w:tcW w:w="1025" w:type="dxa"/>
            <w:vAlign w:val="center"/>
          </w:tcPr>
          <w:p>
            <w:pPr>
              <w:jc w:val="center"/>
              <w:rPr>
                <w:szCs w:val="21"/>
              </w:rPr>
            </w:pPr>
            <w:r>
              <w:rPr>
                <w:rFonts w:hint="eastAsia"/>
                <w:szCs w:val="21"/>
              </w:rPr>
              <w:t>0.14</w:t>
            </w:r>
          </w:p>
        </w:tc>
        <w:tc>
          <w:tcPr>
            <w:tcW w:w="1025" w:type="dxa"/>
            <w:vAlign w:val="center"/>
          </w:tcPr>
          <w:p>
            <w:pPr>
              <w:overflowPunct w:val="0"/>
              <w:jc w:val="center"/>
              <w:rPr>
                <w:szCs w:val="21"/>
              </w:rPr>
            </w:pPr>
            <w:r>
              <w:rPr>
                <w:rFonts w:hint="eastAsia"/>
                <w:szCs w:val="21"/>
              </w:rPr>
              <w:t>60</w:t>
            </w:r>
          </w:p>
        </w:tc>
        <w:tc>
          <w:tcPr>
            <w:tcW w:w="992" w:type="dxa"/>
            <w:vAlign w:val="center"/>
          </w:tcPr>
          <w:p>
            <w:pPr>
              <w:overflowPunct w:val="0"/>
              <w:jc w:val="center"/>
              <w:rPr>
                <w:szCs w:val="21"/>
              </w:rPr>
            </w:pPr>
            <w:r>
              <w:rPr>
                <w:rFonts w:hint="eastAsia"/>
                <w:szCs w:val="21"/>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4</w:t>
            </w:r>
          </w:p>
        </w:tc>
        <w:tc>
          <w:tcPr>
            <w:tcW w:w="1380" w:type="dxa"/>
            <w:vAlign w:val="center"/>
          </w:tcPr>
          <w:p>
            <w:pPr>
              <w:jc w:val="center"/>
              <w:rPr>
                <w:szCs w:val="21"/>
              </w:rPr>
            </w:pPr>
            <w:r>
              <w:rPr>
                <w:rFonts w:hint="eastAsia"/>
                <w:szCs w:val="21"/>
              </w:rPr>
              <w:t>耗氧量</w:t>
            </w:r>
          </w:p>
        </w:tc>
        <w:tc>
          <w:tcPr>
            <w:tcW w:w="1134" w:type="dxa"/>
            <w:vAlign w:val="center"/>
          </w:tcPr>
          <w:p>
            <w:pPr>
              <w:jc w:val="center"/>
              <w:rPr>
                <w:szCs w:val="21"/>
              </w:rPr>
            </w:pPr>
            <w:r>
              <w:rPr>
                <w:rFonts w:hint="eastAsia"/>
                <w:szCs w:val="21"/>
              </w:rPr>
              <w:t>≤3.0</w:t>
            </w:r>
          </w:p>
        </w:tc>
        <w:tc>
          <w:tcPr>
            <w:tcW w:w="1245" w:type="dxa"/>
            <w:vAlign w:val="center"/>
          </w:tcPr>
          <w:p>
            <w:pPr>
              <w:jc w:val="center"/>
              <w:rPr>
                <w:szCs w:val="21"/>
              </w:rPr>
            </w:pPr>
            <w:r>
              <w:rPr>
                <w:rFonts w:hint="eastAsia"/>
                <w:szCs w:val="21"/>
              </w:rPr>
              <w:t>1.5</w:t>
            </w:r>
          </w:p>
        </w:tc>
        <w:tc>
          <w:tcPr>
            <w:tcW w:w="881" w:type="dxa"/>
            <w:vAlign w:val="center"/>
          </w:tcPr>
          <w:p>
            <w:pPr>
              <w:jc w:val="center"/>
              <w:rPr>
                <w:szCs w:val="21"/>
              </w:rPr>
            </w:pPr>
            <w:r>
              <w:rPr>
                <w:rFonts w:hint="eastAsia"/>
                <w:szCs w:val="21"/>
              </w:rPr>
              <w:t>0.50</w:t>
            </w:r>
          </w:p>
        </w:tc>
        <w:tc>
          <w:tcPr>
            <w:tcW w:w="1385" w:type="dxa"/>
            <w:vAlign w:val="center"/>
          </w:tcPr>
          <w:p>
            <w:pPr>
              <w:overflowPunct w:val="0"/>
              <w:jc w:val="center"/>
              <w:rPr>
                <w:szCs w:val="21"/>
              </w:rPr>
            </w:pPr>
            <w:r>
              <w:rPr>
                <w:rFonts w:hint="eastAsia"/>
                <w:szCs w:val="21"/>
              </w:rPr>
              <w:t>1.6</w:t>
            </w:r>
          </w:p>
        </w:tc>
        <w:tc>
          <w:tcPr>
            <w:tcW w:w="1025" w:type="dxa"/>
            <w:vAlign w:val="center"/>
          </w:tcPr>
          <w:p>
            <w:pPr>
              <w:jc w:val="center"/>
              <w:rPr>
                <w:szCs w:val="21"/>
              </w:rPr>
            </w:pPr>
            <w:r>
              <w:rPr>
                <w:rFonts w:hint="eastAsia"/>
                <w:szCs w:val="21"/>
              </w:rPr>
              <w:t>0.53</w:t>
            </w:r>
          </w:p>
        </w:tc>
        <w:tc>
          <w:tcPr>
            <w:tcW w:w="1025" w:type="dxa"/>
            <w:vAlign w:val="center"/>
          </w:tcPr>
          <w:p>
            <w:pPr>
              <w:overflowPunct w:val="0"/>
              <w:jc w:val="center"/>
              <w:rPr>
                <w:szCs w:val="21"/>
              </w:rPr>
            </w:pPr>
            <w:r>
              <w:rPr>
                <w:rFonts w:hint="eastAsia"/>
                <w:szCs w:val="21"/>
              </w:rPr>
              <w:t>1.4</w:t>
            </w:r>
          </w:p>
        </w:tc>
        <w:tc>
          <w:tcPr>
            <w:tcW w:w="992" w:type="dxa"/>
            <w:vAlign w:val="center"/>
          </w:tcPr>
          <w:p>
            <w:pPr>
              <w:overflowPunct w:val="0"/>
              <w:jc w:val="center"/>
              <w:rPr>
                <w:szCs w:val="21"/>
              </w:rPr>
            </w:pPr>
            <w:r>
              <w:rPr>
                <w:rFonts w:hint="eastAsia"/>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5</w:t>
            </w:r>
          </w:p>
        </w:tc>
        <w:tc>
          <w:tcPr>
            <w:tcW w:w="1380" w:type="dxa"/>
            <w:vAlign w:val="center"/>
          </w:tcPr>
          <w:p>
            <w:pPr>
              <w:jc w:val="center"/>
              <w:rPr>
                <w:szCs w:val="21"/>
              </w:rPr>
            </w:pPr>
            <w:r>
              <w:rPr>
                <w:rFonts w:hint="eastAsia"/>
                <w:szCs w:val="21"/>
              </w:rPr>
              <w:t>挥发酚类</w:t>
            </w:r>
          </w:p>
        </w:tc>
        <w:tc>
          <w:tcPr>
            <w:tcW w:w="1134" w:type="dxa"/>
            <w:vAlign w:val="center"/>
          </w:tcPr>
          <w:p>
            <w:pPr>
              <w:jc w:val="center"/>
              <w:rPr>
                <w:szCs w:val="21"/>
              </w:rPr>
            </w:pPr>
            <w:r>
              <w:rPr>
                <w:rFonts w:hint="eastAsia"/>
                <w:szCs w:val="21"/>
              </w:rPr>
              <w:t>≤</w:t>
            </w:r>
            <w:r>
              <w:rPr>
                <w:szCs w:val="21"/>
              </w:rPr>
              <w:t>0.002</w:t>
            </w:r>
          </w:p>
        </w:tc>
        <w:tc>
          <w:tcPr>
            <w:tcW w:w="1245" w:type="dxa"/>
            <w:vAlign w:val="center"/>
          </w:tcPr>
          <w:p>
            <w:pPr>
              <w:jc w:val="center"/>
              <w:rPr>
                <w:szCs w:val="21"/>
              </w:rPr>
            </w:pPr>
            <w:r>
              <w:rPr>
                <w:rFonts w:hint="eastAsia"/>
                <w:szCs w:val="21"/>
              </w:rPr>
              <w:t>＜0.0003</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＜0.0003</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＜0.0003</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6</w:t>
            </w:r>
          </w:p>
        </w:tc>
        <w:tc>
          <w:tcPr>
            <w:tcW w:w="1380" w:type="dxa"/>
            <w:vAlign w:val="center"/>
          </w:tcPr>
          <w:p>
            <w:pPr>
              <w:jc w:val="center"/>
              <w:rPr>
                <w:szCs w:val="21"/>
              </w:rPr>
            </w:pPr>
            <w:r>
              <w:rPr>
                <w:rFonts w:hint="eastAsia"/>
                <w:szCs w:val="21"/>
              </w:rPr>
              <w:t>阴离子表面活性剂</w:t>
            </w:r>
          </w:p>
        </w:tc>
        <w:tc>
          <w:tcPr>
            <w:tcW w:w="1134" w:type="dxa"/>
            <w:vAlign w:val="center"/>
          </w:tcPr>
          <w:p>
            <w:pPr>
              <w:jc w:val="center"/>
              <w:rPr>
                <w:szCs w:val="21"/>
              </w:rPr>
            </w:pPr>
            <w:r>
              <w:rPr>
                <w:rFonts w:hint="eastAsia"/>
                <w:szCs w:val="21"/>
              </w:rPr>
              <w:t>≤</w:t>
            </w:r>
            <w:r>
              <w:rPr>
                <w:szCs w:val="21"/>
              </w:rPr>
              <w:t>0.3</w:t>
            </w:r>
          </w:p>
        </w:tc>
        <w:tc>
          <w:tcPr>
            <w:tcW w:w="1245" w:type="dxa"/>
            <w:vAlign w:val="center"/>
          </w:tcPr>
          <w:p>
            <w:pPr>
              <w:jc w:val="center"/>
              <w:rPr>
                <w:szCs w:val="21"/>
              </w:rPr>
            </w:pPr>
            <w:r>
              <w:rPr>
                <w:rFonts w:hint="eastAsia"/>
                <w:szCs w:val="21"/>
              </w:rPr>
              <w:t>＜0.05</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＜0.05</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＜0.05</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7</w:t>
            </w:r>
          </w:p>
        </w:tc>
        <w:tc>
          <w:tcPr>
            <w:tcW w:w="1380" w:type="dxa"/>
            <w:vAlign w:val="center"/>
          </w:tcPr>
          <w:p>
            <w:pPr>
              <w:jc w:val="center"/>
              <w:rPr>
                <w:szCs w:val="21"/>
              </w:rPr>
            </w:pPr>
            <w:r>
              <w:rPr>
                <w:rFonts w:hint="eastAsia"/>
                <w:szCs w:val="21"/>
              </w:rPr>
              <w:t>氨氮</w:t>
            </w:r>
          </w:p>
        </w:tc>
        <w:tc>
          <w:tcPr>
            <w:tcW w:w="1134" w:type="dxa"/>
            <w:vAlign w:val="center"/>
          </w:tcPr>
          <w:p>
            <w:pPr>
              <w:jc w:val="center"/>
              <w:rPr>
                <w:szCs w:val="21"/>
              </w:rPr>
            </w:pPr>
            <w:r>
              <w:rPr>
                <w:rFonts w:hint="eastAsia"/>
                <w:szCs w:val="21"/>
              </w:rPr>
              <w:t>≤</w:t>
            </w:r>
            <w:r>
              <w:rPr>
                <w:szCs w:val="21"/>
              </w:rPr>
              <w:t>0.50</w:t>
            </w:r>
          </w:p>
        </w:tc>
        <w:tc>
          <w:tcPr>
            <w:tcW w:w="1245" w:type="dxa"/>
            <w:vAlign w:val="center"/>
          </w:tcPr>
          <w:p>
            <w:pPr>
              <w:jc w:val="center"/>
              <w:rPr>
                <w:szCs w:val="21"/>
              </w:rPr>
            </w:pPr>
            <w:r>
              <w:rPr>
                <w:rFonts w:hint="eastAsia"/>
                <w:szCs w:val="21"/>
              </w:rPr>
              <w:t>0.159</w:t>
            </w:r>
          </w:p>
        </w:tc>
        <w:tc>
          <w:tcPr>
            <w:tcW w:w="881" w:type="dxa"/>
            <w:vAlign w:val="center"/>
          </w:tcPr>
          <w:p>
            <w:pPr>
              <w:jc w:val="center"/>
              <w:rPr>
                <w:szCs w:val="21"/>
              </w:rPr>
            </w:pPr>
            <w:r>
              <w:rPr>
                <w:rFonts w:hint="eastAsia"/>
                <w:szCs w:val="21"/>
              </w:rPr>
              <w:t>0.32</w:t>
            </w:r>
          </w:p>
        </w:tc>
        <w:tc>
          <w:tcPr>
            <w:tcW w:w="1385" w:type="dxa"/>
            <w:vAlign w:val="center"/>
          </w:tcPr>
          <w:p>
            <w:pPr>
              <w:overflowPunct w:val="0"/>
              <w:jc w:val="center"/>
              <w:rPr>
                <w:szCs w:val="21"/>
              </w:rPr>
            </w:pPr>
            <w:r>
              <w:rPr>
                <w:rFonts w:hint="eastAsia"/>
                <w:szCs w:val="21"/>
              </w:rPr>
              <w:t>0.288</w:t>
            </w:r>
          </w:p>
        </w:tc>
        <w:tc>
          <w:tcPr>
            <w:tcW w:w="1025" w:type="dxa"/>
            <w:vAlign w:val="center"/>
          </w:tcPr>
          <w:p>
            <w:pPr>
              <w:overflowPunct w:val="0"/>
              <w:jc w:val="center"/>
              <w:rPr>
                <w:szCs w:val="21"/>
              </w:rPr>
            </w:pPr>
            <w:r>
              <w:rPr>
                <w:rFonts w:hint="eastAsia"/>
                <w:szCs w:val="21"/>
              </w:rPr>
              <w:t>0.58</w:t>
            </w:r>
          </w:p>
        </w:tc>
        <w:tc>
          <w:tcPr>
            <w:tcW w:w="1025" w:type="dxa"/>
            <w:vAlign w:val="center"/>
          </w:tcPr>
          <w:p>
            <w:pPr>
              <w:overflowPunct w:val="0"/>
              <w:jc w:val="center"/>
              <w:rPr>
                <w:szCs w:val="21"/>
              </w:rPr>
            </w:pPr>
            <w:r>
              <w:rPr>
                <w:rFonts w:hint="eastAsia"/>
                <w:szCs w:val="21"/>
              </w:rPr>
              <w:t>0.366</w:t>
            </w:r>
          </w:p>
        </w:tc>
        <w:tc>
          <w:tcPr>
            <w:tcW w:w="992" w:type="dxa"/>
            <w:vAlign w:val="center"/>
          </w:tcPr>
          <w:p>
            <w:pPr>
              <w:overflowPunct w:val="0"/>
              <w:jc w:val="center"/>
              <w:rPr>
                <w:szCs w:val="21"/>
              </w:rPr>
            </w:pPr>
            <w:r>
              <w:rPr>
                <w:rFonts w:hint="eastAsia"/>
                <w:szCs w:val="21"/>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8</w:t>
            </w:r>
          </w:p>
        </w:tc>
        <w:tc>
          <w:tcPr>
            <w:tcW w:w="1380" w:type="dxa"/>
            <w:vAlign w:val="center"/>
          </w:tcPr>
          <w:p>
            <w:pPr>
              <w:jc w:val="center"/>
              <w:rPr>
                <w:szCs w:val="21"/>
              </w:rPr>
            </w:pPr>
            <w:r>
              <w:rPr>
                <w:rFonts w:hint="eastAsia"/>
                <w:szCs w:val="21"/>
              </w:rPr>
              <w:t>氰化物</w:t>
            </w:r>
          </w:p>
        </w:tc>
        <w:tc>
          <w:tcPr>
            <w:tcW w:w="1134" w:type="dxa"/>
            <w:vAlign w:val="center"/>
          </w:tcPr>
          <w:p>
            <w:pPr>
              <w:jc w:val="center"/>
              <w:rPr>
                <w:szCs w:val="21"/>
              </w:rPr>
            </w:pPr>
            <w:r>
              <w:rPr>
                <w:rFonts w:hint="eastAsia"/>
                <w:szCs w:val="21"/>
              </w:rPr>
              <w:t>≤</w:t>
            </w:r>
            <w:r>
              <w:rPr>
                <w:szCs w:val="21"/>
              </w:rPr>
              <w:t>0.05</w:t>
            </w:r>
          </w:p>
        </w:tc>
        <w:tc>
          <w:tcPr>
            <w:tcW w:w="1245" w:type="dxa"/>
            <w:vAlign w:val="center"/>
          </w:tcPr>
          <w:p>
            <w:pPr>
              <w:jc w:val="center"/>
              <w:rPr>
                <w:szCs w:val="21"/>
              </w:rPr>
            </w:pPr>
            <w:r>
              <w:rPr>
                <w:rFonts w:hint="eastAsia"/>
                <w:szCs w:val="21"/>
              </w:rPr>
              <w:t>＜0.002</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＜0.002</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＜0.002</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9</w:t>
            </w:r>
          </w:p>
        </w:tc>
        <w:tc>
          <w:tcPr>
            <w:tcW w:w="1380" w:type="dxa"/>
            <w:vAlign w:val="center"/>
          </w:tcPr>
          <w:p>
            <w:pPr>
              <w:jc w:val="center"/>
              <w:rPr>
                <w:szCs w:val="21"/>
              </w:rPr>
            </w:pPr>
            <w:r>
              <w:rPr>
                <w:rFonts w:hint="eastAsia"/>
                <w:szCs w:val="21"/>
              </w:rPr>
              <w:t>硫化物</w:t>
            </w:r>
          </w:p>
        </w:tc>
        <w:tc>
          <w:tcPr>
            <w:tcW w:w="1134" w:type="dxa"/>
            <w:vAlign w:val="center"/>
          </w:tcPr>
          <w:p>
            <w:pPr>
              <w:jc w:val="center"/>
              <w:rPr>
                <w:szCs w:val="21"/>
              </w:rPr>
            </w:pPr>
            <w:r>
              <w:rPr>
                <w:rFonts w:hint="eastAsia"/>
                <w:szCs w:val="21"/>
              </w:rPr>
              <w:t>≤</w:t>
            </w:r>
            <w:r>
              <w:rPr>
                <w:szCs w:val="21"/>
              </w:rPr>
              <w:t>0.02</w:t>
            </w:r>
          </w:p>
        </w:tc>
        <w:tc>
          <w:tcPr>
            <w:tcW w:w="1245" w:type="dxa"/>
            <w:vAlign w:val="center"/>
          </w:tcPr>
          <w:p>
            <w:pPr>
              <w:jc w:val="center"/>
              <w:rPr>
                <w:szCs w:val="21"/>
              </w:rPr>
            </w:pPr>
            <w:r>
              <w:rPr>
                <w:rFonts w:hint="eastAsia"/>
                <w:szCs w:val="21"/>
              </w:rPr>
              <w:t>＜0.003</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＜0.003</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＜0.003</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10</w:t>
            </w:r>
          </w:p>
        </w:tc>
        <w:tc>
          <w:tcPr>
            <w:tcW w:w="1380" w:type="dxa"/>
            <w:vAlign w:val="center"/>
          </w:tcPr>
          <w:p>
            <w:pPr>
              <w:jc w:val="center"/>
              <w:rPr>
                <w:szCs w:val="21"/>
              </w:rPr>
            </w:pPr>
            <w:r>
              <w:rPr>
                <w:rFonts w:hint="eastAsia"/>
                <w:szCs w:val="21"/>
              </w:rPr>
              <w:t>氟化物</w:t>
            </w:r>
          </w:p>
        </w:tc>
        <w:tc>
          <w:tcPr>
            <w:tcW w:w="1134" w:type="dxa"/>
            <w:vAlign w:val="center"/>
          </w:tcPr>
          <w:p>
            <w:pPr>
              <w:jc w:val="center"/>
              <w:rPr>
                <w:szCs w:val="21"/>
              </w:rPr>
            </w:pPr>
            <w:r>
              <w:rPr>
                <w:rFonts w:hint="eastAsia"/>
                <w:szCs w:val="21"/>
              </w:rPr>
              <w:t>≤</w:t>
            </w:r>
            <w:r>
              <w:rPr>
                <w:szCs w:val="21"/>
              </w:rPr>
              <w:t>1.0</w:t>
            </w:r>
          </w:p>
        </w:tc>
        <w:tc>
          <w:tcPr>
            <w:tcW w:w="1245" w:type="dxa"/>
            <w:vAlign w:val="center"/>
          </w:tcPr>
          <w:p>
            <w:pPr>
              <w:jc w:val="center"/>
              <w:rPr>
                <w:szCs w:val="21"/>
              </w:rPr>
            </w:pPr>
            <w:r>
              <w:rPr>
                <w:rFonts w:hint="eastAsia"/>
                <w:szCs w:val="21"/>
              </w:rPr>
              <w:t>0.32</w:t>
            </w:r>
          </w:p>
        </w:tc>
        <w:tc>
          <w:tcPr>
            <w:tcW w:w="881" w:type="dxa"/>
            <w:vAlign w:val="center"/>
          </w:tcPr>
          <w:p>
            <w:pPr>
              <w:jc w:val="center"/>
              <w:rPr>
                <w:szCs w:val="21"/>
              </w:rPr>
            </w:pPr>
            <w:r>
              <w:rPr>
                <w:rFonts w:hint="eastAsia"/>
                <w:szCs w:val="21"/>
              </w:rPr>
              <w:t>0.32</w:t>
            </w:r>
          </w:p>
        </w:tc>
        <w:tc>
          <w:tcPr>
            <w:tcW w:w="1385" w:type="dxa"/>
            <w:vAlign w:val="center"/>
          </w:tcPr>
          <w:p>
            <w:pPr>
              <w:overflowPunct w:val="0"/>
              <w:jc w:val="center"/>
              <w:rPr>
                <w:szCs w:val="21"/>
              </w:rPr>
            </w:pPr>
            <w:r>
              <w:rPr>
                <w:rFonts w:hint="eastAsia"/>
                <w:szCs w:val="21"/>
              </w:rPr>
              <w:t>0.36</w:t>
            </w:r>
          </w:p>
        </w:tc>
        <w:tc>
          <w:tcPr>
            <w:tcW w:w="1025" w:type="dxa"/>
            <w:vAlign w:val="center"/>
          </w:tcPr>
          <w:p>
            <w:pPr>
              <w:jc w:val="center"/>
              <w:rPr>
                <w:szCs w:val="21"/>
              </w:rPr>
            </w:pPr>
            <w:r>
              <w:rPr>
                <w:rFonts w:hint="eastAsia"/>
                <w:szCs w:val="21"/>
              </w:rPr>
              <w:t>0.36</w:t>
            </w:r>
          </w:p>
        </w:tc>
        <w:tc>
          <w:tcPr>
            <w:tcW w:w="1025" w:type="dxa"/>
            <w:vAlign w:val="center"/>
          </w:tcPr>
          <w:p>
            <w:pPr>
              <w:overflowPunct w:val="0"/>
              <w:jc w:val="center"/>
              <w:rPr>
                <w:szCs w:val="21"/>
              </w:rPr>
            </w:pPr>
            <w:r>
              <w:rPr>
                <w:rFonts w:hint="eastAsia"/>
                <w:szCs w:val="21"/>
              </w:rPr>
              <w:t>0.35</w:t>
            </w:r>
          </w:p>
        </w:tc>
        <w:tc>
          <w:tcPr>
            <w:tcW w:w="992" w:type="dxa"/>
            <w:vAlign w:val="center"/>
          </w:tcPr>
          <w:p>
            <w:pPr>
              <w:overflowPunct w:val="0"/>
              <w:jc w:val="center"/>
              <w:rPr>
                <w:szCs w:val="21"/>
              </w:rPr>
            </w:pPr>
            <w:r>
              <w:rPr>
                <w:rFonts w:hint="eastAsia"/>
                <w:szCs w:val="21"/>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11</w:t>
            </w:r>
          </w:p>
        </w:tc>
        <w:tc>
          <w:tcPr>
            <w:tcW w:w="1380" w:type="dxa"/>
            <w:vAlign w:val="center"/>
          </w:tcPr>
          <w:p>
            <w:pPr>
              <w:jc w:val="center"/>
              <w:rPr>
                <w:szCs w:val="21"/>
              </w:rPr>
            </w:pPr>
            <w:r>
              <w:rPr>
                <w:rFonts w:hint="eastAsia"/>
                <w:szCs w:val="21"/>
              </w:rPr>
              <w:t>氯化物</w:t>
            </w:r>
          </w:p>
        </w:tc>
        <w:tc>
          <w:tcPr>
            <w:tcW w:w="1134" w:type="dxa"/>
            <w:vAlign w:val="center"/>
          </w:tcPr>
          <w:p>
            <w:pPr>
              <w:jc w:val="center"/>
              <w:rPr>
                <w:szCs w:val="21"/>
              </w:rPr>
            </w:pPr>
            <w:r>
              <w:rPr>
                <w:rFonts w:hint="eastAsia"/>
                <w:szCs w:val="21"/>
              </w:rPr>
              <w:t>≤</w:t>
            </w:r>
            <w:r>
              <w:rPr>
                <w:szCs w:val="21"/>
              </w:rPr>
              <w:t>250</w:t>
            </w:r>
          </w:p>
        </w:tc>
        <w:tc>
          <w:tcPr>
            <w:tcW w:w="1245" w:type="dxa"/>
            <w:vAlign w:val="center"/>
          </w:tcPr>
          <w:p>
            <w:pPr>
              <w:jc w:val="center"/>
              <w:rPr>
                <w:szCs w:val="21"/>
              </w:rPr>
            </w:pPr>
            <w:r>
              <w:rPr>
                <w:rFonts w:hint="eastAsia"/>
                <w:szCs w:val="21"/>
              </w:rPr>
              <w:t>23</w:t>
            </w:r>
          </w:p>
        </w:tc>
        <w:tc>
          <w:tcPr>
            <w:tcW w:w="881" w:type="dxa"/>
            <w:vAlign w:val="center"/>
          </w:tcPr>
          <w:p>
            <w:pPr>
              <w:jc w:val="center"/>
              <w:rPr>
                <w:szCs w:val="21"/>
              </w:rPr>
            </w:pPr>
            <w:r>
              <w:rPr>
                <w:rFonts w:hint="eastAsia"/>
                <w:szCs w:val="21"/>
              </w:rPr>
              <w:t>0.09</w:t>
            </w:r>
          </w:p>
        </w:tc>
        <w:tc>
          <w:tcPr>
            <w:tcW w:w="1385" w:type="dxa"/>
            <w:vAlign w:val="center"/>
          </w:tcPr>
          <w:p>
            <w:pPr>
              <w:overflowPunct w:val="0"/>
              <w:jc w:val="center"/>
              <w:rPr>
                <w:szCs w:val="21"/>
              </w:rPr>
            </w:pPr>
            <w:r>
              <w:rPr>
                <w:rFonts w:hint="eastAsia"/>
                <w:szCs w:val="21"/>
              </w:rPr>
              <w:t>23</w:t>
            </w:r>
          </w:p>
        </w:tc>
        <w:tc>
          <w:tcPr>
            <w:tcW w:w="1025" w:type="dxa"/>
            <w:vAlign w:val="center"/>
          </w:tcPr>
          <w:p>
            <w:pPr>
              <w:jc w:val="center"/>
              <w:rPr>
                <w:szCs w:val="21"/>
              </w:rPr>
            </w:pPr>
            <w:r>
              <w:rPr>
                <w:rFonts w:hint="eastAsia"/>
                <w:szCs w:val="21"/>
              </w:rPr>
              <w:t>0.09</w:t>
            </w:r>
          </w:p>
        </w:tc>
        <w:tc>
          <w:tcPr>
            <w:tcW w:w="1025" w:type="dxa"/>
            <w:vAlign w:val="center"/>
          </w:tcPr>
          <w:p>
            <w:pPr>
              <w:overflowPunct w:val="0"/>
              <w:jc w:val="center"/>
              <w:rPr>
                <w:szCs w:val="21"/>
              </w:rPr>
            </w:pPr>
            <w:r>
              <w:rPr>
                <w:rFonts w:hint="eastAsia"/>
                <w:szCs w:val="21"/>
              </w:rPr>
              <w:t>24</w:t>
            </w:r>
          </w:p>
        </w:tc>
        <w:tc>
          <w:tcPr>
            <w:tcW w:w="992" w:type="dxa"/>
            <w:vAlign w:val="center"/>
          </w:tcPr>
          <w:p>
            <w:pPr>
              <w:overflowPunct w:val="0"/>
              <w:jc w:val="center"/>
              <w:rPr>
                <w:szCs w:val="21"/>
              </w:rPr>
            </w:pPr>
            <w:r>
              <w:rPr>
                <w:rFonts w:hint="eastAsia"/>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12</w:t>
            </w:r>
          </w:p>
        </w:tc>
        <w:tc>
          <w:tcPr>
            <w:tcW w:w="1380" w:type="dxa"/>
            <w:vAlign w:val="center"/>
          </w:tcPr>
          <w:p>
            <w:pPr>
              <w:jc w:val="center"/>
              <w:rPr>
                <w:szCs w:val="21"/>
              </w:rPr>
            </w:pPr>
            <w:r>
              <w:rPr>
                <w:rFonts w:hint="eastAsia"/>
                <w:szCs w:val="21"/>
              </w:rPr>
              <w:t>硫酸盐</w:t>
            </w:r>
          </w:p>
        </w:tc>
        <w:tc>
          <w:tcPr>
            <w:tcW w:w="1134" w:type="dxa"/>
            <w:vAlign w:val="center"/>
          </w:tcPr>
          <w:p>
            <w:pPr>
              <w:jc w:val="center"/>
              <w:rPr>
                <w:szCs w:val="21"/>
              </w:rPr>
            </w:pPr>
            <w:r>
              <w:rPr>
                <w:rFonts w:hint="eastAsia"/>
                <w:szCs w:val="21"/>
              </w:rPr>
              <w:t>≤</w:t>
            </w:r>
            <w:r>
              <w:rPr>
                <w:szCs w:val="21"/>
              </w:rPr>
              <w:t>250</w:t>
            </w:r>
          </w:p>
        </w:tc>
        <w:tc>
          <w:tcPr>
            <w:tcW w:w="1245" w:type="dxa"/>
            <w:vAlign w:val="center"/>
          </w:tcPr>
          <w:p>
            <w:pPr>
              <w:jc w:val="center"/>
              <w:rPr>
                <w:szCs w:val="21"/>
              </w:rPr>
            </w:pPr>
            <w:r>
              <w:rPr>
                <w:rFonts w:hint="eastAsia"/>
                <w:szCs w:val="21"/>
              </w:rPr>
              <w:t>56</w:t>
            </w:r>
          </w:p>
        </w:tc>
        <w:tc>
          <w:tcPr>
            <w:tcW w:w="881" w:type="dxa"/>
            <w:vAlign w:val="center"/>
          </w:tcPr>
          <w:p>
            <w:pPr>
              <w:jc w:val="center"/>
              <w:rPr>
                <w:szCs w:val="21"/>
              </w:rPr>
            </w:pPr>
            <w:r>
              <w:rPr>
                <w:rFonts w:hint="eastAsia"/>
                <w:szCs w:val="21"/>
              </w:rPr>
              <w:t>0.22</w:t>
            </w:r>
          </w:p>
        </w:tc>
        <w:tc>
          <w:tcPr>
            <w:tcW w:w="1385" w:type="dxa"/>
            <w:vAlign w:val="center"/>
          </w:tcPr>
          <w:p>
            <w:pPr>
              <w:overflowPunct w:val="0"/>
              <w:jc w:val="center"/>
              <w:rPr>
                <w:szCs w:val="21"/>
              </w:rPr>
            </w:pPr>
            <w:r>
              <w:rPr>
                <w:rFonts w:hint="eastAsia"/>
                <w:szCs w:val="21"/>
              </w:rPr>
              <w:t>59</w:t>
            </w:r>
          </w:p>
        </w:tc>
        <w:tc>
          <w:tcPr>
            <w:tcW w:w="1025" w:type="dxa"/>
            <w:vAlign w:val="center"/>
          </w:tcPr>
          <w:p>
            <w:pPr>
              <w:jc w:val="center"/>
              <w:rPr>
                <w:szCs w:val="21"/>
              </w:rPr>
            </w:pPr>
            <w:r>
              <w:rPr>
                <w:rFonts w:hint="eastAsia"/>
                <w:szCs w:val="21"/>
              </w:rPr>
              <w:t>0.24</w:t>
            </w:r>
          </w:p>
        </w:tc>
        <w:tc>
          <w:tcPr>
            <w:tcW w:w="1025" w:type="dxa"/>
            <w:vAlign w:val="center"/>
          </w:tcPr>
          <w:p>
            <w:pPr>
              <w:overflowPunct w:val="0"/>
              <w:jc w:val="center"/>
              <w:rPr>
                <w:szCs w:val="21"/>
              </w:rPr>
            </w:pPr>
            <w:r>
              <w:rPr>
                <w:rFonts w:hint="eastAsia"/>
                <w:szCs w:val="21"/>
              </w:rPr>
              <w:t>59</w:t>
            </w:r>
          </w:p>
        </w:tc>
        <w:tc>
          <w:tcPr>
            <w:tcW w:w="992" w:type="dxa"/>
            <w:vAlign w:val="center"/>
          </w:tcPr>
          <w:p>
            <w:pPr>
              <w:overflowPunct w:val="0"/>
              <w:jc w:val="center"/>
              <w:rPr>
                <w:szCs w:val="21"/>
              </w:rPr>
            </w:pPr>
            <w:r>
              <w:rPr>
                <w:rFonts w:hint="eastAsia"/>
                <w:szCs w:val="21"/>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13</w:t>
            </w:r>
          </w:p>
        </w:tc>
        <w:tc>
          <w:tcPr>
            <w:tcW w:w="1380" w:type="dxa"/>
            <w:vAlign w:val="center"/>
          </w:tcPr>
          <w:p>
            <w:pPr>
              <w:jc w:val="center"/>
              <w:rPr>
                <w:szCs w:val="21"/>
              </w:rPr>
            </w:pPr>
            <w:r>
              <w:rPr>
                <w:rFonts w:hint="eastAsia"/>
                <w:szCs w:val="21"/>
              </w:rPr>
              <w:t>硝酸盐</w:t>
            </w:r>
          </w:p>
        </w:tc>
        <w:tc>
          <w:tcPr>
            <w:tcW w:w="1134" w:type="dxa"/>
            <w:vAlign w:val="center"/>
          </w:tcPr>
          <w:p>
            <w:pPr>
              <w:jc w:val="center"/>
              <w:rPr>
                <w:szCs w:val="21"/>
              </w:rPr>
            </w:pPr>
            <w:r>
              <w:rPr>
                <w:rFonts w:hint="eastAsia"/>
                <w:szCs w:val="21"/>
              </w:rPr>
              <w:t>≤</w:t>
            </w:r>
            <w:r>
              <w:rPr>
                <w:szCs w:val="21"/>
              </w:rPr>
              <w:t>20.0</w:t>
            </w:r>
          </w:p>
        </w:tc>
        <w:tc>
          <w:tcPr>
            <w:tcW w:w="1245" w:type="dxa"/>
            <w:vAlign w:val="center"/>
          </w:tcPr>
          <w:p>
            <w:pPr>
              <w:jc w:val="center"/>
              <w:rPr>
                <w:szCs w:val="21"/>
              </w:rPr>
            </w:pPr>
            <w:r>
              <w:rPr>
                <w:rFonts w:hint="eastAsia"/>
                <w:szCs w:val="21"/>
              </w:rPr>
              <w:t>＜0.08</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＜0.08</w:t>
            </w:r>
          </w:p>
        </w:tc>
        <w:tc>
          <w:tcPr>
            <w:tcW w:w="1025" w:type="dxa"/>
            <w:vAlign w:val="center"/>
          </w:tcPr>
          <w:p>
            <w:pPr>
              <w:jc w:val="center"/>
              <w:rPr>
                <w:szCs w:val="21"/>
              </w:rPr>
            </w:pPr>
            <w:r>
              <w:rPr>
                <w:rFonts w:hint="eastAsia"/>
                <w:szCs w:val="21"/>
              </w:rPr>
              <w:t>/</w:t>
            </w:r>
          </w:p>
        </w:tc>
        <w:tc>
          <w:tcPr>
            <w:tcW w:w="1025" w:type="dxa"/>
            <w:vAlign w:val="center"/>
          </w:tcPr>
          <w:p>
            <w:pPr>
              <w:jc w:val="center"/>
              <w:rPr>
                <w:szCs w:val="21"/>
              </w:rPr>
            </w:pPr>
            <w:r>
              <w:rPr>
                <w:rFonts w:hint="eastAsia"/>
                <w:szCs w:val="21"/>
              </w:rPr>
              <w:t>＜0.08</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14</w:t>
            </w:r>
          </w:p>
        </w:tc>
        <w:tc>
          <w:tcPr>
            <w:tcW w:w="1380" w:type="dxa"/>
            <w:vAlign w:val="center"/>
          </w:tcPr>
          <w:p>
            <w:pPr>
              <w:jc w:val="center"/>
              <w:rPr>
                <w:szCs w:val="21"/>
              </w:rPr>
            </w:pPr>
            <w:r>
              <w:rPr>
                <w:rFonts w:hint="eastAsia"/>
                <w:szCs w:val="21"/>
              </w:rPr>
              <w:t>亚硝酸盐</w:t>
            </w:r>
          </w:p>
        </w:tc>
        <w:tc>
          <w:tcPr>
            <w:tcW w:w="1134" w:type="dxa"/>
            <w:vAlign w:val="center"/>
          </w:tcPr>
          <w:p>
            <w:pPr>
              <w:jc w:val="center"/>
              <w:rPr>
                <w:szCs w:val="21"/>
              </w:rPr>
            </w:pPr>
            <w:r>
              <w:rPr>
                <w:rFonts w:hint="eastAsia"/>
                <w:szCs w:val="21"/>
              </w:rPr>
              <w:t>≤</w:t>
            </w:r>
            <w:r>
              <w:rPr>
                <w:szCs w:val="21"/>
              </w:rPr>
              <w:t>1.00</w:t>
            </w:r>
          </w:p>
        </w:tc>
        <w:tc>
          <w:tcPr>
            <w:tcW w:w="1245" w:type="dxa"/>
            <w:vAlign w:val="center"/>
          </w:tcPr>
          <w:p>
            <w:pPr>
              <w:jc w:val="center"/>
              <w:rPr>
                <w:szCs w:val="21"/>
              </w:rPr>
            </w:pPr>
            <w:r>
              <w:rPr>
                <w:rFonts w:hint="eastAsia"/>
                <w:szCs w:val="21"/>
              </w:rPr>
              <w:t>＜0.003</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＜0.003</w:t>
            </w:r>
          </w:p>
        </w:tc>
        <w:tc>
          <w:tcPr>
            <w:tcW w:w="1025" w:type="dxa"/>
            <w:vAlign w:val="center"/>
          </w:tcPr>
          <w:p>
            <w:pPr>
              <w:jc w:val="center"/>
              <w:rPr>
                <w:szCs w:val="21"/>
              </w:rPr>
            </w:pPr>
            <w:r>
              <w:rPr>
                <w:rFonts w:hint="eastAsia"/>
                <w:szCs w:val="21"/>
              </w:rPr>
              <w:t>/</w:t>
            </w:r>
          </w:p>
        </w:tc>
        <w:tc>
          <w:tcPr>
            <w:tcW w:w="1025" w:type="dxa"/>
            <w:vAlign w:val="center"/>
          </w:tcPr>
          <w:p>
            <w:pPr>
              <w:jc w:val="center"/>
              <w:rPr>
                <w:szCs w:val="21"/>
              </w:rPr>
            </w:pPr>
            <w:r>
              <w:rPr>
                <w:rFonts w:hint="eastAsia"/>
                <w:szCs w:val="21"/>
              </w:rPr>
              <w:t>＜0.003</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15</w:t>
            </w:r>
          </w:p>
        </w:tc>
        <w:tc>
          <w:tcPr>
            <w:tcW w:w="1380" w:type="dxa"/>
            <w:vAlign w:val="center"/>
          </w:tcPr>
          <w:p>
            <w:pPr>
              <w:jc w:val="center"/>
              <w:rPr>
                <w:szCs w:val="21"/>
              </w:rPr>
            </w:pPr>
            <w:r>
              <w:rPr>
                <w:rFonts w:hint="eastAsia"/>
                <w:szCs w:val="21"/>
              </w:rPr>
              <w:t>总大肠菌群</w:t>
            </w:r>
          </w:p>
        </w:tc>
        <w:tc>
          <w:tcPr>
            <w:tcW w:w="1134" w:type="dxa"/>
            <w:vAlign w:val="center"/>
          </w:tcPr>
          <w:p>
            <w:pPr>
              <w:jc w:val="center"/>
              <w:rPr>
                <w:szCs w:val="21"/>
              </w:rPr>
            </w:pPr>
            <w:r>
              <w:rPr>
                <w:rFonts w:hint="eastAsia"/>
                <w:szCs w:val="21"/>
              </w:rPr>
              <w:t>≤</w:t>
            </w:r>
            <w:r>
              <w:rPr>
                <w:szCs w:val="21"/>
              </w:rPr>
              <w:t>3.0</w:t>
            </w:r>
            <w:r>
              <w:t xml:space="preserve"> </w:t>
            </w:r>
            <w:r>
              <w:rPr>
                <w:szCs w:val="21"/>
              </w:rPr>
              <w:t>MPN/100mL</w:t>
            </w:r>
          </w:p>
        </w:tc>
        <w:tc>
          <w:tcPr>
            <w:tcW w:w="1245" w:type="dxa"/>
            <w:vAlign w:val="center"/>
          </w:tcPr>
          <w:p>
            <w:pPr>
              <w:jc w:val="center"/>
              <w:rPr>
                <w:szCs w:val="21"/>
              </w:rPr>
            </w:pPr>
            <w:r>
              <w:rPr>
                <w:rFonts w:hint="eastAsia"/>
                <w:szCs w:val="21"/>
              </w:rPr>
              <w:t>＜10</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＜10</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＜10</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16</w:t>
            </w:r>
          </w:p>
        </w:tc>
        <w:tc>
          <w:tcPr>
            <w:tcW w:w="1380" w:type="dxa"/>
            <w:vAlign w:val="center"/>
          </w:tcPr>
          <w:p>
            <w:pPr>
              <w:jc w:val="center"/>
              <w:rPr>
                <w:szCs w:val="21"/>
              </w:rPr>
            </w:pPr>
            <w:r>
              <w:rPr>
                <w:rFonts w:hint="eastAsia"/>
                <w:szCs w:val="21"/>
              </w:rPr>
              <w:t>六价铬</w:t>
            </w:r>
          </w:p>
        </w:tc>
        <w:tc>
          <w:tcPr>
            <w:tcW w:w="1134" w:type="dxa"/>
            <w:vAlign w:val="center"/>
          </w:tcPr>
          <w:p>
            <w:pPr>
              <w:jc w:val="center"/>
              <w:rPr>
                <w:szCs w:val="21"/>
              </w:rPr>
            </w:pPr>
            <w:r>
              <w:rPr>
                <w:rFonts w:hint="eastAsia"/>
                <w:szCs w:val="21"/>
              </w:rPr>
              <w:t>≤</w:t>
            </w:r>
            <w:r>
              <w:rPr>
                <w:szCs w:val="21"/>
              </w:rPr>
              <w:t>0.05</w:t>
            </w:r>
          </w:p>
        </w:tc>
        <w:tc>
          <w:tcPr>
            <w:tcW w:w="1245" w:type="dxa"/>
            <w:vAlign w:val="center"/>
          </w:tcPr>
          <w:p>
            <w:pPr>
              <w:jc w:val="center"/>
              <w:rPr>
                <w:szCs w:val="21"/>
              </w:rPr>
            </w:pPr>
            <w:r>
              <w:rPr>
                <w:szCs w:val="21"/>
              </w:rPr>
              <w:t>＜</w:t>
            </w:r>
            <w:r>
              <w:rPr>
                <w:rFonts w:hint="eastAsia"/>
                <w:szCs w:val="21"/>
              </w:rPr>
              <w:t>0.004</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szCs w:val="21"/>
              </w:rPr>
              <w:t>＜</w:t>
            </w:r>
            <w:r>
              <w:rPr>
                <w:rFonts w:hint="eastAsia"/>
                <w:szCs w:val="21"/>
              </w:rPr>
              <w:t>0.004</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szCs w:val="21"/>
              </w:rPr>
              <w:t>＜</w:t>
            </w:r>
            <w:r>
              <w:rPr>
                <w:rFonts w:hint="eastAsia"/>
                <w:szCs w:val="21"/>
              </w:rPr>
              <w:t>0.004</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17</w:t>
            </w:r>
          </w:p>
        </w:tc>
        <w:tc>
          <w:tcPr>
            <w:tcW w:w="1380" w:type="dxa"/>
            <w:vAlign w:val="center"/>
          </w:tcPr>
          <w:p>
            <w:pPr>
              <w:jc w:val="center"/>
              <w:rPr>
                <w:szCs w:val="21"/>
              </w:rPr>
            </w:pPr>
            <w:r>
              <w:rPr>
                <w:rFonts w:hint="eastAsia"/>
                <w:szCs w:val="21"/>
              </w:rPr>
              <w:t>铁</w:t>
            </w:r>
          </w:p>
        </w:tc>
        <w:tc>
          <w:tcPr>
            <w:tcW w:w="1134" w:type="dxa"/>
            <w:vAlign w:val="center"/>
          </w:tcPr>
          <w:p>
            <w:pPr>
              <w:jc w:val="center"/>
              <w:rPr>
                <w:szCs w:val="21"/>
              </w:rPr>
            </w:pPr>
            <w:r>
              <w:rPr>
                <w:rFonts w:hint="eastAsia"/>
                <w:szCs w:val="21"/>
              </w:rPr>
              <w:t>≤</w:t>
            </w:r>
            <w:r>
              <w:rPr>
                <w:szCs w:val="21"/>
              </w:rPr>
              <w:t>0.3</w:t>
            </w:r>
          </w:p>
        </w:tc>
        <w:tc>
          <w:tcPr>
            <w:tcW w:w="1245" w:type="dxa"/>
            <w:vAlign w:val="center"/>
          </w:tcPr>
          <w:p>
            <w:pPr>
              <w:jc w:val="center"/>
              <w:rPr>
                <w:szCs w:val="21"/>
              </w:rPr>
            </w:pPr>
            <w:r>
              <w:rPr>
                <w:szCs w:val="21"/>
              </w:rPr>
              <w:t>＜</w:t>
            </w:r>
            <w:r>
              <w:rPr>
                <w:rFonts w:hint="eastAsia"/>
                <w:szCs w:val="21"/>
              </w:rPr>
              <w:t>0.03</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szCs w:val="21"/>
              </w:rPr>
              <w:t>＜</w:t>
            </w:r>
            <w:r>
              <w:rPr>
                <w:rFonts w:hint="eastAsia"/>
                <w:szCs w:val="21"/>
              </w:rPr>
              <w:t>0.03</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szCs w:val="21"/>
              </w:rPr>
              <w:t>＜</w:t>
            </w:r>
            <w:r>
              <w:rPr>
                <w:rFonts w:hint="eastAsia"/>
                <w:szCs w:val="21"/>
              </w:rPr>
              <w:t>0.03</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18</w:t>
            </w:r>
          </w:p>
        </w:tc>
        <w:tc>
          <w:tcPr>
            <w:tcW w:w="1380" w:type="dxa"/>
            <w:vAlign w:val="center"/>
          </w:tcPr>
          <w:p>
            <w:pPr>
              <w:jc w:val="center"/>
              <w:rPr>
                <w:szCs w:val="21"/>
              </w:rPr>
            </w:pPr>
            <w:r>
              <w:rPr>
                <w:rFonts w:hint="eastAsia"/>
                <w:szCs w:val="21"/>
              </w:rPr>
              <w:t>锰</w:t>
            </w:r>
          </w:p>
        </w:tc>
        <w:tc>
          <w:tcPr>
            <w:tcW w:w="1134" w:type="dxa"/>
            <w:vAlign w:val="center"/>
          </w:tcPr>
          <w:p>
            <w:pPr>
              <w:jc w:val="center"/>
              <w:rPr>
                <w:szCs w:val="21"/>
              </w:rPr>
            </w:pPr>
            <w:r>
              <w:rPr>
                <w:rFonts w:hint="eastAsia"/>
                <w:szCs w:val="21"/>
              </w:rPr>
              <w:t>≤</w:t>
            </w:r>
            <w:r>
              <w:rPr>
                <w:szCs w:val="21"/>
              </w:rPr>
              <w:t>0.10</w:t>
            </w:r>
          </w:p>
        </w:tc>
        <w:tc>
          <w:tcPr>
            <w:tcW w:w="1245" w:type="dxa"/>
            <w:vAlign w:val="center"/>
          </w:tcPr>
          <w:p>
            <w:pPr>
              <w:jc w:val="center"/>
              <w:rPr>
                <w:szCs w:val="21"/>
              </w:rPr>
            </w:pPr>
            <w:r>
              <w:rPr>
                <w:rFonts w:hint="eastAsia"/>
                <w:szCs w:val="21"/>
              </w:rPr>
              <w:t>＜0.01</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＜0.01</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＜0.01</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19</w:t>
            </w:r>
          </w:p>
        </w:tc>
        <w:tc>
          <w:tcPr>
            <w:tcW w:w="1380" w:type="dxa"/>
            <w:vAlign w:val="center"/>
          </w:tcPr>
          <w:p>
            <w:pPr>
              <w:jc w:val="center"/>
              <w:rPr>
                <w:szCs w:val="21"/>
              </w:rPr>
            </w:pPr>
            <w:r>
              <w:rPr>
                <w:rFonts w:hint="eastAsia"/>
                <w:szCs w:val="21"/>
              </w:rPr>
              <w:t>铜</w:t>
            </w:r>
          </w:p>
        </w:tc>
        <w:tc>
          <w:tcPr>
            <w:tcW w:w="1134" w:type="dxa"/>
            <w:vAlign w:val="center"/>
          </w:tcPr>
          <w:p>
            <w:pPr>
              <w:jc w:val="center"/>
              <w:rPr>
                <w:szCs w:val="21"/>
              </w:rPr>
            </w:pPr>
            <w:r>
              <w:rPr>
                <w:rFonts w:hint="eastAsia"/>
                <w:szCs w:val="21"/>
              </w:rPr>
              <w:t>≤</w:t>
            </w:r>
            <w:r>
              <w:rPr>
                <w:szCs w:val="21"/>
              </w:rPr>
              <w:t>1.00</w:t>
            </w:r>
          </w:p>
        </w:tc>
        <w:tc>
          <w:tcPr>
            <w:tcW w:w="1245" w:type="dxa"/>
            <w:vAlign w:val="center"/>
          </w:tcPr>
          <w:p>
            <w:pPr>
              <w:jc w:val="center"/>
              <w:rPr>
                <w:szCs w:val="21"/>
              </w:rPr>
            </w:pPr>
            <w:r>
              <w:rPr>
                <w:rFonts w:hint="eastAsia"/>
                <w:szCs w:val="21"/>
              </w:rPr>
              <w:t>＜0.001</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＜0.001</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＜0.001</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20</w:t>
            </w:r>
          </w:p>
        </w:tc>
        <w:tc>
          <w:tcPr>
            <w:tcW w:w="1380" w:type="dxa"/>
            <w:vAlign w:val="center"/>
          </w:tcPr>
          <w:p>
            <w:pPr>
              <w:jc w:val="center"/>
              <w:rPr>
                <w:szCs w:val="21"/>
              </w:rPr>
            </w:pPr>
            <w:r>
              <w:rPr>
                <w:rFonts w:hint="eastAsia"/>
                <w:szCs w:val="21"/>
              </w:rPr>
              <w:t>锌</w:t>
            </w:r>
          </w:p>
        </w:tc>
        <w:tc>
          <w:tcPr>
            <w:tcW w:w="1134" w:type="dxa"/>
            <w:vAlign w:val="center"/>
          </w:tcPr>
          <w:p>
            <w:pPr>
              <w:jc w:val="center"/>
              <w:rPr>
                <w:szCs w:val="21"/>
              </w:rPr>
            </w:pPr>
            <w:r>
              <w:rPr>
                <w:rFonts w:hint="eastAsia"/>
                <w:szCs w:val="21"/>
              </w:rPr>
              <w:t>≤</w:t>
            </w:r>
            <w:r>
              <w:rPr>
                <w:szCs w:val="21"/>
              </w:rPr>
              <w:t>1.00</w:t>
            </w:r>
          </w:p>
        </w:tc>
        <w:tc>
          <w:tcPr>
            <w:tcW w:w="1245" w:type="dxa"/>
            <w:vAlign w:val="center"/>
          </w:tcPr>
          <w:p>
            <w:pPr>
              <w:jc w:val="center"/>
              <w:rPr>
                <w:szCs w:val="21"/>
              </w:rPr>
            </w:pPr>
            <w:r>
              <w:rPr>
                <w:rFonts w:hint="eastAsia"/>
                <w:szCs w:val="21"/>
              </w:rPr>
              <w:t>＜0.05</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＜0.05</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＜0.05</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21</w:t>
            </w:r>
          </w:p>
        </w:tc>
        <w:tc>
          <w:tcPr>
            <w:tcW w:w="1380" w:type="dxa"/>
            <w:vAlign w:val="center"/>
          </w:tcPr>
          <w:p>
            <w:pPr>
              <w:jc w:val="center"/>
              <w:rPr>
                <w:szCs w:val="21"/>
              </w:rPr>
            </w:pPr>
            <w:r>
              <w:rPr>
                <w:rFonts w:hint="eastAsia"/>
                <w:szCs w:val="21"/>
              </w:rPr>
              <w:t>汞</w:t>
            </w:r>
          </w:p>
        </w:tc>
        <w:tc>
          <w:tcPr>
            <w:tcW w:w="1134" w:type="dxa"/>
            <w:vAlign w:val="center"/>
          </w:tcPr>
          <w:p>
            <w:pPr>
              <w:jc w:val="center"/>
              <w:rPr>
                <w:szCs w:val="21"/>
              </w:rPr>
            </w:pPr>
            <w:r>
              <w:rPr>
                <w:rFonts w:hint="eastAsia"/>
                <w:szCs w:val="21"/>
              </w:rPr>
              <w:t>≤</w:t>
            </w:r>
            <w:r>
              <w:rPr>
                <w:szCs w:val="21"/>
              </w:rPr>
              <w:t>0.001</w:t>
            </w:r>
          </w:p>
        </w:tc>
        <w:tc>
          <w:tcPr>
            <w:tcW w:w="1245" w:type="dxa"/>
            <w:vAlign w:val="center"/>
          </w:tcPr>
          <w:p>
            <w:pPr>
              <w:jc w:val="center"/>
              <w:rPr>
                <w:szCs w:val="21"/>
              </w:rPr>
            </w:pPr>
            <w:r>
              <w:rPr>
                <w:rFonts w:hint="eastAsia"/>
                <w:szCs w:val="21"/>
              </w:rPr>
              <w:t>＜0.00004</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＜0.00004</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＜0.00004</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22</w:t>
            </w:r>
          </w:p>
        </w:tc>
        <w:tc>
          <w:tcPr>
            <w:tcW w:w="1380" w:type="dxa"/>
            <w:vAlign w:val="center"/>
          </w:tcPr>
          <w:p>
            <w:pPr>
              <w:jc w:val="center"/>
              <w:rPr>
                <w:szCs w:val="21"/>
              </w:rPr>
            </w:pPr>
            <w:r>
              <w:rPr>
                <w:rFonts w:hint="eastAsia"/>
                <w:szCs w:val="21"/>
              </w:rPr>
              <w:t>砷</w:t>
            </w:r>
          </w:p>
        </w:tc>
        <w:tc>
          <w:tcPr>
            <w:tcW w:w="1134" w:type="dxa"/>
            <w:vAlign w:val="center"/>
          </w:tcPr>
          <w:p>
            <w:pPr>
              <w:jc w:val="center"/>
              <w:rPr>
                <w:szCs w:val="21"/>
              </w:rPr>
            </w:pPr>
            <w:r>
              <w:rPr>
                <w:rFonts w:hint="eastAsia"/>
                <w:szCs w:val="21"/>
              </w:rPr>
              <w:t>≤0.01</w:t>
            </w:r>
          </w:p>
        </w:tc>
        <w:tc>
          <w:tcPr>
            <w:tcW w:w="1245" w:type="dxa"/>
            <w:vAlign w:val="center"/>
          </w:tcPr>
          <w:p>
            <w:pPr>
              <w:jc w:val="center"/>
              <w:rPr>
                <w:szCs w:val="21"/>
              </w:rPr>
            </w:pPr>
            <w:r>
              <w:rPr>
                <w:rFonts w:hint="eastAsia"/>
                <w:szCs w:val="21"/>
              </w:rPr>
              <w:t>0.0016</w:t>
            </w:r>
          </w:p>
        </w:tc>
        <w:tc>
          <w:tcPr>
            <w:tcW w:w="881" w:type="dxa"/>
            <w:vAlign w:val="center"/>
          </w:tcPr>
          <w:p>
            <w:pPr>
              <w:jc w:val="center"/>
              <w:rPr>
                <w:szCs w:val="21"/>
              </w:rPr>
            </w:pPr>
          </w:p>
        </w:tc>
        <w:tc>
          <w:tcPr>
            <w:tcW w:w="1385" w:type="dxa"/>
            <w:vAlign w:val="center"/>
          </w:tcPr>
          <w:p>
            <w:pPr>
              <w:overflowPunct w:val="0"/>
              <w:jc w:val="center"/>
              <w:rPr>
                <w:szCs w:val="21"/>
              </w:rPr>
            </w:pPr>
            <w:r>
              <w:rPr>
                <w:rFonts w:hint="eastAsia"/>
                <w:szCs w:val="21"/>
              </w:rPr>
              <w:t>0.0022</w:t>
            </w:r>
          </w:p>
        </w:tc>
        <w:tc>
          <w:tcPr>
            <w:tcW w:w="1025" w:type="dxa"/>
            <w:vAlign w:val="center"/>
          </w:tcPr>
          <w:p>
            <w:pPr>
              <w:overflowPunct w:val="0"/>
              <w:jc w:val="center"/>
              <w:rPr>
                <w:szCs w:val="21"/>
              </w:rPr>
            </w:pPr>
          </w:p>
        </w:tc>
        <w:tc>
          <w:tcPr>
            <w:tcW w:w="1025" w:type="dxa"/>
            <w:vAlign w:val="center"/>
          </w:tcPr>
          <w:p>
            <w:pPr>
              <w:overflowPunct w:val="0"/>
              <w:jc w:val="center"/>
              <w:rPr>
                <w:szCs w:val="21"/>
              </w:rPr>
            </w:pPr>
            <w:r>
              <w:rPr>
                <w:rFonts w:hint="eastAsia"/>
                <w:szCs w:val="21"/>
              </w:rPr>
              <w:t>0.0015</w:t>
            </w:r>
          </w:p>
        </w:tc>
        <w:tc>
          <w:tcPr>
            <w:tcW w:w="992" w:type="dxa"/>
            <w:vAlign w:val="center"/>
          </w:tcPr>
          <w:p>
            <w:pPr>
              <w:overflowPunct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23</w:t>
            </w:r>
          </w:p>
        </w:tc>
        <w:tc>
          <w:tcPr>
            <w:tcW w:w="1380" w:type="dxa"/>
            <w:vAlign w:val="center"/>
          </w:tcPr>
          <w:p>
            <w:pPr>
              <w:jc w:val="center"/>
              <w:rPr>
                <w:szCs w:val="21"/>
              </w:rPr>
            </w:pPr>
            <w:r>
              <w:rPr>
                <w:rFonts w:hint="eastAsia"/>
                <w:szCs w:val="21"/>
              </w:rPr>
              <w:t>铅</w:t>
            </w:r>
          </w:p>
        </w:tc>
        <w:tc>
          <w:tcPr>
            <w:tcW w:w="1134" w:type="dxa"/>
            <w:vAlign w:val="center"/>
          </w:tcPr>
          <w:p>
            <w:pPr>
              <w:jc w:val="center"/>
              <w:rPr>
                <w:szCs w:val="21"/>
              </w:rPr>
            </w:pPr>
            <w:r>
              <w:rPr>
                <w:rFonts w:hint="eastAsia"/>
                <w:szCs w:val="21"/>
              </w:rPr>
              <w:t>≤</w:t>
            </w:r>
            <w:r>
              <w:rPr>
                <w:szCs w:val="21"/>
              </w:rPr>
              <w:t>0.01</w:t>
            </w:r>
          </w:p>
        </w:tc>
        <w:tc>
          <w:tcPr>
            <w:tcW w:w="1245" w:type="dxa"/>
            <w:vAlign w:val="center"/>
          </w:tcPr>
          <w:p>
            <w:pPr>
              <w:jc w:val="center"/>
              <w:rPr>
                <w:szCs w:val="21"/>
              </w:rPr>
            </w:pPr>
            <w:r>
              <w:rPr>
                <w:szCs w:val="21"/>
              </w:rPr>
              <w:t>＜</w:t>
            </w:r>
            <w:r>
              <w:rPr>
                <w:rFonts w:hint="eastAsia"/>
                <w:szCs w:val="21"/>
              </w:rPr>
              <w:t>0.01</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szCs w:val="21"/>
              </w:rPr>
              <w:t>＜</w:t>
            </w:r>
            <w:r>
              <w:rPr>
                <w:rFonts w:hint="eastAsia"/>
                <w:szCs w:val="21"/>
              </w:rPr>
              <w:t>0.01</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szCs w:val="21"/>
              </w:rPr>
              <w:t>＜</w:t>
            </w:r>
            <w:r>
              <w:rPr>
                <w:rFonts w:hint="eastAsia"/>
                <w:szCs w:val="21"/>
              </w:rPr>
              <w:t>0.01</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24</w:t>
            </w:r>
          </w:p>
        </w:tc>
        <w:tc>
          <w:tcPr>
            <w:tcW w:w="1380" w:type="dxa"/>
            <w:vAlign w:val="center"/>
          </w:tcPr>
          <w:p>
            <w:pPr>
              <w:jc w:val="center"/>
              <w:rPr>
                <w:szCs w:val="21"/>
              </w:rPr>
            </w:pPr>
            <w:r>
              <w:rPr>
                <w:rFonts w:hint="eastAsia"/>
                <w:szCs w:val="21"/>
              </w:rPr>
              <w:t>镉</w:t>
            </w:r>
          </w:p>
        </w:tc>
        <w:tc>
          <w:tcPr>
            <w:tcW w:w="1134" w:type="dxa"/>
            <w:vAlign w:val="center"/>
          </w:tcPr>
          <w:p>
            <w:pPr>
              <w:jc w:val="center"/>
              <w:rPr>
                <w:szCs w:val="21"/>
              </w:rPr>
            </w:pPr>
            <w:r>
              <w:rPr>
                <w:rFonts w:hint="eastAsia"/>
                <w:szCs w:val="21"/>
              </w:rPr>
              <w:t>≤</w:t>
            </w:r>
            <w:r>
              <w:rPr>
                <w:szCs w:val="21"/>
              </w:rPr>
              <w:t>0.005</w:t>
            </w:r>
          </w:p>
        </w:tc>
        <w:tc>
          <w:tcPr>
            <w:tcW w:w="1245" w:type="dxa"/>
            <w:vAlign w:val="center"/>
          </w:tcPr>
          <w:p>
            <w:pPr>
              <w:jc w:val="center"/>
              <w:rPr>
                <w:szCs w:val="21"/>
              </w:rPr>
            </w:pPr>
            <w:r>
              <w:rPr>
                <w:szCs w:val="21"/>
              </w:rPr>
              <w:t>＜</w:t>
            </w:r>
            <w:r>
              <w:rPr>
                <w:rFonts w:hint="eastAsia"/>
                <w:szCs w:val="21"/>
              </w:rPr>
              <w:t>0.001</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szCs w:val="21"/>
              </w:rPr>
              <w:t>＜</w:t>
            </w:r>
            <w:r>
              <w:rPr>
                <w:rFonts w:hint="eastAsia"/>
                <w:szCs w:val="21"/>
              </w:rPr>
              <w:t>0.001</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szCs w:val="21"/>
              </w:rPr>
              <w:t>＜</w:t>
            </w:r>
            <w:r>
              <w:rPr>
                <w:rFonts w:hint="eastAsia"/>
                <w:szCs w:val="21"/>
              </w:rPr>
              <w:t>0.001</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25</w:t>
            </w:r>
          </w:p>
        </w:tc>
        <w:tc>
          <w:tcPr>
            <w:tcW w:w="1380" w:type="dxa"/>
            <w:vAlign w:val="center"/>
          </w:tcPr>
          <w:p>
            <w:pPr>
              <w:jc w:val="center"/>
              <w:rPr>
                <w:szCs w:val="21"/>
                <w:vertAlign w:val="superscript"/>
              </w:rPr>
            </w:pPr>
            <w:r>
              <w:rPr>
                <w:rFonts w:hint="eastAsia"/>
                <w:szCs w:val="21"/>
              </w:rPr>
              <w:t>Na</w:t>
            </w:r>
            <w:r>
              <w:rPr>
                <w:rFonts w:hint="eastAsia"/>
                <w:szCs w:val="21"/>
                <w:vertAlign w:val="superscript"/>
              </w:rPr>
              <w:t>+</w:t>
            </w:r>
          </w:p>
        </w:tc>
        <w:tc>
          <w:tcPr>
            <w:tcW w:w="1134" w:type="dxa"/>
            <w:vAlign w:val="center"/>
          </w:tcPr>
          <w:p>
            <w:pPr>
              <w:jc w:val="center"/>
              <w:rPr>
                <w:szCs w:val="21"/>
              </w:rPr>
            </w:pPr>
            <w:r>
              <w:rPr>
                <w:rFonts w:hint="eastAsia"/>
                <w:szCs w:val="21"/>
              </w:rPr>
              <w:t>≤</w:t>
            </w:r>
            <w:r>
              <w:rPr>
                <w:szCs w:val="21"/>
              </w:rPr>
              <w:t>200</w:t>
            </w:r>
          </w:p>
        </w:tc>
        <w:tc>
          <w:tcPr>
            <w:tcW w:w="1245" w:type="dxa"/>
            <w:vAlign w:val="center"/>
          </w:tcPr>
          <w:p>
            <w:pPr>
              <w:jc w:val="center"/>
              <w:rPr>
                <w:szCs w:val="21"/>
              </w:rPr>
            </w:pPr>
            <w:r>
              <w:rPr>
                <w:rFonts w:hint="eastAsia"/>
                <w:szCs w:val="21"/>
              </w:rPr>
              <w:t>49.7</w:t>
            </w:r>
          </w:p>
        </w:tc>
        <w:tc>
          <w:tcPr>
            <w:tcW w:w="881" w:type="dxa"/>
            <w:vAlign w:val="center"/>
          </w:tcPr>
          <w:p>
            <w:pPr>
              <w:jc w:val="center"/>
              <w:rPr>
                <w:szCs w:val="21"/>
              </w:rPr>
            </w:pPr>
          </w:p>
        </w:tc>
        <w:tc>
          <w:tcPr>
            <w:tcW w:w="1385" w:type="dxa"/>
            <w:vAlign w:val="center"/>
          </w:tcPr>
          <w:p>
            <w:pPr>
              <w:overflowPunct w:val="0"/>
              <w:jc w:val="center"/>
              <w:rPr>
                <w:szCs w:val="21"/>
              </w:rPr>
            </w:pPr>
            <w:r>
              <w:rPr>
                <w:rFonts w:hint="eastAsia"/>
                <w:szCs w:val="21"/>
              </w:rPr>
              <w:t>50.0</w:t>
            </w:r>
          </w:p>
        </w:tc>
        <w:tc>
          <w:tcPr>
            <w:tcW w:w="1025" w:type="dxa"/>
            <w:vAlign w:val="center"/>
          </w:tcPr>
          <w:p>
            <w:pPr>
              <w:overflowPunct w:val="0"/>
              <w:jc w:val="center"/>
              <w:rPr>
                <w:szCs w:val="21"/>
              </w:rPr>
            </w:pPr>
          </w:p>
        </w:tc>
        <w:tc>
          <w:tcPr>
            <w:tcW w:w="1025" w:type="dxa"/>
            <w:vAlign w:val="center"/>
          </w:tcPr>
          <w:p>
            <w:pPr>
              <w:overflowPunct w:val="0"/>
              <w:jc w:val="center"/>
              <w:rPr>
                <w:szCs w:val="21"/>
              </w:rPr>
            </w:pPr>
            <w:r>
              <w:rPr>
                <w:rFonts w:hint="eastAsia"/>
                <w:szCs w:val="21"/>
              </w:rPr>
              <w:t>47.9</w:t>
            </w:r>
          </w:p>
        </w:tc>
        <w:tc>
          <w:tcPr>
            <w:tcW w:w="992" w:type="dxa"/>
            <w:vAlign w:val="center"/>
          </w:tcPr>
          <w:p>
            <w:pPr>
              <w:overflowPunct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26</w:t>
            </w:r>
          </w:p>
        </w:tc>
        <w:tc>
          <w:tcPr>
            <w:tcW w:w="1380" w:type="dxa"/>
            <w:vAlign w:val="center"/>
          </w:tcPr>
          <w:p>
            <w:pPr>
              <w:jc w:val="center"/>
              <w:rPr>
                <w:szCs w:val="21"/>
                <w:vertAlign w:val="superscript"/>
              </w:rPr>
            </w:pPr>
            <w:r>
              <w:rPr>
                <w:rFonts w:hint="eastAsia"/>
                <w:szCs w:val="21"/>
              </w:rPr>
              <w:t>Cl</w:t>
            </w:r>
            <w:r>
              <w:rPr>
                <w:rFonts w:hint="eastAsia"/>
                <w:szCs w:val="21"/>
                <w:vertAlign w:val="superscript"/>
              </w:rPr>
              <w:t>-</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23</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23</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24</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27</w:t>
            </w:r>
          </w:p>
        </w:tc>
        <w:tc>
          <w:tcPr>
            <w:tcW w:w="1380" w:type="dxa"/>
            <w:vAlign w:val="center"/>
          </w:tcPr>
          <w:p>
            <w:pPr>
              <w:jc w:val="center"/>
              <w:rPr>
                <w:szCs w:val="21"/>
              </w:rPr>
            </w:pPr>
            <w:r>
              <w:rPr>
                <w:szCs w:val="21"/>
              </w:rPr>
              <w:t>SO</w:t>
            </w:r>
            <w:r>
              <w:rPr>
                <w:szCs w:val="21"/>
                <w:vertAlign w:val="subscript"/>
              </w:rPr>
              <w:t>4</w:t>
            </w:r>
            <w:r>
              <w:rPr>
                <w:szCs w:val="21"/>
                <w:vertAlign w:val="superscript"/>
              </w:rPr>
              <w:t>2-</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56</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59</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59</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28</w:t>
            </w:r>
          </w:p>
        </w:tc>
        <w:tc>
          <w:tcPr>
            <w:tcW w:w="1380" w:type="dxa"/>
            <w:vAlign w:val="center"/>
          </w:tcPr>
          <w:p>
            <w:pPr>
              <w:jc w:val="center"/>
              <w:rPr>
                <w:szCs w:val="21"/>
              </w:rPr>
            </w:pPr>
            <w:r>
              <w:rPr>
                <w:szCs w:val="21"/>
              </w:rPr>
              <w:t>CO</w:t>
            </w:r>
            <w:r>
              <w:rPr>
                <w:szCs w:val="21"/>
                <w:vertAlign w:val="subscript"/>
              </w:rPr>
              <w:t>3</w:t>
            </w:r>
            <w:r>
              <w:rPr>
                <w:szCs w:val="21"/>
                <w:vertAlign w:val="superscript"/>
              </w:rPr>
              <w:t>2-</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＜5</w:t>
            </w:r>
          </w:p>
        </w:tc>
        <w:tc>
          <w:tcPr>
            <w:tcW w:w="881" w:type="dxa"/>
            <w:vAlign w:val="center"/>
          </w:tcPr>
          <w:p>
            <w:pPr>
              <w:jc w:val="center"/>
              <w:rPr>
                <w:szCs w:val="21"/>
              </w:rPr>
            </w:pPr>
            <w:r>
              <w:rPr>
                <w:rFonts w:hint="eastAsia"/>
                <w:szCs w:val="21"/>
              </w:rPr>
              <w:t>/</w:t>
            </w:r>
          </w:p>
        </w:tc>
        <w:tc>
          <w:tcPr>
            <w:tcW w:w="1385" w:type="dxa"/>
            <w:vAlign w:val="center"/>
          </w:tcPr>
          <w:p>
            <w:pPr>
              <w:jc w:val="center"/>
              <w:rPr>
                <w:szCs w:val="21"/>
              </w:rPr>
            </w:pPr>
            <w:r>
              <w:rPr>
                <w:rFonts w:hint="eastAsia"/>
                <w:szCs w:val="21"/>
              </w:rPr>
              <w:t>＜5</w:t>
            </w:r>
          </w:p>
        </w:tc>
        <w:tc>
          <w:tcPr>
            <w:tcW w:w="1025" w:type="dxa"/>
            <w:vAlign w:val="center"/>
          </w:tcPr>
          <w:p>
            <w:pPr>
              <w:overflowPunct w:val="0"/>
              <w:jc w:val="center"/>
              <w:rPr>
                <w:szCs w:val="21"/>
              </w:rPr>
            </w:pPr>
            <w:r>
              <w:rPr>
                <w:rFonts w:hint="eastAsia"/>
                <w:szCs w:val="21"/>
              </w:rPr>
              <w:t>/</w:t>
            </w:r>
          </w:p>
        </w:tc>
        <w:tc>
          <w:tcPr>
            <w:tcW w:w="1025" w:type="dxa"/>
            <w:vAlign w:val="center"/>
          </w:tcPr>
          <w:p>
            <w:pPr>
              <w:jc w:val="center"/>
              <w:rPr>
                <w:szCs w:val="21"/>
              </w:rPr>
            </w:pPr>
            <w:r>
              <w:rPr>
                <w:rFonts w:hint="eastAsia"/>
                <w:szCs w:val="21"/>
              </w:rPr>
              <w:t>＜5</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29</w:t>
            </w:r>
          </w:p>
        </w:tc>
        <w:tc>
          <w:tcPr>
            <w:tcW w:w="1380" w:type="dxa"/>
            <w:vAlign w:val="center"/>
          </w:tcPr>
          <w:p>
            <w:pPr>
              <w:jc w:val="center"/>
              <w:rPr>
                <w:szCs w:val="21"/>
              </w:rPr>
            </w:pPr>
            <w:r>
              <w:rPr>
                <w:szCs w:val="21"/>
              </w:rPr>
              <w:t>HCO</w:t>
            </w:r>
            <w:r>
              <w:rPr>
                <w:szCs w:val="21"/>
                <w:vertAlign w:val="subscript"/>
              </w:rPr>
              <w:t>3</w:t>
            </w:r>
            <w:r>
              <w:rPr>
                <w:szCs w:val="21"/>
                <w:vertAlign w:val="superscript"/>
              </w:rPr>
              <w:t>-</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80.8</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77.3</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77.3</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30</w:t>
            </w:r>
          </w:p>
        </w:tc>
        <w:tc>
          <w:tcPr>
            <w:tcW w:w="1380" w:type="dxa"/>
            <w:vAlign w:val="center"/>
          </w:tcPr>
          <w:p>
            <w:pPr>
              <w:jc w:val="center"/>
              <w:rPr>
                <w:szCs w:val="21"/>
                <w:vertAlign w:val="superscript"/>
              </w:rPr>
            </w:pPr>
            <w:r>
              <w:rPr>
                <w:rFonts w:hint="eastAsia"/>
                <w:szCs w:val="21"/>
              </w:rPr>
              <w:t>Ca</w:t>
            </w:r>
            <w:r>
              <w:rPr>
                <w:rFonts w:hint="eastAsia"/>
                <w:szCs w:val="21"/>
                <w:vertAlign w:val="superscript"/>
              </w:rPr>
              <w:t>2+</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16.4</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16.7</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15.8</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r>
              <w:rPr>
                <w:rFonts w:hint="eastAsia"/>
                <w:szCs w:val="21"/>
              </w:rPr>
              <w:t>31</w:t>
            </w:r>
          </w:p>
        </w:tc>
        <w:tc>
          <w:tcPr>
            <w:tcW w:w="1380" w:type="dxa"/>
            <w:vAlign w:val="center"/>
          </w:tcPr>
          <w:p>
            <w:pPr>
              <w:jc w:val="center"/>
              <w:rPr>
                <w:szCs w:val="21"/>
                <w:vertAlign w:val="superscript"/>
              </w:rPr>
            </w:pPr>
            <w:r>
              <w:rPr>
                <w:rFonts w:hint="eastAsia"/>
                <w:szCs w:val="21"/>
              </w:rPr>
              <w:t>K</w:t>
            </w:r>
            <w:r>
              <w:rPr>
                <w:rFonts w:hint="eastAsia"/>
                <w:szCs w:val="21"/>
                <w:vertAlign w:val="superscript"/>
              </w:rPr>
              <w:t>+</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0.35</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0.53</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0.52</w:t>
            </w:r>
          </w:p>
        </w:tc>
        <w:tc>
          <w:tcPr>
            <w:tcW w:w="992" w:type="dxa"/>
            <w:vAlign w:val="center"/>
          </w:tcPr>
          <w:p>
            <w:pPr>
              <w:overflowPunct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22" w:type="dxa"/>
            <w:vAlign w:val="center"/>
          </w:tcPr>
          <w:p>
            <w:pPr>
              <w:overflowPunct w:val="0"/>
              <w:jc w:val="center"/>
              <w:rPr>
                <w:szCs w:val="21"/>
              </w:rPr>
            </w:pPr>
          </w:p>
        </w:tc>
        <w:tc>
          <w:tcPr>
            <w:tcW w:w="1380" w:type="dxa"/>
            <w:vAlign w:val="center"/>
          </w:tcPr>
          <w:p>
            <w:pPr>
              <w:jc w:val="center"/>
              <w:rPr>
                <w:szCs w:val="21"/>
                <w:vertAlign w:val="superscript"/>
              </w:rPr>
            </w:pPr>
            <w:r>
              <w:rPr>
                <w:rFonts w:hint="eastAsia"/>
                <w:szCs w:val="21"/>
              </w:rPr>
              <w:t>Mg</w:t>
            </w:r>
            <w:r>
              <w:rPr>
                <w:rFonts w:hint="eastAsia"/>
                <w:szCs w:val="21"/>
                <w:vertAlign w:val="superscript"/>
              </w:rPr>
              <w:t>2+</w:t>
            </w:r>
          </w:p>
        </w:tc>
        <w:tc>
          <w:tcPr>
            <w:tcW w:w="1134" w:type="dxa"/>
            <w:vAlign w:val="center"/>
          </w:tcPr>
          <w:p>
            <w:pPr>
              <w:jc w:val="center"/>
              <w:rPr>
                <w:szCs w:val="21"/>
              </w:rPr>
            </w:pPr>
            <w:r>
              <w:rPr>
                <w:szCs w:val="21"/>
              </w:rPr>
              <w:t>/</w:t>
            </w:r>
          </w:p>
        </w:tc>
        <w:tc>
          <w:tcPr>
            <w:tcW w:w="1245" w:type="dxa"/>
            <w:vAlign w:val="center"/>
          </w:tcPr>
          <w:p>
            <w:pPr>
              <w:jc w:val="center"/>
              <w:rPr>
                <w:szCs w:val="21"/>
              </w:rPr>
            </w:pPr>
            <w:r>
              <w:rPr>
                <w:rFonts w:hint="eastAsia"/>
                <w:szCs w:val="21"/>
              </w:rPr>
              <w:t>4.97</w:t>
            </w:r>
          </w:p>
        </w:tc>
        <w:tc>
          <w:tcPr>
            <w:tcW w:w="881" w:type="dxa"/>
            <w:vAlign w:val="center"/>
          </w:tcPr>
          <w:p>
            <w:pPr>
              <w:jc w:val="center"/>
              <w:rPr>
                <w:szCs w:val="21"/>
              </w:rPr>
            </w:pPr>
            <w:r>
              <w:rPr>
                <w:rFonts w:hint="eastAsia"/>
                <w:szCs w:val="21"/>
              </w:rPr>
              <w:t>/</w:t>
            </w:r>
          </w:p>
        </w:tc>
        <w:tc>
          <w:tcPr>
            <w:tcW w:w="1385" w:type="dxa"/>
            <w:vAlign w:val="center"/>
          </w:tcPr>
          <w:p>
            <w:pPr>
              <w:overflowPunct w:val="0"/>
              <w:jc w:val="center"/>
              <w:rPr>
                <w:szCs w:val="21"/>
              </w:rPr>
            </w:pPr>
            <w:r>
              <w:rPr>
                <w:rFonts w:hint="eastAsia"/>
                <w:szCs w:val="21"/>
              </w:rPr>
              <w:t>5.01</w:t>
            </w:r>
          </w:p>
        </w:tc>
        <w:tc>
          <w:tcPr>
            <w:tcW w:w="1025" w:type="dxa"/>
            <w:vAlign w:val="center"/>
          </w:tcPr>
          <w:p>
            <w:pPr>
              <w:overflowPunct w:val="0"/>
              <w:jc w:val="center"/>
              <w:rPr>
                <w:szCs w:val="21"/>
              </w:rPr>
            </w:pPr>
            <w:r>
              <w:rPr>
                <w:rFonts w:hint="eastAsia"/>
                <w:szCs w:val="21"/>
              </w:rPr>
              <w:t>/</w:t>
            </w:r>
          </w:p>
        </w:tc>
        <w:tc>
          <w:tcPr>
            <w:tcW w:w="1025" w:type="dxa"/>
            <w:vAlign w:val="center"/>
          </w:tcPr>
          <w:p>
            <w:pPr>
              <w:overflowPunct w:val="0"/>
              <w:jc w:val="center"/>
              <w:rPr>
                <w:szCs w:val="21"/>
              </w:rPr>
            </w:pPr>
            <w:r>
              <w:rPr>
                <w:rFonts w:hint="eastAsia"/>
                <w:szCs w:val="21"/>
              </w:rPr>
              <w:t>5.02</w:t>
            </w:r>
          </w:p>
        </w:tc>
        <w:tc>
          <w:tcPr>
            <w:tcW w:w="992" w:type="dxa"/>
            <w:vAlign w:val="center"/>
          </w:tcPr>
          <w:p>
            <w:pPr>
              <w:overflowPunct w:val="0"/>
              <w:jc w:val="center"/>
              <w:rPr>
                <w:szCs w:val="21"/>
              </w:rPr>
            </w:pPr>
            <w:r>
              <w:rPr>
                <w:rFonts w:hint="eastAsia"/>
                <w:szCs w:val="21"/>
              </w:rPr>
              <w:t>/</w:t>
            </w:r>
          </w:p>
        </w:tc>
      </w:tr>
    </w:tbl>
    <w:p>
      <w:pPr>
        <w:spacing w:line="460" w:lineRule="exact"/>
        <w:ind w:firstLine="480" w:firstLineChars="200"/>
        <w:rPr>
          <w:sz w:val="24"/>
        </w:rPr>
      </w:pPr>
      <w:bookmarkStart w:id="195" w:name="_Hlk165309953"/>
      <w:r>
        <w:rPr>
          <w:sz w:val="24"/>
        </w:rPr>
        <w:t>由</w:t>
      </w:r>
      <w:r>
        <w:rPr>
          <w:rFonts w:hint="eastAsia"/>
          <w:sz w:val="24"/>
        </w:rPr>
        <w:t>项目区</w:t>
      </w:r>
      <w:r>
        <w:rPr>
          <w:sz w:val="24"/>
        </w:rPr>
        <w:t>地下水现状监测</w:t>
      </w:r>
      <w:r>
        <w:rPr>
          <w:rFonts w:hint="eastAsia"/>
          <w:sz w:val="24"/>
        </w:rPr>
        <w:t>数据评价</w:t>
      </w:r>
      <w:r>
        <w:rPr>
          <w:sz w:val="24"/>
        </w:rPr>
        <w:t>结果可知，</w:t>
      </w:r>
      <w:r>
        <w:rPr>
          <w:rFonts w:hint="eastAsia"/>
          <w:bCs/>
          <w:sz w:val="24"/>
        </w:rPr>
        <w:t>项目所在区域三个地下水监测点位所有监测指标的标准指数均小于</w:t>
      </w:r>
      <w:r>
        <w:rPr>
          <w:bCs/>
          <w:sz w:val="24"/>
        </w:rPr>
        <w:t>1</w:t>
      </w:r>
      <w:r>
        <w:rPr>
          <w:rFonts w:hint="eastAsia"/>
          <w:bCs/>
          <w:sz w:val="24"/>
        </w:rPr>
        <w:t>，满足《地下水质量标准》（</w:t>
      </w:r>
      <w:r>
        <w:rPr>
          <w:bCs/>
          <w:sz w:val="24"/>
        </w:rPr>
        <w:t>GB/T14848-2017</w:t>
      </w:r>
      <w:r>
        <w:rPr>
          <w:rFonts w:hint="eastAsia"/>
          <w:bCs/>
          <w:sz w:val="24"/>
        </w:rPr>
        <w:t>）中的Ⅲ类标准要求。</w:t>
      </w:r>
      <w:bookmarkEnd w:id="195"/>
    </w:p>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196" w:name="_Toc307906803"/>
      <w:bookmarkStart w:id="197" w:name="_Toc266632117"/>
      <w:bookmarkStart w:id="198" w:name="_Toc272675203"/>
      <w:bookmarkStart w:id="199" w:name="_Toc181360265"/>
      <w:bookmarkStart w:id="200" w:name="_Toc258581462"/>
      <w:bookmarkStart w:id="201" w:name="_Toc263171248"/>
      <w:bookmarkStart w:id="202" w:name="_Toc276397129"/>
      <w:bookmarkStart w:id="203" w:name="_Toc268028079"/>
      <w:bookmarkStart w:id="204" w:name="_Toc253485714"/>
      <w:r>
        <w:rPr>
          <w:rFonts w:ascii="Times New Roman"/>
          <w:spacing w:val="12"/>
          <w:w w:val="95"/>
          <w:kern w:val="0"/>
          <w:szCs w:val="26"/>
        </w:rPr>
        <w:t>5.3.3声环境现状调查与评价</w:t>
      </w:r>
      <w:bookmarkEnd w:id="196"/>
    </w:p>
    <w:p>
      <w:pPr>
        <w:spacing w:line="460" w:lineRule="exact"/>
        <w:ind w:firstLine="480" w:firstLineChars="200"/>
        <w:rPr>
          <w:sz w:val="24"/>
        </w:rPr>
      </w:pPr>
      <w:r>
        <w:rPr>
          <w:sz w:val="24"/>
        </w:rPr>
        <w:t>（1）监测布点及时间</w:t>
      </w:r>
    </w:p>
    <w:p>
      <w:pPr>
        <w:spacing w:line="460" w:lineRule="exact"/>
        <w:ind w:firstLine="480" w:firstLineChars="200"/>
        <w:rPr>
          <w:sz w:val="24"/>
        </w:rPr>
      </w:pPr>
      <w:r>
        <w:rPr>
          <w:sz w:val="24"/>
        </w:rPr>
        <w:t>根据项目区周围环境现状，本次声环境现状监测共布设4个监测点。监测点设在厂区四周各1个。</w:t>
      </w:r>
      <w:r>
        <w:rPr>
          <w:rFonts w:hint="eastAsia"/>
          <w:sz w:val="24"/>
        </w:rPr>
        <w:t>详见图5.3-2。</w:t>
      </w:r>
    </w:p>
    <w:p>
      <w:pPr>
        <w:spacing w:line="460" w:lineRule="exact"/>
        <w:ind w:firstLine="480" w:firstLineChars="200"/>
        <w:rPr>
          <w:sz w:val="24"/>
        </w:rPr>
      </w:pPr>
      <w:r>
        <w:rPr>
          <w:sz w:val="24"/>
        </w:rPr>
        <w:t>监测时间为20</w:t>
      </w:r>
      <w:r>
        <w:rPr>
          <w:rFonts w:hint="eastAsia"/>
          <w:sz w:val="24"/>
        </w:rPr>
        <w:t>24</w:t>
      </w:r>
      <w:r>
        <w:rPr>
          <w:sz w:val="24"/>
        </w:rPr>
        <w:t>年</w:t>
      </w:r>
      <w:r>
        <w:rPr>
          <w:rFonts w:hint="eastAsia"/>
          <w:sz w:val="24"/>
        </w:rPr>
        <w:t>4</w:t>
      </w:r>
      <w:r>
        <w:rPr>
          <w:sz w:val="24"/>
        </w:rPr>
        <w:t>月</w:t>
      </w:r>
      <w:r>
        <w:rPr>
          <w:rFonts w:hint="eastAsia"/>
          <w:sz w:val="24"/>
        </w:rPr>
        <w:t>11</w:t>
      </w:r>
      <w:r>
        <w:rPr>
          <w:sz w:val="24"/>
        </w:rPr>
        <w:t>日。</w:t>
      </w:r>
    </w:p>
    <w:p>
      <w:pPr>
        <w:spacing w:line="460" w:lineRule="exact"/>
        <w:ind w:firstLine="480" w:firstLineChars="200"/>
        <w:rPr>
          <w:sz w:val="24"/>
        </w:rPr>
      </w:pPr>
      <w:r>
        <w:rPr>
          <w:sz w:val="24"/>
        </w:rPr>
        <w:t>（2）监测方法</w:t>
      </w:r>
    </w:p>
    <w:p>
      <w:pPr>
        <w:spacing w:line="460" w:lineRule="exact"/>
        <w:ind w:firstLine="480" w:firstLineChars="200"/>
        <w:rPr>
          <w:sz w:val="24"/>
        </w:rPr>
      </w:pPr>
      <w:r>
        <w:rPr>
          <w:sz w:val="24"/>
        </w:rPr>
        <w:t>执行《声环境质量标准》（GB3096-2008）环境噪声监测要求。监测仪器使用</w:t>
      </w:r>
      <w:r>
        <w:rPr>
          <w:rFonts w:hint="eastAsia"/>
          <w:sz w:val="24"/>
        </w:rPr>
        <w:t>多功能型</w:t>
      </w:r>
      <w:r>
        <w:rPr>
          <w:sz w:val="24"/>
        </w:rPr>
        <w:t>声级计，测量前后均用声级标准器进行校准。</w:t>
      </w:r>
    </w:p>
    <w:p>
      <w:pPr>
        <w:spacing w:line="460" w:lineRule="exact"/>
        <w:ind w:firstLine="480" w:firstLineChars="200"/>
        <w:rPr>
          <w:sz w:val="24"/>
        </w:rPr>
      </w:pPr>
      <w:r>
        <w:rPr>
          <w:sz w:val="24"/>
        </w:rPr>
        <w:t>（3）评价标准</w:t>
      </w:r>
    </w:p>
    <w:p>
      <w:pPr>
        <w:spacing w:line="460" w:lineRule="exact"/>
        <w:ind w:firstLine="480" w:firstLineChars="200"/>
        <w:rPr>
          <w:sz w:val="24"/>
        </w:rPr>
      </w:pPr>
      <w:r>
        <w:rPr>
          <w:sz w:val="24"/>
        </w:rPr>
        <w:t>项目所处区域执行《声环境质量标准》（GB3096-2008）中</w:t>
      </w:r>
      <w:r>
        <w:rPr>
          <w:rFonts w:hint="eastAsia"/>
          <w:sz w:val="24"/>
        </w:rPr>
        <w:t>3</w:t>
      </w:r>
      <w:r>
        <w:rPr>
          <w:sz w:val="24"/>
        </w:rPr>
        <w:t>类区标准，即昼间6</w:t>
      </w:r>
      <w:r>
        <w:rPr>
          <w:rFonts w:hint="eastAsia"/>
          <w:sz w:val="24"/>
        </w:rPr>
        <w:t>5</w:t>
      </w:r>
      <w:r>
        <w:rPr>
          <w:sz w:val="24"/>
        </w:rPr>
        <w:t>dB（A），夜间5</w:t>
      </w:r>
      <w:r>
        <w:rPr>
          <w:rFonts w:hint="eastAsia"/>
          <w:sz w:val="24"/>
        </w:rPr>
        <w:t>5</w:t>
      </w:r>
      <w:r>
        <w:rPr>
          <w:sz w:val="24"/>
        </w:rPr>
        <w:t>dB（A）。</w:t>
      </w:r>
    </w:p>
    <w:p>
      <w:pPr>
        <w:spacing w:line="460" w:lineRule="exact"/>
        <w:ind w:firstLine="480" w:firstLineChars="200"/>
        <w:rPr>
          <w:sz w:val="24"/>
        </w:rPr>
      </w:pPr>
      <w:r>
        <w:rPr>
          <w:sz w:val="24"/>
        </w:rPr>
        <w:t>（4）评价结果</w:t>
      </w:r>
    </w:p>
    <w:p>
      <w:pPr>
        <w:spacing w:line="460" w:lineRule="exact"/>
        <w:ind w:firstLine="480" w:firstLineChars="200"/>
        <w:rPr>
          <w:sz w:val="24"/>
        </w:rPr>
      </w:pPr>
      <w:r>
        <w:rPr>
          <w:sz w:val="24"/>
        </w:rPr>
        <w:t>监测及评价结果见表</w:t>
      </w:r>
      <w:r>
        <w:rPr>
          <w:rFonts w:hint="eastAsia"/>
          <w:sz w:val="24"/>
        </w:rPr>
        <w:t>5.3-10</w:t>
      </w:r>
      <w:r>
        <w:rPr>
          <w:sz w:val="24"/>
        </w:rPr>
        <w:t>。</w:t>
      </w:r>
    </w:p>
    <w:p>
      <w:pPr>
        <w:autoSpaceDE w:val="0"/>
        <w:autoSpaceDN w:val="0"/>
        <w:adjustRightInd w:val="0"/>
        <w:ind w:firstLine="420" w:firstLineChars="200"/>
        <w:rPr>
          <w:rFonts w:eastAsia="黑体"/>
          <w:szCs w:val="21"/>
        </w:rPr>
      </w:pPr>
      <w:r>
        <w:rPr>
          <w:rFonts w:eastAsia="黑体"/>
          <w:szCs w:val="21"/>
        </w:rPr>
        <w:t>表</w:t>
      </w:r>
      <w:r>
        <w:rPr>
          <w:rFonts w:hint="eastAsia" w:eastAsia="黑体"/>
          <w:szCs w:val="21"/>
        </w:rPr>
        <w:t>5.3-10</w:t>
      </w:r>
      <w:r>
        <w:rPr>
          <w:rFonts w:eastAsia="黑体"/>
          <w:szCs w:val="21"/>
        </w:rPr>
        <w:t xml:space="preserve">                 噪声现状监测结果                     单位：dB（A）</w:t>
      </w:r>
    </w:p>
    <w:tbl>
      <w:tblPr>
        <w:tblStyle w:val="59"/>
        <w:tblW w:w="843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17"/>
        <w:gridCol w:w="2003"/>
        <w:gridCol w:w="1672"/>
        <w:gridCol w:w="1282"/>
        <w:gridCol w:w="12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Merge w:val="restart"/>
            <w:vAlign w:val="center"/>
          </w:tcPr>
          <w:p>
            <w:pPr>
              <w:jc w:val="center"/>
              <w:rPr>
                <w:szCs w:val="21"/>
              </w:rPr>
            </w:pPr>
            <w:r>
              <w:rPr>
                <w:szCs w:val="21"/>
              </w:rPr>
              <w:t>监测位置</w:t>
            </w:r>
          </w:p>
        </w:tc>
        <w:tc>
          <w:tcPr>
            <w:tcW w:w="3675" w:type="dxa"/>
            <w:gridSpan w:val="2"/>
            <w:vAlign w:val="center"/>
          </w:tcPr>
          <w:p>
            <w:pPr>
              <w:jc w:val="center"/>
              <w:rPr>
                <w:szCs w:val="21"/>
              </w:rPr>
            </w:pPr>
            <w:r>
              <w:rPr>
                <w:szCs w:val="21"/>
              </w:rPr>
              <w:t>监测结果</w:t>
            </w:r>
          </w:p>
        </w:tc>
        <w:tc>
          <w:tcPr>
            <w:tcW w:w="2545" w:type="dxa"/>
            <w:gridSpan w:val="2"/>
            <w:vAlign w:val="center"/>
          </w:tcPr>
          <w:p>
            <w:pPr>
              <w:jc w:val="center"/>
              <w:rPr>
                <w:szCs w:val="21"/>
              </w:rPr>
            </w:pPr>
            <w:r>
              <w:rPr>
                <w:szCs w:val="21"/>
              </w:rPr>
              <w:t>标准值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Merge w:val="continue"/>
            <w:vAlign w:val="center"/>
          </w:tcPr>
          <w:p>
            <w:pPr>
              <w:jc w:val="center"/>
              <w:rPr>
                <w:szCs w:val="21"/>
              </w:rPr>
            </w:pPr>
          </w:p>
        </w:tc>
        <w:tc>
          <w:tcPr>
            <w:tcW w:w="2003" w:type="dxa"/>
            <w:vAlign w:val="center"/>
          </w:tcPr>
          <w:p>
            <w:pPr>
              <w:jc w:val="center"/>
              <w:rPr>
                <w:szCs w:val="21"/>
              </w:rPr>
            </w:pPr>
            <w:r>
              <w:rPr>
                <w:szCs w:val="21"/>
              </w:rPr>
              <w:t>昼间</w:t>
            </w:r>
          </w:p>
        </w:tc>
        <w:tc>
          <w:tcPr>
            <w:tcW w:w="1672" w:type="dxa"/>
            <w:vAlign w:val="center"/>
          </w:tcPr>
          <w:p>
            <w:pPr>
              <w:jc w:val="center"/>
              <w:rPr>
                <w:szCs w:val="21"/>
              </w:rPr>
            </w:pPr>
            <w:r>
              <w:rPr>
                <w:szCs w:val="21"/>
              </w:rPr>
              <w:t>夜间</w:t>
            </w:r>
          </w:p>
        </w:tc>
        <w:tc>
          <w:tcPr>
            <w:tcW w:w="1282" w:type="dxa"/>
            <w:vAlign w:val="center"/>
          </w:tcPr>
          <w:p>
            <w:pPr>
              <w:jc w:val="center"/>
              <w:rPr>
                <w:szCs w:val="21"/>
              </w:rPr>
            </w:pPr>
            <w:r>
              <w:rPr>
                <w:szCs w:val="21"/>
              </w:rPr>
              <w:t>昼间</w:t>
            </w:r>
          </w:p>
        </w:tc>
        <w:tc>
          <w:tcPr>
            <w:tcW w:w="1263" w:type="dxa"/>
            <w:vAlign w:val="center"/>
          </w:tcPr>
          <w:p>
            <w:pPr>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Align w:val="center"/>
          </w:tcPr>
          <w:p>
            <w:pPr>
              <w:jc w:val="center"/>
              <w:rPr>
                <w:szCs w:val="21"/>
              </w:rPr>
            </w:pPr>
            <w:r>
              <w:rPr>
                <w:szCs w:val="21"/>
              </w:rPr>
              <w:t>项目区</w:t>
            </w:r>
            <w:r>
              <w:rPr>
                <w:rFonts w:hint="eastAsia"/>
                <w:szCs w:val="21"/>
              </w:rPr>
              <w:t>东侧</w:t>
            </w:r>
          </w:p>
        </w:tc>
        <w:tc>
          <w:tcPr>
            <w:tcW w:w="2003" w:type="dxa"/>
            <w:vAlign w:val="center"/>
          </w:tcPr>
          <w:p>
            <w:pPr>
              <w:adjustRightInd w:val="0"/>
              <w:snapToGrid w:val="0"/>
              <w:jc w:val="center"/>
              <w:rPr>
                <w:szCs w:val="21"/>
              </w:rPr>
            </w:pPr>
            <w:r>
              <w:rPr>
                <w:rFonts w:hint="eastAsia"/>
                <w:szCs w:val="21"/>
              </w:rPr>
              <w:t>40</w:t>
            </w:r>
          </w:p>
        </w:tc>
        <w:tc>
          <w:tcPr>
            <w:tcW w:w="1672" w:type="dxa"/>
            <w:vAlign w:val="center"/>
          </w:tcPr>
          <w:p>
            <w:pPr>
              <w:jc w:val="center"/>
              <w:rPr>
                <w:szCs w:val="21"/>
              </w:rPr>
            </w:pPr>
            <w:r>
              <w:rPr>
                <w:rFonts w:hint="eastAsia"/>
                <w:szCs w:val="21"/>
              </w:rPr>
              <w:t>39</w:t>
            </w:r>
          </w:p>
        </w:tc>
        <w:tc>
          <w:tcPr>
            <w:tcW w:w="1282" w:type="dxa"/>
            <w:vMerge w:val="restart"/>
            <w:vAlign w:val="center"/>
          </w:tcPr>
          <w:p>
            <w:pPr>
              <w:pStyle w:val="330"/>
              <w:rPr>
                <w:rFonts w:ascii="Times New Roman" w:hAnsi="Times New Roman" w:eastAsia="宋体" w:cs="Times New Roman"/>
                <w:color w:val="auto"/>
                <w:sz w:val="21"/>
                <w:szCs w:val="21"/>
              </w:rPr>
            </w:pPr>
            <w:r>
              <w:rPr>
                <w:rFonts w:ascii="Times New Roman" w:hAnsi="Times New Roman" w:cs="Times New Roman"/>
                <w:color w:val="auto"/>
                <w:sz w:val="21"/>
                <w:szCs w:val="21"/>
              </w:rPr>
              <w:t>6</w:t>
            </w:r>
            <w:r>
              <w:rPr>
                <w:rFonts w:hint="eastAsia" w:ascii="Times New Roman" w:hAnsi="Times New Roman" w:cs="Times New Roman"/>
                <w:color w:val="auto"/>
                <w:sz w:val="21"/>
                <w:szCs w:val="21"/>
              </w:rPr>
              <w:t>5</w:t>
            </w:r>
          </w:p>
        </w:tc>
        <w:tc>
          <w:tcPr>
            <w:tcW w:w="1263" w:type="dxa"/>
            <w:vMerge w:val="restart"/>
            <w:vAlign w:val="center"/>
          </w:tcPr>
          <w:p>
            <w:pPr>
              <w:pStyle w:val="330"/>
              <w:rPr>
                <w:rFonts w:ascii="Times New Roman" w:hAnsi="Times New Roman" w:eastAsia="宋体" w:cs="Times New Roman"/>
                <w:color w:val="auto"/>
                <w:sz w:val="21"/>
                <w:szCs w:val="21"/>
              </w:rPr>
            </w:pPr>
            <w:r>
              <w:rPr>
                <w:rFonts w:ascii="Times New Roman" w:hAnsi="Times New Roman" w:cs="Times New Roman"/>
                <w:color w:val="auto"/>
                <w:sz w:val="21"/>
                <w:szCs w:val="21"/>
              </w:rPr>
              <w:t>5</w:t>
            </w:r>
            <w:r>
              <w:rPr>
                <w:rFonts w:hint="eastAsia" w:ascii="Times New Roman" w:hAnsi="Times New Roman" w:cs="Times New Roman"/>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Align w:val="center"/>
          </w:tcPr>
          <w:p>
            <w:pPr>
              <w:jc w:val="center"/>
              <w:rPr>
                <w:szCs w:val="21"/>
              </w:rPr>
            </w:pPr>
            <w:r>
              <w:rPr>
                <w:szCs w:val="21"/>
              </w:rPr>
              <w:t>项目区</w:t>
            </w:r>
            <w:r>
              <w:rPr>
                <w:rFonts w:hint="eastAsia"/>
                <w:szCs w:val="21"/>
              </w:rPr>
              <w:t>南侧</w:t>
            </w:r>
          </w:p>
        </w:tc>
        <w:tc>
          <w:tcPr>
            <w:tcW w:w="2003" w:type="dxa"/>
            <w:vAlign w:val="center"/>
          </w:tcPr>
          <w:p>
            <w:pPr>
              <w:adjustRightInd w:val="0"/>
              <w:snapToGrid w:val="0"/>
              <w:jc w:val="center"/>
              <w:rPr>
                <w:szCs w:val="21"/>
              </w:rPr>
            </w:pPr>
            <w:r>
              <w:rPr>
                <w:rFonts w:hint="eastAsia"/>
                <w:szCs w:val="21"/>
              </w:rPr>
              <w:t>41</w:t>
            </w:r>
          </w:p>
        </w:tc>
        <w:tc>
          <w:tcPr>
            <w:tcW w:w="1672" w:type="dxa"/>
            <w:vAlign w:val="center"/>
          </w:tcPr>
          <w:p>
            <w:pPr>
              <w:jc w:val="center"/>
              <w:rPr>
                <w:szCs w:val="21"/>
              </w:rPr>
            </w:pPr>
            <w:r>
              <w:rPr>
                <w:rFonts w:hint="eastAsia"/>
                <w:szCs w:val="21"/>
              </w:rPr>
              <w:t>39</w:t>
            </w:r>
          </w:p>
        </w:tc>
        <w:tc>
          <w:tcPr>
            <w:tcW w:w="1282" w:type="dxa"/>
            <w:vMerge w:val="continue"/>
            <w:vAlign w:val="center"/>
          </w:tcPr>
          <w:p>
            <w:pPr>
              <w:ind w:firstLine="480"/>
              <w:jc w:val="center"/>
              <w:rPr>
                <w:szCs w:val="21"/>
              </w:rPr>
            </w:pPr>
          </w:p>
        </w:tc>
        <w:tc>
          <w:tcPr>
            <w:tcW w:w="1263" w:type="dxa"/>
            <w:vMerge w:val="continue"/>
            <w:vAlign w:val="center"/>
          </w:tcPr>
          <w:p>
            <w:pPr>
              <w:ind w:firstLine="480"/>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Align w:val="center"/>
          </w:tcPr>
          <w:p>
            <w:pPr>
              <w:jc w:val="center"/>
              <w:rPr>
                <w:szCs w:val="21"/>
              </w:rPr>
            </w:pPr>
            <w:r>
              <w:rPr>
                <w:szCs w:val="21"/>
              </w:rPr>
              <w:t>项目区</w:t>
            </w:r>
            <w:r>
              <w:rPr>
                <w:rFonts w:hint="eastAsia"/>
                <w:szCs w:val="21"/>
              </w:rPr>
              <w:t>西侧</w:t>
            </w:r>
          </w:p>
        </w:tc>
        <w:tc>
          <w:tcPr>
            <w:tcW w:w="2003" w:type="dxa"/>
            <w:vAlign w:val="center"/>
          </w:tcPr>
          <w:p>
            <w:pPr>
              <w:adjustRightInd w:val="0"/>
              <w:snapToGrid w:val="0"/>
              <w:jc w:val="center"/>
              <w:rPr>
                <w:szCs w:val="21"/>
              </w:rPr>
            </w:pPr>
            <w:r>
              <w:rPr>
                <w:rFonts w:hint="eastAsia"/>
                <w:szCs w:val="21"/>
              </w:rPr>
              <w:t>41</w:t>
            </w:r>
          </w:p>
        </w:tc>
        <w:tc>
          <w:tcPr>
            <w:tcW w:w="1672" w:type="dxa"/>
            <w:vAlign w:val="center"/>
          </w:tcPr>
          <w:p>
            <w:pPr>
              <w:jc w:val="center"/>
              <w:rPr>
                <w:szCs w:val="21"/>
              </w:rPr>
            </w:pPr>
            <w:r>
              <w:rPr>
                <w:rFonts w:hint="eastAsia"/>
                <w:szCs w:val="21"/>
              </w:rPr>
              <w:t>38</w:t>
            </w:r>
          </w:p>
        </w:tc>
        <w:tc>
          <w:tcPr>
            <w:tcW w:w="1282" w:type="dxa"/>
            <w:vMerge w:val="continue"/>
            <w:vAlign w:val="center"/>
          </w:tcPr>
          <w:p>
            <w:pPr>
              <w:ind w:firstLine="480"/>
              <w:jc w:val="center"/>
              <w:rPr>
                <w:szCs w:val="21"/>
              </w:rPr>
            </w:pPr>
          </w:p>
        </w:tc>
        <w:tc>
          <w:tcPr>
            <w:tcW w:w="1263" w:type="dxa"/>
            <w:vMerge w:val="continue"/>
            <w:vAlign w:val="center"/>
          </w:tcPr>
          <w:p>
            <w:pPr>
              <w:ind w:firstLine="480"/>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217" w:type="dxa"/>
            <w:vAlign w:val="center"/>
          </w:tcPr>
          <w:p>
            <w:pPr>
              <w:jc w:val="center"/>
              <w:rPr>
                <w:szCs w:val="21"/>
              </w:rPr>
            </w:pPr>
            <w:r>
              <w:rPr>
                <w:szCs w:val="21"/>
              </w:rPr>
              <w:t>项目区</w:t>
            </w:r>
            <w:r>
              <w:rPr>
                <w:rFonts w:hint="eastAsia"/>
                <w:szCs w:val="21"/>
              </w:rPr>
              <w:t>北侧</w:t>
            </w:r>
          </w:p>
        </w:tc>
        <w:tc>
          <w:tcPr>
            <w:tcW w:w="2003" w:type="dxa"/>
            <w:vAlign w:val="center"/>
          </w:tcPr>
          <w:p>
            <w:pPr>
              <w:adjustRightInd w:val="0"/>
              <w:snapToGrid w:val="0"/>
              <w:jc w:val="center"/>
              <w:rPr>
                <w:szCs w:val="21"/>
              </w:rPr>
            </w:pPr>
            <w:r>
              <w:rPr>
                <w:rFonts w:hint="eastAsia"/>
                <w:szCs w:val="21"/>
              </w:rPr>
              <w:t>42</w:t>
            </w:r>
          </w:p>
        </w:tc>
        <w:tc>
          <w:tcPr>
            <w:tcW w:w="1672" w:type="dxa"/>
            <w:vAlign w:val="center"/>
          </w:tcPr>
          <w:p>
            <w:pPr>
              <w:jc w:val="center"/>
              <w:rPr>
                <w:szCs w:val="21"/>
              </w:rPr>
            </w:pPr>
            <w:r>
              <w:rPr>
                <w:rFonts w:hint="eastAsia"/>
                <w:szCs w:val="21"/>
              </w:rPr>
              <w:t>38</w:t>
            </w:r>
          </w:p>
        </w:tc>
        <w:tc>
          <w:tcPr>
            <w:tcW w:w="1282" w:type="dxa"/>
            <w:vMerge w:val="continue"/>
            <w:vAlign w:val="center"/>
          </w:tcPr>
          <w:p>
            <w:pPr>
              <w:ind w:firstLine="480"/>
              <w:jc w:val="center"/>
              <w:rPr>
                <w:szCs w:val="21"/>
              </w:rPr>
            </w:pPr>
          </w:p>
        </w:tc>
        <w:tc>
          <w:tcPr>
            <w:tcW w:w="1263" w:type="dxa"/>
            <w:vMerge w:val="continue"/>
            <w:vAlign w:val="center"/>
          </w:tcPr>
          <w:p>
            <w:pPr>
              <w:ind w:firstLine="480"/>
              <w:jc w:val="center"/>
              <w:rPr>
                <w:szCs w:val="21"/>
              </w:rPr>
            </w:pPr>
          </w:p>
        </w:tc>
      </w:tr>
    </w:tbl>
    <w:p>
      <w:pPr>
        <w:spacing w:line="460" w:lineRule="exact"/>
        <w:ind w:firstLine="480" w:firstLineChars="200"/>
        <w:rPr>
          <w:sz w:val="24"/>
        </w:rPr>
      </w:pPr>
      <w:r>
        <w:rPr>
          <w:sz w:val="24"/>
        </w:rPr>
        <w:t>从表</w:t>
      </w:r>
      <w:r>
        <w:rPr>
          <w:rFonts w:hint="eastAsia"/>
          <w:sz w:val="24"/>
        </w:rPr>
        <w:t>5.3-10</w:t>
      </w:r>
      <w:r>
        <w:rPr>
          <w:sz w:val="24"/>
        </w:rPr>
        <w:t>的监测结果可以看出，昼间及夜间噪声监测值均符合《声环境质量标准》（GB3096-2008）中的</w:t>
      </w:r>
      <w:r>
        <w:rPr>
          <w:rFonts w:hint="eastAsia"/>
          <w:sz w:val="24"/>
        </w:rPr>
        <w:t>3</w:t>
      </w:r>
      <w:r>
        <w:rPr>
          <w:sz w:val="24"/>
        </w:rPr>
        <w:t>类区标准限值，评价区域声环境质量较好。</w:t>
      </w:r>
    </w:p>
    <w:p>
      <w:pPr>
        <w:jc w:val="center"/>
        <w:rPr>
          <w:sz w:val="24"/>
        </w:rPr>
      </w:pPr>
      <w:r>
        <w:drawing>
          <wp:inline distT="0" distB="0" distL="0" distR="0">
            <wp:extent cx="5219700" cy="2946400"/>
            <wp:effectExtent l="0" t="0" r="0" b="0"/>
            <wp:docPr id="1453858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8503" name="图片 1"/>
                    <pic:cNvPicPr>
                      <a:picLocks noChangeAspect="1"/>
                    </pic:cNvPicPr>
                  </pic:nvPicPr>
                  <pic:blipFill>
                    <a:blip r:embed="rId36"/>
                    <a:stretch>
                      <a:fillRect/>
                    </a:stretch>
                  </pic:blipFill>
                  <pic:spPr>
                    <a:xfrm>
                      <a:off x="0" y="0"/>
                      <a:ext cx="5219700" cy="2946400"/>
                    </a:xfrm>
                    <a:prstGeom prst="rect">
                      <a:avLst/>
                    </a:prstGeom>
                  </pic:spPr>
                </pic:pic>
              </a:graphicData>
            </a:graphic>
          </wp:inline>
        </w:drawing>
      </w:r>
    </w:p>
    <w:p>
      <w:pPr>
        <w:jc w:val="center"/>
        <w:rPr>
          <w:rFonts w:hAnsi="黑体" w:eastAsia="黑体"/>
          <w:szCs w:val="21"/>
        </w:rPr>
      </w:pPr>
      <w:r>
        <w:rPr>
          <w:rFonts w:hAnsi="黑体" w:eastAsia="黑体"/>
          <w:szCs w:val="21"/>
        </w:rPr>
        <w:t>图</w:t>
      </w:r>
      <w:r>
        <w:rPr>
          <w:rFonts w:hint="eastAsia" w:eastAsia="黑体"/>
          <w:szCs w:val="21"/>
        </w:rPr>
        <w:t>5.3-2</w:t>
      </w:r>
      <w:r>
        <w:rPr>
          <w:rFonts w:eastAsia="黑体"/>
          <w:szCs w:val="21"/>
        </w:rPr>
        <w:t xml:space="preserve">   </w:t>
      </w:r>
      <w:r>
        <w:rPr>
          <w:rFonts w:hAnsi="黑体" w:eastAsia="黑体"/>
          <w:szCs w:val="21"/>
        </w:rPr>
        <w:t>噪声监测布点图</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5.3</w:t>
      </w:r>
      <w:r>
        <w:rPr>
          <w:rFonts w:ascii="Times New Roman"/>
          <w:spacing w:val="12"/>
          <w:w w:val="95"/>
          <w:kern w:val="0"/>
          <w:szCs w:val="26"/>
        </w:rPr>
        <w:t>.</w:t>
      </w:r>
      <w:r>
        <w:rPr>
          <w:rFonts w:hint="eastAsia" w:ascii="Times New Roman"/>
          <w:spacing w:val="12"/>
          <w:w w:val="95"/>
          <w:kern w:val="0"/>
          <w:szCs w:val="26"/>
        </w:rPr>
        <w:t>4土壤环境质量现状调查与评价</w:t>
      </w:r>
    </w:p>
    <w:p>
      <w:pPr>
        <w:spacing w:line="460" w:lineRule="exact"/>
        <w:ind w:firstLine="480" w:firstLineChars="200"/>
        <w:rPr>
          <w:kern w:val="0"/>
          <w:sz w:val="24"/>
        </w:rPr>
      </w:pPr>
      <w:r>
        <w:rPr>
          <w:rFonts w:hint="eastAsia"/>
          <w:kern w:val="0"/>
          <w:sz w:val="24"/>
        </w:rPr>
        <w:t>本次环评土壤环境现状调查采用实地监测方式，项目环评期间委托新疆锡水金山环境科技有限公司对项目区土壤环境进行了现状监测，采样时间为2024年4月11日。</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1、监测点位</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本项目设置</w:t>
      </w:r>
      <w:r>
        <w:rPr>
          <w:rFonts w:hint="eastAsia" w:ascii="Times New Roman" w:hAnsi="Times New Roman" w:cs="Times New Roman" w:eastAsiaTheme="minorEastAsia"/>
          <w:sz w:val="24"/>
        </w:rPr>
        <w:t>3</w:t>
      </w:r>
      <w:r>
        <w:rPr>
          <w:rFonts w:ascii="Times New Roman" w:hAnsi="Times New Roman" w:cs="Times New Roman" w:eastAsiaTheme="minorEastAsia"/>
          <w:sz w:val="24"/>
        </w:rPr>
        <w:t>个监测点位，</w:t>
      </w:r>
      <w:r>
        <w:rPr>
          <w:rFonts w:hint="eastAsia" w:ascii="Times New Roman" w:hAnsi="Times New Roman" w:cs="Times New Roman" w:eastAsiaTheme="minorEastAsia"/>
          <w:bCs/>
          <w:sz w:val="24"/>
        </w:rPr>
        <w:t>均位于厂界内，监测表层样</w:t>
      </w:r>
      <w:r>
        <w:rPr>
          <w:rFonts w:ascii="Times New Roman" w:hAnsi="Times New Roman" w:cs="Times New Roman" w:eastAsiaTheme="minorEastAsia"/>
          <w:bCs/>
          <w:sz w:val="24"/>
        </w:rPr>
        <w:t>。</w:t>
      </w:r>
      <w:r>
        <w:rPr>
          <w:rFonts w:ascii="Times New Roman" w:hAnsi="Times New Roman" w:cs="Times New Roman" w:eastAsiaTheme="minorEastAsia"/>
          <w:sz w:val="24"/>
        </w:rPr>
        <w:t>具体见表</w:t>
      </w:r>
      <w:r>
        <w:rPr>
          <w:rFonts w:hint="eastAsia" w:ascii="Times New Roman" w:hAnsi="Times New Roman" w:cs="Times New Roman" w:eastAsiaTheme="minorEastAsia"/>
          <w:sz w:val="24"/>
        </w:rPr>
        <w:t>5.3-11</w:t>
      </w:r>
      <w:r>
        <w:rPr>
          <w:rFonts w:ascii="Times New Roman" w:hAnsi="Times New Roman" w:cs="Times New Roman" w:eastAsiaTheme="minorEastAsia"/>
          <w:sz w:val="24"/>
        </w:rPr>
        <w:t>，具体监测点位图见图</w:t>
      </w:r>
      <w:r>
        <w:rPr>
          <w:rFonts w:hint="eastAsia" w:ascii="Times New Roman" w:hAnsi="Times New Roman" w:cs="Times New Roman" w:eastAsiaTheme="minorEastAsia"/>
          <w:sz w:val="24"/>
        </w:rPr>
        <w:t>5.3-1</w:t>
      </w:r>
      <w:r>
        <w:rPr>
          <w:rFonts w:ascii="Times New Roman" w:hAnsi="Times New Roman" w:cs="Times New Roman" w:eastAsiaTheme="minorEastAsia"/>
          <w:sz w:val="24"/>
        </w:rPr>
        <w:t>。</w:t>
      </w:r>
    </w:p>
    <w:p>
      <w:pPr>
        <w:autoSpaceDE w:val="0"/>
        <w:autoSpaceDN w:val="0"/>
        <w:adjustRightInd w:val="0"/>
        <w:ind w:firstLine="420" w:firstLineChars="200"/>
        <w:rPr>
          <w:rFonts w:eastAsia="黑体"/>
          <w:szCs w:val="21"/>
        </w:rPr>
      </w:pPr>
      <w:r>
        <w:rPr>
          <w:rFonts w:eastAsia="黑体"/>
          <w:szCs w:val="21"/>
        </w:rPr>
        <w:t>表</w:t>
      </w:r>
      <w:r>
        <w:rPr>
          <w:rFonts w:hint="eastAsia" w:eastAsia="黑体"/>
          <w:szCs w:val="21"/>
        </w:rPr>
        <w:t>5.3-11</w:t>
      </w:r>
      <w:r>
        <w:rPr>
          <w:rFonts w:eastAsia="黑体"/>
          <w:szCs w:val="21"/>
        </w:rPr>
        <w:t xml:space="preserve">                  土壤监测点位布置一览表</w:t>
      </w:r>
    </w:p>
    <w:tbl>
      <w:tblPr>
        <w:tblStyle w:val="59"/>
        <w:tblW w:w="9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45"/>
        <w:gridCol w:w="2817"/>
        <w:gridCol w:w="1560"/>
        <w:gridCol w:w="1559"/>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Merge w:val="restart"/>
            <w:vAlign w:val="center"/>
          </w:tcPr>
          <w:p>
            <w:pPr>
              <w:jc w:val="center"/>
              <w:rPr>
                <w:kern w:val="0"/>
                <w:szCs w:val="21"/>
              </w:rPr>
            </w:pPr>
            <w:r>
              <w:rPr>
                <w:kern w:val="0"/>
                <w:szCs w:val="21"/>
              </w:rPr>
              <w:t>点位编号</w:t>
            </w:r>
          </w:p>
        </w:tc>
        <w:tc>
          <w:tcPr>
            <w:tcW w:w="2145" w:type="dxa"/>
            <w:vMerge w:val="restart"/>
            <w:vAlign w:val="center"/>
          </w:tcPr>
          <w:p>
            <w:pPr>
              <w:jc w:val="center"/>
              <w:rPr>
                <w:kern w:val="0"/>
                <w:szCs w:val="21"/>
              </w:rPr>
            </w:pPr>
            <w:r>
              <w:rPr>
                <w:kern w:val="0"/>
                <w:szCs w:val="21"/>
              </w:rPr>
              <w:t>监测点位置</w:t>
            </w:r>
          </w:p>
        </w:tc>
        <w:tc>
          <w:tcPr>
            <w:tcW w:w="2817" w:type="dxa"/>
            <w:vMerge w:val="restart"/>
            <w:vAlign w:val="center"/>
          </w:tcPr>
          <w:p>
            <w:pPr>
              <w:jc w:val="center"/>
              <w:rPr>
                <w:kern w:val="0"/>
                <w:szCs w:val="21"/>
              </w:rPr>
            </w:pPr>
            <w:r>
              <w:rPr>
                <w:kern w:val="0"/>
                <w:szCs w:val="21"/>
              </w:rPr>
              <w:t>取样位置</w:t>
            </w:r>
          </w:p>
        </w:tc>
        <w:tc>
          <w:tcPr>
            <w:tcW w:w="3119" w:type="dxa"/>
            <w:gridSpan w:val="2"/>
            <w:vAlign w:val="center"/>
          </w:tcPr>
          <w:p>
            <w:pPr>
              <w:jc w:val="center"/>
              <w:rPr>
                <w:kern w:val="0"/>
                <w:szCs w:val="21"/>
              </w:rPr>
            </w:pPr>
            <w:r>
              <w:rPr>
                <w:kern w:val="0"/>
                <w:szCs w:val="21"/>
              </w:rPr>
              <w:t>监测点坐标</w:t>
            </w:r>
          </w:p>
        </w:tc>
        <w:tc>
          <w:tcPr>
            <w:tcW w:w="709" w:type="dxa"/>
            <w:vMerge w:val="restart"/>
            <w:vAlign w:val="center"/>
          </w:tcPr>
          <w:p>
            <w:pPr>
              <w:jc w:val="center"/>
              <w:rPr>
                <w:kern w:val="0"/>
                <w:szCs w:val="21"/>
              </w:rPr>
            </w:pPr>
            <w:r>
              <w:rPr>
                <w:kern w:val="0"/>
                <w:szCs w:val="21"/>
              </w:rPr>
              <w:t>数据类型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Merge w:val="continue"/>
            <w:vAlign w:val="center"/>
          </w:tcPr>
          <w:p>
            <w:pPr>
              <w:jc w:val="center"/>
              <w:rPr>
                <w:kern w:val="0"/>
                <w:szCs w:val="21"/>
              </w:rPr>
            </w:pPr>
          </w:p>
        </w:tc>
        <w:tc>
          <w:tcPr>
            <w:tcW w:w="2145" w:type="dxa"/>
            <w:vMerge w:val="continue"/>
            <w:vAlign w:val="center"/>
          </w:tcPr>
          <w:p>
            <w:pPr>
              <w:jc w:val="center"/>
              <w:rPr>
                <w:kern w:val="0"/>
                <w:szCs w:val="21"/>
              </w:rPr>
            </w:pPr>
          </w:p>
        </w:tc>
        <w:tc>
          <w:tcPr>
            <w:tcW w:w="2817" w:type="dxa"/>
            <w:vMerge w:val="continue"/>
            <w:vAlign w:val="center"/>
          </w:tcPr>
          <w:p>
            <w:pPr>
              <w:jc w:val="center"/>
              <w:rPr>
                <w:kern w:val="0"/>
                <w:szCs w:val="21"/>
              </w:rPr>
            </w:pPr>
          </w:p>
        </w:tc>
        <w:tc>
          <w:tcPr>
            <w:tcW w:w="1560" w:type="dxa"/>
            <w:vAlign w:val="center"/>
          </w:tcPr>
          <w:p>
            <w:pPr>
              <w:jc w:val="center"/>
              <w:rPr>
                <w:kern w:val="0"/>
                <w:szCs w:val="21"/>
              </w:rPr>
            </w:pPr>
            <w:r>
              <w:rPr>
                <w:kern w:val="0"/>
                <w:szCs w:val="21"/>
              </w:rPr>
              <w:t>纬度</w:t>
            </w:r>
          </w:p>
        </w:tc>
        <w:tc>
          <w:tcPr>
            <w:tcW w:w="1559" w:type="dxa"/>
            <w:vAlign w:val="center"/>
          </w:tcPr>
          <w:p>
            <w:pPr>
              <w:jc w:val="center"/>
              <w:rPr>
                <w:kern w:val="0"/>
                <w:szCs w:val="21"/>
              </w:rPr>
            </w:pPr>
            <w:r>
              <w:rPr>
                <w:kern w:val="0"/>
                <w:szCs w:val="21"/>
              </w:rPr>
              <w:t>经度</w:t>
            </w:r>
          </w:p>
        </w:tc>
        <w:tc>
          <w:tcPr>
            <w:tcW w:w="709" w:type="dxa"/>
            <w:vMerge w:val="continue"/>
            <w:vAlign w:val="center"/>
          </w:tcPr>
          <w:p>
            <w:pPr>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Align w:val="center"/>
          </w:tcPr>
          <w:p>
            <w:pPr>
              <w:jc w:val="center"/>
              <w:rPr>
                <w:kern w:val="0"/>
                <w:szCs w:val="21"/>
              </w:rPr>
            </w:pPr>
            <w:r>
              <w:rPr>
                <w:kern w:val="0"/>
                <w:szCs w:val="21"/>
              </w:rPr>
              <w:t>T1</w:t>
            </w:r>
          </w:p>
        </w:tc>
        <w:tc>
          <w:tcPr>
            <w:tcW w:w="2145" w:type="dxa"/>
            <w:vAlign w:val="center"/>
          </w:tcPr>
          <w:p>
            <w:pPr>
              <w:pStyle w:val="244"/>
              <w:rPr>
                <w:rFonts w:ascii="Times New Roman" w:hAnsi="Times New Roman" w:eastAsia="宋体"/>
              </w:rPr>
            </w:pPr>
            <w:r>
              <w:rPr>
                <w:rFonts w:hint="eastAsia" w:ascii="Times New Roman" w:hAnsi="Times New Roman" w:eastAsia="宋体"/>
              </w:rPr>
              <w:t>生活区</w:t>
            </w:r>
          </w:p>
        </w:tc>
        <w:tc>
          <w:tcPr>
            <w:tcW w:w="2817" w:type="dxa"/>
            <w:vMerge w:val="restart"/>
            <w:vAlign w:val="center"/>
          </w:tcPr>
          <w:p>
            <w:pPr>
              <w:jc w:val="center"/>
              <w:rPr>
                <w:kern w:val="0"/>
                <w:szCs w:val="21"/>
              </w:rPr>
            </w:pPr>
            <w:r>
              <w:rPr>
                <w:kern w:val="0"/>
                <w:szCs w:val="21"/>
              </w:rPr>
              <w:t>表层样（采样深度取地表0～20cm）</w:t>
            </w:r>
          </w:p>
        </w:tc>
        <w:tc>
          <w:tcPr>
            <w:tcW w:w="1560" w:type="dxa"/>
            <w:vAlign w:val="center"/>
          </w:tcPr>
          <w:p>
            <w:pPr>
              <w:pStyle w:val="244"/>
              <w:rPr>
                <w:rFonts w:ascii="Times New Roman" w:hAnsi="Times New Roman" w:eastAsia="宋体"/>
              </w:rPr>
            </w:pPr>
            <w:r>
              <w:rPr>
                <w:rFonts w:ascii="Times New Roman" w:hAnsi="Times New Roman" w:eastAsia="宋体"/>
              </w:rPr>
              <w:t>N</w:t>
            </w:r>
            <w:r>
              <w:rPr>
                <w:rFonts w:ascii="Times New Roman" w:hAnsi="Times New Roman"/>
              </w:rPr>
              <w:t xml:space="preserve"> </w:t>
            </w:r>
            <w:r>
              <w:rPr>
                <w:rFonts w:ascii="Times New Roman" w:hAnsi="Times New Roman" w:eastAsia="宋体"/>
              </w:rPr>
              <w:t>44°</w:t>
            </w:r>
            <w:r>
              <w:rPr>
                <w:rFonts w:hint="eastAsia" w:ascii="Times New Roman" w:hAnsi="Times New Roman" w:eastAsia="宋体"/>
              </w:rPr>
              <w:t>13</w:t>
            </w:r>
            <w:r>
              <w:rPr>
                <w:rFonts w:ascii="Times New Roman" w:hAnsi="Times New Roman" w:eastAsia="宋体"/>
              </w:rPr>
              <w:t>′</w:t>
            </w:r>
            <w:r>
              <w:rPr>
                <w:rFonts w:hint="eastAsia" w:ascii="Times New Roman" w:hAnsi="Times New Roman" w:eastAsia="宋体"/>
              </w:rPr>
              <w:t>30.69</w:t>
            </w:r>
            <w:r>
              <w:rPr>
                <w:rFonts w:ascii="Times New Roman" w:hAnsi="Times New Roman" w:eastAsia="宋体"/>
              </w:rPr>
              <w:t>″</w:t>
            </w:r>
          </w:p>
        </w:tc>
        <w:tc>
          <w:tcPr>
            <w:tcW w:w="1559" w:type="dxa"/>
            <w:vAlign w:val="center"/>
          </w:tcPr>
          <w:p>
            <w:pPr>
              <w:pStyle w:val="244"/>
              <w:rPr>
                <w:rFonts w:ascii="Times New Roman" w:hAnsi="Times New Roman" w:eastAsia="宋体"/>
              </w:rPr>
            </w:pPr>
            <w:r>
              <w:rPr>
                <w:rFonts w:ascii="Times New Roman" w:hAnsi="Times New Roman" w:eastAsia="宋体"/>
              </w:rPr>
              <w:t>E</w:t>
            </w:r>
            <w:r>
              <w:rPr>
                <w:rFonts w:ascii="Times New Roman" w:hAnsi="Times New Roman"/>
              </w:rPr>
              <w:t xml:space="preserve"> </w:t>
            </w:r>
            <w:r>
              <w:rPr>
                <w:rFonts w:ascii="Times New Roman" w:hAnsi="Times New Roman" w:eastAsia="宋体"/>
              </w:rPr>
              <w:t>8</w:t>
            </w:r>
            <w:r>
              <w:rPr>
                <w:rFonts w:hint="eastAsia" w:ascii="Times New Roman" w:hAnsi="Times New Roman" w:eastAsia="宋体"/>
              </w:rPr>
              <w:t>7</w:t>
            </w:r>
            <w:r>
              <w:rPr>
                <w:rFonts w:ascii="Times New Roman" w:hAnsi="Times New Roman" w:eastAsia="宋体"/>
              </w:rPr>
              <w:t>°</w:t>
            </w:r>
            <w:r>
              <w:rPr>
                <w:rFonts w:hint="eastAsia" w:ascii="Times New Roman" w:hAnsi="Times New Roman" w:eastAsia="宋体"/>
              </w:rPr>
              <w:t>19</w:t>
            </w:r>
            <w:r>
              <w:rPr>
                <w:rFonts w:ascii="Times New Roman" w:hAnsi="Times New Roman" w:eastAsia="宋体"/>
              </w:rPr>
              <w:t>′</w:t>
            </w:r>
            <w:r>
              <w:rPr>
                <w:rFonts w:hint="eastAsia" w:ascii="Times New Roman" w:hAnsi="Times New Roman" w:eastAsia="宋体"/>
              </w:rPr>
              <w:t>21.58</w:t>
            </w:r>
            <w:r>
              <w:rPr>
                <w:rFonts w:ascii="Times New Roman" w:hAnsi="Times New Roman" w:eastAsia="宋体"/>
              </w:rPr>
              <w:t>″</w:t>
            </w:r>
          </w:p>
        </w:tc>
        <w:tc>
          <w:tcPr>
            <w:tcW w:w="709" w:type="dxa"/>
            <w:vMerge w:val="restart"/>
            <w:vAlign w:val="center"/>
          </w:tcPr>
          <w:p>
            <w:pPr>
              <w:jc w:val="center"/>
              <w:rPr>
                <w:kern w:val="0"/>
                <w:szCs w:val="21"/>
              </w:rPr>
            </w:pPr>
            <w:r>
              <w:rPr>
                <w:kern w:val="0"/>
                <w:szCs w:val="21"/>
              </w:rPr>
              <w:t>实测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Align w:val="center"/>
          </w:tcPr>
          <w:p>
            <w:pPr>
              <w:jc w:val="center"/>
              <w:rPr>
                <w:kern w:val="0"/>
                <w:szCs w:val="21"/>
              </w:rPr>
            </w:pPr>
            <w:r>
              <w:rPr>
                <w:kern w:val="0"/>
                <w:szCs w:val="21"/>
              </w:rPr>
              <w:t>T2</w:t>
            </w:r>
          </w:p>
        </w:tc>
        <w:tc>
          <w:tcPr>
            <w:tcW w:w="2145" w:type="dxa"/>
            <w:vAlign w:val="center"/>
          </w:tcPr>
          <w:p>
            <w:pPr>
              <w:pStyle w:val="244"/>
              <w:rPr>
                <w:rFonts w:ascii="Times New Roman" w:hAnsi="Times New Roman" w:eastAsia="宋体"/>
              </w:rPr>
            </w:pPr>
            <w:r>
              <w:rPr>
                <w:rFonts w:hint="eastAsia" w:ascii="Times New Roman" w:hAnsi="Times New Roman" w:eastAsia="宋体"/>
              </w:rPr>
              <w:t>生产区1#</w:t>
            </w:r>
          </w:p>
        </w:tc>
        <w:tc>
          <w:tcPr>
            <w:tcW w:w="2817" w:type="dxa"/>
            <w:vMerge w:val="continue"/>
            <w:vAlign w:val="center"/>
          </w:tcPr>
          <w:p>
            <w:pPr>
              <w:jc w:val="center"/>
              <w:rPr>
                <w:kern w:val="0"/>
                <w:szCs w:val="21"/>
              </w:rPr>
            </w:pPr>
          </w:p>
        </w:tc>
        <w:tc>
          <w:tcPr>
            <w:tcW w:w="1560" w:type="dxa"/>
            <w:vAlign w:val="center"/>
          </w:tcPr>
          <w:p>
            <w:pPr>
              <w:pStyle w:val="244"/>
              <w:rPr>
                <w:rFonts w:ascii="Times New Roman" w:hAnsi="Times New Roman" w:eastAsia="宋体"/>
              </w:rPr>
            </w:pPr>
            <w:r>
              <w:rPr>
                <w:rFonts w:ascii="Times New Roman" w:hAnsi="Times New Roman" w:eastAsia="宋体"/>
              </w:rPr>
              <w:t>N</w:t>
            </w:r>
            <w:r>
              <w:rPr>
                <w:rFonts w:ascii="Times New Roman" w:hAnsi="Times New Roman"/>
              </w:rPr>
              <w:t xml:space="preserve"> </w:t>
            </w:r>
            <w:r>
              <w:rPr>
                <w:rFonts w:ascii="Times New Roman" w:hAnsi="Times New Roman" w:eastAsia="宋体"/>
              </w:rPr>
              <w:t>44°</w:t>
            </w:r>
            <w:r>
              <w:rPr>
                <w:rFonts w:hint="eastAsia" w:ascii="Times New Roman" w:hAnsi="Times New Roman" w:eastAsia="宋体"/>
              </w:rPr>
              <w:t>13</w:t>
            </w:r>
            <w:r>
              <w:rPr>
                <w:rFonts w:ascii="Times New Roman" w:hAnsi="Times New Roman" w:eastAsia="宋体"/>
              </w:rPr>
              <w:t>′</w:t>
            </w:r>
            <w:r>
              <w:rPr>
                <w:rFonts w:hint="eastAsia" w:ascii="Times New Roman" w:hAnsi="Times New Roman" w:eastAsia="宋体"/>
              </w:rPr>
              <w:t>31.05</w:t>
            </w:r>
            <w:r>
              <w:rPr>
                <w:rFonts w:ascii="Times New Roman" w:hAnsi="Times New Roman" w:eastAsia="宋体"/>
              </w:rPr>
              <w:t>″</w:t>
            </w:r>
          </w:p>
        </w:tc>
        <w:tc>
          <w:tcPr>
            <w:tcW w:w="1559" w:type="dxa"/>
            <w:vAlign w:val="center"/>
          </w:tcPr>
          <w:p>
            <w:pPr>
              <w:pStyle w:val="244"/>
              <w:rPr>
                <w:rFonts w:ascii="Times New Roman" w:hAnsi="Times New Roman" w:eastAsia="宋体"/>
              </w:rPr>
            </w:pPr>
            <w:r>
              <w:rPr>
                <w:rFonts w:ascii="Times New Roman" w:hAnsi="Times New Roman" w:eastAsia="宋体"/>
              </w:rPr>
              <w:t>E</w:t>
            </w:r>
            <w:r>
              <w:rPr>
                <w:rFonts w:ascii="Times New Roman" w:hAnsi="Times New Roman"/>
              </w:rPr>
              <w:t xml:space="preserve"> </w:t>
            </w:r>
            <w:r>
              <w:rPr>
                <w:rFonts w:ascii="Times New Roman" w:hAnsi="Times New Roman" w:eastAsia="宋体"/>
              </w:rPr>
              <w:t>8</w:t>
            </w:r>
            <w:r>
              <w:rPr>
                <w:rFonts w:hint="eastAsia" w:ascii="Times New Roman" w:hAnsi="Times New Roman" w:eastAsia="宋体"/>
              </w:rPr>
              <w:t>7</w:t>
            </w:r>
            <w:r>
              <w:rPr>
                <w:rFonts w:ascii="Times New Roman" w:hAnsi="Times New Roman" w:eastAsia="宋体"/>
              </w:rPr>
              <w:t>°1</w:t>
            </w:r>
            <w:r>
              <w:rPr>
                <w:rFonts w:hint="eastAsia" w:ascii="Times New Roman" w:hAnsi="Times New Roman" w:eastAsia="宋体"/>
              </w:rPr>
              <w:t>9</w:t>
            </w:r>
            <w:r>
              <w:rPr>
                <w:rFonts w:ascii="Times New Roman" w:hAnsi="Times New Roman" w:eastAsia="宋体"/>
              </w:rPr>
              <w:t>′</w:t>
            </w:r>
            <w:r>
              <w:rPr>
                <w:rFonts w:hint="eastAsia" w:ascii="Times New Roman" w:hAnsi="Times New Roman" w:eastAsia="宋体"/>
              </w:rPr>
              <w:t>17.1</w:t>
            </w:r>
            <w:r>
              <w:rPr>
                <w:rFonts w:ascii="Times New Roman" w:hAnsi="Times New Roman" w:eastAsia="宋体"/>
              </w:rPr>
              <w:t>4″</w:t>
            </w:r>
          </w:p>
        </w:tc>
        <w:tc>
          <w:tcPr>
            <w:tcW w:w="709" w:type="dxa"/>
            <w:vMerge w:val="continue"/>
            <w:vAlign w:val="center"/>
          </w:tcPr>
          <w:p>
            <w:pPr>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Align w:val="center"/>
          </w:tcPr>
          <w:p>
            <w:pPr>
              <w:jc w:val="center"/>
              <w:rPr>
                <w:kern w:val="0"/>
                <w:szCs w:val="21"/>
              </w:rPr>
            </w:pPr>
            <w:r>
              <w:rPr>
                <w:kern w:val="0"/>
                <w:szCs w:val="21"/>
              </w:rPr>
              <w:t>T3</w:t>
            </w:r>
          </w:p>
        </w:tc>
        <w:tc>
          <w:tcPr>
            <w:tcW w:w="2145" w:type="dxa"/>
            <w:vAlign w:val="center"/>
          </w:tcPr>
          <w:p>
            <w:pPr>
              <w:pStyle w:val="244"/>
              <w:rPr>
                <w:rFonts w:ascii="Times New Roman" w:hAnsi="Times New Roman" w:eastAsia="宋体"/>
              </w:rPr>
            </w:pPr>
            <w:r>
              <w:rPr>
                <w:rFonts w:hint="eastAsia" w:ascii="Times New Roman" w:hAnsi="Times New Roman" w:eastAsia="宋体"/>
              </w:rPr>
              <w:t>生产区2#</w:t>
            </w:r>
          </w:p>
        </w:tc>
        <w:tc>
          <w:tcPr>
            <w:tcW w:w="2817" w:type="dxa"/>
            <w:vMerge w:val="continue"/>
            <w:vAlign w:val="center"/>
          </w:tcPr>
          <w:p>
            <w:pPr>
              <w:jc w:val="center"/>
              <w:rPr>
                <w:kern w:val="0"/>
                <w:szCs w:val="21"/>
              </w:rPr>
            </w:pPr>
          </w:p>
        </w:tc>
        <w:tc>
          <w:tcPr>
            <w:tcW w:w="1560" w:type="dxa"/>
            <w:vAlign w:val="center"/>
          </w:tcPr>
          <w:p>
            <w:pPr>
              <w:pStyle w:val="244"/>
              <w:rPr>
                <w:rFonts w:ascii="Times New Roman" w:hAnsi="Times New Roman" w:eastAsia="宋体"/>
              </w:rPr>
            </w:pPr>
            <w:r>
              <w:rPr>
                <w:rFonts w:ascii="Times New Roman" w:hAnsi="Times New Roman" w:eastAsia="宋体"/>
              </w:rPr>
              <w:t>N</w:t>
            </w:r>
            <w:r>
              <w:rPr>
                <w:rFonts w:ascii="Times New Roman" w:hAnsi="Times New Roman"/>
              </w:rPr>
              <w:t xml:space="preserve"> </w:t>
            </w:r>
            <w:r>
              <w:rPr>
                <w:rFonts w:ascii="Times New Roman" w:hAnsi="Times New Roman" w:eastAsia="宋体"/>
              </w:rPr>
              <w:t>44°</w:t>
            </w:r>
            <w:r>
              <w:rPr>
                <w:rFonts w:hint="eastAsia" w:ascii="Times New Roman" w:hAnsi="Times New Roman" w:eastAsia="宋体"/>
              </w:rPr>
              <w:t>13</w:t>
            </w:r>
            <w:r>
              <w:rPr>
                <w:rFonts w:ascii="Times New Roman" w:hAnsi="Times New Roman" w:eastAsia="宋体"/>
              </w:rPr>
              <w:t>′</w:t>
            </w:r>
            <w:r>
              <w:rPr>
                <w:rFonts w:hint="eastAsia" w:ascii="Times New Roman" w:hAnsi="Times New Roman" w:eastAsia="宋体"/>
              </w:rPr>
              <w:t>32.24</w:t>
            </w:r>
            <w:r>
              <w:rPr>
                <w:rFonts w:ascii="Times New Roman" w:hAnsi="Times New Roman" w:eastAsia="宋体"/>
              </w:rPr>
              <w:t>″</w:t>
            </w:r>
          </w:p>
        </w:tc>
        <w:tc>
          <w:tcPr>
            <w:tcW w:w="1559" w:type="dxa"/>
            <w:vAlign w:val="center"/>
          </w:tcPr>
          <w:p>
            <w:pPr>
              <w:pStyle w:val="244"/>
              <w:rPr>
                <w:rFonts w:ascii="Times New Roman" w:hAnsi="Times New Roman" w:eastAsia="宋体"/>
              </w:rPr>
            </w:pPr>
            <w:r>
              <w:rPr>
                <w:rFonts w:ascii="Times New Roman" w:hAnsi="Times New Roman" w:eastAsia="宋体"/>
              </w:rPr>
              <w:t>E</w:t>
            </w:r>
            <w:r>
              <w:rPr>
                <w:rFonts w:ascii="Times New Roman" w:hAnsi="Times New Roman"/>
              </w:rPr>
              <w:t xml:space="preserve"> </w:t>
            </w:r>
            <w:r>
              <w:rPr>
                <w:rFonts w:ascii="Times New Roman" w:hAnsi="Times New Roman" w:eastAsia="宋体"/>
              </w:rPr>
              <w:t>8</w:t>
            </w:r>
            <w:r>
              <w:rPr>
                <w:rFonts w:hint="eastAsia" w:ascii="Times New Roman" w:hAnsi="Times New Roman" w:eastAsia="宋体"/>
              </w:rPr>
              <w:t>7</w:t>
            </w:r>
            <w:r>
              <w:rPr>
                <w:rFonts w:ascii="Times New Roman" w:hAnsi="Times New Roman" w:eastAsia="宋体"/>
              </w:rPr>
              <w:t>°1</w:t>
            </w:r>
            <w:r>
              <w:rPr>
                <w:rFonts w:hint="eastAsia" w:ascii="Times New Roman" w:hAnsi="Times New Roman" w:eastAsia="宋体"/>
              </w:rPr>
              <w:t>9</w:t>
            </w:r>
            <w:r>
              <w:rPr>
                <w:rFonts w:ascii="Times New Roman" w:hAnsi="Times New Roman" w:eastAsia="宋体"/>
              </w:rPr>
              <w:t>′</w:t>
            </w:r>
            <w:r>
              <w:rPr>
                <w:rFonts w:hint="eastAsia" w:ascii="Times New Roman" w:hAnsi="Times New Roman" w:eastAsia="宋体"/>
              </w:rPr>
              <w:t>15.28</w:t>
            </w:r>
            <w:r>
              <w:rPr>
                <w:rFonts w:ascii="Times New Roman" w:hAnsi="Times New Roman" w:eastAsia="宋体"/>
              </w:rPr>
              <w:t>″</w:t>
            </w:r>
          </w:p>
        </w:tc>
        <w:tc>
          <w:tcPr>
            <w:tcW w:w="709" w:type="dxa"/>
            <w:vMerge w:val="continue"/>
            <w:vAlign w:val="center"/>
          </w:tcPr>
          <w:p>
            <w:pPr>
              <w:jc w:val="center"/>
              <w:rPr>
                <w:kern w:val="0"/>
                <w:szCs w:val="21"/>
              </w:rPr>
            </w:pPr>
          </w:p>
        </w:tc>
      </w:tr>
    </w:tbl>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2、监测因子</w:t>
      </w:r>
    </w:p>
    <w:p>
      <w:pPr>
        <w:pStyle w:val="15"/>
        <w:spacing w:line="460" w:lineRule="exact"/>
        <w:ind w:firstLine="480" w:firstLineChars="200"/>
        <w:rPr>
          <w:rFonts w:ascii="Times New Roman" w:hAnsi="Times New Roman" w:cs="Times New Roman" w:eastAsiaTheme="minorEastAsia"/>
          <w:bCs/>
          <w:sz w:val="24"/>
        </w:rPr>
      </w:pPr>
      <w:r>
        <w:rPr>
          <w:rFonts w:hint="eastAsia" w:ascii="Times New Roman" w:hAnsi="Times New Roman" w:cs="Times New Roman" w:eastAsiaTheme="minorEastAsia"/>
          <w:bCs/>
          <w:sz w:val="24"/>
        </w:rPr>
        <w:t>T1、T2、T3监测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w:t>
      </w:r>
      <w:r>
        <w:rPr>
          <w:rFonts w:ascii="Times New Roman" w:hAnsi="Times New Roman" w:cs="Times New Roman" w:eastAsiaTheme="minorEastAsia"/>
          <w:bCs/>
          <w:sz w:val="24"/>
        </w:rPr>
        <w:t>b</w:t>
      </w:r>
      <w:r>
        <w:rPr>
          <w:rFonts w:hint="eastAsia" w:ascii="Times New Roman" w:hAnsi="Times New Roman" w:cs="Times New Roman" w:eastAsiaTheme="minorEastAsia"/>
          <w:bCs/>
          <w:sz w:val="24"/>
        </w:rPr>
        <w:t>］荧蒽、苯并［</w:t>
      </w:r>
      <w:r>
        <w:rPr>
          <w:rFonts w:ascii="Times New Roman" w:hAnsi="Times New Roman" w:cs="Times New Roman" w:eastAsiaTheme="minorEastAsia"/>
          <w:bCs/>
          <w:sz w:val="24"/>
        </w:rPr>
        <w:t>k</w:t>
      </w:r>
      <w:r>
        <w:rPr>
          <w:rFonts w:hint="eastAsia" w:ascii="Times New Roman" w:hAnsi="Times New Roman" w:cs="Times New Roman" w:eastAsiaTheme="minorEastAsia"/>
          <w:bCs/>
          <w:sz w:val="24"/>
        </w:rPr>
        <w:t>］荧蒽、䓛、二苯并［</w:t>
      </w:r>
      <w:r>
        <w:rPr>
          <w:rFonts w:ascii="Times New Roman" w:hAnsi="Times New Roman" w:cs="Times New Roman" w:eastAsiaTheme="minorEastAsia"/>
          <w:bCs/>
          <w:sz w:val="24"/>
        </w:rPr>
        <w:t>a</w:t>
      </w:r>
      <w:r>
        <w:rPr>
          <w:rFonts w:hint="eastAsia" w:ascii="Times New Roman" w:hAnsi="Times New Roman" w:cs="Times New Roman" w:eastAsiaTheme="minorEastAsia"/>
          <w:bCs/>
          <w:sz w:val="24"/>
        </w:rPr>
        <w:t>，</w:t>
      </w:r>
      <w:r>
        <w:rPr>
          <w:rFonts w:ascii="Times New Roman" w:hAnsi="Times New Roman" w:cs="Times New Roman" w:eastAsiaTheme="minorEastAsia"/>
          <w:bCs/>
          <w:sz w:val="24"/>
        </w:rPr>
        <w:t>h</w:t>
      </w:r>
      <w:r>
        <w:rPr>
          <w:rFonts w:hint="eastAsia" w:ascii="Times New Roman" w:hAnsi="Times New Roman" w:cs="Times New Roman" w:eastAsiaTheme="minorEastAsia"/>
          <w:bCs/>
          <w:sz w:val="24"/>
        </w:rPr>
        <w:t>］蒽、茚并［</w:t>
      </w:r>
      <w:r>
        <w:rPr>
          <w:rFonts w:ascii="Times New Roman" w:hAnsi="Times New Roman" w:cs="Times New Roman" w:eastAsiaTheme="minorEastAsia"/>
          <w:bCs/>
          <w:sz w:val="24"/>
        </w:rPr>
        <w:t>1,2,3-cd</w:t>
      </w:r>
      <w:r>
        <w:rPr>
          <w:rFonts w:hint="eastAsia" w:ascii="Times New Roman" w:hAnsi="Times New Roman" w:cs="Times New Roman" w:eastAsiaTheme="minorEastAsia"/>
          <w:bCs/>
          <w:sz w:val="24"/>
        </w:rPr>
        <w:t>］芘、萘共</w:t>
      </w:r>
      <w:r>
        <w:rPr>
          <w:rFonts w:ascii="Times New Roman" w:hAnsi="Times New Roman" w:cs="Times New Roman" w:eastAsiaTheme="minorEastAsia"/>
          <w:bCs/>
          <w:sz w:val="24"/>
        </w:rPr>
        <w:t>4</w:t>
      </w:r>
      <w:r>
        <w:rPr>
          <w:rFonts w:hint="eastAsia" w:ascii="Times New Roman" w:hAnsi="Times New Roman" w:cs="Times New Roman" w:eastAsiaTheme="minorEastAsia"/>
          <w:bCs/>
          <w:sz w:val="24"/>
        </w:rPr>
        <w:t>5项。</w:t>
      </w:r>
    </w:p>
    <w:p>
      <w:pPr>
        <w:pStyle w:val="15"/>
        <w:spacing w:line="460" w:lineRule="exact"/>
        <w:ind w:firstLine="480" w:firstLineChars="200"/>
        <w:rPr>
          <w:rFonts w:ascii="Times New Roman" w:hAnsi="Times New Roman" w:cs="Times New Roman" w:eastAsiaTheme="minorEastAsia"/>
          <w:bCs/>
          <w:sz w:val="24"/>
        </w:rPr>
      </w:pPr>
      <w:r>
        <w:rPr>
          <w:rFonts w:hint="eastAsia" w:ascii="Times New Roman" w:hAnsi="Times New Roman" w:cs="Times New Roman" w:eastAsiaTheme="minorEastAsia"/>
          <w:bCs/>
          <w:sz w:val="24"/>
        </w:rPr>
        <w:t>T1同时监测土壤理化性质，采样过程现场记录土壤颜色、结构、质地、砂砾含量、其他异物等，并对土壤pH、阳离子交换量、氧化还原电位、饱和导水率、土壤容重、孔隙度进行检测。</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3、评价</w:t>
      </w:r>
      <w:r>
        <w:rPr>
          <w:rFonts w:ascii="Times New Roman" w:hAnsi="Times New Roman" w:cs="Times New Roman" w:eastAsiaTheme="minorEastAsia"/>
          <w:bCs/>
          <w:sz w:val="24"/>
        </w:rPr>
        <w:t>标准</w:t>
      </w:r>
    </w:p>
    <w:p>
      <w:pPr>
        <w:pStyle w:val="15"/>
        <w:spacing w:line="460" w:lineRule="exact"/>
        <w:ind w:firstLine="480" w:firstLineChars="200"/>
        <w:rPr>
          <w:rFonts w:ascii="Times New Roman" w:hAnsi="Times New Roman" w:cs="Times New Roman" w:eastAsiaTheme="minorEastAsia"/>
          <w:bCs/>
          <w:sz w:val="24"/>
        </w:rPr>
      </w:pPr>
      <w:r>
        <w:rPr>
          <w:rFonts w:ascii="Times New Roman" w:hAnsi="Times New Roman" w:cs="Times New Roman" w:eastAsiaTheme="minorEastAsia"/>
          <w:bCs/>
          <w:sz w:val="24"/>
        </w:rPr>
        <w:t>《土壤环境质量 建设用地土壤污染风险管控标准（试行）》（GB36600-2018）表1中第二类用地筛选值。</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4、采用及分析方法</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严格按照《土壤环境质量 建设用地土壤污染风险管控标准（试行）》（GB36600-2018）、《土壤环境监测技术规范》（HJ/T166-2004）要求执行。</w:t>
      </w: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r>
        <w:rPr>
          <w:rFonts w:eastAsia="黑体"/>
          <w:szCs w:val="21"/>
        </w:rPr>
        <w:t>表</w:t>
      </w:r>
      <w:r>
        <w:rPr>
          <w:rFonts w:hint="eastAsia" w:eastAsia="黑体"/>
          <w:szCs w:val="21"/>
        </w:rPr>
        <w:t>5.3-12</w:t>
      </w:r>
      <w:r>
        <w:rPr>
          <w:rFonts w:eastAsia="黑体"/>
          <w:szCs w:val="21"/>
        </w:rPr>
        <w:t xml:space="preserve">                土壤环境质量现状检测方法</w:t>
      </w:r>
    </w:p>
    <w:tbl>
      <w:tblPr>
        <w:tblStyle w:val="59"/>
        <w:tblW w:w="9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562"/>
        <w:gridCol w:w="3618"/>
        <w:gridCol w:w="1906"/>
        <w:gridCol w:w="137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监测项目</w:t>
            </w:r>
          </w:p>
        </w:tc>
        <w:tc>
          <w:tcPr>
            <w:tcW w:w="3360" w:type="dxa"/>
            <w:vAlign w:val="center"/>
          </w:tcPr>
          <w:p>
            <w:pPr>
              <w:jc w:val="center"/>
              <w:rPr>
                <w:szCs w:val="21"/>
              </w:rPr>
            </w:pPr>
            <w:r>
              <w:rPr>
                <w:szCs w:val="21"/>
              </w:rPr>
              <w:t>监测方法及依据</w:t>
            </w:r>
          </w:p>
        </w:tc>
        <w:tc>
          <w:tcPr>
            <w:tcW w:w="1770" w:type="dxa"/>
            <w:vAlign w:val="center"/>
          </w:tcPr>
          <w:p>
            <w:pPr>
              <w:adjustRightInd w:val="0"/>
              <w:snapToGrid w:val="0"/>
              <w:jc w:val="center"/>
              <w:rPr>
                <w:szCs w:val="21"/>
              </w:rPr>
            </w:pPr>
            <w:r>
              <w:rPr>
                <w:szCs w:val="21"/>
              </w:rPr>
              <w:t>所用仪器</w:t>
            </w:r>
          </w:p>
        </w:tc>
        <w:tc>
          <w:tcPr>
            <w:tcW w:w="1280" w:type="dxa"/>
            <w:vAlign w:val="center"/>
          </w:tcPr>
          <w:p>
            <w:pPr>
              <w:adjustRightInd w:val="0"/>
              <w:snapToGrid w:val="0"/>
              <w:jc w:val="center"/>
              <w:rPr>
                <w:szCs w:val="21"/>
              </w:rPr>
            </w:pPr>
            <w:r>
              <w:rPr>
                <w:szCs w:val="21"/>
              </w:rPr>
              <w:t>仪器编号</w:t>
            </w:r>
          </w:p>
        </w:tc>
        <w:tc>
          <w:tcPr>
            <w:tcW w:w="1172" w:type="dxa"/>
            <w:vAlign w:val="center"/>
          </w:tcPr>
          <w:p>
            <w:pPr>
              <w:adjustRightInd w:val="0"/>
              <w:snapToGrid w:val="0"/>
              <w:jc w:val="center"/>
              <w:rPr>
                <w:szCs w:val="21"/>
              </w:rPr>
            </w:pPr>
            <w:r>
              <w:rPr>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pH</w:t>
            </w:r>
          </w:p>
        </w:tc>
        <w:tc>
          <w:tcPr>
            <w:tcW w:w="3360" w:type="dxa"/>
            <w:vAlign w:val="center"/>
          </w:tcPr>
          <w:p>
            <w:pPr>
              <w:jc w:val="center"/>
              <w:rPr>
                <w:szCs w:val="21"/>
              </w:rPr>
            </w:pPr>
            <w:r>
              <w:rPr>
                <w:rFonts w:hint="eastAsia"/>
                <w:szCs w:val="21"/>
              </w:rPr>
              <w:t>土壤</w:t>
            </w:r>
            <w:r>
              <w:rPr>
                <w:szCs w:val="21"/>
              </w:rPr>
              <w:t>p</w:t>
            </w:r>
            <w:r>
              <w:rPr>
                <w:rFonts w:hint="eastAsia"/>
                <w:szCs w:val="21"/>
              </w:rPr>
              <w:t>H值的测定 电位法 HJ962-2018</w:t>
            </w:r>
          </w:p>
        </w:tc>
        <w:tc>
          <w:tcPr>
            <w:tcW w:w="1770" w:type="dxa"/>
            <w:vAlign w:val="center"/>
          </w:tcPr>
          <w:p>
            <w:pPr>
              <w:jc w:val="center"/>
              <w:rPr>
                <w:szCs w:val="21"/>
              </w:rPr>
            </w:pPr>
            <w:r>
              <w:rPr>
                <w:szCs w:val="21"/>
              </w:rPr>
              <w:t>PHS</w:t>
            </w:r>
            <w:r>
              <w:rPr>
                <w:rFonts w:hint="eastAsia"/>
                <w:szCs w:val="21"/>
              </w:rPr>
              <w:t>-3C</w:t>
            </w:r>
            <w:r>
              <w:rPr>
                <w:szCs w:val="21"/>
              </w:rPr>
              <w:t>型</w:t>
            </w:r>
            <w:r>
              <w:rPr>
                <w:rFonts w:hint="eastAsia"/>
                <w:szCs w:val="21"/>
              </w:rPr>
              <w:t>酸度计</w:t>
            </w:r>
          </w:p>
        </w:tc>
        <w:tc>
          <w:tcPr>
            <w:tcW w:w="1280" w:type="dxa"/>
            <w:vAlign w:val="center"/>
          </w:tcPr>
          <w:p>
            <w:pPr>
              <w:jc w:val="center"/>
              <w:rPr>
                <w:szCs w:val="21"/>
              </w:rPr>
            </w:pPr>
            <w:r>
              <w:rPr>
                <w:szCs w:val="21"/>
              </w:rPr>
              <w:t>XSJS/YQ-13</w:t>
            </w:r>
            <w:r>
              <w:rPr>
                <w:rFonts w:hint="eastAsia"/>
                <w:szCs w:val="21"/>
              </w:rPr>
              <w:t>-1</w:t>
            </w:r>
          </w:p>
        </w:tc>
        <w:tc>
          <w:tcPr>
            <w:tcW w:w="1172"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阳离子交换量</w:t>
            </w:r>
          </w:p>
        </w:tc>
        <w:tc>
          <w:tcPr>
            <w:tcW w:w="3360" w:type="dxa"/>
            <w:vAlign w:val="center"/>
          </w:tcPr>
          <w:p>
            <w:pPr>
              <w:jc w:val="center"/>
              <w:rPr>
                <w:szCs w:val="21"/>
              </w:rPr>
            </w:pPr>
            <w:r>
              <w:rPr>
                <w:rFonts w:hint="eastAsia"/>
                <w:szCs w:val="21"/>
              </w:rPr>
              <w:t>土壤阳离子交换量的测定 三氯化六氨合钴浸提-分光光度法 HJ889-2017</w:t>
            </w:r>
          </w:p>
        </w:tc>
        <w:tc>
          <w:tcPr>
            <w:tcW w:w="1770" w:type="dxa"/>
            <w:vAlign w:val="center"/>
          </w:tcPr>
          <w:p>
            <w:pPr>
              <w:jc w:val="center"/>
              <w:rPr>
                <w:szCs w:val="21"/>
              </w:rPr>
            </w:pPr>
            <w:r>
              <w:rPr>
                <w:szCs w:val="21"/>
              </w:rPr>
              <w:t xml:space="preserve">UV-1600型紫外可见分光光度计 </w:t>
            </w:r>
          </w:p>
        </w:tc>
        <w:tc>
          <w:tcPr>
            <w:tcW w:w="1280" w:type="dxa"/>
            <w:vAlign w:val="center"/>
          </w:tcPr>
          <w:p>
            <w:pPr>
              <w:adjustRightInd w:val="0"/>
              <w:snapToGrid w:val="0"/>
              <w:jc w:val="center"/>
              <w:rPr>
                <w:szCs w:val="21"/>
              </w:rPr>
            </w:pPr>
            <w:r>
              <w:rPr>
                <w:rFonts w:hint="eastAsia"/>
                <w:szCs w:val="21"/>
              </w:rPr>
              <w:t>XSJS/YQ-19-2</w:t>
            </w:r>
          </w:p>
        </w:tc>
        <w:tc>
          <w:tcPr>
            <w:tcW w:w="1172" w:type="dxa"/>
            <w:vAlign w:val="center"/>
          </w:tcPr>
          <w:p>
            <w:pPr>
              <w:adjustRightInd w:val="0"/>
              <w:snapToGrid w:val="0"/>
              <w:jc w:val="center"/>
              <w:rPr>
                <w:szCs w:val="21"/>
              </w:rPr>
            </w:pPr>
            <w:r>
              <w:rPr>
                <w:rFonts w:hint="eastAsia"/>
                <w:szCs w:val="21"/>
              </w:rPr>
              <w:t>0.8cmol＋/kg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氧化还原电位</w:t>
            </w:r>
          </w:p>
        </w:tc>
        <w:tc>
          <w:tcPr>
            <w:tcW w:w="3360" w:type="dxa"/>
            <w:vAlign w:val="center"/>
          </w:tcPr>
          <w:p>
            <w:pPr>
              <w:jc w:val="center"/>
              <w:rPr>
                <w:szCs w:val="21"/>
              </w:rPr>
            </w:pPr>
            <w:r>
              <w:rPr>
                <w:rFonts w:hint="eastAsia"/>
                <w:szCs w:val="21"/>
              </w:rPr>
              <w:t>土壤氧化还原电位的测定 电位法HJ746-2015</w:t>
            </w:r>
          </w:p>
        </w:tc>
        <w:tc>
          <w:tcPr>
            <w:tcW w:w="1770" w:type="dxa"/>
            <w:vAlign w:val="center"/>
          </w:tcPr>
          <w:p>
            <w:pPr>
              <w:jc w:val="center"/>
              <w:rPr>
                <w:szCs w:val="21"/>
              </w:rPr>
            </w:pPr>
            <w:r>
              <w:rPr>
                <w:rFonts w:hint="eastAsia"/>
                <w:szCs w:val="21"/>
              </w:rPr>
              <w:t>TR-901土壤ORP计</w:t>
            </w:r>
          </w:p>
        </w:tc>
        <w:tc>
          <w:tcPr>
            <w:tcW w:w="1280" w:type="dxa"/>
            <w:vAlign w:val="center"/>
          </w:tcPr>
          <w:p>
            <w:pPr>
              <w:jc w:val="center"/>
              <w:rPr>
                <w:szCs w:val="21"/>
              </w:rPr>
            </w:pPr>
            <w:r>
              <w:rPr>
                <w:rFonts w:hint="eastAsia"/>
                <w:szCs w:val="21"/>
              </w:rPr>
              <w:t>XSJS/YQ-87</w:t>
            </w:r>
          </w:p>
        </w:tc>
        <w:tc>
          <w:tcPr>
            <w:tcW w:w="1172" w:type="dxa"/>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渗滤率</w:t>
            </w:r>
          </w:p>
        </w:tc>
        <w:tc>
          <w:tcPr>
            <w:tcW w:w="3360" w:type="dxa"/>
            <w:vAlign w:val="center"/>
          </w:tcPr>
          <w:p>
            <w:pPr>
              <w:jc w:val="center"/>
              <w:rPr>
                <w:szCs w:val="21"/>
              </w:rPr>
            </w:pPr>
            <w:r>
              <w:rPr>
                <w:rFonts w:hint="eastAsia"/>
                <w:szCs w:val="21"/>
              </w:rPr>
              <w:t>森林土壤渗滤率的测定 LY/T1218-1999</w:t>
            </w:r>
          </w:p>
        </w:tc>
        <w:tc>
          <w:tcPr>
            <w:tcW w:w="1770" w:type="dxa"/>
            <w:vAlign w:val="center"/>
          </w:tcPr>
          <w:p>
            <w:pPr>
              <w:jc w:val="center"/>
              <w:rPr>
                <w:szCs w:val="21"/>
              </w:rPr>
            </w:pPr>
            <w:r>
              <w:rPr>
                <w:rFonts w:hint="eastAsia"/>
                <w:szCs w:val="21"/>
              </w:rPr>
              <w:t>/</w:t>
            </w:r>
          </w:p>
        </w:tc>
        <w:tc>
          <w:tcPr>
            <w:tcW w:w="1280" w:type="dxa"/>
            <w:vAlign w:val="center"/>
          </w:tcPr>
          <w:p>
            <w:pPr>
              <w:jc w:val="center"/>
              <w:rPr>
                <w:szCs w:val="21"/>
              </w:rPr>
            </w:pPr>
            <w:r>
              <w:rPr>
                <w:rFonts w:hint="eastAsia"/>
                <w:szCs w:val="21"/>
              </w:rPr>
              <w:t>/</w:t>
            </w:r>
          </w:p>
        </w:tc>
        <w:tc>
          <w:tcPr>
            <w:tcW w:w="1172" w:type="dxa"/>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土壤容重</w:t>
            </w:r>
          </w:p>
        </w:tc>
        <w:tc>
          <w:tcPr>
            <w:tcW w:w="3360" w:type="dxa"/>
            <w:vAlign w:val="center"/>
          </w:tcPr>
          <w:p>
            <w:pPr>
              <w:jc w:val="center"/>
              <w:rPr>
                <w:szCs w:val="21"/>
              </w:rPr>
            </w:pPr>
            <w:r>
              <w:rPr>
                <w:szCs w:val="21"/>
              </w:rPr>
              <w:t>土壤检测 第4部分：土壤容重的测定</w:t>
            </w:r>
            <w:r>
              <w:rPr>
                <w:rFonts w:hint="eastAsia"/>
                <w:szCs w:val="21"/>
              </w:rPr>
              <w:t xml:space="preserve"> </w:t>
            </w:r>
            <w:r>
              <w:rPr>
                <w:szCs w:val="21"/>
              </w:rPr>
              <w:t>NY/T 1121.4-2006</w:t>
            </w:r>
          </w:p>
        </w:tc>
        <w:tc>
          <w:tcPr>
            <w:tcW w:w="1770" w:type="dxa"/>
            <w:vAlign w:val="center"/>
          </w:tcPr>
          <w:p>
            <w:pPr>
              <w:jc w:val="center"/>
              <w:rPr>
                <w:szCs w:val="21"/>
              </w:rPr>
            </w:pPr>
            <w:r>
              <w:rPr>
                <w:rFonts w:hint="eastAsia"/>
                <w:szCs w:val="21"/>
              </w:rPr>
              <w:t>电子天平(百分之一)YP1002N</w:t>
            </w:r>
          </w:p>
        </w:tc>
        <w:tc>
          <w:tcPr>
            <w:tcW w:w="1280" w:type="dxa"/>
            <w:vAlign w:val="center"/>
          </w:tcPr>
          <w:p>
            <w:pPr>
              <w:jc w:val="center"/>
              <w:rPr>
                <w:szCs w:val="21"/>
              </w:rPr>
            </w:pPr>
            <w:r>
              <w:rPr>
                <w:szCs w:val="21"/>
              </w:rPr>
              <w:t>XSJS/YQ-2</w:t>
            </w:r>
            <w:r>
              <w:rPr>
                <w:rFonts w:hint="eastAsia"/>
                <w:szCs w:val="21"/>
              </w:rPr>
              <w:t>7</w:t>
            </w:r>
          </w:p>
        </w:tc>
        <w:tc>
          <w:tcPr>
            <w:tcW w:w="1172" w:type="dxa"/>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总孔隙度</w:t>
            </w:r>
          </w:p>
        </w:tc>
        <w:tc>
          <w:tcPr>
            <w:tcW w:w="3360" w:type="dxa"/>
            <w:vAlign w:val="center"/>
          </w:tcPr>
          <w:p>
            <w:pPr>
              <w:jc w:val="center"/>
              <w:rPr>
                <w:szCs w:val="21"/>
              </w:rPr>
            </w:pPr>
            <w:r>
              <w:rPr>
                <w:rFonts w:hint="eastAsia"/>
                <w:szCs w:val="21"/>
              </w:rPr>
              <w:t>森林土壤水分-物理性质的测定LY/T1215-1999</w:t>
            </w:r>
          </w:p>
        </w:tc>
        <w:tc>
          <w:tcPr>
            <w:tcW w:w="1770" w:type="dxa"/>
            <w:vAlign w:val="center"/>
          </w:tcPr>
          <w:p>
            <w:pPr>
              <w:jc w:val="center"/>
              <w:rPr>
                <w:szCs w:val="21"/>
              </w:rPr>
            </w:pPr>
            <w:r>
              <w:rPr>
                <w:rFonts w:hint="eastAsia"/>
                <w:szCs w:val="21"/>
              </w:rPr>
              <w:t>电子天平(百分之一)YP1002N</w:t>
            </w:r>
          </w:p>
        </w:tc>
        <w:tc>
          <w:tcPr>
            <w:tcW w:w="1280" w:type="dxa"/>
            <w:vAlign w:val="center"/>
          </w:tcPr>
          <w:p>
            <w:pPr>
              <w:jc w:val="center"/>
              <w:rPr>
                <w:szCs w:val="21"/>
              </w:rPr>
            </w:pPr>
            <w:r>
              <w:rPr>
                <w:szCs w:val="21"/>
              </w:rPr>
              <w:t>XSJS/YQ-2</w:t>
            </w:r>
            <w:r>
              <w:rPr>
                <w:rFonts w:hint="eastAsia"/>
                <w:szCs w:val="21"/>
              </w:rPr>
              <w:t>7</w:t>
            </w:r>
          </w:p>
        </w:tc>
        <w:tc>
          <w:tcPr>
            <w:tcW w:w="1172" w:type="dxa"/>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汞</w:t>
            </w:r>
          </w:p>
        </w:tc>
        <w:tc>
          <w:tcPr>
            <w:tcW w:w="3360" w:type="dxa"/>
            <w:vAlign w:val="center"/>
          </w:tcPr>
          <w:p>
            <w:pPr>
              <w:jc w:val="center"/>
              <w:rPr>
                <w:szCs w:val="21"/>
              </w:rPr>
            </w:pPr>
            <w:r>
              <w:rPr>
                <w:szCs w:val="21"/>
              </w:rPr>
              <w:t xml:space="preserve"> 土壤和沉积物 汞、砷、硒、铋、锑的测定  微波消解</w:t>
            </w:r>
            <w:r>
              <w:rPr>
                <w:rFonts w:hint="eastAsia"/>
                <w:szCs w:val="21"/>
              </w:rPr>
              <w:t>/</w:t>
            </w:r>
            <w:r>
              <w:rPr>
                <w:szCs w:val="21"/>
              </w:rPr>
              <w:t>原子荧光法</w:t>
            </w:r>
          </w:p>
          <w:p>
            <w:pPr>
              <w:jc w:val="center"/>
              <w:rPr>
                <w:szCs w:val="21"/>
              </w:rPr>
            </w:pPr>
            <w:r>
              <w:rPr>
                <w:szCs w:val="21"/>
              </w:rPr>
              <w:t>HJ 680-2013</w:t>
            </w:r>
          </w:p>
        </w:tc>
        <w:tc>
          <w:tcPr>
            <w:tcW w:w="1770" w:type="dxa"/>
            <w:vAlign w:val="center"/>
          </w:tcPr>
          <w:p>
            <w:pPr>
              <w:jc w:val="center"/>
              <w:rPr>
                <w:szCs w:val="21"/>
              </w:rPr>
            </w:pPr>
            <w:r>
              <w:rPr>
                <w:szCs w:val="21"/>
              </w:rPr>
              <w:t>原子荧光光度计 AFS-230E</w:t>
            </w:r>
          </w:p>
        </w:tc>
        <w:tc>
          <w:tcPr>
            <w:tcW w:w="1280" w:type="dxa"/>
            <w:vAlign w:val="center"/>
          </w:tcPr>
          <w:p>
            <w:pPr>
              <w:jc w:val="center"/>
              <w:rPr>
                <w:szCs w:val="21"/>
              </w:rPr>
            </w:pPr>
            <w:r>
              <w:rPr>
                <w:szCs w:val="21"/>
              </w:rPr>
              <w:t>XSJS/YQ-0</w:t>
            </w:r>
            <w:r>
              <w:rPr>
                <w:rFonts w:hint="eastAsia"/>
                <w:szCs w:val="21"/>
              </w:rPr>
              <w:t>1</w:t>
            </w:r>
          </w:p>
        </w:tc>
        <w:tc>
          <w:tcPr>
            <w:tcW w:w="1172" w:type="dxa"/>
            <w:vAlign w:val="center"/>
          </w:tcPr>
          <w:p>
            <w:pPr>
              <w:jc w:val="center"/>
              <w:rPr>
                <w:szCs w:val="21"/>
              </w:rPr>
            </w:pPr>
            <w:r>
              <w:rPr>
                <w:szCs w:val="21"/>
              </w:rPr>
              <w:t>0.002mg/kg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砷</w:t>
            </w:r>
          </w:p>
        </w:tc>
        <w:tc>
          <w:tcPr>
            <w:tcW w:w="3360" w:type="dxa"/>
            <w:vAlign w:val="center"/>
          </w:tcPr>
          <w:p>
            <w:pPr>
              <w:jc w:val="center"/>
              <w:rPr>
                <w:szCs w:val="21"/>
              </w:rPr>
            </w:pPr>
            <w:r>
              <w:rPr>
                <w:szCs w:val="21"/>
              </w:rPr>
              <w:t xml:space="preserve"> 土壤和沉积物 汞、砷、硒、铋、锑的测定  微波消解</w:t>
            </w:r>
            <w:r>
              <w:rPr>
                <w:rFonts w:hint="eastAsia"/>
                <w:szCs w:val="21"/>
              </w:rPr>
              <w:t>/</w:t>
            </w:r>
            <w:r>
              <w:rPr>
                <w:szCs w:val="21"/>
              </w:rPr>
              <w:t>原子荧光法</w:t>
            </w:r>
          </w:p>
          <w:p>
            <w:pPr>
              <w:jc w:val="center"/>
              <w:rPr>
                <w:szCs w:val="21"/>
              </w:rPr>
            </w:pPr>
            <w:r>
              <w:rPr>
                <w:szCs w:val="21"/>
              </w:rPr>
              <w:t>HJ 680-2013</w:t>
            </w:r>
          </w:p>
        </w:tc>
        <w:tc>
          <w:tcPr>
            <w:tcW w:w="1770" w:type="dxa"/>
            <w:vAlign w:val="center"/>
          </w:tcPr>
          <w:p>
            <w:pPr>
              <w:jc w:val="center"/>
              <w:rPr>
                <w:szCs w:val="21"/>
              </w:rPr>
            </w:pPr>
            <w:r>
              <w:rPr>
                <w:szCs w:val="21"/>
              </w:rPr>
              <w:t>原子荧光光度计 AFS-230E</w:t>
            </w:r>
          </w:p>
        </w:tc>
        <w:tc>
          <w:tcPr>
            <w:tcW w:w="1280" w:type="dxa"/>
            <w:vAlign w:val="center"/>
          </w:tcPr>
          <w:p>
            <w:pPr>
              <w:jc w:val="center"/>
              <w:rPr>
                <w:szCs w:val="21"/>
              </w:rPr>
            </w:pPr>
            <w:r>
              <w:rPr>
                <w:szCs w:val="21"/>
              </w:rPr>
              <w:t>XSJS/YQ-0</w:t>
            </w:r>
            <w:r>
              <w:rPr>
                <w:rFonts w:hint="eastAsia"/>
                <w:szCs w:val="21"/>
              </w:rPr>
              <w:t>1</w:t>
            </w:r>
          </w:p>
        </w:tc>
        <w:tc>
          <w:tcPr>
            <w:tcW w:w="1172" w:type="dxa"/>
            <w:vAlign w:val="center"/>
          </w:tcPr>
          <w:p>
            <w:pPr>
              <w:jc w:val="center"/>
              <w:rPr>
                <w:szCs w:val="21"/>
              </w:rPr>
            </w:pPr>
            <w:r>
              <w:rPr>
                <w:szCs w:val="21"/>
              </w:rPr>
              <w:t>0.01mg/kg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镉</w:t>
            </w:r>
          </w:p>
        </w:tc>
        <w:tc>
          <w:tcPr>
            <w:tcW w:w="3360" w:type="dxa"/>
            <w:vAlign w:val="center"/>
          </w:tcPr>
          <w:p>
            <w:pPr>
              <w:jc w:val="center"/>
              <w:rPr>
                <w:szCs w:val="21"/>
              </w:rPr>
            </w:pPr>
            <w:r>
              <w:rPr>
                <w:szCs w:val="21"/>
              </w:rPr>
              <w:t xml:space="preserve"> 土壤质量 铅、镉的测定 KI-MIBK萃取火焰原子吸收分光光度法</w:t>
            </w:r>
          </w:p>
          <w:p>
            <w:pPr>
              <w:jc w:val="center"/>
              <w:rPr>
                <w:szCs w:val="21"/>
              </w:rPr>
            </w:pPr>
            <w:r>
              <w:rPr>
                <w:szCs w:val="21"/>
              </w:rPr>
              <w:t>GB</w:t>
            </w:r>
            <w:r>
              <w:rPr>
                <w:rFonts w:hint="eastAsia"/>
                <w:szCs w:val="21"/>
              </w:rPr>
              <w:t>/</w:t>
            </w:r>
            <w:r>
              <w:rPr>
                <w:szCs w:val="21"/>
              </w:rPr>
              <w:t>T 17140-1997</w:t>
            </w:r>
          </w:p>
        </w:tc>
        <w:tc>
          <w:tcPr>
            <w:tcW w:w="1770" w:type="dxa"/>
            <w:vAlign w:val="center"/>
          </w:tcPr>
          <w:p>
            <w:pPr>
              <w:jc w:val="center"/>
              <w:rPr>
                <w:szCs w:val="21"/>
              </w:rPr>
            </w:pPr>
            <w:r>
              <w:rPr>
                <w:szCs w:val="21"/>
              </w:rPr>
              <w:t xml:space="preserve">石墨炉/火焰原子吸收分光光度计 GGX-830 </w:t>
            </w:r>
          </w:p>
        </w:tc>
        <w:tc>
          <w:tcPr>
            <w:tcW w:w="1280" w:type="dxa"/>
            <w:vAlign w:val="center"/>
          </w:tcPr>
          <w:p>
            <w:pPr>
              <w:jc w:val="center"/>
              <w:rPr>
                <w:szCs w:val="21"/>
              </w:rPr>
            </w:pPr>
            <w:r>
              <w:rPr>
                <w:szCs w:val="21"/>
              </w:rPr>
              <w:t>XSJS/YQ-04</w:t>
            </w:r>
          </w:p>
        </w:tc>
        <w:tc>
          <w:tcPr>
            <w:tcW w:w="1172" w:type="dxa"/>
            <w:vAlign w:val="center"/>
          </w:tcPr>
          <w:p>
            <w:pPr>
              <w:pStyle w:val="53"/>
              <w:adjustRightIn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0.05mg/kg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铜</w:t>
            </w:r>
          </w:p>
        </w:tc>
        <w:tc>
          <w:tcPr>
            <w:tcW w:w="3360" w:type="dxa"/>
            <w:vAlign w:val="center"/>
          </w:tcPr>
          <w:p>
            <w:pPr>
              <w:jc w:val="center"/>
              <w:rPr>
                <w:szCs w:val="21"/>
              </w:rPr>
            </w:pPr>
            <w:r>
              <w:rPr>
                <w:szCs w:val="21"/>
              </w:rPr>
              <w:t>土壤和沉积物 铜、锌、铅、镍、铬的测定 火焰原子吸收分光光度法</w:t>
            </w:r>
          </w:p>
          <w:p>
            <w:pPr>
              <w:jc w:val="center"/>
              <w:rPr>
                <w:szCs w:val="21"/>
              </w:rPr>
            </w:pPr>
            <w:r>
              <w:rPr>
                <w:szCs w:val="21"/>
              </w:rPr>
              <w:t xml:space="preserve">HJ 491-2019 </w:t>
            </w:r>
          </w:p>
        </w:tc>
        <w:tc>
          <w:tcPr>
            <w:tcW w:w="1770" w:type="dxa"/>
            <w:vAlign w:val="center"/>
          </w:tcPr>
          <w:p>
            <w:pPr>
              <w:jc w:val="center"/>
              <w:rPr>
                <w:szCs w:val="21"/>
              </w:rPr>
            </w:pPr>
            <w:r>
              <w:rPr>
                <w:szCs w:val="21"/>
              </w:rPr>
              <w:t xml:space="preserve">石墨炉/火焰原子吸收分光光度计 GGX-830 </w:t>
            </w:r>
          </w:p>
        </w:tc>
        <w:tc>
          <w:tcPr>
            <w:tcW w:w="1280" w:type="dxa"/>
            <w:vAlign w:val="center"/>
          </w:tcPr>
          <w:p>
            <w:pPr>
              <w:jc w:val="center"/>
              <w:rPr>
                <w:szCs w:val="21"/>
              </w:rPr>
            </w:pPr>
            <w:r>
              <w:rPr>
                <w:szCs w:val="21"/>
              </w:rPr>
              <w:t>XSJS/YQ-04</w:t>
            </w:r>
          </w:p>
        </w:tc>
        <w:tc>
          <w:tcPr>
            <w:tcW w:w="1172" w:type="dxa"/>
            <w:vAlign w:val="center"/>
          </w:tcPr>
          <w:p>
            <w:pPr>
              <w:pStyle w:val="53"/>
              <w:adjustRightInd w:val="0"/>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铅</w:t>
            </w:r>
          </w:p>
        </w:tc>
        <w:tc>
          <w:tcPr>
            <w:tcW w:w="3360" w:type="dxa"/>
            <w:vAlign w:val="center"/>
          </w:tcPr>
          <w:p>
            <w:pPr>
              <w:jc w:val="center"/>
              <w:rPr>
                <w:szCs w:val="21"/>
              </w:rPr>
            </w:pPr>
            <w:r>
              <w:rPr>
                <w:szCs w:val="21"/>
              </w:rPr>
              <w:t>土壤和沉积物 铜、锌、铅、镍、铬的测定 火焰原子吸收分光光度法</w:t>
            </w:r>
          </w:p>
          <w:p>
            <w:pPr>
              <w:jc w:val="center"/>
              <w:rPr>
                <w:szCs w:val="21"/>
              </w:rPr>
            </w:pPr>
            <w:r>
              <w:rPr>
                <w:szCs w:val="21"/>
              </w:rPr>
              <w:t xml:space="preserve">HJ 491-2019 </w:t>
            </w:r>
          </w:p>
        </w:tc>
        <w:tc>
          <w:tcPr>
            <w:tcW w:w="1770" w:type="dxa"/>
            <w:vAlign w:val="center"/>
          </w:tcPr>
          <w:p>
            <w:pPr>
              <w:jc w:val="center"/>
              <w:rPr>
                <w:szCs w:val="21"/>
              </w:rPr>
            </w:pPr>
            <w:r>
              <w:rPr>
                <w:szCs w:val="21"/>
              </w:rPr>
              <w:t xml:space="preserve">石墨炉/火焰原子吸收分光光度计 GGX-830 </w:t>
            </w:r>
          </w:p>
        </w:tc>
        <w:tc>
          <w:tcPr>
            <w:tcW w:w="1280" w:type="dxa"/>
            <w:vAlign w:val="center"/>
          </w:tcPr>
          <w:p>
            <w:pPr>
              <w:jc w:val="center"/>
              <w:rPr>
                <w:szCs w:val="21"/>
              </w:rPr>
            </w:pPr>
            <w:r>
              <w:rPr>
                <w:szCs w:val="21"/>
              </w:rPr>
              <w:t>XSJS/YQ-04</w:t>
            </w:r>
          </w:p>
        </w:tc>
        <w:tc>
          <w:tcPr>
            <w:tcW w:w="1172" w:type="dxa"/>
            <w:vAlign w:val="center"/>
          </w:tcPr>
          <w:p>
            <w:pPr>
              <w:jc w:val="center"/>
              <w:rPr>
                <w:szCs w:val="21"/>
              </w:rPr>
            </w:pPr>
            <w:r>
              <w:rPr>
                <w:szCs w:val="21"/>
              </w:rPr>
              <w:t>10mg/kg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六价铬</w:t>
            </w:r>
          </w:p>
        </w:tc>
        <w:tc>
          <w:tcPr>
            <w:tcW w:w="3360" w:type="dxa"/>
            <w:vAlign w:val="center"/>
          </w:tcPr>
          <w:p>
            <w:pPr>
              <w:jc w:val="center"/>
              <w:rPr>
                <w:szCs w:val="21"/>
              </w:rPr>
            </w:pPr>
            <w:r>
              <w:rPr>
                <w:rFonts w:hint="eastAsia"/>
                <w:szCs w:val="21"/>
              </w:rPr>
              <w:t>土壤和沉积物 六价铬的测定 碱溶液提取-火焰</w:t>
            </w:r>
            <w:r>
              <w:rPr>
                <w:szCs w:val="21"/>
              </w:rPr>
              <w:t>原子吸收分光光度</w:t>
            </w:r>
            <w:r>
              <w:rPr>
                <w:rFonts w:hint="eastAsia"/>
                <w:szCs w:val="21"/>
              </w:rPr>
              <w:t>法HJ1082-2019</w:t>
            </w:r>
          </w:p>
        </w:tc>
        <w:tc>
          <w:tcPr>
            <w:tcW w:w="1770" w:type="dxa"/>
            <w:vAlign w:val="center"/>
          </w:tcPr>
          <w:p>
            <w:pPr>
              <w:jc w:val="center"/>
              <w:rPr>
                <w:szCs w:val="21"/>
              </w:rPr>
            </w:pPr>
            <w:r>
              <w:rPr>
                <w:szCs w:val="21"/>
              </w:rPr>
              <w:t xml:space="preserve">石墨炉/火焰原子吸收分光光度计 GGX-830 </w:t>
            </w:r>
          </w:p>
        </w:tc>
        <w:tc>
          <w:tcPr>
            <w:tcW w:w="1280" w:type="dxa"/>
            <w:vAlign w:val="center"/>
          </w:tcPr>
          <w:p>
            <w:pPr>
              <w:jc w:val="center"/>
              <w:rPr>
                <w:szCs w:val="21"/>
              </w:rPr>
            </w:pPr>
            <w:r>
              <w:rPr>
                <w:szCs w:val="21"/>
              </w:rPr>
              <w:t>XSJS/YQ-04</w:t>
            </w:r>
          </w:p>
        </w:tc>
        <w:tc>
          <w:tcPr>
            <w:tcW w:w="1172" w:type="dxa"/>
            <w:vAlign w:val="center"/>
          </w:tcPr>
          <w:p>
            <w:pPr>
              <w:adjustRightInd w:val="0"/>
              <w:snapToGrid w:val="0"/>
              <w:jc w:val="center"/>
              <w:rPr>
                <w:szCs w:val="21"/>
              </w:rPr>
            </w:pPr>
            <w:r>
              <w:rPr>
                <w:rFonts w:hint="eastAsia"/>
                <w:szCs w:val="21"/>
              </w:rPr>
              <w:t>0.5mg/kg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镍</w:t>
            </w:r>
          </w:p>
        </w:tc>
        <w:tc>
          <w:tcPr>
            <w:tcW w:w="3360" w:type="dxa"/>
            <w:vAlign w:val="center"/>
          </w:tcPr>
          <w:p>
            <w:pPr>
              <w:jc w:val="center"/>
              <w:rPr>
                <w:szCs w:val="21"/>
              </w:rPr>
            </w:pPr>
            <w:r>
              <w:rPr>
                <w:szCs w:val="21"/>
              </w:rPr>
              <w:t>土壤和沉积物 铜、锌、铅、镍、铬的测定 火焰原子吸收分光光度法</w:t>
            </w:r>
          </w:p>
          <w:p>
            <w:pPr>
              <w:jc w:val="center"/>
              <w:rPr>
                <w:szCs w:val="21"/>
              </w:rPr>
            </w:pPr>
            <w:r>
              <w:rPr>
                <w:szCs w:val="21"/>
              </w:rPr>
              <w:t xml:space="preserve">HJ 491-2019 </w:t>
            </w:r>
          </w:p>
        </w:tc>
        <w:tc>
          <w:tcPr>
            <w:tcW w:w="1770" w:type="dxa"/>
            <w:vAlign w:val="center"/>
          </w:tcPr>
          <w:p>
            <w:pPr>
              <w:jc w:val="center"/>
              <w:rPr>
                <w:szCs w:val="21"/>
              </w:rPr>
            </w:pPr>
            <w:r>
              <w:rPr>
                <w:szCs w:val="21"/>
              </w:rPr>
              <w:t xml:space="preserve">石墨炉/火焰原子吸收分光光度计 GGX-830 </w:t>
            </w:r>
          </w:p>
        </w:tc>
        <w:tc>
          <w:tcPr>
            <w:tcW w:w="1280" w:type="dxa"/>
            <w:vAlign w:val="center"/>
          </w:tcPr>
          <w:p>
            <w:pPr>
              <w:jc w:val="center"/>
              <w:rPr>
                <w:szCs w:val="21"/>
              </w:rPr>
            </w:pPr>
            <w:r>
              <w:rPr>
                <w:szCs w:val="21"/>
              </w:rPr>
              <w:t>XSJS/YQ-04</w:t>
            </w:r>
          </w:p>
        </w:tc>
        <w:tc>
          <w:tcPr>
            <w:tcW w:w="1172" w:type="dxa"/>
            <w:vAlign w:val="center"/>
          </w:tcPr>
          <w:p>
            <w:pPr>
              <w:jc w:val="center"/>
              <w:rPr>
                <w:szCs w:val="21"/>
              </w:rPr>
            </w:pPr>
            <w:r>
              <w:rPr>
                <w:szCs w:val="21"/>
              </w:rPr>
              <w:t>3mg/kg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1.5μg/kg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1,1-二氯乙烯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0.8μg/kg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二氯甲烷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2.6μg/kg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反-1,2-二氯乙烯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0.9μg/kg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1,1-二氯乙烷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1.6μg/kg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顺-1,2-二氯乙烯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0.9μg/kg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氯仿</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1.5μg/kg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1,1,1-三氯乙烷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1.1μg/kg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四氯化碳</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2.1μg/kg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 xml:space="preserve">1,2-二氯乙烷 </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1.3μg/kg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1.6μg/kg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三氯乙烯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0.9μg/kg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1,2-二氯丙烷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1.9μg/kg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 xml:space="preserve">甲苯 </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rFonts w:hint="eastAsia"/>
                <w:szCs w:val="21"/>
              </w:rPr>
              <w:t>2.0</w:t>
            </w:r>
            <w:r>
              <w:rPr>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1,1,2-三氯乙烷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1.4μg/kg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四氯乙烯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0.8μg/kg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氯苯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1.1μg/kg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1,1,1,2-四氯乙烷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1.0μg/kg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乙苯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1.2μg/kg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间,对-二甲苯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3.6μg/kg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 xml:space="preserve">邻-二甲苯 </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1.3μg/kg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苯乙烯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1.6μg/kg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1,1,2,2-四氯乙烷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1.0μg/kg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1,2,3-三氯丙烷</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1.0μg/kg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1,4-二氯苯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1.2μg/kg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1,2-二氯苯</w:t>
            </w:r>
          </w:p>
        </w:tc>
        <w:tc>
          <w:tcPr>
            <w:tcW w:w="3360" w:type="dxa"/>
            <w:vAlign w:val="center"/>
          </w:tcPr>
          <w:p>
            <w:pPr>
              <w:jc w:val="center"/>
              <w:rPr>
                <w:szCs w:val="21"/>
              </w:rPr>
            </w:pPr>
            <w:r>
              <w:rPr>
                <w:szCs w:val="21"/>
              </w:rPr>
              <w:t>土壤和沉积物 挥发性有机物的测定 顶空/气相色谱-质谱法HJ 642-2013</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1.0μg/kg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 xml:space="preserve">氯甲烷 </w:t>
            </w:r>
          </w:p>
        </w:tc>
        <w:tc>
          <w:tcPr>
            <w:tcW w:w="3360" w:type="dxa"/>
            <w:vAlign w:val="center"/>
          </w:tcPr>
          <w:p>
            <w:pPr>
              <w:jc w:val="center"/>
              <w:rPr>
                <w:szCs w:val="21"/>
              </w:rPr>
            </w:pPr>
            <w:r>
              <w:rPr>
                <w:szCs w:val="21"/>
              </w:rPr>
              <w:t>土壤和沉积物 挥发性卤代烃的测定 顶空/气相色谱-质谱法HJ736-2015</w:t>
            </w:r>
          </w:p>
        </w:tc>
        <w:tc>
          <w:tcPr>
            <w:tcW w:w="1770" w:type="dxa"/>
            <w:vAlign w:val="center"/>
          </w:tcPr>
          <w:p>
            <w:pPr>
              <w:adjustRightInd w:val="0"/>
              <w:snapToGrid w:val="0"/>
              <w:jc w:val="center"/>
              <w:rPr>
                <w:szCs w:val="21"/>
              </w:rPr>
            </w:pPr>
            <w:r>
              <w:rPr>
                <w:szCs w:val="21"/>
              </w:rPr>
              <w:t>气相色谱-质谱联用仪GCMS-QP2010SE</w:t>
            </w:r>
          </w:p>
        </w:tc>
        <w:tc>
          <w:tcPr>
            <w:tcW w:w="1280" w:type="dxa"/>
            <w:vAlign w:val="center"/>
          </w:tcPr>
          <w:p>
            <w:pPr>
              <w:adjustRightInd w:val="0"/>
              <w:snapToGrid w:val="0"/>
              <w:jc w:val="center"/>
              <w:rPr>
                <w:szCs w:val="21"/>
              </w:rPr>
            </w:pPr>
            <w:r>
              <w:rPr>
                <w:szCs w:val="21"/>
              </w:rPr>
              <w:t>XSJS/YQ-73</w:t>
            </w:r>
          </w:p>
        </w:tc>
        <w:tc>
          <w:tcPr>
            <w:tcW w:w="1172" w:type="dxa"/>
            <w:vAlign w:val="center"/>
          </w:tcPr>
          <w:p>
            <w:pPr>
              <w:jc w:val="center"/>
              <w:rPr>
                <w:szCs w:val="21"/>
              </w:rPr>
            </w:pPr>
            <w:r>
              <w:rPr>
                <w:szCs w:val="21"/>
              </w:rPr>
              <w:t>3</w:t>
            </w:r>
            <w:r>
              <w:rPr>
                <w:rFonts w:hint="eastAsia"/>
                <w:szCs w:val="21"/>
              </w:rPr>
              <w:t>.0</w:t>
            </w:r>
            <w:r>
              <w:rPr>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硝基苯</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0.09mg/kg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苯胺</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rFonts w:hint="eastAsia"/>
                <w:szCs w:val="21"/>
              </w:rPr>
              <w:t>3.78</w:t>
            </w:r>
            <w:r>
              <w:rPr>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2-氯</w:t>
            </w:r>
            <w:r>
              <w:rPr>
                <w:rFonts w:hint="eastAsia"/>
                <w:szCs w:val="21"/>
              </w:rPr>
              <w:t>苯</w:t>
            </w:r>
            <w:r>
              <w:rPr>
                <w:szCs w:val="21"/>
              </w:rPr>
              <w:t>酚</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rFonts w:hint="eastAsia"/>
                <w:szCs w:val="21"/>
              </w:rPr>
              <w:t>0.06</w:t>
            </w:r>
            <w:r>
              <w:rPr>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苯并[a]蒽</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 xml:space="preserve">苯并[a]芘 </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苯并[b]荧蒽</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0.2mg/kg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苯并[k]荧蒽</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䓛</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二苯并[a,h]蒽</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szCs w:val="21"/>
              </w:rPr>
              <w:t>茚并[1,2,3-cd]芘</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rFonts w:hint="eastAsia"/>
                <w:szCs w:val="21"/>
              </w:rPr>
              <w:t>0.1</w:t>
            </w:r>
            <w:r>
              <w:rPr>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450" w:type="dxa"/>
            <w:vAlign w:val="center"/>
          </w:tcPr>
          <w:p>
            <w:pPr>
              <w:jc w:val="center"/>
              <w:rPr>
                <w:szCs w:val="21"/>
              </w:rPr>
            </w:pPr>
            <w:r>
              <w:rPr>
                <w:rFonts w:hint="eastAsia"/>
                <w:szCs w:val="21"/>
              </w:rPr>
              <w:t xml:space="preserve">萘 </w:t>
            </w:r>
          </w:p>
        </w:tc>
        <w:tc>
          <w:tcPr>
            <w:tcW w:w="3360" w:type="dxa"/>
            <w:vAlign w:val="center"/>
          </w:tcPr>
          <w:p>
            <w:pPr>
              <w:jc w:val="center"/>
              <w:rPr>
                <w:szCs w:val="21"/>
              </w:rPr>
            </w:pPr>
            <w:r>
              <w:rPr>
                <w:szCs w:val="21"/>
              </w:rPr>
              <w:t>土壤和沉积物 半挥发性有机物的测定 气相色谱 -质谱法HJ 834-2017</w:t>
            </w:r>
          </w:p>
        </w:tc>
        <w:tc>
          <w:tcPr>
            <w:tcW w:w="1770" w:type="dxa"/>
            <w:vAlign w:val="center"/>
          </w:tcPr>
          <w:p>
            <w:pPr>
              <w:adjustRightInd w:val="0"/>
              <w:snapToGrid w:val="0"/>
              <w:jc w:val="center"/>
              <w:rPr>
                <w:szCs w:val="21"/>
              </w:rPr>
            </w:pPr>
            <w:r>
              <w:rPr>
                <w:szCs w:val="21"/>
              </w:rPr>
              <w:t>气相色谱-质谱联用仪QP-2010</w:t>
            </w:r>
          </w:p>
        </w:tc>
        <w:tc>
          <w:tcPr>
            <w:tcW w:w="1280" w:type="dxa"/>
            <w:vAlign w:val="center"/>
          </w:tcPr>
          <w:p>
            <w:pPr>
              <w:adjustRightInd w:val="0"/>
              <w:snapToGrid w:val="0"/>
              <w:jc w:val="center"/>
              <w:rPr>
                <w:szCs w:val="21"/>
              </w:rPr>
            </w:pPr>
            <w:r>
              <w:rPr>
                <w:szCs w:val="21"/>
              </w:rPr>
              <w:t>XSJS/YQ-</w:t>
            </w:r>
            <w:r>
              <w:rPr>
                <w:rFonts w:hint="eastAsia"/>
                <w:szCs w:val="21"/>
              </w:rPr>
              <w:t>179</w:t>
            </w:r>
          </w:p>
        </w:tc>
        <w:tc>
          <w:tcPr>
            <w:tcW w:w="1172" w:type="dxa"/>
            <w:vAlign w:val="center"/>
          </w:tcPr>
          <w:p>
            <w:pPr>
              <w:jc w:val="center"/>
              <w:rPr>
                <w:szCs w:val="21"/>
              </w:rPr>
            </w:pPr>
            <w:r>
              <w:rPr>
                <w:szCs w:val="21"/>
              </w:rPr>
              <w:t>0.</w:t>
            </w:r>
            <w:r>
              <w:rPr>
                <w:rFonts w:hint="eastAsia"/>
                <w:szCs w:val="21"/>
              </w:rPr>
              <w:t>09</w:t>
            </w:r>
            <w:r>
              <w:rPr>
                <w:szCs w:val="21"/>
              </w:rPr>
              <w:t>mg/kg</w:t>
            </w:r>
          </w:p>
        </w:tc>
      </w:tr>
    </w:tbl>
    <w:p>
      <w:pPr>
        <w:autoSpaceDE w:val="0"/>
        <w:autoSpaceDN w:val="0"/>
        <w:adjustRightInd w:val="0"/>
        <w:ind w:firstLine="420" w:firstLineChars="200"/>
        <w:rPr>
          <w:rFonts w:eastAsia="黑体"/>
          <w:szCs w:val="21"/>
        </w:rPr>
      </w:pP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5、评价方法</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评价方法采用标准指数法。</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计算公式为</w:t>
      </w:r>
    </w:p>
    <w:p>
      <w:pPr>
        <w:pStyle w:val="15"/>
        <w:ind w:firstLine="480" w:firstLineChars="200"/>
        <w:rPr>
          <w:rFonts w:ascii="Times New Roman" w:hAnsi="Times New Roman" w:cs="Times New Roman" w:eastAsiaTheme="minorEastAsia"/>
          <w:i/>
          <w:sz w:val="24"/>
        </w:rPr>
      </w:pPr>
      <m:oMathPara>
        <m:oMath>
          <m:sSub>
            <m:sSubPr>
              <m:ctrlPr>
                <w:rPr>
                  <w:rFonts w:ascii="Cambria Math" w:hAnsi="Cambria Math" w:cs="Times New Roman" w:eastAsiaTheme="minorEastAsia"/>
                  <w:i/>
                  <w:sz w:val="24"/>
                </w:rPr>
              </m:ctrlPr>
            </m:sSubPr>
            <m:e>
              <m:r>
                <m:rPr/>
                <w:rPr>
                  <w:rFonts w:ascii="Cambria Math" w:hAnsi="Cambria Math" w:cs="Times New Roman" w:eastAsiaTheme="minorEastAsia"/>
                  <w:sz w:val="24"/>
                </w:rPr>
                <m:t>P</m:t>
              </m:r>
              <m:ctrlPr>
                <w:rPr>
                  <w:rFonts w:ascii="Cambria Math" w:hAnsi="Cambria Math" w:cs="Times New Roman" w:eastAsiaTheme="minorEastAsia"/>
                  <w:i/>
                  <w:sz w:val="24"/>
                </w:rPr>
              </m:ctrlPr>
            </m:e>
            <m:sub>
              <m:r>
                <m:rPr/>
                <w:rPr>
                  <w:rFonts w:ascii="Cambria Math" w:hAnsi="Cambria Math" w:cs="Times New Roman" w:eastAsiaTheme="minorEastAsia"/>
                  <w:sz w:val="24"/>
                </w:rPr>
                <m:t>i</m:t>
              </m:r>
              <m:ctrlPr>
                <w:rPr>
                  <w:rFonts w:ascii="Cambria Math" w:hAnsi="Cambria Math" w:cs="Times New Roman" w:eastAsiaTheme="minorEastAsia"/>
                  <w:i/>
                  <w:sz w:val="24"/>
                </w:rPr>
              </m:ctrlPr>
            </m:sub>
          </m:sSub>
          <m:r>
            <m:rPr/>
            <w:rPr>
              <w:rFonts w:ascii="Cambria Math" w:hAnsi="Cambria Math" w:cs="Times New Roman" w:eastAsiaTheme="minorEastAsia"/>
              <w:sz w:val="24"/>
            </w:rPr>
            <m:t>=</m:t>
          </m:r>
          <m:f>
            <m:fPr>
              <m:ctrlPr>
                <w:rPr>
                  <w:rFonts w:ascii="Cambria Math" w:hAnsi="Cambria Math" w:cs="Times New Roman" w:eastAsiaTheme="minorEastAsia"/>
                  <w:i/>
                  <w:sz w:val="24"/>
                </w:rPr>
              </m:ctrlPr>
            </m:fPr>
            <m:num>
              <m:sSub>
                <m:sSubPr>
                  <m:ctrlPr>
                    <w:rPr>
                      <w:rFonts w:ascii="Cambria Math" w:hAnsi="Cambria Math" w:cs="Times New Roman" w:eastAsiaTheme="minorEastAsia"/>
                      <w:i/>
                      <w:sz w:val="24"/>
                    </w:rPr>
                  </m:ctrlPr>
                </m:sSubPr>
                <m:e>
                  <m:r>
                    <m:rPr/>
                    <w:rPr>
                      <w:rFonts w:ascii="Cambria Math" w:hAnsi="Cambria Math" w:cs="Times New Roman" w:eastAsiaTheme="minorEastAsia"/>
                      <w:sz w:val="24"/>
                    </w:rPr>
                    <m:t>C</m:t>
                  </m:r>
                  <m:ctrlPr>
                    <w:rPr>
                      <w:rFonts w:ascii="Cambria Math" w:hAnsi="Cambria Math" w:cs="Times New Roman" w:eastAsiaTheme="minorEastAsia"/>
                      <w:i/>
                      <w:sz w:val="24"/>
                    </w:rPr>
                  </m:ctrlPr>
                </m:e>
                <m:sub>
                  <m:r>
                    <m:rPr/>
                    <w:rPr>
                      <w:rFonts w:ascii="Cambria Math" w:hAnsi="Cambria Math" w:cs="Times New Roman" w:eastAsiaTheme="minorEastAsia"/>
                      <w:sz w:val="24"/>
                    </w:rPr>
                    <m:t>i</m:t>
                  </m:r>
                  <m:ctrlPr>
                    <w:rPr>
                      <w:rFonts w:ascii="Cambria Math" w:hAnsi="Cambria Math" w:cs="Times New Roman" w:eastAsiaTheme="minorEastAsia"/>
                      <w:i/>
                      <w:sz w:val="24"/>
                    </w:rPr>
                  </m:ctrlPr>
                </m:sub>
              </m:sSub>
              <m:ctrlPr>
                <w:rPr>
                  <w:rFonts w:ascii="Cambria Math" w:hAnsi="Cambria Math" w:cs="Times New Roman" w:eastAsiaTheme="minorEastAsia"/>
                  <w:i/>
                  <w:sz w:val="24"/>
                </w:rPr>
              </m:ctrlPr>
            </m:num>
            <m:den>
              <m:sSub>
                <m:sSubPr>
                  <m:ctrlPr>
                    <w:rPr>
                      <w:rFonts w:ascii="Cambria Math" w:hAnsi="Cambria Math" w:cs="Times New Roman" w:eastAsiaTheme="minorEastAsia"/>
                      <w:i/>
                      <w:sz w:val="24"/>
                    </w:rPr>
                  </m:ctrlPr>
                </m:sSubPr>
                <m:e>
                  <m:r>
                    <m:rPr/>
                    <w:rPr>
                      <w:rFonts w:ascii="Cambria Math" w:hAnsi="Cambria Math" w:cs="Times New Roman" w:eastAsiaTheme="minorEastAsia"/>
                      <w:sz w:val="24"/>
                    </w:rPr>
                    <m:t>C</m:t>
                  </m:r>
                  <m:ctrlPr>
                    <w:rPr>
                      <w:rFonts w:ascii="Cambria Math" w:hAnsi="Cambria Math" w:cs="Times New Roman" w:eastAsiaTheme="minorEastAsia"/>
                      <w:i/>
                      <w:sz w:val="24"/>
                    </w:rPr>
                  </m:ctrlPr>
                </m:e>
                <m:sub>
                  <m:r>
                    <m:rPr/>
                    <w:rPr>
                      <w:rFonts w:ascii="Cambria Math" w:hAnsi="Cambria Math" w:cs="Times New Roman" w:eastAsiaTheme="minorEastAsia"/>
                      <w:sz w:val="24"/>
                    </w:rPr>
                    <m:t>0i</m:t>
                  </m:r>
                  <m:ctrlPr>
                    <w:rPr>
                      <w:rFonts w:ascii="Cambria Math" w:hAnsi="Cambria Math" w:cs="Times New Roman" w:eastAsiaTheme="minorEastAsia"/>
                      <w:i/>
                      <w:sz w:val="24"/>
                    </w:rPr>
                  </m:ctrlPr>
                </m:sub>
              </m:sSub>
              <m:ctrlPr>
                <w:rPr>
                  <w:rFonts w:ascii="Cambria Math" w:hAnsi="Cambria Math" w:cs="Times New Roman" w:eastAsiaTheme="minorEastAsia"/>
                  <w:i/>
                  <w:sz w:val="24"/>
                </w:rPr>
              </m:ctrlPr>
            </m:den>
          </m:f>
        </m:oMath>
      </m:oMathPara>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式中：</w:t>
      </w:r>
      <w:r>
        <w:rPr>
          <w:rFonts w:ascii="Times New Roman" w:hAnsi="Times New Roman" w:cs="Times New Roman" w:eastAsiaTheme="minorEastAsia"/>
          <w:i/>
          <w:sz w:val="24"/>
        </w:rPr>
        <w:t>P</w:t>
      </w:r>
      <w:r>
        <w:rPr>
          <w:rFonts w:ascii="Times New Roman" w:hAnsi="Times New Roman" w:cs="Times New Roman" w:eastAsiaTheme="minorEastAsia"/>
          <w:i/>
          <w:sz w:val="24"/>
          <w:vertAlign w:val="subscript"/>
        </w:rPr>
        <w:t>i</w:t>
      </w:r>
      <w:r>
        <w:rPr>
          <w:rFonts w:ascii="Times New Roman" w:hAnsi="Times New Roman" w:cs="Times New Roman" w:eastAsiaTheme="minorEastAsia"/>
          <w:sz w:val="24"/>
        </w:rPr>
        <w:t>—i污染物标准指数；</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 xml:space="preserve">     </w:t>
      </w:r>
      <w:r>
        <w:rPr>
          <w:rFonts w:ascii="Times New Roman" w:hAnsi="Times New Roman" w:cs="Times New Roman" w:eastAsiaTheme="minorEastAsia"/>
          <w:i/>
          <w:sz w:val="24"/>
        </w:rPr>
        <w:t xml:space="preserve"> C</w:t>
      </w:r>
      <w:r>
        <w:rPr>
          <w:rFonts w:ascii="Times New Roman" w:hAnsi="Times New Roman" w:cs="Times New Roman" w:eastAsiaTheme="minorEastAsia"/>
          <w:i/>
          <w:sz w:val="24"/>
          <w:vertAlign w:val="subscript"/>
        </w:rPr>
        <w:t>i</w:t>
      </w:r>
      <w:r>
        <w:rPr>
          <w:rFonts w:ascii="Times New Roman" w:hAnsi="Times New Roman" w:cs="Times New Roman" w:eastAsiaTheme="minorEastAsia"/>
          <w:sz w:val="24"/>
        </w:rPr>
        <w:t>—i污染物的实测浓度均值 mg/kg；</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 xml:space="preserve">     </w:t>
      </w:r>
      <w:r>
        <w:rPr>
          <w:rFonts w:ascii="Times New Roman" w:hAnsi="Times New Roman" w:cs="Times New Roman" w:eastAsiaTheme="minorEastAsia"/>
          <w:i/>
          <w:sz w:val="24"/>
        </w:rPr>
        <w:t xml:space="preserve"> C</w:t>
      </w:r>
      <w:r>
        <w:rPr>
          <w:rFonts w:ascii="Times New Roman" w:hAnsi="Times New Roman" w:cs="Times New Roman" w:eastAsiaTheme="minorEastAsia"/>
          <w:i/>
          <w:sz w:val="24"/>
          <w:vertAlign w:val="subscript"/>
        </w:rPr>
        <w:t>0i</w:t>
      </w:r>
      <w:r>
        <w:rPr>
          <w:rFonts w:ascii="Times New Roman" w:hAnsi="Times New Roman" w:cs="Times New Roman" w:eastAsiaTheme="minorEastAsia"/>
          <w:sz w:val="24"/>
        </w:rPr>
        <w:t>—i污染物评价标准值 mg/kg；</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6、监测数据及评价结果</w:t>
      </w:r>
    </w:p>
    <w:p>
      <w:pPr>
        <w:pStyle w:val="15"/>
        <w:spacing w:line="46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项目区土壤监测数据及评价结果见表</w:t>
      </w:r>
      <w:r>
        <w:rPr>
          <w:rFonts w:hint="eastAsia" w:ascii="Times New Roman" w:hAnsi="Times New Roman" w:cs="Times New Roman" w:eastAsiaTheme="minorEastAsia"/>
          <w:sz w:val="24"/>
        </w:rPr>
        <w:t>5.3-13</w:t>
      </w:r>
      <w:r>
        <w:rPr>
          <w:rFonts w:ascii="Times New Roman" w:hAnsi="Times New Roman" w:cs="Times New Roman" w:eastAsiaTheme="minorEastAsia"/>
          <w:sz w:val="24"/>
        </w:rPr>
        <w:t>～表</w:t>
      </w:r>
      <w:r>
        <w:rPr>
          <w:rFonts w:hint="eastAsia" w:ascii="Times New Roman" w:hAnsi="Times New Roman" w:cs="Times New Roman" w:eastAsiaTheme="minorEastAsia"/>
          <w:sz w:val="24"/>
        </w:rPr>
        <w:t>5.3-14</w:t>
      </w:r>
      <w:r>
        <w:rPr>
          <w:rFonts w:ascii="Times New Roman" w:hAnsi="Times New Roman" w:cs="Times New Roman" w:eastAsiaTheme="minorEastAsia"/>
          <w:sz w:val="24"/>
        </w:rPr>
        <w:t>。</w:t>
      </w:r>
    </w:p>
    <w:p>
      <w:pPr>
        <w:autoSpaceDE w:val="0"/>
        <w:autoSpaceDN w:val="0"/>
        <w:adjustRightInd w:val="0"/>
        <w:ind w:firstLine="420" w:firstLineChars="200"/>
        <w:rPr>
          <w:rFonts w:eastAsia="黑体"/>
          <w:szCs w:val="21"/>
        </w:rPr>
      </w:pPr>
      <w:r>
        <w:rPr>
          <w:rFonts w:eastAsia="黑体"/>
          <w:szCs w:val="21"/>
        </w:rPr>
        <w:t>表</w:t>
      </w:r>
      <w:r>
        <w:rPr>
          <w:rFonts w:hint="eastAsia" w:eastAsia="黑体"/>
          <w:szCs w:val="21"/>
        </w:rPr>
        <w:t>5.3-13</w:t>
      </w:r>
      <w:r>
        <w:rPr>
          <w:rFonts w:eastAsia="黑体"/>
          <w:szCs w:val="21"/>
        </w:rPr>
        <w:t xml:space="preserve">                 项目</w:t>
      </w:r>
      <w:r>
        <w:rPr>
          <w:rFonts w:hint="eastAsia" w:eastAsia="黑体"/>
          <w:szCs w:val="21"/>
        </w:rPr>
        <w:t>区</w:t>
      </w:r>
      <w:r>
        <w:rPr>
          <w:rFonts w:eastAsia="黑体"/>
          <w:szCs w:val="21"/>
        </w:rPr>
        <w:t>土壤现状监测及评价结果</w:t>
      </w:r>
    </w:p>
    <w:tbl>
      <w:tblPr>
        <w:tblStyle w:val="60"/>
        <w:tblW w:w="9498" w:type="dxa"/>
        <w:jc w:val="center"/>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2127"/>
        <w:gridCol w:w="992"/>
        <w:gridCol w:w="1134"/>
        <w:gridCol w:w="850"/>
        <w:gridCol w:w="1134"/>
        <w:gridCol w:w="993"/>
        <w:gridCol w:w="1275"/>
        <w:gridCol w:w="993"/>
      </w:tblGrid>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Merge w:val="restart"/>
            <w:vAlign w:val="center"/>
          </w:tcPr>
          <w:p>
            <w:pPr>
              <w:jc w:val="center"/>
              <w:rPr>
                <w:kern w:val="0"/>
                <w:sz w:val="21"/>
                <w:szCs w:val="21"/>
              </w:rPr>
            </w:pPr>
            <w:r>
              <w:rPr>
                <w:kern w:val="0"/>
                <w:sz w:val="21"/>
                <w:szCs w:val="21"/>
              </w:rPr>
              <w:t>监测项目</w:t>
            </w:r>
          </w:p>
        </w:tc>
        <w:tc>
          <w:tcPr>
            <w:tcW w:w="992" w:type="dxa"/>
            <w:vMerge w:val="restart"/>
            <w:vAlign w:val="center"/>
          </w:tcPr>
          <w:p>
            <w:pPr>
              <w:jc w:val="center"/>
              <w:rPr>
                <w:kern w:val="0"/>
                <w:sz w:val="21"/>
                <w:szCs w:val="21"/>
              </w:rPr>
            </w:pPr>
            <w:r>
              <w:rPr>
                <w:kern w:val="0"/>
                <w:sz w:val="21"/>
                <w:szCs w:val="21"/>
              </w:rPr>
              <w:t>标准值mg/kg</w:t>
            </w:r>
          </w:p>
        </w:tc>
        <w:tc>
          <w:tcPr>
            <w:tcW w:w="1984" w:type="dxa"/>
            <w:gridSpan w:val="2"/>
            <w:vAlign w:val="center"/>
          </w:tcPr>
          <w:p>
            <w:pPr>
              <w:jc w:val="center"/>
              <w:rPr>
                <w:kern w:val="0"/>
                <w:sz w:val="21"/>
                <w:szCs w:val="21"/>
              </w:rPr>
            </w:pPr>
            <w:r>
              <w:rPr>
                <w:rFonts w:hint="eastAsia"/>
                <w:kern w:val="0"/>
                <w:sz w:val="21"/>
                <w:szCs w:val="21"/>
              </w:rPr>
              <w:t>生活区</w:t>
            </w:r>
          </w:p>
        </w:tc>
        <w:tc>
          <w:tcPr>
            <w:tcW w:w="2127" w:type="dxa"/>
            <w:gridSpan w:val="2"/>
            <w:vAlign w:val="center"/>
          </w:tcPr>
          <w:p>
            <w:pPr>
              <w:jc w:val="center"/>
              <w:rPr>
                <w:kern w:val="0"/>
                <w:sz w:val="21"/>
                <w:szCs w:val="21"/>
              </w:rPr>
            </w:pPr>
            <w:r>
              <w:rPr>
                <w:rFonts w:hint="eastAsia"/>
                <w:kern w:val="0"/>
                <w:sz w:val="21"/>
                <w:szCs w:val="21"/>
              </w:rPr>
              <w:t>生产区1#</w:t>
            </w:r>
          </w:p>
        </w:tc>
        <w:tc>
          <w:tcPr>
            <w:tcW w:w="2268" w:type="dxa"/>
            <w:gridSpan w:val="2"/>
            <w:vAlign w:val="center"/>
          </w:tcPr>
          <w:p>
            <w:pPr>
              <w:jc w:val="center"/>
              <w:rPr>
                <w:kern w:val="0"/>
                <w:sz w:val="21"/>
                <w:szCs w:val="21"/>
              </w:rPr>
            </w:pPr>
            <w:r>
              <w:rPr>
                <w:rFonts w:hint="eastAsia"/>
                <w:kern w:val="0"/>
                <w:sz w:val="21"/>
                <w:szCs w:val="21"/>
              </w:rPr>
              <w:t>生产区2#</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Merge w:val="continue"/>
            <w:vAlign w:val="center"/>
          </w:tcPr>
          <w:p>
            <w:pPr>
              <w:jc w:val="center"/>
              <w:rPr>
                <w:kern w:val="0"/>
                <w:sz w:val="21"/>
                <w:szCs w:val="21"/>
              </w:rPr>
            </w:pPr>
          </w:p>
        </w:tc>
        <w:tc>
          <w:tcPr>
            <w:tcW w:w="992" w:type="dxa"/>
            <w:vMerge w:val="continue"/>
            <w:vAlign w:val="center"/>
          </w:tcPr>
          <w:p>
            <w:pPr>
              <w:jc w:val="center"/>
              <w:rPr>
                <w:kern w:val="0"/>
                <w:sz w:val="21"/>
                <w:szCs w:val="21"/>
              </w:rPr>
            </w:pPr>
          </w:p>
        </w:tc>
        <w:tc>
          <w:tcPr>
            <w:tcW w:w="1134" w:type="dxa"/>
            <w:vAlign w:val="center"/>
          </w:tcPr>
          <w:p>
            <w:pPr>
              <w:jc w:val="center"/>
              <w:rPr>
                <w:kern w:val="0"/>
                <w:sz w:val="21"/>
                <w:szCs w:val="21"/>
              </w:rPr>
            </w:pPr>
            <w:r>
              <w:rPr>
                <w:kern w:val="0"/>
                <w:sz w:val="21"/>
                <w:szCs w:val="21"/>
              </w:rPr>
              <w:t>监测值</w:t>
            </w:r>
          </w:p>
        </w:tc>
        <w:tc>
          <w:tcPr>
            <w:tcW w:w="850" w:type="dxa"/>
            <w:vAlign w:val="center"/>
          </w:tcPr>
          <w:p>
            <w:pPr>
              <w:jc w:val="center"/>
              <w:rPr>
                <w:kern w:val="0"/>
                <w:sz w:val="21"/>
                <w:szCs w:val="21"/>
              </w:rPr>
            </w:pPr>
            <w:r>
              <w:rPr>
                <w:kern w:val="0"/>
                <w:sz w:val="21"/>
                <w:szCs w:val="21"/>
              </w:rPr>
              <w:t>Pi</w:t>
            </w:r>
          </w:p>
        </w:tc>
        <w:tc>
          <w:tcPr>
            <w:tcW w:w="1134" w:type="dxa"/>
            <w:vAlign w:val="center"/>
          </w:tcPr>
          <w:p>
            <w:pPr>
              <w:jc w:val="center"/>
              <w:rPr>
                <w:kern w:val="0"/>
                <w:sz w:val="21"/>
                <w:szCs w:val="21"/>
              </w:rPr>
            </w:pPr>
            <w:r>
              <w:rPr>
                <w:kern w:val="0"/>
                <w:sz w:val="21"/>
                <w:szCs w:val="21"/>
              </w:rPr>
              <w:t>监测值</w:t>
            </w:r>
          </w:p>
        </w:tc>
        <w:tc>
          <w:tcPr>
            <w:tcW w:w="993" w:type="dxa"/>
            <w:vAlign w:val="center"/>
          </w:tcPr>
          <w:p>
            <w:pPr>
              <w:jc w:val="center"/>
              <w:rPr>
                <w:kern w:val="0"/>
                <w:sz w:val="21"/>
                <w:szCs w:val="21"/>
              </w:rPr>
            </w:pPr>
            <w:r>
              <w:rPr>
                <w:kern w:val="0"/>
                <w:sz w:val="21"/>
                <w:szCs w:val="21"/>
              </w:rPr>
              <w:t>Pi</w:t>
            </w:r>
          </w:p>
        </w:tc>
        <w:tc>
          <w:tcPr>
            <w:tcW w:w="1275" w:type="dxa"/>
            <w:vAlign w:val="center"/>
          </w:tcPr>
          <w:p>
            <w:pPr>
              <w:jc w:val="center"/>
              <w:rPr>
                <w:kern w:val="0"/>
                <w:sz w:val="21"/>
                <w:szCs w:val="21"/>
              </w:rPr>
            </w:pPr>
            <w:r>
              <w:rPr>
                <w:kern w:val="0"/>
                <w:sz w:val="21"/>
                <w:szCs w:val="21"/>
              </w:rPr>
              <w:t>监测值</w:t>
            </w:r>
          </w:p>
        </w:tc>
        <w:tc>
          <w:tcPr>
            <w:tcW w:w="993" w:type="dxa"/>
            <w:vAlign w:val="center"/>
          </w:tcPr>
          <w:p>
            <w:pPr>
              <w:jc w:val="center"/>
              <w:rPr>
                <w:kern w:val="0"/>
                <w:sz w:val="21"/>
                <w:szCs w:val="21"/>
              </w:rPr>
            </w:pPr>
            <w:r>
              <w:rPr>
                <w:kern w:val="0"/>
                <w:sz w:val="21"/>
                <w:szCs w:val="21"/>
              </w:rPr>
              <w:t>Pi</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汞</w:t>
            </w:r>
          </w:p>
        </w:tc>
        <w:tc>
          <w:tcPr>
            <w:tcW w:w="992" w:type="dxa"/>
            <w:vAlign w:val="center"/>
          </w:tcPr>
          <w:p>
            <w:pPr>
              <w:jc w:val="center"/>
              <w:rPr>
                <w:kern w:val="0"/>
                <w:sz w:val="21"/>
                <w:szCs w:val="21"/>
              </w:rPr>
            </w:pPr>
            <w:r>
              <w:rPr>
                <w:rFonts w:hint="eastAsia"/>
                <w:kern w:val="0"/>
                <w:sz w:val="21"/>
                <w:szCs w:val="21"/>
              </w:rPr>
              <w:t>3</w:t>
            </w:r>
            <w:r>
              <w:rPr>
                <w:kern w:val="0"/>
                <w:sz w:val="21"/>
                <w:szCs w:val="21"/>
              </w:rPr>
              <w:t>8</w:t>
            </w:r>
          </w:p>
        </w:tc>
        <w:tc>
          <w:tcPr>
            <w:tcW w:w="1134" w:type="dxa"/>
            <w:vAlign w:val="center"/>
          </w:tcPr>
          <w:p>
            <w:pPr>
              <w:jc w:val="center"/>
              <w:rPr>
                <w:kern w:val="0"/>
                <w:sz w:val="21"/>
                <w:szCs w:val="21"/>
              </w:rPr>
            </w:pPr>
            <w:r>
              <w:rPr>
                <w:rFonts w:hint="eastAsia"/>
                <w:kern w:val="0"/>
                <w:sz w:val="21"/>
                <w:szCs w:val="21"/>
              </w:rPr>
              <w:t>0.223</w:t>
            </w:r>
          </w:p>
        </w:tc>
        <w:tc>
          <w:tcPr>
            <w:tcW w:w="850" w:type="dxa"/>
            <w:vAlign w:val="center"/>
          </w:tcPr>
          <w:p>
            <w:pPr>
              <w:jc w:val="center"/>
              <w:rPr>
                <w:kern w:val="0"/>
                <w:sz w:val="21"/>
                <w:szCs w:val="21"/>
              </w:rPr>
            </w:pPr>
            <w:r>
              <w:rPr>
                <w:rFonts w:hint="eastAsia"/>
                <w:kern w:val="0"/>
                <w:sz w:val="21"/>
                <w:szCs w:val="21"/>
              </w:rPr>
              <w:t>0.006</w:t>
            </w:r>
          </w:p>
        </w:tc>
        <w:tc>
          <w:tcPr>
            <w:tcW w:w="1134" w:type="dxa"/>
            <w:vAlign w:val="center"/>
          </w:tcPr>
          <w:p>
            <w:pPr>
              <w:jc w:val="center"/>
              <w:rPr>
                <w:kern w:val="0"/>
                <w:sz w:val="21"/>
                <w:szCs w:val="21"/>
              </w:rPr>
            </w:pPr>
            <w:r>
              <w:rPr>
                <w:rFonts w:hint="eastAsia"/>
                <w:kern w:val="0"/>
                <w:sz w:val="21"/>
                <w:szCs w:val="21"/>
              </w:rPr>
              <w:t>0.504</w:t>
            </w:r>
          </w:p>
        </w:tc>
        <w:tc>
          <w:tcPr>
            <w:tcW w:w="993" w:type="dxa"/>
            <w:vAlign w:val="center"/>
          </w:tcPr>
          <w:p>
            <w:pPr>
              <w:jc w:val="center"/>
              <w:rPr>
                <w:kern w:val="0"/>
                <w:sz w:val="21"/>
                <w:szCs w:val="21"/>
              </w:rPr>
            </w:pPr>
            <w:r>
              <w:rPr>
                <w:rFonts w:hint="eastAsia"/>
                <w:kern w:val="0"/>
                <w:sz w:val="21"/>
                <w:szCs w:val="21"/>
              </w:rPr>
              <w:t>0.013</w:t>
            </w:r>
          </w:p>
        </w:tc>
        <w:tc>
          <w:tcPr>
            <w:tcW w:w="1275" w:type="dxa"/>
            <w:vAlign w:val="center"/>
          </w:tcPr>
          <w:p>
            <w:pPr>
              <w:jc w:val="center"/>
              <w:rPr>
                <w:kern w:val="0"/>
                <w:sz w:val="21"/>
                <w:szCs w:val="21"/>
              </w:rPr>
            </w:pPr>
            <w:r>
              <w:rPr>
                <w:rFonts w:hint="eastAsia"/>
                <w:kern w:val="0"/>
                <w:sz w:val="21"/>
                <w:szCs w:val="21"/>
              </w:rPr>
              <w:t>0.251</w:t>
            </w:r>
          </w:p>
        </w:tc>
        <w:tc>
          <w:tcPr>
            <w:tcW w:w="993" w:type="dxa"/>
            <w:vAlign w:val="center"/>
          </w:tcPr>
          <w:p>
            <w:pPr>
              <w:jc w:val="center"/>
              <w:rPr>
                <w:kern w:val="0"/>
                <w:sz w:val="21"/>
                <w:szCs w:val="21"/>
              </w:rPr>
            </w:pPr>
            <w:r>
              <w:rPr>
                <w:rFonts w:hint="eastAsia"/>
                <w:kern w:val="0"/>
                <w:sz w:val="21"/>
                <w:szCs w:val="21"/>
              </w:rPr>
              <w:t>0.007</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砷</w:t>
            </w:r>
          </w:p>
        </w:tc>
        <w:tc>
          <w:tcPr>
            <w:tcW w:w="992" w:type="dxa"/>
            <w:vAlign w:val="center"/>
          </w:tcPr>
          <w:p>
            <w:pPr>
              <w:jc w:val="center"/>
              <w:rPr>
                <w:kern w:val="0"/>
                <w:sz w:val="21"/>
                <w:szCs w:val="21"/>
              </w:rPr>
            </w:pPr>
            <w:r>
              <w:rPr>
                <w:rFonts w:hint="eastAsia"/>
                <w:kern w:val="0"/>
                <w:sz w:val="21"/>
                <w:szCs w:val="21"/>
              </w:rPr>
              <w:t>6</w:t>
            </w:r>
            <w:r>
              <w:rPr>
                <w:kern w:val="0"/>
                <w:sz w:val="21"/>
                <w:szCs w:val="21"/>
              </w:rPr>
              <w:t>0</w:t>
            </w:r>
          </w:p>
        </w:tc>
        <w:tc>
          <w:tcPr>
            <w:tcW w:w="1134" w:type="dxa"/>
            <w:vAlign w:val="center"/>
          </w:tcPr>
          <w:p>
            <w:pPr>
              <w:jc w:val="center"/>
              <w:rPr>
                <w:kern w:val="0"/>
                <w:sz w:val="21"/>
                <w:szCs w:val="21"/>
              </w:rPr>
            </w:pPr>
            <w:r>
              <w:rPr>
                <w:rFonts w:hint="eastAsia"/>
                <w:kern w:val="0"/>
                <w:sz w:val="21"/>
                <w:szCs w:val="21"/>
              </w:rPr>
              <w:t>10.8</w:t>
            </w:r>
          </w:p>
        </w:tc>
        <w:tc>
          <w:tcPr>
            <w:tcW w:w="850" w:type="dxa"/>
            <w:vAlign w:val="center"/>
          </w:tcPr>
          <w:p>
            <w:pPr>
              <w:jc w:val="center"/>
              <w:rPr>
                <w:kern w:val="0"/>
                <w:sz w:val="21"/>
                <w:szCs w:val="21"/>
              </w:rPr>
            </w:pPr>
            <w:r>
              <w:rPr>
                <w:rFonts w:hint="eastAsia"/>
                <w:kern w:val="0"/>
                <w:sz w:val="21"/>
                <w:szCs w:val="21"/>
              </w:rPr>
              <w:t>0.180</w:t>
            </w:r>
          </w:p>
        </w:tc>
        <w:tc>
          <w:tcPr>
            <w:tcW w:w="1134" w:type="dxa"/>
            <w:vAlign w:val="center"/>
          </w:tcPr>
          <w:p>
            <w:pPr>
              <w:jc w:val="center"/>
              <w:rPr>
                <w:kern w:val="0"/>
                <w:sz w:val="21"/>
                <w:szCs w:val="21"/>
              </w:rPr>
            </w:pPr>
            <w:r>
              <w:rPr>
                <w:rFonts w:hint="eastAsia"/>
                <w:kern w:val="0"/>
                <w:sz w:val="21"/>
                <w:szCs w:val="21"/>
              </w:rPr>
              <w:t>9.63</w:t>
            </w:r>
          </w:p>
        </w:tc>
        <w:tc>
          <w:tcPr>
            <w:tcW w:w="993" w:type="dxa"/>
            <w:vAlign w:val="center"/>
          </w:tcPr>
          <w:p>
            <w:pPr>
              <w:jc w:val="center"/>
              <w:rPr>
                <w:kern w:val="0"/>
                <w:sz w:val="21"/>
                <w:szCs w:val="21"/>
              </w:rPr>
            </w:pPr>
            <w:r>
              <w:rPr>
                <w:rFonts w:hint="eastAsia"/>
                <w:kern w:val="0"/>
                <w:sz w:val="21"/>
                <w:szCs w:val="21"/>
              </w:rPr>
              <w:t>0.161</w:t>
            </w:r>
          </w:p>
        </w:tc>
        <w:tc>
          <w:tcPr>
            <w:tcW w:w="1275" w:type="dxa"/>
            <w:vAlign w:val="center"/>
          </w:tcPr>
          <w:p>
            <w:pPr>
              <w:jc w:val="center"/>
              <w:rPr>
                <w:kern w:val="0"/>
                <w:sz w:val="21"/>
                <w:szCs w:val="21"/>
              </w:rPr>
            </w:pPr>
            <w:r>
              <w:rPr>
                <w:rFonts w:hint="eastAsia"/>
                <w:kern w:val="0"/>
                <w:sz w:val="21"/>
                <w:szCs w:val="21"/>
              </w:rPr>
              <w:t>10.2</w:t>
            </w:r>
          </w:p>
        </w:tc>
        <w:tc>
          <w:tcPr>
            <w:tcW w:w="993" w:type="dxa"/>
            <w:vAlign w:val="center"/>
          </w:tcPr>
          <w:p>
            <w:pPr>
              <w:jc w:val="center"/>
              <w:rPr>
                <w:kern w:val="0"/>
                <w:sz w:val="21"/>
                <w:szCs w:val="21"/>
              </w:rPr>
            </w:pPr>
            <w:r>
              <w:rPr>
                <w:rFonts w:hint="eastAsia"/>
                <w:kern w:val="0"/>
                <w:sz w:val="21"/>
                <w:szCs w:val="21"/>
              </w:rPr>
              <w:t>0.170</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铅</w:t>
            </w:r>
          </w:p>
        </w:tc>
        <w:tc>
          <w:tcPr>
            <w:tcW w:w="992" w:type="dxa"/>
            <w:vAlign w:val="center"/>
          </w:tcPr>
          <w:p>
            <w:pPr>
              <w:jc w:val="center"/>
              <w:rPr>
                <w:kern w:val="0"/>
                <w:sz w:val="21"/>
                <w:szCs w:val="21"/>
              </w:rPr>
            </w:pPr>
            <w:r>
              <w:rPr>
                <w:rFonts w:hint="eastAsia"/>
                <w:kern w:val="0"/>
                <w:sz w:val="21"/>
                <w:szCs w:val="21"/>
              </w:rPr>
              <w:t>8</w:t>
            </w:r>
            <w:r>
              <w:rPr>
                <w:kern w:val="0"/>
                <w:sz w:val="21"/>
                <w:szCs w:val="21"/>
              </w:rPr>
              <w:t>00</w:t>
            </w:r>
          </w:p>
        </w:tc>
        <w:tc>
          <w:tcPr>
            <w:tcW w:w="1134" w:type="dxa"/>
            <w:vAlign w:val="center"/>
          </w:tcPr>
          <w:p>
            <w:pPr>
              <w:jc w:val="center"/>
              <w:rPr>
                <w:kern w:val="0"/>
                <w:sz w:val="21"/>
                <w:szCs w:val="21"/>
              </w:rPr>
            </w:pPr>
            <w:r>
              <w:rPr>
                <w:rFonts w:hint="eastAsia"/>
                <w:kern w:val="0"/>
                <w:sz w:val="21"/>
                <w:szCs w:val="21"/>
              </w:rPr>
              <w:t>35</w:t>
            </w:r>
          </w:p>
        </w:tc>
        <w:tc>
          <w:tcPr>
            <w:tcW w:w="850" w:type="dxa"/>
            <w:vAlign w:val="center"/>
          </w:tcPr>
          <w:p>
            <w:pPr>
              <w:jc w:val="center"/>
              <w:rPr>
                <w:kern w:val="0"/>
                <w:sz w:val="21"/>
                <w:szCs w:val="21"/>
              </w:rPr>
            </w:pPr>
            <w:r>
              <w:rPr>
                <w:rFonts w:hint="eastAsia"/>
                <w:kern w:val="0"/>
                <w:sz w:val="21"/>
                <w:szCs w:val="21"/>
              </w:rPr>
              <w:t>0.044</w:t>
            </w:r>
          </w:p>
        </w:tc>
        <w:tc>
          <w:tcPr>
            <w:tcW w:w="1134" w:type="dxa"/>
            <w:vAlign w:val="center"/>
          </w:tcPr>
          <w:p>
            <w:pPr>
              <w:jc w:val="center"/>
              <w:rPr>
                <w:kern w:val="0"/>
                <w:sz w:val="21"/>
                <w:szCs w:val="21"/>
              </w:rPr>
            </w:pPr>
            <w:r>
              <w:rPr>
                <w:rFonts w:hint="eastAsia"/>
                <w:kern w:val="0"/>
                <w:sz w:val="21"/>
                <w:szCs w:val="21"/>
              </w:rPr>
              <w:t>33</w:t>
            </w:r>
          </w:p>
        </w:tc>
        <w:tc>
          <w:tcPr>
            <w:tcW w:w="993" w:type="dxa"/>
            <w:vAlign w:val="center"/>
          </w:tcPr>
          <w:p>
            <w:pPr>
              <w:jc w:val="center"/>
              <w:rPr>
                <w:kern w:val="0"/>
                <w:sz w:val="21"/>
                <w:szCs w:val="21"/>
              </w:rPr>
            </w:pPr>
            <w:r>
              <w:rPr>
                <w:rFonts w:hint="eastAsia"/>
                <w:kern w:val="0"/>
                <w:sz w:val="21"/>
                <w:szCs w:val="21"/>
              </w:rPr>
              <w:t>0.041</w:t>
            </w:r>
          </w:p>
        </w:tc>
        <w:tc>
          <w:tcPr>
            <w:tcW w:w="1275" w:type="dxa"/>
            <w:vAlign w:val="center"/>
          </w:tcPr>
          <w:p>
            <w:pPr>
              <w:jc w:val="center"/>
              <w:rPr>
                <w:kern w:val="0"/>
                <w:sz w:val="21"/>
                <w:szCs w:val="21"/>
              </w:rPr>
            </w:pPr>
            <w:r>
              <w:rPr>
                <w:rFonts w:hint="eastAsia"/>
                <w:kern w:val="0"/>
                <w:sz w:val="21"/>
                <w:szCs w:val="21"/>
              </w:rPr>
              <w:t>31</w:t>
            </w:r>
          </w:p>
        </w:tc>
        <w:tc>
          <w:tcPr>
            <w:tcW w:w="993" w:type="dxa"/>
            <w:vAlign w:val="center"/>
          </w:tcPr>
          <w:p>
            <w:pPr>
              <w:jc w:val="center"/>
              <w:rPr>
                <w:kern w:val="0"/>
                <w:sz w:val="21"/>
                <w:szCs w:val="21"/>
              </w:rPr>
            </w:pPr>
            <w:r>
              <w:rPr>
                <w:rFonts w:hint="eastAsia"/>
                <w:kern w:val="0"/>
                <w:sz w:val="21"/>
                <w:szCs w:val="21"/>
              </w:rPr>
              <w:t>0.039</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镉</w:t>
            </w:r>
          </w:p>
        </w:tc>
        <w:tc>
          <w:tcPr>
            <w:tcW w:w="992" w:type="dxa"/>
            <w:vAlign w:val="center"/>
          </w:tcPr>
          <w:p>
            <w:pPr>
              <w:jc w:val="center"/>
              <w:rPr>
                <w:kern w:val="0"/>
                <w:sz w:val="21"/>
                <w:szCs w:val="21"/>
              </w:rPr>
            </w:pPr>
            <w:r>
              <w:rPr>
                <w:rFonts w:hint="eastAsia"/>
                <w:kern w:val="0"/>
                <w:sz w:val="21"/>
                <w:szCs w:val="21"/>
              </w:rPr>
              <w:t>6</w:t>
            </w:r>
            <w:r>
              <w:rPr>
                <w:kern w:val="0"/>
                <w:sz w:val="21"/>
                <w:szCs w:val="21"/>
              </w:rPr>
              <w:t>5</w:t>
            </w:r>
          </w:p>
        </w:tc>
        <w:tc>
          <w:tcPr>
            <w:tcW w:w="1134" w:type="dxa"/>
            <w:vAlign w:val="center"/>
          </w:tcPr>
          <w:p>
            <w:pPr>
              <w:jc w:val="center"/>
              <w:rPr>
                <w:kern w:val="0"/>
                <w:sz w:val="21"/>
                <w:szCs w:val="21"/>
              </w:rPr>
            </w:pPr>
            <w:r>
              <w:rPr>
                <w:rFonts w:hint="eastAsia"/>
                <w:kern w:val="0"/>
                <w:sz w:val="21"/>
                <w:szCs w:val="21"/>
              </w:rPr>
              <w:t>0.46</w:t>
            </w:r>
          </w:p>
        </w:tc>
        <w:tc>
          <w:tcPr>
            <w:tcW w:w="850" w:type="dxa"/>
            <w:vAlign w:val="center"/>
          </w:tcPr>
          <w:p>
            <w:pPr>
              <w:jc w:val="center"/>
              <w:rPr>
                <w:kern w:val="0"/>
                <w:sz w:val="21"/>
                <w:szCs w:val="21"/>
              </w:rPr>
            </w:pPr>
            <w:r>
              <w:rPr>
                <w:rFonts w:hint="eastAsia"/>
                <w:kern w:val="0"/>
                <w:sz w:val="21"/>
                <w:szCs w:val="21"/>
              </w:rPr>
              <w:t>0.007</w:t>
            </w:r>
          </w:p>
        </w:tc>
        <w:tc>
          <w:tcPr>
            <w:tcW w:w="1134" w:type="dxa"/>
            <w:vAlign w:val="center"/>
          </w:tcPr>
          <w:p>
            <w:pPr>
              <w:jc w:val="center"/>
              <w:rPr>
                <w:kern w:val="0"/>
                <w:sz w:val="21"/>
                <w:szCs w:val="21"/>
              </w:rPr>
            </w:pPr>
            <w:r>
              <w:rPr>
                <w:rFonts w:hint="eastAsia"/>
                <w:kern w:val="0"/>
                <w:sz w:val="21"/>
                <w:szCs w:val="21"/>
              </w:rPr>
              <w:t>0.46</w:t>
            </w:r>
          </w:p>
        </w:tc>
        <w:tc>
          <w:tcPr>
            <w:tcW w:w="993" w:type="dxa"/>
            <w:vAlign w:val="center"/>
          </w:tcPr>
          <w:p>
            <w:pPr>
              <w:jc w:val="center"/>
              <w:rPr>
                <w:kern w:val="0"/>
                <w:sz w:val="21"/>
                <w:szCs w:val="21"/>
              </w:rPr>
            </w:pPr>
            <w:r>
              <w:rPr>
                <w:rFonts w:hint="eastAsia"/>
                <w:kern w:val="0"/>
                <w:sz w:val="21"/>
                <w:szCs w:val="21"/>
              </w:rPr>
              <w:t>0.007</w:t>
            </w:r>
          </w:p>
        </w:tc>
        <w:tc>
          <w:tcPr>
            <w:tcW w:w="1275" w:type="dxa"/>
            <w:vAlign w:val="center"/>
          </w:tcPr>
          <w:p>
            <w:pPr>
              <w:jc w:val="center"/>
              <w:rPr>
                <w:kern w:val="0"/>
                <w:sz w:val="21"/>
                <w:szCs w:val="21"/>
              </w:rPr>
            </w:pPr>
            <w:r>
              <w:rPr>
                <w:rFonts w:hint="eastAsia"/>
                <w:kern w:val="0"/>
                <w:sz w:val="21"/>
                <w:szCs w:val="21"/>
              </w:rPr>
              <w:t>0.42</w:t>
            </w:r>
          </w:p>
        </w:tc>
        <w:tc>
          <w:tcPr>
            <w:tcW w:w="993" w:type="dxa"/>
            <w:vAlign w:val="center"/>
          </w:tcPr>
          <w:p>
            <w:pPr>
              <w:jc w:val="center"/>
              <w:rPr>
                <w:kern w:val="0"/>
                <w:sz w:val="21"/>
                <w:szCs w:val="21"/>
              </w:rPr>
            </w:pPr>
            <w:r>
              <w:rPr>
                <w:rFonts w:hint="eastAsia"/>
                <w:kern w:val="0"/>
                <w:sz w:val="21"/>
                <w:szCs w:val="21"/>
              </w:rPr>
              <w:t>0.006</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镍</w:t>
            </w:r>
          </w:p>
        </w:tc>
        <w:tc>
          <w:tcPr>
            <w:tcW w:w="992" w:type="dxa"/>
            <w:vAlign w:val="center"/>
          </w:tcPr>
          <w:p>
            <w:pPr>
              <w:jc w:val="center"/>
              <w:rPr>
                <w:kern w:val="0"/>
                <w:sz w:val="21"/>
                <w:szCs w:val="21"/>
              </w:rPr>
            </w:pPr>
            <w:r>
              <w:rPr>
                <w:rFonts w:hint="eastAsia"/>
                <w:kern w:val="0"/>
                <w:sz w:val="21"/>
                <w:szCs w:val="21"/>
              </w:rPr>
              <w:t>9</w:t>
            </w:r>
            <w:r>
              <w:rPr>
                <w:kern w:val="0"/>
                <w:sz w:val="21"/>
                <w:szCs w:val="21"/>
              </w:rPr>
              <w:t>00</w:t>
            </w:r>
          </w:p>
        </w:tc>
        <w:tc>
          <w:tcPr>
            <w:tcW w:w="1134" w:type="dxa"/>
            <w:vAlign w:val="center"/>
          </w:tcPr>
          <w:p>
            <w:pPr>
              <w:jc w:val="center"/>
              <w:rPr>
                <w:kern w:val="0"/>
                <w:sz w:val="21"/>
                <w:szCs w:val="21"/>
              </w:rPr>
            </w:pPr>
            <w:r>
              <w:rPr>
                <w:rFonts w:hint="eastAsia"/>
                <w:kern w:val="0"/>
                <w:sz w:val="21"/>
                <w:szCs w:val="21"/>
              </w:rPr>
              <w:t>36</w:t>
            </w:r>
          </w:p>
        </w:tc>
        <w:tc>
          <w:tcPr>
            <w:tcW w:w="850" w:type="dxa"/>
            <w:vAlign w:val="center"/>
          </w:tcPr>
          <w:p>
            <w:pPr>
              <w:jc w:val="center"/>
              <w:rPr>
                <w:kern w:val="0"/>
                <w:sz w:val="21"/>
                <w:szCs w:val="21"/>
              </w:rPr>
            </w:pPr>
            <w:r>
              <w:rPr>
                <w:rFonts w:hint="eastAsia"/>
                <w:kern w:val="0"/>
                <w:sz w:val="21"/>
                <w:szCs w:val="21"/>
              </w:rPr>
              <w:t>0.040</w:t>
            </w:r>
          </w:p>
        </w:tc>
        <w:tc>
          <w:tcPr>
            <w:tcW w:w="1134" w:type="dxa"/>
            <w:vAlign w:val="center"/>
          </w:tcPr>
          <w:p>
            <w:pPr>
              <w:jc w:val="center"/>
              <w:rPr>
                <w:kern w:val="0"/>
                <w:sz w:val="21"/>
                <w:szCs w:val="21"/>
              </w:rPr>
            </w:pPr>
            <w:r>
              <w:rPr>
                <w:rFonts w:hint="eastAsia"/>
                <w:kern w:val="0"/>
                <w:sz w:val="21"/>
                <w:szCs w:val="21"/>
              </w:rPr>
              <w:t>37</w:t>
            </w:r>
          </w:p>
        </w:tc>
        <w:tc>
          <w:tcPr>
            <w:tcW w:w="993" w:type="dxa"/>
            <w:vAlign w:val="center"/>
          </w:tcPr>
          <w:p>
            <w:pPr>
              <w:jc w:val="center"/>
              <w:rPr>
                <w:kern w:val="0"/>
                <w:sz w:val="21"/>
                <w:szCs w:val="21"/>
              </w:rPr>
            </w:pPr>
            <w:r>
              <w:rPr>
                <w:rFonts w:hint="eastAsia"/>
                <w:kern w:val="0"/>
                <w:sz w:val="21"/>
                <w:szCs w:val="21"/>
              </w:rPr>
              <w:t>0.041</w:t>
            </w:r>
          </w:p>
        </w:tc>
        <w:tc>
          <w:tcPr>
            <w:tcW w:w="1275" w:type="dxa"/>
            <w:vAlign w:val="center"/>
          </w:tcPr>
          <w:p>
            <w:pPr>
              <w:jc w:val="center"/>
              <w:rPr>
                <w:kern w:val="0"/>
                <w:sz w:val="21"/>
                <w:szCs w:val="21"/>
              </w:rPr>
            </w:pPr>
            <w:r>
              <w:rPr>
                <w:rFonts w:hint="eastAsia"/>
                <w:kern w:val="0"/>
                <w:sz w:val="21"/>
                <w:szCs w:val="21"/>
              </w:rPr>
              <w:t>36</w:t>
            </w:r>
          </w:p>
        </w:tc>
        <w:tc>
          <w:tcPr>
            <w:tcW w:w="993" w:type="dxa"/>
            <w:vAlign w:val="center"/>
          </w:tcPr>
          <w:p>
            <w:pPr>
              <w:jc w:val="center"/>
              <w:rPr>
                <w:kern w:val="0"/>
                <w:sz w:val="21"/>
                <w:szCs w:val="21"/>
              </w:rPr>
            </w:pPr>
            <w:r>
              <w:rPr>
                <w:rFonts w:hint="eastAsia"/>
                <w:kern w:val="0"/>
                <w:sz w:val="21"/>
                <w:szCs w:val="21"/>
              </w:rPr>
              <w:t>0.040</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铜</w:t>
            </w:r>
          </w:p>
        </w:tc>
        <w:tc>
          <w:tcPr>
            <w:tcW w:w="992" w:type="dxa"/>
            <w:vAlign w:val="center"/>
          </w:tcPr>
          <w:p>
            <w:pPr>
              <w:jc w:val="center"/>
              <w:rPr>
                <w:kern w:val="0"/>
                <w:sz w:val="21"/>
                <w:szCs w:val="21"/>
              </w:rPr>
            </w:pPr>
            <w:r>
              <w:rPr>
                <w:rFonts w:hint="eastAsia"/>
                <w:kern w:val="0"/>
                <w:sz w:val="21"/>
                <w:szCs w:val="21"/>
              </w:rPr>
              <w:t>1</w:t>
            </w:r>
            <w:r>
              <w:rPr>
                <w:kern w:val="0"/>
                <w:sz w:val="21"/>
                <w:szCs w:val="21"/>
              </w:rPr>
              <w:t>8000</w:t>
            </w:r>
          </w:p>
        </w:tc>
        <w:tc>
          <w:tcPr>
            <w:tcW w:w="1134" w:type="dxa"/>
            <w:vAlign w:val="center"/>
          </w:tcPr>
          <w:p>
            <w:pPr>
              <w:jc w:val="center"/>
              <w:rPr>
                <w:kern w:val="0"/>
                <w:sz w:val="21"/>
                <w:szCs w:val="21"/>
              </w:rPr>
            </w:pPr>
            <w:r>
              <w:rPr>
                <w:rFonts w:hint="eastAsia"/>
                <w:kern w:val="0"/>
                <w:sz w:val="21"/>
                <w:szCs w:val="21"/>
              </w:rPr>
              <w:t>18</w:t>
            </w:r>
          </w:p>
        </w:tc>
        <w:tc>
          <w:tcPr>
            <w:tcW w:w="850" w:type="dxa"/>
            <w:vAlign w:val="center"/>
          </w:tcPr>
          <w:p>
            <w:pPr>
              <w:jc w:val="center"/>
              <w:rPr>
                <w:kern w:val="0"/>
                <w:sz w:val="21"/>
                <w:szCs w:val="21"/>
              </w:rPr>
            </w:pPr>
            <w:r>
              <w:rPr>
                <w:rFonts w:hint="eastAsia"/>
                <w:kern w:val="0"/>
                <w:sz w:val="21"/>
                <w:szCs w:val="21"/>
              </w:rPr>
              <w:t>0.001</w:t>
            </w:r>
          </w:p>
        </w:tc>
        <w:tc>
          <w:tcPr>
            <w:tcW w:w="1134" w:type="dxa"/>
            <w:vAlign w:val="center"/>
          </w:tcPr>
          <w:p>
            <w:pPr>
              <w:jc w:val="center"/>
              <w:rPr>
                <w:kern w:val="0"/>
                <w:sz w:val="21"/>
                <w:szCs w:val="21"/>
              </w:rPr>
            </w:pPr>
            <w:r>
              <w:rPr>
                <w:rFonts w:hint="eastAsia"/>
                <w:kern w:val="0"/>
                <w:sz w:val="21"/>
                <w:szCs w:val="21"/>
              </w:rPr>
              <w:t>17</w:t>
            </w:r>
          </w:p>
        </w:tc>
        <w:tc>
          <w:tcPr>
            <w:tcW w:w="993" w:type="dxa"/>
            <w:vAlign w:val="center"/>
          </w:tcPr>
          <w:p>
            <w:pPr>
              <w:jc w:val="center"/>
              <w:rPr>
                <w:kern w:val="0"/>
                <w:sz w:val="21"/>
                <w:szCs w:val="21"/>
              </w:rPr>
            </w:pPr>
            <w:r>
              <w:rPr>
                <w:rFonts w:hint="eastAsia"/>
                <w:kern w:val="0"/>
                <w:sz w:val="21"/>
                <w:szCs w:val="21"/>
              </w:rPr>
              <w:t>0.001</w:t>
            </w:r>
          </w:p>
        </w:tc>
        <w:tc>
          <w:tcPr>
            <w:tcW w:w="1275" w:type="dxa"/>
            <w:vAlign w:val="center"/>
          </w:tcPr>
          <w:p>
            <w:pPr>
              <w:jc w:val="center"/>
              <w:rPr>
                <w:kern w:val="0"/>
                <w:sz w:val="21"/>
                <w:szCs w:val="21"/>
              </w:rPr>
            </w:pPr>
            <w:r>
              <w:rPr>
                <w:rFonts w:hint="eastAsia"/>
                <w:kern w:val="0"/>
                <w:sz w:val="21"/>
                <w:szCs w:val="21"/>
              </w:rPr>
              <w:t>17</w:t>
            </w:r>
          </w:p>
        </w:tc>
        <w:tc>
          <w:tcPr>
            <w:tcW w:w="993" w:type="dxa"/>
            <w:vAlign w:val="center"/>
          </w:tcPr>
          <w:p>
            <w:pPr>
              <w:jc w:val="center"/>
              <w:rPr>
                <w:kern w:val="0"/>
                <w:sz w:val="21"/>
                <w:szCs w:val="21"/>
              </w:rPr>
            </w:pPr>
            <w:r>
              <w:rPr>
                <w:rFonts w:hint="eastAsia"/>
                <w:kern w:val="0"/>
                <w:sz w:val="21"/>
                <w:szCs w:val="21"/>
              </w:rPr>
              <w:t>0.001</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六价铬</w:t>
            </w:r>
          </w:p>
        </w:tc>
        <w:tc>
          <w:tcPr>
            <w:tcW w:w="992" w:type="dxa"/>
            <w:vAlign w:val="center"/>
          </w:tcPr>
          <w:p>
            <w:pPr>
              <w:jc w:val="center"/>
              <w:rPr>
                <w:kern w:val="0"/>
                <w:sz w:val="21"/>
                <w:szCs w:val="21"/>
              </w:rPr>
            </w:pPr>
            <w:r>
              <w:rPr>
                <w:rFonts w:hint="eastAsia"/>
                <w:kern w:val="0"/>
                <w:sz w:val="21"/>
                <w:szCs w:val="21"/>
              </w:rPr>
              <w:t>5</w:t>
            </w:r>
            <w:r>
              <w:rPr>
                <w:kern w:val="0"/>
                <w:sz w:val="21"/>
                <w:szCs w:val="21"/>
              </w:rPr>
              <w:t>.7</w:t>
            </w:r>
          </w:p>
        </w:tc>
        <w:tc>
          <w:tcPr>
            <w:tcW w:w="1134" w:type="dxa"/>
            <w:vAlign w:val="center"/>
          </w:tcPr>
          <w:p>
            <w:pPr>
              <w:jc w:val="center"/>
              <w:rPr>
                <w:kern w:val="0"/>
                <w:sz w:val="21"/>
                <w:szCs w:val="21"/>
              </w:rPr>
            </w:pPr>
            <w:r>
              <w:rPr>
                <w:rFonts w:hint="eastAsia"/>
                <w:kern w:val="0"/>
                <w:sz w:val="21"/>
                <w:szCs w:val="21"/>
              </w:rPr>
              <w:t>0.8</w:t>
            </w:r>
          </w:p>
        </w:tc>
        <w:tc>
          <w:tcPr>
            <w:tcW w:w="850" w:type="dxa"/>
            <w:vAlign w:val="center"/>
          </w:tcPr>
          <w:p>
            <w:pPr>
              <w:jc w:val="center"/>
              <w:rPr>
                <w:kern w:val="0"/>
                <w:sz w:val="21"/>
                <w:szCs w:val="21"/>
              </w:rPr>
            </w:pPr>
            <w:r>
              <w:rPr>
                <w:rFonts w:hint="eastAsia"/>
                <w:kern w:val="0"/>
                <w:sz w:val="21"/>
                <w:szCs w:val="21"/>
              </w:rPr>
              <w:t>0.140</w:t>
            </w:r>
          </w:p>
        </w:tc>
        <w:tc>
          <w:tcPr>
            <w:tcW w:w="1134" w:type="dxa"/>
            <w:vAlign w:val="center"/>
          </w:tcPr>
          <w:p>
            <w:pPr>
              <w:jc w:val="center"/>
              <w:rPr>
                <w:kern w:val="0"/>
                <w:sz w:val="21"/>
                <w:szCs w:val="21"/>
              </w:rPr>
            </w:pPr>
            <w:r>
              <w:rPr>
                <w:rFonts w:hint="eastAsia"/>
                <w:kern w:val="0"/>
                <w:sz w:val="21"/>
                <w:szCs w:val="21"/>
              </w:rPr>
              <w:t>1.0</w:t>
            </w:r>
          </w:p>
        </w:tc>
        <w:tc>
          <w:tcPr>
            <w:tcW w:w="993" w:type="dxa"/>
            <w:vAlign w:val="center"/>
          </w:tcPr>
          <w:p>
            <w:pPr>
              <w:jc w:val="center"/>
              <w:rPr>
                <w:kern w:val="0"/>
                <w:sz w:val="21"/>
                <w:szCs w:val="21"/>
              </w:rPr>
            </w:pPr>
            <w:r>
              <w:rPr>
                <w:rFonts w:hint="eastAsia"/>
                <w:kern w:val="0"/>
                <w:sz w:val="21"/>
                <w:szCs w:val="21"/>
              </w:rPr>
              <w:t>0.175</w:t>
            </w:r>
          </w:p>
        </w:tc>
        <w:tc>
          <w:tcPr>
            <w:tcW w:w="1275" w:type="dxa"/>
            <w:vAlign w:val="center"/>
          </w:tcPr>
          <w:p>
            <w:pPr>
              <w:jc w:val="center"/>
              <w:rPr>
                <w:kern w:val="0"/>
                <w:sz w:val="21"/>
                <w:szCs w:val="21"/>
              </w:rPr>
            </w:pPr>
            <w:r>
              <w:rPr>
                <w:rFonts w:hint="eastAsia"/>
                <w:kern w:val="0"/>
                <w:sz w:val="21"/>
                <w:szCs w:val="21"/>
              </w:rPr>
              <w:t>1.1</w:t>
            </w:r>
          </w:p>
        </w:tc>
        <w:tc>
          <w:tcPr>
            <w:tcW w:w="993" w:type="dxa"/>
            <w:vAlign w:val="center"/>
          </w:tcPr>
          <w:p>
            <w:pPr>
              <w:jc w:val="center"/>
              <w:rPr>
                <w:kern w:val="0"/>
                <w:sz w:val="21"/>
                <w:szCs w:val="21"/>
              </w:rPr>
            </w:pPr>
            <w:r>
              <w:rPr>
                <w:rFonts w:hint="eastAsia"/>
                <w:kern w:val="0"/>
                <w:sz w:val="21"/>
                <w:szCs w:val="21"/>
              </w:rPr>
              <w:t>0.193</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四氯化碳</w:t>
            </w:r>
          </w:p>
        </w:tc>
        <w:tc>
          <w:tcPr>
            <w:tcW w:w="992" w:type="dxa"/>
            <w:vAlign w:val="center"/>
          </w:tcPr>
          <w:p>
            <w:pPr>
              <w:jc w:val="center"/>
              <w:rPr>
                <w:kern w:val="0"/>
                <w:sz w:val="21"/>
                <w:szCs w:val="21"/>
              </w:rPr>
            </w:pPr>
            <w:r>
              <w:rPr>
                <w:kern w:val="0"/>
                <w:sz w:val="21"/>
                <w:szCs w:val="21"/>
              </w:rPr>
              <w:t>2.8</w:t>
            </w:r>
          </w:p>
        </w:tc>
        <w:tc>
          <w:tcPr>
            <w:tcW w:w="1134" w:type="dxa"/>
            <w:vAlign w:val="center"/>
          </w:tcPr>
          <w:p>
            <w:pPr>
              <w:jc w:val="center"/>
              <w:rPr>
                <w:kern w:val="0"/>
                <w:sz w:val="21"/>
                <w:szCs w:val="21"/>
              </w:rPr>
            </w:pPr>
            <w:r>
              <w:rPr>
                <w:kern w:val="0"/>
                <w:sz w:val="21"/>
                <w:szCs w:val="21"/>
              </w:rPr>
              <w:t>＜0.0013</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氯仿</w:t>
            </w:r>
          </w:p>
        </w:tc>
        <w:tc>
          <w:tcPr>
            <w:tcW w:w="992" w:type="dxa"/>
            <w:vAlign w:val="center"/>
          </w:tcPr>
          <w:p>
            <w:pPr>
              <w:jc w:val="center"/>
              <w:rPr>
                <w:kern w:val="0"/>
                <w:sz w:val="21"/>
                <w:szCs w:val="21"/>
              </w:rPr>
            </w:pPr>
            <w:r>
              <w:rPr>
                <w:kern w:val="0"/>
                <w:sz w:val="21"/>
                <w:szCs w:val="21"/>
              </w:rPr>
              <w:t>0.9</w:t>
            </w:r>
          </w:p>
        </w:tc>
        <w:tc>
          <w:tcPr>
            <w:tcW w:w="1134" w:type="dxa"/>
            <w:vAlign w:val="center"/>
          </w:tcPr>
          <w:p>
            <w:pPr>
              <w:jc w:val="center"/>
              <w:rPr>
                <w:kern w:val="0"/>
                <w:sz w:val="21"/>
                <w:szCs w:val="21"/>
              </w:rPr>
            </w:pPr>
            <w:r>
              <w:rPr>
                <w:kern w:val="0"/>
                <w:sz w:val="21"/>
                <w:szCs w:val="21"/>
              </w:rPr>
              <w:t>＜0.0011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氯甲烷</w:t>
            </w:r>
          </w:p>
        </w:tc>
        <w:tc>
          <w:tcPr>
            <w:tcW w:w="992" w:type="dxa"/>
            <w:vAlign w:val="center"/>
          </w:tcPr>
          <w:p>
            <w:pPr>
              <w:jc w:val="center"/>
              <w:rPr>
                <w:kern w:val="0"/>
                <w:sz w:val="21"/>
                <w:szCs w:val="21"/>
              </w:rPr>
            </w:pPr>
            <w:r>
              <w:rPr>
                <w:kern w:val="0"/>
                <w:sz w:val="21"/>
                <w:szCs w:val="21"/>
              </w:rPr>
              <w:t>37</w:t>
            </w:r>
          </w:p>
        </w:tc>
        <w:tc>
          <w:tcPr>
            <w:tcW w:w="1134" w:type="dxa"/>
            <w:vAlign w:val="center"/>
          </w:tcPr>
          <w:p>
            <w:pPr>
              <w:jc w:val="center"/>
              <w:rPr>
                <w:kern w:val="0"/>
                <w:sz w:val="21"/>
                <w:szCs w:val="21"/>
              </w:rPr>
            </w:pPr>
            <w:r>
              <w:rPr>
                <w:kern w:val="0"/>
                <w:sz w:val="21"/>
                <w:szCs w:val="21"/>
              </w:rPr>
              <w:t>＜0.00378</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＜0.00378</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1,1-二氯乙烷</w:t>
            </w:r>
          </w:p>
        </w:tc>
        <w:tc>
          <w:tcPr>
            <w:tcW w:w="992" w:type="dxa"/>
            <w:vAlign w:val="center"/>
          </w:tcPr>
          <w:p>
            <w:pPr>
              <w:jc w:val="center"/>
              <w:rPr>
                <w:kern w:val="0"/>
                <w:sz w:val="21"/>
                <w:szCs w:val="21"/>
              </w:rPr>
            </w:pPr>
            <w:r>
              <w:rPr>
                <w:kern w:val="0"/>
                <w:sz w:val="21"/>
                <w:szCs w:val="21"/>
              </w:rPr>
              <w:t>9</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1,2-二氯乙烷</w:t>
            </w:r>
          </w:p>
        </w:tc>
        <w:tc>
          <w:tcPr>
            <w:tcW w:w="992" w:type="dxa"/>
            <w:vAlign w:val="center"/>
          </w:tcPr>
          <w:p>
            <w:pPr>
              <w:jc w:val="center"/>
              <w:rPr>
                <w:kern w:val="0"/>
                <w:sz w:val="21"/>
                <w:szCs w:val="21"/>
              </w:rPr>
            </w:pPr>
            <w:r>
              <w:rPr>
                <w:kern w:val="0"/>
                <w:sz w:val="21"/>
                <w:szCs w:val="21"/>
              </w:rPr>
              <w:t>5</w:t>
            </w:r>
          </w:p>
        </w:tc>
        <w:tc>
          <w:tcPr>
            <w:tcW w:w="1134" w:type="dxa"/>
            <w:vAlign w:val="center"/>
          </w:tcPr>
          <w:p>
            <w:pPr>
              <w:jc w:val="center"/>
              <w:rPr>
                <w:kern w:val="0"/>
                <w:sz w:val="21"/>
                <w:szCs w:val="21"/>
              </w:rPr>
            </w:pPr>
            <w:r>
              <w:rPr>
                <w:kern w:val="0"/>
                <w:sz w:val="21"/>
                <w:szCs w:val="21"/>
              </w:rPr>
              <w:t>＜0.0013</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1,1-二氯乙烯</w:t>
            </w:r>
          </w:p>
        </w:tc>
        <w:tc>
          <w:tcPr>
            <w:tcW w:w="992" w:type="dxa"/>
            <w:vAlign w:val="center"/>
          </w:tcPr>
          <w:p>
            <w:pPr>
              <w:jc w:val="center"/>
              <w:rPr>
                <w:kern w:val="0"/>
                <w:sz w:val="21"/>
                <w:szCs w:val="21"/>
              </w:rPr>
            </w:pPr>
            <w:r>
              <w:rPr>
                <w:kern w:val="0"/>
                <w:sz w:val="21"/>
                <w:szCs w:val="21"/>
              </w:rPr>
              <w:t>66</w:t>
            </w:r>
          </w:p>
        </w:tc>
        <w:tc>
          <w:tcPr>
            <w:tcW w:w="1134" w:type="dxa"/>
            <w:vAlign w:val="center"/>
          </w:tcPr>
          <w:p>
            <w:pPr>
              <w:jc w:val="center"/>
              <w:rPr>
                <w:kern w:val="0"/>
                <w:sz w:val="21"/>
                <w:szCs w:val="21"/>
              </w:rPr>
            </w:pPr>
            <w:r>
              <w:rPr>
                <w:kern w:val="0"/>
                <w:sz w:val="21"/>
                <w:szCs w:val="21"/>
              </w:rPr>
              <w:t>＜0.0010</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＜0.0010</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＜0.0010</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顺1,2-二氯乙烯</w:t>
            </w:r>
          </w:p>
        </w:tc>
        <w:tc>
          <w:tcPr>
            <w:tcW w:w="992" w:type="dxa"/>
            <w:vAlign w:val="center"/>
          </w:tcPr>
          <w:p>
            <w:pPr>
              <w:jc w:val="center"/>
              <w:rPr>
                <w:kern w:val="0"/>
                <w:sz w:val="21"/>
                <w:szCs w:val="21"/>
              </w:rPr>
            </w:pPr>
            <w:r>
              <w:rPr>
                <w:kern w:val="0"/>
                <w:sz w:val="21"/>
                <w:szCs w:val="21"/>
              </w:rPr>
              <w:t>596</w:t>
            </w:r>
          </w:p>
        </w:tc>
        <w:tc>
          <w:tcPr>
            <w:tcW w:w="1134" w:type="dxa"/>
            <w:vAlign w:val="center"/>
          </w:tcPr>
          <w:p>
            <w:pPr>
              <w:jc w:val="center"/>
              <w:rPr>
                <w:kern w:val="0"/>
                <w:sz w:val="21"/>
                <w:szCs w:val="21"/>
              </w:rPr>
            </w:pPr>
            <w:r>
              <w:rPr>
                <w:kern w:val="0"/>
                <w:sz w:val="21"/>
                <w:szCs w:val="21"/>
              </w:rPr>
              <w:t>＜0.0013</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反1,2-二氯乙烯</w:t>
            </w:r>
          </w:p>
        </w:tc>
        <w:tc>
          <w:tcPr>
            <w:tcW w:w="992" w:type="dxa"/>
            <w:vAlign w:val="center"/>
          </w:tcPr>
          <w:p>
            <w:pPr>
              <w:jc w:val="center"/>
              <w:rPr>
                <w:kern w:val="0"/>
                <w:sz w:val="21"/>
                <w:szCs w:val="21"/>
              </w:rPr>
            </w:pPr>
            <w:r>
              <w:rPr>
                <w:kern w:val="0"/>
                <w:sz w:val="21"/>
                <w:szCs w:val="21"/>
              </w:rPr>
              <w:t>54</w:t>
            </w:r>
          </w:p>
        </w:tc>
        <w:tc>
          <w:tcPr>
            <w:tcW w:w="1134" w:type="dxa"/>
            <w:vAlign w:val="center"/>
          </w:tcPr>
          <w:p>
            <w:pPr>
              <w:jc w:val="center"/>
              <w:rPr>
                <w:kern w:val="0"/>
                <w:sz w:val="21"/>
                <w:szCs w:val="21"/>
              </w:rPr>
            </w:pPr>
            <w:r>
              <w:rPr>
                <w:kern w:val="0"/>
                <w:sz w:val="21"/>
                <w:szCs w:val="21"/>
              </w:rPr>
              <w:t>＜0.0014</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＜0.0014</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＜0.0014</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二氯甲烷</w:t>
            </w:r>
          </w:p>
        </w:tc>
        <w:tc>
          <w:tcPr>
            <w:tcW w:w="992" w:type="dxa"/>
            <w:vAlign w:val="center"/>
          </w:tcPr>
          <w:p>
            <w:pPr>
              <w:jc w:val="center"/>
              <w:rPr>
                <w:kern w:val="0"/>
                <w:sz w:val="21"/>
                <w:szCs w:val="21"/>
              </w:rPr>
            </w:pPr>
            <w:r>
              <w:rPr>
                <w:kern w:val="0"/>
                <w:sz w:val="21"/>
                <w:szCs w:val="21"/>
              </w:rPr>
              <w:t>616</w:t>
            </w:r>
          </w:p>
        </w:tc>
        <w:tc>
          <w:tcPr>
            <w:tcW w:w="1134" w:type="dxa"/>
            <w:vAlign w:val="center"/>
          </w:tcPr>
          <w:p>
            <w:pPr>
              <w:jc w:val="center"/>
              <w:rPr>
                <w:kern w:val="0"/>
                <w:sz w:val="21"/>
                <w:szCs w:val="21"/>
              </w:rPr>
            </w:pPr>
            <w:r>
              <w:rPr>
                <w:kern w:val="0"/>
                <w:sz w:val="21"/>
                <w:szCs w:val="21"/>
              </w:rPr>
              <w:t>＜0.0015</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1,2-二氯丙烷</w:t>
            </w:r>
          </w:p>
        </w:tc>
        <w:tc>
          <w:tcPr>
            <w:tcW w:w="992" w:type="dxa"/>
            <w:vAlign w:val="center"/>
          </w:tcPr>
          <w:p>
            <w:pPr>
              <w:jc w:val="center"/>
              <w:rPr>
                <w:kern w:val="0"/>
                <w:sz w:val="21"/>
                <w:szCs w:val="21"/>
              </w:rPr>
            </w:pPr>
            <w:r>
              <w:rPr>
                <w:kern w:val="0"/>
                <w:sz w:val="21"/>
                <w:szCs w:val="21"/>
              </w:rPr>
              <w:t>5</w:t>
            </w:r>
          </w:p>
        </w:tc>
        <w:tc>
          <w:tcPr>
            <w:tcW w:w="1134" w:type="dxa"/>
            <w:vAlign w:val="center"/>
          </w:tcPr>
          <w:p>
            <w:pPr>
              <w:jc w:val="center"/>
              <w:rPr>
                <w:kern w:val="0"/>
                <w:sz w:val="21"/>
                <w:szCs w:val="21"/>
              </w:rPr>
            </w:pPr>
            <w:r>
              <w:rPr>
                <w:kern w:val="0"/>
                <w:sz w:val="21"/>
                <w:szCs w:val="21"/>
              </w:rPr>
              <w:t>＜0.0011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1,1,1,2-四氯乙烷</w:t>
            </w:r>
          </w:p>
        </w:tc>
        <w:tc>
          <w:tcPr>
            <w:tcW w:w="992" w:type="dxa"/>
            <w:vAlign w:val="center"/>
          </w:tcPr>
          <w:p>
            <w:pPr>
              <w:jc w:val="center"/>
              <w:rPr>
                <w:kern w:val="0"/>
                <w:sz w:val="21"/>
                <w:szCs w:val="21"/>
              </w:rPr>
            </w:pPr>
            <w:r>
              <w:rPr>
                <w:kern w:val="0"/>
                <w:sz w:val="21"/>
                <w:szCs w:val="21"/>
              </w:rPr>
              <w:t>10</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1,1,2,2-四氯乙烷</w:t>
            </w:r>
          </w:p>
        </w:tc>
        <w:tc>
          <w:tcPr>
            <w:tcW w:w="992" w:type="dxa"/>
            <w:vAlign w:val="center"/>
          </w:tcPr>
          <w:p>
            <w:pPr>
              <w:jc w:val="center"/>
              <w:rPr>
                <w:kern w:val="0"/>
                <w:sz w:val="21"/>
                <w:szCs w:val="21"/>
              </w:rPr>
            </w:pPr>
            <w:r>
              <w:rPr>
                <w:kern w:val="0"/>
                <w:sz w:val="21"/>
                <w:szCs w:val="21"/>
              </w:rPr>
              <w:t>6.8</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四氯乙烯</w:t>
            </w:r>
          </w:p>
        </w:tc>
        <w:tc>
          <w:tcPr>
            <w:tcW w:w="992" w:type="dxa"/>
            <w:vAlign w:val="center"/>
          </w:tcPr>
          <w:p>
            <w:pPr>
              <w:jc w:val="center"/>
              <w:rPr>
                <w:kern w:val="0"/>
                <w:sz w:val="21"/>
                <w:szCs w:val="21"/>
              </w:rPr>
            </w:pPr>
            <w:r>
              <w:rPr>
                <w:kern w:val="0"/>
                <w:sz w:val="21"/>
                <w:szCs w:val="21"/>
              </w:rPr>
              <w:t>53</w:t>
            </w:r>
          </w:p>
        </w:tc>
        <w:tc>
          <w:tcPr>
            <w:tcW w:w="1134" w:type="dxa"/>
            <w:vAlign w:val="center"/>
          </w:tcPr>
          <w:p>
            <w:pPr>
              <w:jc w:val="center"/>
              <w:rPr>
                <w:kern w:val="0"/>
                <w:sz w:val="21"/>
                <w:szCs w:val="21"/>
              </w:rPr>
            </w:pPr>
            <w:r>
              <w:rPr>
                <w:kern w:val="0"/>
                <w:sz w:val="21"/>
                <w:szCs w:val="21"/>
              </w:rPr>
              <w:t>＜0.0014</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＜0.0014</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＜0.0014</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1,1,1-三氯乙烷</w:t>
            </w:r>
          </w:p>
        </w:tc>
        <w:tc>
          <w:tcPr>
            <w:tcW w:w="992" w:type="dxa"/>
            <w:vAlign w:val="center"/>
          </w:tcPr>
          <w:p>
            <w:pPr>
              <w:jc w:val="center"/>
              <w:rPr>
                <w:kern w:val="0"/>
                <w:sz w:val="21"/>
                <w:szCs w:val="21"/>
              </w:rPr>
            </w:pPr>
            <w:r>
              <w:rPr>
                <w:kern w:val="0"/>
                <w:sz w:val="21"/>
                <w:szCs w:val="21"/>
              </w:rPr>
              <w:t>840</w:t>
            </w:r>
          </w:p>
        </w:tc>
        <w:tc>
          <w:tcPr>
            <w:tcW w:w="1134" w:type="dxa"/>
            <w:vAlign w:val="center"/>
          </w:tcPr>
          <w:p>
            <w:pPr>
              <w:jc w:val="center"/>
              <w:rPr>
                <w:kern w:val="0"/>
                <w:sz w:val="21"/>
                <w:szCs w:val="21"/>
              </w:rPr>
            </w:pPr>
            <w:r>
              <w:rPr>
                <w:kern w:val="0"/>
                <w:sz w:val="21"/>
                <w:szCs w:val="21"/>
              </w:rPr>
              <w:t>＜0.0013</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1,1,2-三氯乙烷</w:t>
            </w:r>
          </w:p>
        </w:tc>
        <w:tc>
          <w:tcPr>
            <w:tcW w:w="992" w:type="dxa"/>
            <w:vAlign w:val="center"/>
          </w:tcPr>
          <w:p>
            <w:pPr>
              <w:jc w:val="center"/>
              <w:rPr>
                <w:kern w:val="0"/>
                <w:sz w:val="21"/>
                <w:szCs w:val="21"/>
              </w:rPr>
            </w:pPr>
            <w:r>
              <w:rPr>
                <w:kern w:val="0"/>
                <w:sz w:val="21"/>
                <w:szCs w:val="21"/>
              </w:rPr>
              <w:t>2.8</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三氯乙烯</w:t>
            </w:r>
          </w:p>
        </w:tc>
        <w:tc>
          <w:tcPr>
            <w:tcW w:w="992" w:type="dxa"/>
            <w:vAlign w:val="center"/>
          </w:tcPr>
          <w:p>
            <w:pPr>
              <w:jc w:val="center"/>
              <w:rPr>
                <w:kern w:val="0"/>
                <w:sz w:val="21"/>
                <w:szCs w:val="21"/>
              </w:rPr>
            </w:pPr>
            <w:r>
              <w:rPr>
                <w:kern w:val="0"/>
                <w:sz w:val="21"/>
                <w:szCs w:val="21"/>
              </w:rPr>
              <w:t>2.8</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1,2,3-三氯丙烷</w:t>
            </w:r>
          </w:p>
        </w:tc>
        <w:tc>
          <w:tcPr>
            <w:tcW w:w="992" w:type="dxa"/>
            <w:vAlign w:val="center"/>
          </w:tcPr>
          <w:p>
            <w:pPr>
              <w:jc w:val="center"/>
              <w:rPr>
                <w:kern w:val="0"/>
                <w:sz w:val="21"/>
                <w:szCs w:val="21"/>
              </w:rPr>
            </w:pPr>
            <w:r>
              <w:rPr>
                <w:kern w:val="0"/>
                <w:sz w:val="21"/>
                <w:szCs w:val="21"/>
              </w:rPr>
              <w:t>0.5</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氯乙烯</w:t>
            </w:r>
          </w:p>
        </w:tc>
        <w:tc>
          <w:tcPr>
            <w:tcW w:w="992" w:type="dxa"/>
            <w:vAlign w:val="center"/>
          </w:tcPr>
          <w:p>
            <w:pPr>
              <w:jc w:val="center"/>
              <w:rPr>
                <w:kern w:val="0"/>
                <w:sz w:val="21"/>
                <w:szCs w:val="21"/>
              </w:rPr>
            </w:pPr>
            <w:r>
              <w:rPr>
                <w:kern w:val="0"/>
                <w:sz w:val="21"/>
                <w:szCs w:val="21"/>
              </w:rPr>
              <w:t>0.43</w:t>
            </w:r>
          </w:p>
        </w:tc>
        <w:tc>
          <w:tcPr>
            <w:tcW w:w="1134" w:type="dxa"/>
            <w:vAlign w:val="center"/>
          </w:tcPr>
          <w:p>
            <w:pPr>
              <w:jc w:val="center"/>
              <w:rPr>
                <w:kern w:val="0"/>
                <w:sz w:val="21"/>
                <w:szCs w:val="21"/>
              </w:rPr>
            </w:pPr>
            <w:r>
              <w:rPr>
                <w:kern w:val="0"/>
                <w:sz w:val="21"/>
                <w:szCs w:val="21"/>
              </w:rPr>
              <w:t>＜0.0010</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＜0.0010</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＜0.0010</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w:t>
            </w:r>
          </w:p>
        </w:tc>
        <w:tc>
          <w:tcPr>
            <w:tcW w:w="992" w:type="dxa"/>
            <w:vAlign w:val="center"/>
          </w:tcPr>
          <w:p>
            <w:pPr>
              <w:jc w:val="center"/>
              <w:rPr>
                <w:kern w:val="0"/>
                <w:sz w:val="21"/>
                <w:szCs w:val="21"/>
              </w:rPr>
            </w:pPr>
            <w:r>
              <w:rPr>
                <w:kern w:val="0"/>
                <w:sz w:val="21"/>
                <w:szCs w:val="21"/>
              </w:rPr>
              <w:t>4</w:t>
            </w:r>
          </w:p>
        </w:tc>
        <w:tc>
          <w:tcPr>
            <w:tcW w:w="1134" w:type="dxa"/>
            <w:vAlign w:val="center"/>
          </w:tcPr>
          <w:p>
            <w:pPr>
              <w:jc w:val="center"/>
              <w:rPr>
                <w:kern w:val="0"/>
                <w:sz w:val="21"/>
                <w:szCs w:val="21"/>
              </w:rPr>
            </w:pPr>
            <w:r>
              <w:rPr>
                <w:kern w:val="0"/>
                <w:sz w:val="21"/>
                <w:szCs w:val="21"/>
              </w:rPr>
              <w:t>＜0.0019</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＜0.0019</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＜0.0019</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氯苯</w:t>
            </w:r>
          </w:p>
        </w:tc>
        <w:tc>
          <w:tcPr>
            <w:tcW w:w="992" w:type="dxa"/>
            <w:vAlign w:val="center"/>
          </w:tcPr>
          <w:p>
            <w:pPr>
              <w:jc w:val="center"/>
              <w:rPr>
                <w:kern w:val="0"/>
                <w:sz w:val="21"/>
                <w:szCs w:val="21"/>
              </w:rPr>
            </w:pPr>
            <w:r>
              <w:rPr>
                <w:kern w:val="0"/>
                <w:sz w:val="21"/>
                <w:szCs w:val="21"/>
              </w:rPr>
              <w:t>270</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1,2-二氯苯</w:t>
            </w:r>
          </w:p>
        </w:tc>
        <w:tc>
          <w:tcPr>
            <w:tcW w:w="992" w:type="dxa"/>
            <w:vAlign w:val="center"/>
          </w:tcPr>
          <w:p>
            <w:pPr>
              <w:jc w:val="center"/>
              <w:rPr>
                <w:kern w:val="0"/>
                <w:sz w:val="21"/>
                <w:szCs w:val="21"/>
              </w:rPr>
            </w:pPr>
            <w:r>
              <w:rPr>
                <w:kern w:val="0"/>
                <w:sz w:val="21"/>
                <w:szCs w:val="21"/>
              </w:rPr>
              <w:t>560</w:t>
            </w:r>
          </w:p>
        </w:tc>
        <w:tc>
          <w:tcPr>
            <w:tcW w:w="1134" w:type="dxa"/>
            <w:vAlign w:val="center"/>
          </w:tcPr>
          <w:p>
            <w:pPr>
              <w:jc w:val="center"/>
              <w:rPr>
                <w:kern w:val="0"/>
                <w:sz w:val="21"/>
                <w:szCs w:val="21"/>
              </w:rPr>
            </w:pPr>
            <w:r>
              <w:rPr>
                <w:kern w:val="0"/>
                <w:sz w:val="21"/>
                <w:szCs w:val="21"/>
              </w:rPr>
              <w:t>＜0.0015</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1,4-二氯苯</w:t>
            </w:r>
          </w:p>
        </w:tc>
        <w:tc>
          <w:tcPr>
            <w:tcW w:w="992" w:type="dxa"/>
            <w:vAlign w:val="center"/>
          </w:tcPr>
          <w:p>
            <w:pPr>
              <w:jc w:val="center"/>
              <w:rPr>
                <w:kern w:val="0"/>
                <w:sz w:val="21"/>
                <w:szCs w:val="21"/>
              </w:rPr>
            </w:pPr>
            <w:r>
              <w:rPr>
                <w:kern w:val="0"/>
                <w:sz w:val="21"/>
                <w:szCs w:val="21"/>
              </w:rPr>
              <w:t>20</w:t>
            </w:r>
          </w:p>
        </w:tc>
        <w:tc>
          <w:tcPr>
            <w:tcW w:w="1134" w:type="dxa"/>
            <w:vAlign w:val="center"/>
          </w:tcPr>
          <w:p>
            <w:pPr>
              <w:jc w:val="center"/>
              <w:rPr>
                <w:kern w:val="0"/>
                <w:sz w:val="21"/>
                <w:szCs w:val="21"/>
              </w:rPr>
            </w:pPr>
            <w:r>
              <w:rPr>
                <w:kern w:val="0"/>
                <w:sz w:val="21"/>
                <w:szCs w:val="21"/>
              </w:rPr>
              <w:t>＜0.0015</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＜0.0015</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乙苯</w:t>
            </w:r>
          </w:p>
        </w:tc>
        <w:tc>
          <w:tcPr>
            <w:tcW w:w="992" w:type="dxa"/>
            <w:vAlign w:val="center"/>
          </w:tcPr>
          <w:p>
            <w:pPr>
              <w:jc w:val="center"/>
              <w:rPr>
                <w:kern w:val="0"/>
                <w:sz w:val="21"/>
                <w:szCs w:val="21"/>
              </w:rPr>
            </w:pPr>
            <w:r>
              <w:rPr>
                <w:kern w:val="0"/>
                <w:sz w:val="21"/>
                <w:szCs w:val="21"/>
              </w:rPr>
              <w:t>28</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苯乙烯</w:t>
            </w:r>
          </w:p>
        </w:tc>
        <w:tc>
          <w:tcPr>
            <w:tcW w:w="992" w:type="dxa"/>
            <w:vAlign w:val="center"/>
          </w:tcPr>
          <w:p>
            <w:pPr>
              <w:jc w:val="center"/>
              <w:rPr>
                <w:kern w:val="0"/>
                <w:sz w:val="21"/>
                <w:szCs w:val="21"/>
              </w:rPr>
            </w:pPr>
            <w:r>
              <w:rPr>
                <w:kern w:val="0"/>
                <w:sz w:val="21"/>
                <w:szCs w:val="21"/>
              </w:rPr>
              <w:t>1290</w:t>
            </w:r>
          </w:p>
        </w:tc>
        <w:tc>
          <w:tcPr>
            <w:tcW w:w="1134" w:type="dxa"/>
            <w:vAlign w:val="center"/>
          </w:tcPr>
          <w:p>
            <w:pPr>
              <w:jc w:val="center"/>
              <w:rPr>
                <w:kern w:val="0"/>
                <w:sz w:val="21"/>
                <w:szCs w:val="21"/>
              </w:rPr>
            </w:pPr>
            <w:r>
              <w:rPr>
                <w:kern w:val="0"/>
                <w:sz w:val="21"/>
                <w:szCs w:val="21"/>
              </w:rPr>
              <w:t>＜0.0011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甲苯</w:t>
            </w:r>
          </w:p>
        </w:tc>
        <w:tc>
          <w:tcPr>
            <w:tcW w:w="992" w:type="dxa"/>
            <w:vAlign w:val="center"/>
          </w:tcPr>
          <w:p>
            <w:pPr>
              <w:jc w:val="center"/>
              <w:rPr>
                <w:kern w:val="0"/>
                <w:sz w:val="21"/>
                <w:szCs w:val="21"/>
              </w:rPr>
            </w:pPr>
            <w:r>
              <w:rPr>
                <w:kern w:val="0"/>
                <w:sz w:val="21"/>
                <w:szCs w:val="21"/>
              </w:rPr>
              <w:t>1200</w:t>
            </w:r>
          </w:p>
        </w:tc>
        <w:tc>
          <w:tcPr>
            <w:tcW w:w="1134" w:type="dxa"/>
            <w:vAlign w:val="center"/>
          </w:tcPr>
          <w:p>
            <w:pPr>
              <w:jc w:val="center"/>
              <w:rPr>
                <w:kern w:val="0"/>
                <w:sz w:val="21"/>
                <w:szCs w:val="21"/>
              </w:rPr>
            </w:pPr>
            <w:r>
              <w:rPr>
                <w:kern w:val="0"/>
                <w:sz w:val="21"/>
                <w:szCs w:val="21"/>
              </w:rPr>
              <w:t>＜0.0013</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＜0.0013</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间二甲苯+对二甲苯</w:t>
            </w:r>
          </w:p>
        </w:tc>
        <w:tc>
          <w:tcPr>
            <w:tcW w:w="992" w:type="dxa"/>
            <w:vAlign w:val="center"/>
          </w:tcPr>
          <w:p>
            <w:pPr>
              <w:jc w:val="center"/>
              <w:rPr>
                <w:kern w:val="0"/>
                <w:sz w:val="21"/>
                <w:szCs w:val="21"/>
              </w:rPr>
            </w:pPr>
            <w:r>
              <w:rPr>
                <w:kern w:val="0"/>
                <w:sz w:val="21"/>
                <w:szCs w:val="21"/>
              </w:rPr>
              <w:t>570</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邻二甲苯</w:t>
            </w:r>
          </w:p>
        </w:tc>
        <w:tc>
          <w:tcPr>
            <w:tcW w:w="992" w:type="dxa"/>
            <w:vAlign w:val="center"/>
          </w:tcPr>
          <w:p>
            <w:pPr>
              <w:jc w:val="center"/>
              <w:rPr>
                <w:kern w:val="0"/>
                <w:sz w:val="21"/>
                <w:szCs w:val="21"/>
              </w:rPr>
            </w:pPr>
            <w:r>
              <w:rPr>
                <w:kern w:val="0"/>
                <w:sz w:val="21"/>
                <w:szCs w:val="21"/>
              </w:rPr>
              <w:t>640</w:t>
            </w:r>
          </w:p>
        </w:tc>
        <w:tc>
          <w:tcPr>
            <w:tcW w:w="1134" w:type="dxa"/>
            <w:vAlign w:val="center"/>
          </w:tcPr>
          <w:p>
            <w:pPr>
              <w:jc w:val="center"/>
              <w:rPr>
                <w:kern w:val="0"/>
                <w:sz w:val="21"/>
                <w:szCs w:val="21"/>
              </w:rPr>
            </w:pPr>
            <w:r>
              <w:rPr>
                <w:kern w:val="0"/>
                <w:sz w:val="21"/>
                <w:szCs w:val="21"/>
              </w:rPr>
              <w:t>＜0.0012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＜0.0012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硝基苯</w:t>
            </w:r>
          </w:p>
        </w:tc>
        <w:tc>
          <w:tcPr>
            <w:tcW w:w="992" w:type="dxa"/>
            <w:vAlign w:val="center"/>
          </w:tcPr>
          <w:p>
            <w:pPr>
              <w:jc w:val="center"/>
              <w:rPr>
                <w:kern w:val="0"/>
                <w:sz w:val="21"/>
                <w:szCs w:val="21"/>
              </w:rPr>
            </w:pPr>
            <w:r>
              <w:rPr>
                <w:kern w:val="0"/>
                <w:sz w:val="21"/>
                <w:szCs w:val="21"/>
              </w:rPr>
              <w:t>76</w:t>
            </w:r>
          </w:p>
        </w:tc>
        <w:tc>
          <w:tcPr>
            <w:tcW w:w="1134" w:type="dxa"/>
            <w:vAlign w:val="center"/>
          </w:tcPr>
          <w:p>
            <w:pPr>
              <w:jc w:val="center"/>
              <w:rPr>
                <w:kern w:val="0"/>
                <w:sz w:val="21"/>
                <w:szCs w:val="21"/>
              </w:rPr>
            </w:pPr>
            <w:r>
              <w:rPr>
                <w:kern w:val="0"/>
                <w:sz w:val="21"/>
                <w:szCs w:val="21"/>
              </w:rPr>
              <w:t>＜0.09</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＜0.09</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＜0.09</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苯胺</w:t>
            </w:r>
          </w:p>
        </w:tc>
        <w:tc>
          <w:tcPr>
            <w:tcW w:w="992" w:type="dxa"/>
            <w:vAlign w:val="center"/>
          </w:tcPr>
          <w:p>
            <w:pPr>
              <w:jc w:val="center"/>
              <w:rPr>
                <w:kern w:val="0"/>
                <w:sz w:val="21"/>
                <w:szCs w:val="21"/>
              </w:rPr>
            </w:pPr>
            <w:r>
              <w:rPr>
                <w:kern w:val="0"/>
                <w:sz w:val="21"/>
                <w:szCs w:val="21"/>
              </w:rPr>
              <w:t>260</w:t>
            </w:r>
          </w:p>
        </w:tc>
        <w:tc>
          <w:tcPr>
            <w:tcW w:w="1134" w:type="dxa"/>
            <w:vAlign w:val="center"/>
          </w:tcPr>
          <w:p>
            <w:pPr>
              <w:jc w:val="center"/>
              <w:rPr>
                <w:kern w:val="0"/>
                <w:sz w:val="21"/>
                <w:szCs w:val="21"/>
              </w:rPr>
            </w:pPr>
            <w:r>
              <w:rPr>
                <w:kern w:val="0"/>
                <w:sz w:val="21"/>
                <w:szCs w:val="21"/>
              </w:rPr>
              <w:t>＜0.05</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＜0.05</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＜0.05</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2-氯酚</w:t>
            </w:r>
          </w:p>
        </w:tc>
        <w:tc>
          <w:tcPr>
            <w:tcW w:w="992" w:type="dxa"/>
            <w:vAlign w:val="center"/>
          </w:tcPr>
          <w:p>
            <w:pPr>
              <w:jc w:val="center"/>
              <w:rPr>
                <w:kern w:val="0"/>
                <w:sz w:val="21"/>
                <w:szCs w:val="21"/>
              </w:rPr>
            </w:pPr>
            <w:r>
              <w:rPr>
                <w:kern w:val="0"/>
                <w:sz w:val="21"/>
                <w:szCs w:val="21"/>
              </w:rPr>
              <w:t>2256</w:t>
            </w:r>
          </w:p>
        </w:tc>
        <w:tc>
          <w:tcPr>
            <w:tcW w:w="1134" w:type="dxa"/>
            <w:vAlign w:val="center"/>
          </w:tcPr>
          <w:p>
            <w:pPr>
              <w:jc w:val="center"/>
              <w:rPr>
                <w:kern w:val="0"/>
                <w:sz w:val="21"/>
                <w:szCs w:val="21"/>
              </w:rPr>
            </w:pPr>
            <w:r>
              <w:rPr>
                <w:kern w:val="0"/>
                <w:sz w:val="21"/>
                <w:szCs w:val="21"/>
              </w:rPr>
              <w:t>＜0.06</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＜0.06</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＜0.06</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苯并[a]蒽</w:t>
            </w:r>
          </w:p>
        </w:tc>
        <w:tc>
          <w:tcPr>
            <w:tcW w:w="992" w:type="dxa"/>
            <w:vAlign w:val="center"/>
          </w:tcPr>
          <w:p>
            <w:pPr>
              <w:jc w:val="center"/>
              <w:rPr>
                <w:kern w:val="0"/>
                <w:sz w:val="21"/>
                <w:szCs w:val="21"/>
              </w:rPr>
            </w:pPr>
            <w:r>
              <w:rPr>
                <w:kern w:val="0"/>
                <w:sz w:val="21"/>
                <w:szCs w:val="21"/>
              </w:rPr>
              <w:t>15</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苯并[a]芘</w:t>
            </w:r>
          </w:p>
        </w:tc>
        <w:tc>
          <w:tcPr>
            <w:tcW w:w="992" w:type="dxa"/>
            <w:vAlign w:val="center"/>
          </w:tcPr>
          <w:p>
            <w:pPr>
              <w:jc w:val="center"/>
              <w:rPr>
                <w:kern w:val="0"/>
                <w:sz w:val="21"/>
                <w:szCs w:val="21"/>
              </w:rPr>
            </w:pPr>
            <w:r>
              <w:rPr>
                <w:kern w:val="0"/>
                <w:sz w:val="21"/>
                <w:szCs w:val="21"/>
              </w:rPr>
              <w:t>1.5</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苯并[b]荧蒽</w:t>
            </w:r>
          </w:p>
        </w:tc>
        <w:tc>
          <w:tcPr>
            <w:tcW w:w="992" w:type="dxa"/>
            <w:vAlign w:val="center"/>
          </w:tcPr>
          <w:p>
            <w:pPr>
              <w:jc w:val="center"/>
              <w:rPr>
                <w:kern w:val="0"/>
                <w:sz w:val="21"/>
                <w:szCs w:val="21"/>
              </w:rPr>
            </w:pPr>
            <w:r>
              <w:rPr>
                <w:kern w:val="0"/>
                <w:sz w:val="21"/>
                <w:szCs w:val="21"/>
              </w:rPr>
              <w:t>15</w:t>
            </w:r>
          </w:p>
        </w:tc>
        <w:tc>
          <w:tcPr>
            <w:tcW w:w="1134" w:type="dxa"/>
            <w:vAlign w:val="center"/>
          </w:tcPr>
          <w:p>
            <w:pPr>
              <w:jc w:val="center"/>
              <w:rPr>
                <w:kern w:val="0"/>
                <w:sz w:val="21"/>
                <w:szCs w:val="21"/>
              </w:rPr>
            </w:pPr>
            <w:r>
              <w:rPr>
                <w:kern w:val="0"/>
                <w:sz w:val="21"/>
                <w:szCs w:val="21"/>
              </w:rPr>
              <w:t>＜0.2</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＜0.2</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＜0.2</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苯并[k]荧蒽</w:t>
            </w:r>
          </w:p>
        </w:tc>
        <w:tc>
          <w:tcPr>
            <w:tcW w:w="992" w:type="dxa"/>
            <w:vAlign w:val="center"/>
          </w:tcPr>
          <w:p>
            <w:pPr>
              <w:jc w:val="center"/>
              <w:rPr>
                <w:kern w:val="0"/>
                <w:sz w:val="21"/>
                <w:szCs w:val="21"/>
              </w:rPr>
            </w:pPr>
            <w:r>
              <w:rPr>
                <w:kern w:val="0"/>
                <w:sz w:val="21"/>
                <w:szCs w:val="21"/>
              </w:rPr>
              <w:t>151</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䓛</w:t>
            </w:r>
          </w:p>
        </w:tc>
        <w:tc>
          <w:tcPr>
            <w:tcW w:w="992" w:type="dxa"/>
            <w:vAlign w:val="center"/>
          </w:tcPr>
          <w:p>
            <w:pPr>
              <w:jc w:val="center"/>
              <w:rPr>
                <w:kern w:val="0"/>
                <w:sz w:val="21"/>
                <w:szCs w:val="21"/>
              </w:rPr>
            </w:pPr>
            <w:r>
              <w:rPr>
                <w:kern w:val="0"/>
                <w:sz w:val="21"/>
                <w:szCs w:val="21"/>
              </w:rPr>
              <w:t>1293</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二苯并[a,h ]蒽</w:t>
            </w:r>
          </w:p>
        </w:tc>
        <w:tc>
          <w:tcPr>
            <w:tcW w:w="992" w:type="dxa"/>
            <w:vAlign w:val="center"/>
          </w:tcPr>
          <w:p>
            <w:pPr>
              <w:jc w:val="center"/>
              <w:rPr>
                <w:kern w:val="0"/>
                <w:sz w:val="21"/>
                <w:szCs w:val="21"/>
              </w:rPr>
            </w:pPr>
            <w:r>
              <w:rPr>
                <w:kern w:val="0"/>
                <w:sz w:val="21"/>
                <w:szCs w:val="21"/>
              </w:rPr>
              <w:t>15</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茚并[1,2,3-cd]芘</w:t>
            </w:r>
          </w:p>
        </w:tc>
        <w:tc>
          <w:tcPr>
            <w:tcW w:w="992" w:type="dxa"/>
            <w:vAlign w:val="center"/>
          </w:tcPr>
          <w:p>
            <w:pPr>
              <w:jc w:val="center"/>
              <w:rPr>
                <w:kern w:val="0"/>
                <w:sz w:val="21"/>
                <w:szCs w:val="21"/>
              </w:rPr>
            </w:pPr>
            <w:r>
              <w:rPr>
                <w:kern w:val="0"/>
                <w:sz w:val="21"/>
                <w:szCs w:val="21"/>
              </w:rPr>
              <w:t>15</w:t>
            </w:r>
          </w:p>
        </w:tc>
        <w:tc>
          <w:tcPr>
            <w:tcW w:w="1134" w:type="dxa"/>
            <w:vAlign w:val="center"/>
          </w:tcPr>
          <w:p>
            <w:pPr>
              <w:jc w:val="center"/>
              <w:rPr>
                <w:kern w:val="0"/>
                <w:sz w:val="21"/>
                <w:szCs w:val="21"/>
              </w:rPr>
            </w:pPr>
            <w:r>
              <w:rPr>
                <w:kern w:val="0"/>
                <w:sz w:val="21"/>
                <w:szCs w:val="21"/>
              </w:rPr>
              <w:t>＜0.1</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＜0.1</w:t>
            </w:r>
          </w:p>
        </w:tc>
        <w:tc>
          <w:tcPr>
            <w:tcW w:w="993" w:type="dxa"/>
            <w:vAlign w:val="center"/>
          </w:tcPr>
          <w:p>
            <w:pPr>
              <w:jc w:val="center"/>
              <w:rPr>
                <w:kern w:val="0"/>
                <w:sz w:val="21"/>
                <w:szCs w:val="21"/>
              </w:rPr>
            </w:pPr>
            <w:r>
              <w:rPr>
                <w:kern w:val="0"/>
                <w:sz w:val="21"/>
                <w:szCs w:val="21"/>
              </w:rPr>
              <w:t>/</w:t>
            </w:r>
          </w:p>
        </w:tc>
      </w:tr>
      <w:tr>
        <w:tblPrEx>
          <w:tblBorders>
            <w:top w:val="single" w:color="auto" w:sz="12"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1" w:hRule="atLeast"/>
          <w:jc w:val="center"/>
        </w:trPr>
        <w:tc>
          <w:tcPr>
            <w:tcW w:w="2127" w:type="dxa"/>
            <w:vAlign w:val="center"/>
          </w:tcPr>
          <w:p>
            <w:pPr>
              <w:jc w:val="center"/>
              <w:rPr>
                <w:kern w:val="0"/>
                <w:sz w:val="21"/>
                <w:szCs w:val="21"/>
              </w:rPr>
            </w:pPr>
            <w:r>
              <w:rPr>
                <w:kern w:val="0"/>
                <w:sz w:val="21"/>
                <w:szCs w:val="21"/>
              </w:rPr>
              <w:t>萘</w:t>
            </w:r>
          </w:p>
        </w:tc>
        <w:tc>
          <w:tcPr>
            <w:tcW w:w="992" w:type="dxa"/>
            <w:vAlign w:val="center"/>
          </w:tcPr>
          <w:p>
            <w:pPr>
              <w:jc w:val="center"/>
              <w:rPr>
                <w:kern w:val="0"/>
                <w:sz w:val="21"/>
                <w:szCs w:val="21"/>
              </w:rPr>
            </w:pPr>
            <w:r>
              <w:rPr>
                <w:kern w:val="0"/>
                <w:sz w:val="21"/>
                <w:szCs w:val="21"/>
              </w:rPr>
              <w:t>70</w:t>
            </w:r>
          </w:p>
        </w:tc>
        <w:tc>
          <w:tcPr>
            <w:tcW w:w="1134" w:type="dxa"/>
            <w:vAlign w:val="center"/>
          </w:tcPr>
          <w:p>
            <w:pPr>
              <w:jc w:val="center"/>
              <w:rPr>
                <w:kern w:val="0"/>
                <w:sz w:val="21"/>
                <w:szCs w:val="21"/>
              </w:rPr>
            </w:pPr>
            <w:r>
              <w:rPr>
                <w:kern w:val="0"/>
                <w:sz w:val="21"/>
                <w:szCs w:val="21"/>
              </w:rPr>
              <w:t>＜0.09</w:t>
            </w:r>
          </w:p>
        </w:tc>
        <w:tc>
          <w:tcPr>
            <w:tcW w:w="850" w:type="dxa"/>
            <w:vAlign w:val="center"/>
          </w:tcPr>
          <w:p>
            <w:pPr>
              <w:jc w:val="center"/>
              <w:rPr>
                <w:kern w:val="0"/>
                <w:sz w:val="21"/>
                <w:szCs w:val="21"/>
              </w:rPr>
            </w:pPr>
            <w:r>
              <w:rPr>
                <w:kern w:val="0"/>
                <w:sz w:val="21"/>
                <w:szCs w:val="21"/>
              </w:rPr>
              <w:t>/</w:t>
            </w:r>
          </w:p>
        </w:tc>
        <w:tc>
          <w:tcPr>
            <w:tcW w:w="1134" w:type="dxa"/>
            <w:vAlign w:val="center"/>
          </w:tcPr>
          <w:p>
            <w:pPr>
              <w:jc w:val="center"/>
              <w:rPr>
                <w:kern w:val="0"/>
                <w:sz w:val="21"/>
                <w:szCs w:val="21"/>
              </w:rPr>
            </w:pPr>
            <w:r>
              <w:rPr>
                <w:kern w:val="0"/>
                <w:sz w:val="21"/>
                <w:szCs w:val="21"/>
              </w:rPr>
              <w:t>＜0.09</w:t>
            </w:r>
          </w:p>
        </w:tc>
        <w:tc>
          <w:tcPr>
            <w:tcW w:w="993" w:type="dxa"/>
            <w:vAlign w:val="center"/>
          </w:tcPr>
          <w:p>
            <w:pPr>
              <w:jc w:val="center"/>
              <w:rPr>
                <w:kern w:val="0"/>
                <w:sz w:val="21"/>
                <w:szCs w:val="21"/>
              </w:rPr>
            </w:pPr>
            <w:r>
              <w:rPr>
                <w:kern w:val="0"/>
                <w:sz w:val="21"/>
                <w:szCs w:val="21"/>
              </w:rPr>
              <w:t>/</w:t>
            </w:r>
          </w:p>
        </w:tc>
        <w:tc>
          <w:tcPr>
            <w:tcW w:w="1275" w:type="dxa"/>
            <w:vAlign w:val="center"/>
          </w:tcPr>
          <w:p>
            <w:pPr>
              <w:jc w:val="center"/>
              <w:rPr>
                <w:kern w:val="0"/>
                <w:sz w:val="21"/>
                <w:szCs w:val="21"/>
              </w:rPr>
            </w:pPr>
            <w:r>
              <w:rPr>
                <w:kern w:val="0"/>
                <w:sz w:val="21"/>
                <w:szCs w:val="21"/>
              </w:rPr>
              <w:t>＜0.09</w:t>
            </w:r>
          </w:p>
        </w:tc>
        <w:tc>
          <w:tcPr>
            <w:tcW w:w="993" w:type="dxa"/>
            <w:vAlign w:val="center"/>
          </w:tcPr>
          <w:p>
            <w:pPr>
              <w:jc w:val="center"/>
              <w:rPr>
                <w:kern w:val="0"/>
                <w:sz w:val="21"/>
                <w:szCs w:val="21"/>
              </w:rPr>
            </w:pPr>
            <w:r>
              <w:rPr>
                <w:kern w:val="0"/>
                <w:sz w:val="21"/>
                <w:szCs w:val="21"/>
              </w:rPr>
              <w:t>/</w:t>
            </w:r>
          </w:p>
        </w:tc>
      </w:tr>
    </w:tbl>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pPr>
    </w:p>
    <w:p>
      <w:pPr>
        <w:autoSpaceDE w:val="0"/>
        <w:autoSpaceDN w:val="0"/>
        <w:adjustRightInd w:val="0"/>
        <w:ind w:firstLine="420" w:firstLineChars="200"/>
        <w:rPr>
          <w:rFonts w:eastAsia="黑体"/>
          <w:szCs w:val="21"/>
        </w:rPr>
        <w:sectPr>
          <w:pgSz w:w="11907" w:h="16840"/>
          <w:pgMar w:top="1440" w:right="1701" w:bottom="1440" w:left="1985" w:header="851" w:footer="992" w:gutter="0"/>
          <w:cols w:space="720" w:num="1"/>
          <w:docGrid w:linePitch="312" w:charSpace="0"/>
        </w:sectPr>
      </w:pPr>
    </w:p>
    <w:p>
      <w:pPr>
        <w:snapToGrid w:val="0"/>
        <w:spacing w:line="240" w:lineRule="atLeast"/>
        <w:ind w:firstLine="420" w:firstLineChars="200"/>
        <w:rPr>
          <w:rFonts w:eastAsia="黑体"/>
          <w:szCs w:val="21"/>
        </w:rPr>
      </w:pPr>
      <w:r>
        <w:rPr>
          <w:rFonts w:eastAsia="黑体"/>
          <w:szCs w:val="21"/>
        </w:rPr>
        <w:t>表</w:t>
      </w:r>
      <w:r>
        <w:rPr>
          <w:rFonts w:hint="eastAsia" w:eastAsia="黑体"/>
          <w:szCs w:val="21"/>
        </w:rPr>
        <w:t>5.3-14</w:t>
      </w:r>
      <w:r>
        <w:rPr>
          <w:rFonts w:eastAsia="黑体"/>
          <w:szCs w:val="21"/>
        </w:rPr>
        <w:t xml:space="preserve">              </w:t>
      </w:r>
      <w:r>
        <w:rPr>
          <w:rFonts w:hint="eastAsia" w:eastAsia="黑体"/>
          <w:szCs w:val="21"/>
        </w:rPr>
        <w:t xml:space="preserve">                  </w:t>
      </w:r>
      <w:r>
        <w:rPr>
          <w:rFonts w:eastAsia="黑体"/>
          <w:szCs w:val="21"/>
        </w:rPr>
        <w:t xml:space="preserve">  各监测点现状监测及评价结果                              单位：mg/kg</w:t>
      </w:r>
    </w:p>
    <w:tbl>
      <w:tblPr>
        <w:tblStyle w:val="59"/>
        <w:tblW w:w="1469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27"/>
        <w:gridCol w:w="875"/>
        <w:gridCol w:w="1058"/>
        <w:gridCol w:w="1134"/>
        <w:gridCol w:w="1134"/>
        <w:gridCol w:w="1134"/>
        <w:gridCol w:w="850"/>
        <w:gridCol w:w="992"/>
        <w:gridCol w:w="851"/>
        <w:gridCol w:w="992"/>
        <w:gridCol w:w="1276"/>
        <w:gridCol w:w="1150"/>
        <w:gridCol w:w="11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12" w:space="0"/>
              <w:left w:val="nil"/>
              <w:bottom w:val="single" w:color="auto" w:sz="2" w:space="0"/>
              <w:right w:val="single" w:color="auto" w:sz="2" w:space="0"/>
            </w:tcBorders>
            <w:vAlign w:val="center"/>
          </w:tcPr>
          <w:p>
            <w:pPr>
              <w:jc w:val="center"/>
              <w:rPr>
                <w:kern w:val="0"/>
                <w:szCs w:val="21"/>
              </w:rPr>
            </w:pPr>
            <w:r>
              <w:rPr>
                <w:kern w:val="0"/>
                <w:szCs w:val="21"/>
              </w:rPr>
              <w:t>项目</w:t>
            </w:r>
          </w:p>
        </w:tc>
        <w:tc>
          <w:tcPr>
            <w:tcW w:w="875"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标准</w:t>
            </w:r>
          </w:p>
        </w:tc>
        <w:tc>
          <w:tcPr>
            <w:tcW w:w="1058" w:type="dxa"/>
            <w:tcBorders>
              <w:top w:val="single" w:color="auto" w:sz="12" w:space="0"/>
              <w:left w:val="single" w:color="auto" w:sz="2" w:space="0"/>
              <w:bottom w:val="single" w:color="auto" w:sz="2" w:space="0"/>
              <w:right w:val="single" w:color="auto" w:sz="2" w:space="0"/>
            </w:tcBorders>
            <w:vAlign w:val="center"/>
          </w:tcPr>
          <w:p>
            <w:pPr>
              <w:jc w:val="center"/>
              <w:rPr>
                <w:szCs w:val="21"/>
              </w:rPr>
            </w:pPr>
            <w:r>
              <w:rPr>
                <w:rFonts w:hint="eastAsia"/>
                <w:szCs w:val="21"/>
              </w:rPr>
              <w:t>生活区</w:t>
            </w:r>
          </w:p>
        </w:tc>
        <w:tc>
          <w:tcPr>
            <w:tcW w:w="1134" w:type="dxa"/>
            <w:tcBorders>
              <w:top w:val="single" w:color="auto" w:sz="12" w:space="0"/>
              <w:left w:val="single" w:color="auto" w:sz="2" w:space="0"/>
              <w:bottom w:val="single" w:color="auto" w:sz="2" w:space="0"/>
              <w:right w:val="single" w:color="auto" w:sz="2" w:space="0"/>
            </w:tcBorders>
            <w:vAlign w:val="center"/>
          </w:tcPr>
          <w:p>
            <w:pPr>
              <w:jc w:val="center"/>
              <w:rPr>
                <w:szCs w:val="21"/>
              </w:rPr>
            </w:pPr>
            <w:r>
              <w:rPr>
                <w:rFonts w:hint="eastAsia"/>
                <w:szCs w:val="21"/>
              </w:rPr>
              <w:t>生产区1#</w:t>
            </w:r>
          </w:p>
        </w:tc>
        <w:tc>
          <w:tcPr>
            <w:tcW w:w="1134" w:type="dxa"/>
            <w:tcBorders>
              <w:top w:val="single" w:color="auto" w:sz="12" w:space="0"/>
              <w:left w:val="single" w:color="auto" w:sz="2" w:space="0"/>
              <w:bottom w:val="single" w:color="auto" w:sz="2" w:space="0"/>
              <w:right w:val="single" w:color="auto" w:sz="2" w:space="0"/>
            </w:tcBorders>
            <w:vAlign w:val="center"/>
          </w:tcPr>
          <w:p>
            <w:pPr>
              <w:jc w:val="center"/>
              <w:rPr>
                <w:szCs w:val="21"/>
              </w:rPr>
            </w:pPr>
            <w:r>
              <w:rPr>
                <w:rFonts w:hint="eastAsia"/>
                <w:szCs w:val="21"/>
              </w:rPr>
              <w:t>生产区2#</w:t>
            </w:r>
          </w:p>
        </w:tc>
        <w:tc>
          <w:tcPr>
            <w:tcW w:w="1134"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样本数量</w:t>
            </w:r>
          </w:p>
        </w:tc>
        <w:tc>
          <w:tcPr>
            <w:tcW w:w="850"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最大值</w:t>
            </w:r>
          </w:p>
        </w:tc>
        <w:tc>
          <w:tcPr>
            <w:tcW w:w="992"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最小值</w:t>
            </w:r>
          </w:p>
        </w:tc>
        <w:tc>
          <w:tcPr>
            <w:tcW w:w="851"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均值</w:t>
            </w:r>
          </w:p>
        </w:tc>
        <w:tc>
          <w:tcPr>
            <w:tcW w:w="992"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标准差</w:t>
            </w:r>
          </w:p>
        </w:tc>
        <w:tc>
          <w:tcPr>
            <w:tcW w:w="1276"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检出率%</w:t>
            </w:r>
          </w:p>
        </w:tc>
        <w:tc>
          <w:tcPr>
            <w:tcW w:w="1150" w:type="dxa"/>
            <w:tcBorders>
              <w:top w:val="single" w:color="auto" w:sz="12" w:space="0"/>
              <w:left w:val="single" w:color="auto" w:sz="2" w:space="0"/>
              <w:bottom w:val="single" w:color="auto" w:sz="2" w:space="0"/>
              <w:right w:val="single" w:color="auto" w:sz="2" w:space="0"/>
            </w:tcBorders>
            <w:vAlign w:val="center"/>
          </w:tcPr>
          <w:p>
            <w:pPr>
              <w:jc w:val="center"/>
              <w:rPr>
                <w:kern w:val="0"/>
                <w:szCs w:val="21"/>
              </w:rPr>
            </w:pPr>
            <w:r>
              <w:rPr>
                <w:kern w:val="0"/>
                <w:szCs w:val="21"/>
              </w:rPr>
              <w:t>超标率%</w:t>
            </w:r>
          </w:p>
        </w:tc>
        <w:tc>
          <w:tcPr>
            <w:tcW w:w="1118" w:type="dxa"/>
            <w:tcBorders>
              <w:top w:val="single" w:color="auto" w:sz="12" w:space="0"/>
              <w:left w:val="single" w:color="auto" w:sz="2" w:space="0"/>
              <w:bottom w:val="single" w:color="auto" w:sz="2" w:space="0"/>
              <w:right w:val="nil"/>
            </w:tcBorders>
            <w:vAlign w:val="center"/>
          </w:tcPr>
          <w:p>
            <w:pPr>
              <w:jc w:val="center"/>
              <w:rPr>
                <w:kern w:val="0"/>
                <w:szCs w:val="21"/>
              </w:rPr>
            </w:pPr>
            <w:r>
              <w:rPr>
                <w:kern w:val="0"/>
                <w:szCs w:val="21"/>
              </w:rPr>
              <w:t>超标倍数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汞</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38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0.223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0.504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0.251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kern w:val="0"/>
                <w:szCs w:val="21"/>
              </w:rPr>
              <w:t>0.504</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0.223</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0.33</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0.13</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10.8</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9.63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10.2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10.8</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9.63</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10.21</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0.48</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铅</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800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35</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31</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33.00</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1.63</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镉</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0.46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0.46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0.42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0.46</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0.42</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0.45</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0.02</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镍</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900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37</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36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37</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36</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36.33</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0.47</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铜</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18000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18</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17</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17</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18</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17</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17.33</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0.47</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六价铬</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5.7</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0.8</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szCs w:val="21"/>
              </w:rPr>
              <w:t>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1.1</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0.8</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0.97</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0.12</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rFonts w:hint="eastAsia"/>
                <w:kern w:val="0"/>
                <w:szCs w:val="21"/>
              </w:rPr>
              <w:t>1</w:t>
            </w:r>
            <w:r>
              <w:rPr>
                <w:kern w:val="0"/>
                <w:szCs w:val="21"/>
              </w:rPr>
              <w:t>00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kern w:val="0"/>
                <w:szCs w:val="21"/>
              </w:rPr>
            </w:pPr>
            <w:r>
              <w:rPr>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四氯化碳</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氯仿</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0.9</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1，1-二氯乙烷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9</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1，2-二氯乙烷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1，1-二氯乙烯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66</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顺1，2-二氯乙烯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596</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反1，2-二氯乙烯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54</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二氯甲烷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616</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1，2-二氯丙烷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1，1，1，2-四氯乙烷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1，1，2，2-四氯乙烷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1，1，2-三氯乙烷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三氯乙烯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＜0.0014</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0.43</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4</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1，2-二氯苯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560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1，4-二氯苯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乙苯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28</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＜0.0010</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1290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甲苯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1200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间二甲苯+对二甲苯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570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邻二甲苯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640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四氯乙烯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53</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1，2，3-三氯丙烷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0.5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1，1，1-三氯乙烷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840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氯苯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270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2-氯酚</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2256</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＜0.0012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苯并[a]蒽</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苯并[a]芘</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苯并[b]荧蒽</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＜0.06</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苯并[k]荧蒽</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151</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䓛</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1293</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二苯并[a，h]蒽</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＜0.2</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茚并[1，2，3-cd]芘</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15</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kern w:val="0"/>
                <w:szCs w:val="21"/>
              </w:rPr>
            </w:pPr>
            <w:r>
              <w:rPr>
                <w:kern w:val="0"/>
                <w:szCs w:val="21"/>
              </w:rPr>
              <w:t>萘</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70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szCs w:val="21"/>
              </w:rPr>
            </w:pPr>
            <w:r>
              <w:rPr>
                <w:kern w:val="0"/>
                <w:szCs w:val="21"/>
              </w:rPr>
              <w:t>氯甲烷</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37</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szCs w:val="21"/>
              </w:rPr>
            </w:pPr>
            <w:r>
              <w:rPr>
                <w:kern w:val="0"/>
                <w:szCs w:val="21"/>
              </w:rPr>
              <w:t>硝基苯</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76</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＜0.1</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2127" w:type="dxa"/>
            <w:tcBorders>
              <w:top w:val="single" w:color="auto" w:sz="2" w:space="0"/>
              <w:left w:val="nil"/>
              <w:bottom w:val="single" w:color="auto" w:sz="2" w:space="0"/>
              <w:right w:val="single" w:color="auto" w:sz="2" w:space="0"/>
            </w:tcBorders>
            <w:vAlign w:val="center"/>
          </w:tcPr>
          <w:p>
            <w:pPr>
              <w:jc w:val="center"/>
              <w:rPr>
                <w:szCs w:val="21"/>
              </w:rPr>
            </w:pPr>
            <w:r>
              <w:rPr>
                <w:kern w:val="0"/>
                <w:szCs w:val="21"/>
              </w:rPr>
              <w:t>苯胺</w:t>
            </w:r>
          </w:p>
        </w:tc>
        <w:tc>
          <w:tcPr>
            <w:tcW w:w="875" w:type="dxa"/>
            <w:tcBorders>
              <w:top w:val="single" w:color="auto" w:sz="2" w:space="0"/>
              <w:left w:val="single" w:color="auto" w:sz="2" w:space="0"/>
              <w:bottom w:val="single" w:color="auto" w:sz="2" w:space="0"/>
              <w:right w:val="single" w:color="auto" w:sz="2" w:space="0"/>
            </w:tcBorders>
            <w:vAlign w:val="center"/>
          </w:tcPr>
          <w:p>
            <w:pPr>
              <w:jc w:val="center"/>
              <w:rPr>
                <w:kern w:val="0"/>
                <w:szCs w:val="21"/>
              </w:rPr>
            </w:pPr>
            <w:r>
              <w:rPr>
                <w:kern w:val="0"/>
                <w:szCs w:val="21"/>
              </w:rPr>
              <w:t>260</w:t>
            </w:r>
          </w:p>
        </w:tc>
        <w:tc>
          <w:tcPr>
            <w:tcW w:w="1058"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＜0.09</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rFonts w:hint="eastAsia"/>
                <w:szCs w:val="21"/>
              </w:rPr>
              <w:t>3</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851"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w:t>
            </w:r>
          </w:p>
        </w:tc>
        <w:tc>
          <w:tcPr>
            <w:tcW w:w="1276"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50" w:type="dxa"/>
            <w:tcBorders>
              <w:top w:val="single" w:color="auto" w:sz="2" w:space="0"/>
              <w:left w:val="single" w:color="auto" w:sz="2" w:space="0"/>
              <w:bottom w:val="single" w:color="auto" w:sz="2" w:space="0"/>
              <w:right w:val="single" w:color="auto" w:sz="2" w:space="0"/>
            </w:tcBorders>
            <w:vAlign w:val="center"/>
          </w:tcPr>
          <w:p>
            <w:pPr>
              <w:jc w:val="center"/>
              <w:rPr>
                <w:szCs w:val="21"/>
              </w:rPr>
            </w:pPr>
            <w:r>
              <w:rPr>
                <w:szCs w:val="21"/>
              </w:rPr>
              <w:t>0</w:t>
            </w:r>
          </w:p>
        </w:tc>
        <w:tc>
          <w:tcPr>
            <w:tcW w:w="1118" w:type="dxa"/>
            <w:tcBorders>
              <w:top w:val="single" w:color="auto" w:sz="2" w:space="0"/>
              <w:left w:val="single" w:color="auto" w:sz="2" w:space="0"/>
              <w:bottom w:val="single" w:color="auto" w:sz="2" w:space="0"/>
              <w:right w:val="nil"/>
            </w:tcBorders>
            <w:vAlign w:val="center"/>
          </w:tcPr>
          <w:p>
            <w:pPr>
              <w:jc w:val="center"/>
              <w:rPr>
                <w:szCs w:val="21"/>
              </w:rPr>
            </w:pPr>
            <w:r>
              <w:rPr>
                <w:szCs w:val="21"/>
              </w:rPr>
              <w:t>0</w:t>
            </w:r>
          </w:p>
        </w:tc>
      </w:tr>
    </w:tbl>
    <w:p>
      <w:pPr>
        <w:pStyle w:val="15"/>
        <w:spacing w:line="460" w:lineRule="exact"/>
        <w:ind w:firstLine="480" w:firstLineChars="200"/>
        <w:rPr>
          <w:rFonts w:ascii="Times New Roman" w:hAnsi="Times New Roman" w:cs="Times New Roman" w:eastAsiaTheme="minorEastAsia"/>
          <w:sz w:val="24"/>
        </w:rPr>
        <w:sectPr>
          <w:pgSz w:w="16840" w:h="11907" w:orient="landscape"/>
          <w:pgMar w:top="1985" w:right="1440" w:bottom="1701" w:left="1440" w:header="851" w:footer="992" w:gutter="0"/>
          <w:cols w:space="720" w:num="1"/>
          <w:docGrid w:linePitch="312" w:charSpace="0"/>
        </w:sectPr>
      </w:pPr>
    </w:p>
    <w:p>
      <w:pPr>
        <w:pStyle w:val="15"/>
        <w:spacing w:line="460" w:lineRule="exact"/>
        <w:ind w:firstLine="480" w:firstLineChars="200"/>
        <w:rPr>
          <w:rFonts w:ascii="Times New Roman" w:hAnsi="Times New Roman" w:cs="Times New Roman" w:eastAsiaTheme="minorEastAsia"/>
          <w:bCs/>
          <w:sz w:val="24"/>
        </w:rPr>
      </w:pPr>
      <w:r>
        <w:rPr>
          <w:rFonts w:ascii="Times New Roman" w:hAnsi="Times New Roman" w:cs="Times New Roman" w:eastAsiaTheme="minorEastAsia"/>
          <w:sz w:val="24"/>
        </w:rPr>
        <w:t>根据表</w:t>
      </w:r>
      <w:r>
        <w:rPr>
          <w:rFonts w:hint="eastAsia" w:ascii="Times New Roman" w:hAnsi="Times New Roman" w:cs="Times New Roman" w:eastAsiaTheme="minorEastAsia"/>
          <w:sz w:val="24"/>
        </w:rPr>
        <w:t>5.3-13</w:t>
      </w:r>
      <w:r>
        <w:rPr>
          <w:rFonts w:ascii="Times New Roman" w:hAnsi="Times New Roman" w:cs="Times New Roman" w:eastAsiaTheme="minorEastAsia"/>
          <w:sz w:val="24"/>
        </w:rPr>
        <w:t>～表</w:t>
      </w:r>
      <w:r>
        <w:rPr>
          <w:rFonts w:hint="eastAsia" w:ascii="Times New Roman" w:hAnsi="Times New Roman" w:cs="Times New Roman" w:eastAsiaTheme="minorEastAsia"/>
          <w:sz w:val="24"/>
        </w:rPr>
        <w:t>5.3-14</w:t>
      </w:r>
      <w:r>
        <w:rPr>
          <w:rFonts w:ascii="Times New Roman" w:hAnsi="Times New Roman" w:cs="Times New Roman" w:eastAsiaTheme="minorEastAsia"/>
          <w:sz w:val="24"/>
        </w:rPr>
        <w:t>可知，本次环评期间选取的3个土壤表层样监测点监测结果显示，各监测点监测因子均满足</w:t>
      </w:r>
      <w:bookmarkStart w:id="205" w:name="_Hlk162691546"/>
      <w:r>
        <w:rPr>
          <w:rFonts w:ascii="Times New Roman" w:hAnsi="Times New Roman" w:cs="Times New Roman" w:eastAsiaTheme="minorEastAsia"/>
          <w:bCs/>
          <w:sz w:val="24"/>
        </w:rPr>
        <w:t>《土壤环境质量 建设用地土壤污染风险管控标准（试行）》（GB 36600-2018）</w:t>
      </w:r>
      <w:bookmarkEnd w:id="205"/>
      <w:r>
        <w:rPr>
          <w:rFonts w:ascii="Times New Roman" w:hAnsi="Times New Roman" w:cs="Times New Roman" w:eastAsiaTheme="minorEastAsia"/>
          <w:bCs/>
          <w:sz w:val="24"/>
        </w:rPr>
        <w:t>表1中第二类用地筛选值要求。</w:t>
      </w:r>
    </w:p>
    <w:p>
      <w:pPr>
        <w:pStyle w:val="15"/>
        <w:spacing w:line="460" w:lineRule="exact"/>
        <w:ind w:firstLine="480" w:firstLineChars="200"/>
        <w:rPr>
          <w:rFonts w:ascii="Times New Roman" w:hAnsi="Times New Roman" w:cs="Times New Roman" w:eastAsiaTheme="minorEastAsia"/>
          <w:bCs/>
          <w:sz w:val="24"/>
        </w:rPr>
      </w:pPr>
      <w:r>
        <w:rPr>
          <w:rFonts w:ascii="Times New Roman" w:hAnsi="Times New Roman" w:cs="Times New Roman" w:eastAsiaTheme="minorEastAsia"/>
          <w:bCs/>
          <w:sz w:val="24"/>
        </w:rPr>
        <w:t>7、土壤类型及理化性质调查</w:t>
      </w:r>
    </w:p>
    <w:p>
      <w:pPr>
        <w:pStyle w:val="15"/>
        <w:spacing w:line="460" w:lineRule="exact"/>
        <w:ind w:firstLine="480" w:firstLineChars="200"/>
        <w:rPr>
          <w:rFonts w:ascii="Times New Roman" w:hAnsi="Times New Roman" w:cs="Times New Roman" w:eastAsiaTheme="minorEastAsia"/>
          <w:bCs/>
          <w:sz w:val="24"/>
        </w:rPr>
      </w:pPr>
      <w:r>
        <w:rPr>
          <w:rFonts w:ascii="Times New Roman" w:hAnsi="Times New Roman" w:cs="Times New Roman" w:eastAsiaTheme="minorEastAsia"/>
          <w:bCs/>
          <w:sz w:val="24"/>
        </w:rPr>
        <w:t>根据调查，本项目所在区域土壤类型主要为</w:t>
      </w:r>
      <w:r>
        <w:rPr>
          <w:rFonts w:hint="eastAsia" w:ascii="Times New Roman" w:hAnsi="Times New Roman" w:cs="Times New Roman" w:eastAsiaTheme="minorEastAsia"/>
          <w:bCs/>
          <w:sz w:val="24"/>
        </w:rPr>
        <w:t>砂土</w:t>
      </w:r>
      <w:r>
        <w:rPr>
          <w:rFonts w:ascii="Times New Roman" w:hAnsi="Times New Roman" w:cs="Times New Roman" w:eastAsiaTheme="minorEastAsia"/>
          <w:bCs/>
          <w:sz w:val="24"/>
        </w:rPr>
        <w:t>，本项目理化特性调查表见表</w:t>
      </w:r>
      <w:r>
        <w:rPr>
          <w:rFonts w:hint="eastAsia" w:ascii="Times New Roman" w:hAnsi="Times New Roman" w:cs="Times New Roman" w:eastAsiaTheme="minorEastAsia"/>
          <w:bCs/>
          <w:sz w:val="24"/>
        </w:rPr>
        <w:t>5.3-15</w:t>
      </w:r>
      <w:r>
        <w:rPr>
          <w:rFonts w:ascii="Times New Roman" w:hAnsi="Times New Roman" w:cs="Times New Roman" w:eastAsiaTheme="minorEastAsia"/>
          <w:bCs/>
          <w:sz w:val="24"/>
        </w:rPr>
        <w:t>。</w:t>
      </w:r>
    </w:p>
    <w:p>
      <w:pPr>
        <w:snapToGrid w:val="0"/>
        <w:spacing w:line="240" w:lineRule="atLeast"/>
        <w:ind w:firstLine="420" w:firstLineChars="200"/>
        <w:rPr>
          <w:rFonts w:eastAsia="黑体"/>
          <w:szCs w:val="21"/>
        </w:rPr>
      </w:pPr>
      <w:r>
        <w:rPr>
          <w:rFonts w:eastAsia="黑体"/>
          <w:szCs w:val="21"/>
        </w:rPr>
        <w:t>表</w:t>
      </w:r>
      <w:r>
        <w:rPr>
          <w:rFonts w:hint="eastAsia" w:eastAsia="黑体"/>
          <w:szCs w:val="21"/>
        </w:rPr>
        <w:t>5.3-15</w:t>
      </w:r>
      <w:r>
        <w:rPr>
          <w:rFonts w:eastAsia="黑体"/>
          <w:szCs w:val="21"/>
        </w:rPr>
        <w:t xml:space="preserve">                 土壤理化特性调查表</w:t>
      </w:r>
    </w:p>
    <w:tbl>
      <w:tblPr>
        <w:tblStyle w:val="59"/>
        <w:tblW w:w="49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6"/>
        <w:gridCol w:w="3638"/>
        <w:gridCol w:w="3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2875" w:type="pct"/>
            <w:gridSpan w:val="2"/>
            <w:vAlign w:val="center"/>
          </w:tcPr>
          <w:p>
            <w:pPr>
              <w:tabs>
                <w:tab w:val="left" w:pos="360"/>
              </w:tabs>
              <w:snapToGrid w:val="0"/>
              <w:ind w:left="-105" w:leftChars="-50" w:right="-105" w:rightChars="-50"/>
              <w:jc w:val="center"/>
              <w:textAlignment w:val="baseline"/>
              <w:rPr>
                <w:szCs w:val="21"/>
              </w:rPr>
            </w:pPr>
            <w:r>
              <w:rPr>
                <w:szCs w:val="21"/>
              </w:rPr>
              <w:t>点位</w:t>
            </w:r>
          </w:p>
        </w:tc>
        <w:tc>
          <w:tcPr>
            <w:tcW w:w="2125" w:type="pct"/>
            <w:vAlign w:val="center"/>
          </w:tcPr>
          <w:p>
            <w:pPr>
              <w:tabs>
                <w:tab w:val="left" w:pos="360"/>
              </w:tabs>
              <w:snapToGrid w:val="0"/>
              <w:ind w:left="-105" w:leftChars="-50" w:right="-105" w:rightChars="-50"/>
              <w:jc w:val="center"/>
              <w:textAlignment w:val="baseline"/>
              <w:rPr>
                <w:szCs w:val="21"/>
              </w:rPr>
            </w:pPr>
            <w:r>
              <w:rPr>
                <w:szCs w:val="21"/>
              </w:rPr>
              <w:t>项目区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restart"/>
            <w:vAlign w:val="center"/>
          </w:tcPr>
          <w:p>
            <w:pPr>
              <w:tabs>
                <w:tab w:val="left" w:pos="360"/>
              </w:tabs>
              <w:snapToGrid w:val="0"/>
              <w:ind w:left="-105" w:leftChars="-50" w:right="-105" w:rightChars="-50"/>
              <w:jc w:val="center"/>
              <w:textAlignment w:val="baseline"/>
              <w:rPr>
                <w:szCs w:val="21"/>
              </w:rPr>
            </w:pPr>
            <w:r>
              <w:rPr>
                <w:szCs w:val="21"/>
              </w:rPr>
              <w:t>现场记录</w:t>
            </w:r>
          </w:p>
        </w:tc>
        <w:tc>
          <w:tcPr>
            <w:tcW w:w="2252" w:type="pct"/>
            <w:vAlign w:val="center"/>
          </w:tcPr>
          <w:p>
            <w:pPr>
              <w:tabs>
                <w:tab w:val="left" w:pos="360"/>
              </w:tabs>
              <w:snapToGrid w:val="0"/>
              <w:ind w:left="-105" w:leftChars="-50" w:right="-105" w:rightChars="-50"/>
              <w:jc w:val="center"/>
              <w:textAlignment w:val="baseline"/>
              <w:rPr>
                <w:szCs w:val="21"/>
              </w:rPr>
            </w:pPr>
            <w:r>
              <w:rPr>
                <w:szCs w:val="21"/>
              </w:rPr>
              <w:t>颜色</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浅棕色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结构</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块状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质地</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rFonts w:hint="eastAsia"/>
                <w:szCs w:val="21"/>
              </w:rPr>
              <w:t>砂砾含量%</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其他异物</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rFonts w:hint="eastAsia"/>
                <w:szCs w:val="21"/>
              </w:rPr>
              <w:t>氧化还原电位（mv）</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restart"/>
            <w:vAlign w:val="center"/>
          </w:tcPr>
          <w:p>
            <w:pPr>
              <w:tabs>
                <w:tab w:val="left" w:pos="360"/>
              </w:tabs>
              <w:snapToGrid w:val="0"/>
              <w:ind w:left="-105" w:leftChars="-50" w:right="-105" w:rightChars="-50"/>
              <w:jc w:val="center"/>
              <w:textAlignment w:val="baseline"/>
              <w:rPr>
                <w:szCs w:val="21"/>
              </w:rPr>
            </w:pPr>
            <w:r>
              <w:rPr>
                <w:szCs w:val="21"/>
              </w:rPr>
              <w:t>实验室测</w:t>
            </w:r>
          </w:p>
          <w:p>
            <w:pPr>
              <w:tabs>
                <w:tab w:val="left" w:pos="360"/>
              </w:tabs>
              <w:snapToGrid w:val="0"/>
              <w:ind w:left="-105" w:leftChars="-50" w:right="-105" w:rightChars="-50"/>
              <w:jc w:val="center"/>
              <w:textAlignment w:val="baseline"/>
              <w:rPr>
                <w:szCs w:val="21"/>
              </w:rPr>
            </w:pPr>
            <w:r>
              <w:rPr>
                <w:szCs w:val="21"/>
              </w:rPr>
              <w:t>定</w:t>
            </w:r>
          </w:p>
        </w:tc>
        <w:tc>
          <w:tcPr>
            <w:tcW w:w="2252" w:type="pct"/>
            <w:vAlign w:val="center"/>
          </w:tcPr>
          <w:p>
            <w:pPr>
              <w:tabs>
                <w:tab w:val="left" w:pos="360"/>
              </w:tabs>
              <w:snapToGrid w:val="0"/>
              <w:ind w:left="-105" w:leftChars="-50" w:right="-105" w:rightChars="-50"/>
              <w:jc w:val="center"/>
              <w:textAlignment w:val="baseline"/>
              <w:rPr>
                <w:szCs w:val="21"/>
              </w:rPr>
            </w:pPr>
            <w:r>
              <w:rPr>
                <w:szCs w:val="21"/>
              </w:rPr>
              <w:t>pH值</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阳离子交换量（</w:t>
            </w:r>
            <w:r>
              <w:rPr>
                <w:rFonts w:hint="eastAsia"/>
                <w:szCs w:val="21"/>
              </w:rPr>
              <w:t>c</w:t>
            </w:r>
            <w:r>
              <w:rPr>
                <w:szCs w:val="21"/>
              </w:rPr>
              <w:t>mol</w:t>
            </w:r>
            <w:r>
              <w:rPr>
                <w:szCs w:val="21"/>
                <w:vertAlign w:val="superscript"/>
              </w:rPr>
              <w:t>+</w:t>
            </w:r>
            <w:r>
              <w:rPr>
                <w:szCs w:val="21"/>
              </w:rPr>
              <w:t>/kg）</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rFonts w:hint="eastAsia"/>
                <w:szCs w:val="21"/>
              </w:rPr>
              <w:t>渗滤率（mm</w:t>
            </w:r>
            <w:r>
              <w:rPr>
                <w:szCs w:val="21"/>
              </w:rPr>
              <w:t>/</w:t>
            </w:r>
            <w:r>
              <w:rPr>
                <w:rFonts w:hint="eastAsia"/>
                <w:szCs w:val="21"/>
              </w:rPr>
              <w:t>min）</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0.589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土壤容重/（g/</w:t>
            </w:r>
            <w:r>
              <w:rPr>
                <w:rFonts w:hint="eastAsia"/>
                <w:szCs w:val="21"/>
              </w:rPr>
              <w:t>c</w:t>
            </w:r>
            <w:r>
              <w:rPr>
                <w:szCs w:val="21"/>
              </w:rPr>
              <w:t>m</w:t>
            </w:r>
            <w:r>
              <w:rPr>
                <w:szCs w:val="21"/>
                <w:vertAlign w:val="superscript"/>
              </w:rPr>
              <w:t>3</w:t>
            </w:r>
            <w:r>
              <w:rPr>
                <w:szCs w:val="21"/>
              </w:rPr>
              <w:t>）</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5" w:hRule="atLeast"/>
          <w:jc w:val="center"/>
        </w:trPr>
        <w:tc>
          <w:tcPr>
            <w:tcW w:w="623" w:type="pct"/>
            <w:vMerge w:val="continue"/>
            <w:vAlign w:val="center"/>
          </w:tcPr>
          <w:p>
            <w:pPr>
              <w:tabs>
                <w:tab w:val="left" w:pos="360"/>
              </w:tabs>
              <w:snapToGrid w:val="0"/>
              <w:ind w:left="-105" w:leftChars="-50" w:right="-105" w:rightChars="-50"/>
              <w:jc w:val="center"/>
              <w:textAlignment w:val="baseline"/>
              <w:rPr>
                <w:szCs w:val="21"/>
              </w:rPr>
            </w:pPr>
          </w:p>
        </w:tc>
        <w:tc>
          <w:tcPr>
            <w:tcW w:w="2252" w:type="pct"/>
            <w:vAlign w:val="center"/>
          </w:tcPr>
          <w:p>
            <w:pPr>
              <w:tabs>
                <w:tab w:val="left" w:pos="360"/>
              </w:tabs>
              <w:snapToGrid w:val="0"/>
              <w:ind w:left="-105" w:leftChars="-50" w:right="-105" w:rightChars="-50"/>
              <w:jc w:val="center"/>
              <w:textAlignment w:val="baseline"/>
              <w:rPr>
                <w:szCs w:val="21"/>
              </w:rPr>
            </w:pPr>
            <w:r>
              <w:rPr>
                <w:szCs w:val="21"/>
              </w:rPr>
              <w:t>孔隙度（%）</w:t>
            </w:r>
          </w:p>
        </w:tc>
        <w:tc>
          <w:tcPr>
            <w:tcW w:w="2125" w:type="pct"/>
            <w:vAlign w:val="center"/>
          </w:tcPr>
          <w:p>
            <w:pPr>
              <w:tabs>
                <w:tab w:val="left" w:pos="360"/>
              </w:tabs>
              <w:snapToGrid w:val="0"/>
              <w:ind w:left="-105" w:leftChars="-50" w:right="-105" w:rightChars="-50"/>
              <w:jc w:val="center"/>
              <w:textAlignment w:val="baseline"/>
              <w:rPr>
                <w:szCs w:val="21"/>
              </w:rPr>
            </w:pPr>
            <w:r>
              <w:rPr>
                <w:rFonts w:hint="eastAsia"/>
                <w:szCs w:val="21"/>
              </w:rPr>
              <w:t>33.0</w:t>
            </w:r>
          </w:p>
        </w:tc>
      </w:tr>
    </w:tbl>
    <w:p>
      <w:pPr>
        <w:spacing w:line="460" w:lineRule="exact"/>
        <w:ind w:firstLine="480" w:firstLineChars="200"/>
        <w:rPr>
          <w:sz w:val="24"/>
        </w:rPr>
      </w:pP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5.3.5生态环境现状调查</w:t>
      </w:r>
    </w:p>
    <w:p>
      <w:pPr>
        <w:spacing w:line="460" w:lineRule="exact"/>
        <w:ind w:firstLine="480" w:firstLineChars="200"/>
        <w:rPr>
          <w:sz w:val="24"/>
        </w:rPr>
      </w:pPr>
      <w:r>
        <w:rPr>
          <w:rFonts w:hint="eastAsia"/>
          <w:sz w:val="24"/>
        </w:rPr>
        <w:t>根据《新疆生态功能区划》，本项目所在区域属于</w:t>
      </w:r>
      <w:r>
        <w:rPr>
          <w:sz w:val="24"/>
        </w:rPr>
        <w:t>“</w:t>
      </w:r>
      <w:r>
        <w:rPr>
          <w:rFonts w:hint="eastAsia"/>
          <w:sz w:val="24"/>
        </w:rPr>
        <w:t>准噶尔盆地温性荒漠与绿洲农业生态区（</w:t>
      </w:r>
      <w:r>
        <w:rPr>
          <w:rFonts w:hint="eastAsia" w:ascii="宋体" w:hAnsi="宋体" w:cs="宋体"/>
          <w:sz w:val="24"/>
        </w:rPr>
        <w:t>Ⅱ</w:t>
      </w:r>
      <w:r>
        <w:rPr>
          <w:rFonts w:hint="eastAsia"/>
          <w:sz w:val="24"/>
        </w:rPr>
        <w:t>）</w:t>
      </w:r>
      <w:r>
        <w:rPr>
          <w:sz w:val="24"/>
        </w:rPr>
        <w:t xml:space="preserve"> </w:t>
      </w:r>
      <w:r>
        <w:rPr>
          <w:rFonts w:hint="eastAsia"/>
          <w:sz w:val="24"/>
        </w:rPr>
        <w:t>准噶尔盆地南部荒漠绿洲农业生态亚区（</w:t>
      </w:r>
      <w:r>
        <w:rPr>
          <w:rFonts w:hint="eastAsia" w:ascii="宋体" w:hAnsi="宋体" w:cs="宋体"/>
          <w:sz w:val="24"/>
        </w:rPr>
        <w:t>Ⅱ</w:t>
      </w:r>
      <w:r>
        <w:rPr>
          <w:sz w:val="24"/>
        </w:rPr>
        <w:t>3</w:t>
      </w:r>
      <w:r>
        <w:rPr>
          <w:rFonts w:hint="eastAsia"/>
          <w:sz w:val="24"/>
        </w:rPr>
        <w:t>）</w:t>
      </w:r>
      <w:r>
        <w:rPr>
          <w:sz w:val="24"/>
        </w:rPr>
        <w:t xml:space="preserve"> </w:t>
      </w:r>
      <w:r>
        <w:rPr>
          <w:rFonts w:hint="eastAsia"/>
          <w:sz w:val="24"/>
        </w:rPr>
        <w:t>26．乌苏—石河子—昌吉城镇与绿洲农业生态功能区</w:t>
      </w:r>
      <w:r>
        <w:rPr>
          <w:sz w:val="24"/>
        </w:rPr>
        <w:t>”</w:t>
      </w:r>
      <w:r>
        <w:rPr>
          <w:rFonts w:hint="eastAsia"/>
          <w:sz w:val="24"/>
        </w:rPr>
        <w:t>。</w:t>
      </w:r>
      <w:r>
        <w:rPr>
          <w:sz w:val="24"/>
        </w:rPr>
        <w:t xml:space="preserve"> </w:t>
      </w:r>
      <w:r>
        <w:rPr>
          <w:rFonts w:hint="eastAsia"/>
          <w:sz w:val="24"/>
        </w:rPr>
        <w:t>该生态功能区的主要生态服务功能、生态敏感因子、主要生态环境问题和主要保护目标见表5.3-16，生态功能区划图见图5.3-3。</w:t>
      </w:r>
    </w:p>
    <w:p>
      <w:pPr>
        <w:autoSpaceDE w:val="0"/>
        <w:autoSpaceDN w:val="0"/>
        <w:adjustRightInd w:val="0"/>
        <w:ind w:firstLine="420" w:firstLineChars="200"/>
        <w:rPr>
          <w:rFonts w:eastAsia="黑体"/>
          <w:szCs w:val="21"/>
        </w:rPr>
      </w:pPr>
      <w:r>
        <w:rPr>
          <w:rFonts w:hint="eastAsia" w:eastAsia="黑体"/>
          <w:szCs w:val="21"/>
        </w:rPr>
        <w:t>表5.3-16</w:t>
      </w:r>
      <w:r>
        <w:rPr>
          <w:rFonts w:eastAsia="黑体"/>
          <w:szCs w:val="21"/>
        </w:rPr>
        <w:t xml:space="preserve">        </w:t>
      </w:r>
      <w:r>
        <w:rPr>
          <w:rFonts w:hint="eastAsia" w:eastAsia="黑体"/>
          <w:szCs w:val="21"/>
        </w:rPr>
        <w:t>　　　</w:t>
      </w:r>
      <w:r>
        <w:rPr>
          <w:rFonts w:eastAsia="黑体"/>
          <w:szCs w:val="21"/>
        </w:rPr>
        <w:t xml:space="preserve">  </w:t>
      </w:r>
      <w:r>
        <w:rPr>
          <w:rFonts w:hint="eastAsia" w:eastAsia="黑体"/>
          <w:szCs w:val="21"/>
        </w:rPr>
        <w:t>　项目区生态功能区划</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350"/>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tcBorders>
              <w:top w:val="single" w:color="auto" w:sz="12" w:space="0"/>
              <w:left w:val="nil"/>
              <w:bottom w:val="single" w:color="auto" w:sz="4" w:space="0"/>
              <w:right w:val="single" w:color="auto" w:sz="4" w:space="0"/>
            </w:tcBorders>
            <w:vAlign w:val="center"/>
          </w:tcPr>
          <w:p>
            <w:pPr>
              <w:jc w:val="center"/>
              <w:rPr>
                <w:kern w:val="0"/>
                <w:szCs w:val="21"/>
              </w:rPr>
            </w:pPr>
            <w:r>
              <w:rPr>
                <w:rFonts w:hint="eastAsia"/>
                <w:kern w:val="0"/>
                <w:szCs w:val="21"/>
              </w:rPr>
              <w:t>生态功能分区单元</w:t>
            </w:r>
          </w:p>
        </w:tc>
        <w:tc>
          <w:tcPr>
            <w:tcW w:w="800" w:type="pct"/>
            <w:tcBorders>
              <w:top w:val="single" w:color="auto" w:sz="12"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生态区</w:t>
            </w:r>
          </w:p>
        </w:tc>
        <w:tc>
          <w:tcPr>
            <w:tcW w:w="3637" w:type="pct"/>
            <w:tcBorders>
              <w:top w:val="single" w:color="auto" w:sz="12" w:space="0"/>
              <w:left w:val="single" w:color="auto" w:sz="4" w:space="0"/>
              <w:bottom w:val="single" w:color="auto" w:sz="4" w:space="0"/>
              <w:right w:val="nil"/>
            </w:tcBorders>
            <w:vAlign w:val="center"/>
          </w:tcPr>
          <w:p>
            <w:pPr>
              <w:jc w:val="center"/>
              <w:rPr>
                <w:kern w:val="0"/>
                <w:szCs w:val="21"/>
              </w:rPr>
            </w:pPr>
            <w:r>
              <w:rPr>
                <w:rFonts w:hint="eastAsia" w:ascii="宋体" w:hAnsi="宋体" w:cs="宋体"/>
                <w:kern w:val="0"/>
                <w:szCs w:val="21"/>
              </w:rPr>
              <w:t>Ⅱ</w:t>
            </w:r>
            <w:r>
              <w:rPr>
                <w:rFonts w:hint="eastAsia"/>
                <w:kern w:val="0"/>
                <w:szCs w:val="21"/>
              </w:rPr>
              <w:t>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jc w:val="left"/>
              <w:rPr>
                <w:kern w:val="0"/>
                <w:szCs w:val="21"/>
              </w:rPr>
            </w:pPr>
          </w:p>
        </w:tc>
        <w:tc>
          <w:tcPr>
            <w:tcW w:w="800" w:type="pct"/>
            <w:tcBorders>
              <w:top w:val="single" w:color="auto" w:sz="4" w:space="0"/>
              <w:left w:val="single" w:color="auto" w:sz="4" w:space="0"/>
              <w:bottom w:val="single" w:color="auto" w:sz="4" w:space="0"/>
              <w:right w:val="single" w:color="auto" w:sz="4" w:space="0"/>
            </w:tcBorders>
            <w:vAlign w:val="center"/>
          </w:tcPr>
          <w:p>
            <w:pPr>
              <w:pStyle w:val="677"/>
              <w:widowControl w:val="0"/>
              <w:rPr>
                <w:kern w:val="2"/>
                <w:lang w:eastAsia="zh-CN" w:bidi="ar-SA"/>
              </w:rPr>
            </w:pPr>
            <w:r>
              <w:rPr>
                <w:rFonts w:hint="eastAsia"/>
                <w:kern w:val="2"/>
                <w:lang w:eastAsia="zh-CN" w:bidi="ar-SA"/>
              </w:rPr>
              <w:t>生态亚区</w:t>
            </w:r>
          </w:p>
        </w:tc>
        <w:tc>
          <w:tcPr>
            <w:tcW w:w="3637" w:type="pct"/>
            <w:tcBorders>
              <w:top w:val="single" w:color="auto" w:sz="4" w:space="0"/>
              <w:left w:val="single" w:color="auto" w:sz="4" w:space="0"/>
              <w:bottom w:val="single" w:color="auto" w:sz="4" w:space="0"/>
              <w:right w:val="nil"/>
            </w:tcBorders>
            <w:vAlign w:val="center"/>
          </w:tcPr>
          <w:p>
            <w:pPr>
              <w:pStyle w:val="677"/>
              <w:widowControl w:val="0"/>
              <w:rPr>
                <w:kern w:val="2"/>
                <w:lang w:eastAsia="zh-CN" w:bidi="ar-SA"/>
              </w:rPr>
            </w:pPr>
            <w:r>
              <w:rPr>
                <w:rFonts w:hint="eastAsia" w:ascii="宋体" w:hAnsi="宋体" w:cs="宋体"/>
                <w:kern w:val="2"/>
                <w:lang w:eastAsia="zh-CN" w:bidi="ar-SA"/>
              </w:rPr>
              <w:t>Ⅱ</w:t>
            </w:r>
            <w:r>
              <w:rPr>
                <w:kern w:val="2"/>
                <w:lang w:eastAsia="zh-CN" w:bidi="ar-SA"/>
              </w:rPr>
              <w:t>3</w:t>
            </w:r>
            <w:r>
              <w:rPr>
                <w:rFonts w:hint="eastAsia"/>
                <w:kern w:val="2"/>
                <w:lang w:eastAsia="zh-CN" w:bidi="ar-SA"/>
              </w:rPr>
              <w:t>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jc w:val="left"/>
              <w:rPr>
                <w:kern w:val="0"/>
                <w:szCs w:val="21"/>
              </w:rPr>
            </w:pPr>
          </w:p>
        </w:tc>
        <w:tc>
          <w:tcPr>
            <w:tcW w:w="800" w:type="pct"/>
            <w:tcBorders>
              <w:top w:val="single" w:color="auto" w:sz="4" w:space="0"/>
              <w:left w:val="single" w:color="auto" w:sz="4" w:space="0"/>
              <w:bottom w:val="single" w:color="auto" w:sz="4" w:space="0"/>
              <w:right w:val="single" w:color="auto" w:sz="4" w:space="0"/>
            </w:tcBorders>
            <w:vAlign w:val="center"/>
          </w:tcPr>
          <w:p>
            <w:pPr>
              <w:pStyle w:val="677"/>
              <w:widowControl w:val="0"/>
              <w:rPr>
                <w:kern w:val="2"/>
                <w:lang w:eastAsia="zh-CN" w:bidi="ar-SA"/>
              </w:rPr>
            </w:pPr>
            <w:r>
              <w:rPr>
                <w:rFonts w:hint="eastAsia"/>
                <w:kern w:val="2"/>
                <w:lang w:eastAsia="zh-CN" w:bidi="ar-SA"/>
              </w:rPr>
              <w:t>生态功能区</w:t>
            </w:r>
          </w:p>
        </w:tc>
        <w:tc>
          <w:tcPr>
            <w:tcW w:w="3637" w:type="pct"/>
            <w:tcBorders>
              <w:top w:val="single" w:color="auto" w:sz="4" w:space="0"/>
              <w:left w:val="single" w:color="auto" w:sz="4" w:space="0"/>
              <w:bottom w:val="single" w:color="auto" w:sz="4" w:space="0"/>
              <w:right w:val="nil"/>
            </w:tcBorders>
            <w:vAlign w:val="center"/>
          </w:tcPr>
          <w:p>
            <w:pPr>
              <w:pStyle w:val="677"/>
              <w:widowControl w:val="0"/>
              <w:rPr>
                <w:kern w:val="2"/>
                <w:lang w:eastAsia="zh-CN" w:bidi="ar-SA"/>
              </w:rPr>
            </w:pPr>
            <w:r>
              <w:rPr>
                <w:rFonts w:hint="eastAsia"/>
                <w:kern w:val="2"/>
                <w:lang w:eastAsia="zh-CN" w:bidi="ar-SA"/>
              </w:rPr>
              <w:t>26．乌苏—石河子—昌吉城镇与绿洲农业生态功能区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主要生态服务功能</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工农畜产品生产、人居环境、荒漠化控制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主要生态环境问题</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ascii="宋体" w:hAnsi="宋体"/>
              </w:rPr>
              <w:t>地下水超采、荒漠植被退化、土地荒漠化与盐渍化、大气和水质及土壤污染、良田减少、绿洲外围受到沙漠化威胁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生态敏感因子敏感程度</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生物多样性及其生境中度敏感，土壤盐渍化轻度敏感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保护目标</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保护绿洲农田、保护城市大气和水环境质量、保护荒漠植被、保护农田土壤环境质量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kern w:val="0"/>
                <w:szCs w:val="21"/>
              </w:rPr>
              <w:t>保护措施</w:t>
            </w:r>
          </w:p>
        </w:tc>
        <w:tc>
          <w:tcPr>
            <w:tcW w:w="3637" w:type="pct"/>
            <w:tcBorders>
              <w:top w:val="single" w:color="auto" w:sz="4" w:space="0"/>
              <w:left w:val="single" w:color="auto" w:sz="4" w:space="0"/>
              <w:bottom w:val="single" w:color="auto" w:sz="4" w:space="0"/>
              <w:right w:val="nil"/>
            </w:tcBorders>
            <w:vAlign w:val="center"/>
          </w:tcPr>
          <w:p>
            <w:pPr>
              <w:jc w:val="center"/>
              <w:rPr>
                <w:kern w:val="0"/>
                <w:szCs w:val="21"/>
              </w:rPr>
            </w:pPr>
            <w:r>
              <w:rPr>
                <w:rFonts w:hint="eastAsia"/>
                <w:kern w:val="0"/>
                <w:szCs w:val="21"/>
              </w:rPr>
              <w:t>节水灌溉、严格控制地下水开采、污染物达标排放、提高城镇建设规划水平、控制城镇建设用地、荒漠草场禁牧休牧 、完善防护林体系、加强农田投入品的使用管理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gridSpan w:val="2"/>
            <w:tcBorders>
              <w:top w:val="single" w:color="auto" w:sz="4" w:space="0"/>
              <w:left w:val="nil"/>
              <w:bottom w:val="single" w:color="auto" w:sz="12" w:space="0"/>
              <w:right w:val="single" w:color="auto" w:sz="4" w:space="0"/>
            </w:tcBorders>
            <w:vAlign w:val="center"/>
          </w:tcPr>
          <w:p>
            <w:pPr>
              <w:jc w:val="center"/>
              <w:rPr>
                <w:kern w:val="0"/>
                <w:szCs w:val="21"/>
              </w:rPr>
            </w:pPr>
            <w:r>
              <w:rPr>
                <w:rFonts w:hint="eastAsia"/>
                <w:kern w:val="0"/>
                <w:szCs w:val="21"/>
              </w:rPr>
              <w:t>发展方向</w:t>
            </w:r>
          </w:p>
        </w:tc>
        <w:tc>
          <w:tcPr>
            <w:tcW w:w="3637" w:type="pct"/>
            <w:tcBorders>
              <w:top w:val="single" w:color="auto" w:sz="4" w:space="0"/>
              <w:left w:val="single" w:color="auto" w:sz="4" w:space="0"/>
              <w:bottom w:val="single" w:color="auto" w:sz="12" w:space="0"/>
              <w:right w:val="nil"/>
            </w:tcBorders>
            <w:vAlign w:val="center"/>
          </w:tcPr>
          <w:p>
            <w:pPr>
              <w:jc w:val="center"/>
              <w:rPr>
                <w:kern w:val="0"/>
                <w:szCs w:val="21"/>
              </w:rPr>
            </w:pPr>
            <w:r>
              <w:rPr>
                <w:rFonts w:hint="eastAsia"/>
                <w:kern w:val="0"/>
                <w:szCs w:val="21"/>
              </w:rPr>
              <w:t>发展优质高效农牧业，美化城市环境，建设健康、稳定的城乡生态系统与人居环境</w:t>
            </w:r>
          </w:p>
        </w:tc>
      </w:tr>
    </w:tbl>
    <w:p>
      <w:pPr>
        <w:spacing w:line="460" w:lineRule="exact"/>
        <w:ind w:firstLine="480" w:firstLineChars="200"/>
        <w:rPr>
          <w:sz w:val="24"/>
        </w:rPr>
      </w:pPr>
    </w:p>
    <w:p>
      <w:pPr>
        <w:spacing w:line="460" w:lineRule="exact"/>
        <w:ind w:firstLine="480" w:firstLineChars="200"/>
        <w:rPr>
          <w:sz w:val="24"/>
        </w:rPr>
      </w:pPr>
      <w:r>
        <w:rPr>
          <w:rFonts w:hint="eastAsia"/>
          <w:sz w:val="24"/>
        </w:rPr>
        <w:t>2、植被类型</w:t>
      </w:r>
    </w:p>
    <w:p>
      <w:pPr>
        <w:spacing w:line="460" w:lineRule="exact"/>
        <w:ind w:firstLine="480" w:firstLineChars="200"/>
        <w:rPr>
          <w:sz w:val="24"/>
        </w:rPr>
      </w:pPr>
      <w:r>
        <w:rPr>
          <w:rFonts w:hint="eastAsia"/>
          <w:sz w:val="24"/>
        </w:rPr>
        <w:t>本项目建设地点位于昌吉国家农业科技园区示范区昌吉市昊慧盛塑料制品厂区内，用地类型属于工业用地，项目区受人为活动影响，项目区内生态系统主要表现为人工生态系统，通过调查，该地区人类活动较多，基本无原始的自然植被。</w:t>
      </w:r>
    </w:p>
    <w:p>
      <w:pPr>
        <w:spacing w:line="460" w:lineRule="exact"/>
        <w:ind w:firstLine="480" w:firstLineChars="200"/>
        <w:rPr>
          <w:sz w:val="24"/>
        </w:rPr>
      </w:pPr>
      <w:r>
        <w:rPr>
          <w:rFonts w:hint="eastAsia"/>
          <w:sz w:val="24"/>
        </w:rPr>
        <w:t>3、野生动物现状调查及评价</w:t>
      </w:r>
    </w:p>
    <w:p>
      <w:pPr>
        <w:spacing w:line="460" w:lineRule="exact"/>
        <w:ind w:firstLine="480" w:firstLineChars="200"/>
        <w:rPr>
          <w:sz w:val="24"/>
        </w:rPr>
      </w:pPr>
      <w:r>
        <w:rPr>
          <w:rFonts w:hint="eastAsia"/>
          <w:sz w:val="24"/>
        </w:rPr>
        <w:t>根据现场调查访问，项目区及其可能影响范围内，受人类的生产活动影响，野生动物稀少，仅有少量的啮齿类、爬行类和禽类动物出现，常见的有野兔、麻雀等。</w:t>
      </w:r>
    </w:p>
    <w:p>
      <w:pPr>
        <w:spacing w:line="460" w:lineRule="exact"/>
        <w:ind w:firstLine="480" w:firstLineChars="200"/>
        <w:rPr>
          <w:sz w:val="24"/>
        </w:rPr>
      </w:pPr>
      <w:r>
        <w:rPr>
          <w:rFonts w:hint="eastAsia"/>
          <w:sz w:val="24"/>
        </w:rPr>
        <w:t>评价区无国家和自治区重点保护野生动植物。</w:t>
      </w:r>
    </w:p>
    <w:p>
      <w:pPr>
        <w:spacing w:line="460" w:lineRule="exact"/>
        <w:ind w:firstLine="480" w:firstLineChars="200"/>
        <w:rPr>
          <w:sz w:val="24"/>
        </w:rPr>
      </w:pPr>
    </w:p>
    <w:p>
      <w:pPr>
        <w:spacing w:line="460" w:lineRule="exact"/>
        <w:ind w:firstLine="480" w:firstLineChars="200"/>
        <w:rPr>
          <w:sz w:val="24"/>
        </w:rPr>
      </w:pPr>
    </w:p>
    <w:p>
      <w:pPr>
        <w:widowControl/>
        <w:jc w:val="left"/>
      </w:pPr>
      <w:r>
        <w:br w:type="page"/>
      </w:r>
    </w:p>
    <w:bookmarkEnd w:id="197"/>
    <w:bookmarkEnd w:id="198"/>
    <w:bookmarkEnd w:id="199"/>
    <w:bookmarkEnd w:id="200"/>
    <w:bookmarkEnd w:id="201"/>
    <w:bookmarkEnd w:id="202"/>
    <w:bookmarkEnd w:id="203"/>
    <w:bookmarkEnd w:id="204"/>
    <w:p>
      <w:pPr>
        <w:pStyle w:val="3"/>
        <w:spacing w:before="100" w:beforeAutospacing="1" w:after="100" w:afterAutospacing="1" w:line="360" w:lineRule="auto"/>
        <w:jc w:val="center"/>
      </w:pPr>
      <w:bookmarkStart w:id="206" w:name="_Toc165386233"/>
      <w:bookmarkStart w:id="207" w:name="_Toc313433761"/>
      <w:bookmarkStart w:id="208" w:name="_Toc319402970"/>
      <w:bookmarkStart w:id="209" w:name="_Toc390713412"/>
      <w:r>
        <w:rPr>
          <w:rFonts w:hint="eastAsia"/>
        </w:rPr>
        <w:t>6  环境影响预测与评价</w:t>
      </w:r>
      <w:bookmarkEnd w:id="206"/>
    </w:p>
    <w:bookmarkEnd w:id="207"/>
    <w:bookmarkEnd w:id="208"/>
    <w:bookmarkEnd w:id="209"/>
    <w:p>
      <w:pPr>
        <w:pStyle w:val="4"/>
        <w:adjustRightInd w:val="0"/>
        <w:spacing w:before="120" w:after="120" w:line="460" w:lineRule="exact"/>
        <w:textAlignment w:val="baseline"/>
        <w:rPr>
          <w:rFonts w:ascii="Times New Roman" w:hAnsi="Times New Roman"/>
          <w:b w:val="0"/>
          <w:bCs w:val="0"/>
          <w:szCs w:val="28"/>
        </w:rPr>
      </w:pPr>
      <w:bookmarkStart w:id="210" w:name="_Toc327365492"/>
      <w:bookmarkStart w:id="211" w:name="_Toc3576"/>
      <w:bookmarkStart w:id="212" w:name="_Toc165386234"/>
      <w:r>
        <w:rPr>
          <w:rFonts w:hint="eastAsia" w:ascii="Times New Roman" w:hAnsi="Times New Roman"/>
          <w:b w:val="0"/>
          <w:bCs w:val="0"/>
          <w:szCs w:val="28"/>
        </w:rPr>
        <w:t>6.1</w:t>
      </w:r>
      <w:r>
        <w:rPr>
          <w:rFonts w:ascii="Times New Roman" w:hAnsi="Times New Roman"/>
          <w:b w:val="0"/>
          <w:bCs w:val="0"/>
          <w:szCs w:val="28"/>
        </w:rPr>
        <w:t xml:space="preserve"> </w:t>
      </w:r>
      <w:bookmarkEnd w:id="210"/>
      <w:bookmarkEnd w:id="211"/>
      <w:r>
        <w:rPr>
          <w:rFonts w:hint="eastAsia" w:ascii="Times New Roman" w:hAnsi="Times New Roman"/>
          <w:b w:val="0"/>
          <w:bCs w:val="0"/>
          <w:szCs w:val="28"/>
        </w:rPr>
        <w:t>施工期环境影响预测与评价</w:t>
      </w:r>
      <w:bookmarkEnd w:id="212"/>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6.1.1施工期大气环境影响预测与评价</w:t>
      </w:r>
    </w:p>
    <w:p>
      <w:pPr>
        <w:pStyle w:val="15"/>
        <w:spacing w:line="460" w:lineRule="exact"/>
        <w:ind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本项目建设期工程主要设备安装、厂内道路及地坪的完善，无大型土建工程，对大气造成的影响主要是上述行为过程中运输车辆等产生的汽车尾气，施工过程扬尘等极小，对周围环境影响不大。</w:t>
      </w:r>
    </w:p>
    <w:p>
      <w:pPr>
        <w:pStyle w:val="15"/>
        <w:spacing w:line="460" w:lineRule="exact"/>
        <w:ind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施工机械废气主要为燃油机械设备运行产生的废气及运输车辆产生的废气，主要污染物为SO</w:t>
      </w:r>
      <w:r>
        <w:rPr>
          <w:rFonts w:hint="eastAsia" w:ascii="Times New Roman" w:hAnsi="Times New Roman" w:cs="Times New Roman" w:eastAsiaTheme="minorEastAsia"/>
          <w:sz w:val="24"/>
          <w:vertAlign w:val="subscript"/>
        </w:rPr>
        <w:t>2</w:t>
      </w:r>
      <w:r>
        <w:rPr>
          <w:rFonts w:hint="eastAsia" w:ascii="Times New Roman" w:hAnsi="Times New Roman" w:cs="Times New Roman" w:eastAsiaTheme="minorEastAsia"/>
          <w:sz w:val="24"/>
        </w:rPr>
        <w:t>、CO、NOx等。这些废气排放特点为无组织低空排放，会造成局部地区环境空气的污染。</w:t>
      </w:r>
    </w:p>
    <w:p>
      <w:pPr>
        <w:pStyle w:val="15"/>
        <w:spacing w:line="460" w:lineRule="exact"/>
        <w:ind w:firstLine="480" w:firstLineChars="200"/>
        <w:rPr>
          <w:rFonts w:ascii="Times New Roman" w:hAnsi="Times New Roman" w:cs="Times New Roman" w:eastAsiaTheme="minorEastAsia"/>
          <w:sz w:val="24"/>
        </w:rPr>
      </w:pPr>
      <w:r>
        <w:rPr>
          <w:rFonts w:hint="eastAsia" w:ascii="Times New Roman" w:hAnsi="Times New Roman" w:cs="Times New Roman" w:eastAsiaTheme="minorEastAsia"/>
          <w:sz w:val="24"/>
        </w:rPr>
        <w:t>评价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6.1.2施工废水对环境的影响预测与评价</w:t>
      </w:r>
    </w:p>
    <w:p>
      <w:pPr>
        <w:pStyle w:val="24"/>
        <w:spacing w:line="460" w:lineRule="exact"/>
        <w:ind w:firstLine="480" w:firstLineChars="200"/>
        <w:rPr>
          <w:rFonts w:hint="default" w:ascii="Times New Roman" w:hAnsi="Times New Roman" w:cs="Times New Roman"/>
          <w:color w:val="auto"/>
        </w:rPr>
      </w:pPr>
      <w:bookmarkStart w:id="213" w:name="_Toc454899371"/>
      <w:r>
        <w:rPr>
          <w:color w:val="auto"/>
        </w:rPr>
        <w:t>项目施工过程仅为设备安装，不产生施工废水，施工人员均不在厂区食宿，无生活污水产生</w:t>
      </w:r>
      <w:r>
        <w:rPr>
          <w:rFonts w:ascii="Times New Roman" w:hAnsi="Times New Roman" w:cs="Times New Roman"/>
          <w:color w:val="auto"/>
        </w:rPr>
        <w:t>，不会对区域水环境产生不良影响。</w:t>
      </w:r>
    </w:p>
    <w:p>
      <w:pPr>
        <w:pStyle w:val="5"/>
        <w:numPr>
          <w:ilvl w:val="0"/>
          <w:numId w:val="0"/>
        </w:numPr>
        <w:adjustRightInd w:val="0"/>
        <w:spacing w:before="0" w:line="460" w:lineRule="exact"/>
        <w:ind w:left="113"/>
        <w:textAlignment w:val="baseline"/>
        <w:rPr>
          <w:rFonts w:ascii="Times New Roman"/>
          <w:spacing w:val="12"/>
          <w:w w:val="95"/>
          <w:kern w:val="0"/>
          <w:szCs w:val="26"/>
        </w:rPr>
      </w:pPr>
      <w:r>
        <w:rPr>
          <w:rFonts w:hint="eastAsia" w:ascii="Times New Roman"/>
          <w:spacing w:val="12"/>
          <w:w w:val="95"/>
          <w:kern w:val="0"/>
          <w:szCs w:val="26"/>
        </w:rPr>
        <w:t>6.1.3施工期</w:t>
      </w:r>
      <w:r>
        <w:rPr>
          <w:rFonts w:ascii="Times New Roman"/>
          <w:spacing w:val="12"/>
          <w:w w:val="95"/>
          <w:kern w:val="0"/>
          <w:szCs w:val="26"/>
        </w:rPr>
        <w:t>声环境影响</w:t>
      </w:r>
      <w:bookmarkEnd w:id="213"/>
      <w:r>
        <w:rPr>
          <w:rFonts w:hint="eastAsia" w:ascii="Times New Roman"/>
          <w:spacing w:val="12"/>
          <w:w w:val="95"/>
          <w:kern w:val="0"/>
          <w:szCs w:val="26"/>
        </w:rPr>
        <w:t>预测与评价</w:t>
      </w:r>
    </w:p>
    <w:p>
      <w:pPr>
        <w:pStyle w:val="24"/>
        <w:spacing w:line="460" w:lineRule="exact"/>
        <w:ind w:firstLine="480" w:firstLineChars="200"/>
        <w:rPr>
          <w:rFonts w:hint="default" w:ascii="Times New Roman" w:hAnsi="Times New Roman" w:eastAsia="宋体" w:cs="Times New Roman"/>
          <w:color w:val="auto"/>
          <w:kern w:val="24"/>
          <w:szCs w:val="24"/>
        </w:rPr>
      </w:pPr>
      <w:bookmarkStart w:id="214" w:name="_Toc309715403"/>
      <w:r>
        <w:rPr>
          <w:rFonts w:ascii="Times New Roman" w:hAnsi="Times New Roman" w:eastAsia="宋体" w:cs="Times New Roman"/>
          <w:color w:val="auto"/>
          <w:kern w:val="24"/>
          <w:szCs w:val="24"/>
        </w:rPr>
        <w:t>建设期噪声主要来自运输车辆噪声以及安装噪声。但本项目设备量较少，运输量极小，无大型运输车辆，也不需要长期作业，施工期产生噪声极小，且为间歇排放，对周围环境影响不大。</w:t>
      </w:r>
    </w:p>
    <w:bookmarkEnd w:id="214"/>
    <w:p>
      <w:pPr>
        <w:pStyle w:val="5"/>
        <w:numPr>
          <w:ilvl w:val="0"/>
          <w:numId w:val="0"/>
        </w:numPr>
        <w:adjustRightInd w:val="0"/>
        <w:spacing w:before="0" w:line="460" w:lineRule="exact"/>
        <w:ind w:left="113"/>
        <w:textAlignment w:val="baseline"/>
        <w:rPr>
          <w:rFonts w:ascii="Times New Roman"/>
          <w:spacing w:val="12"/>
          <w:w w:val="95"/>
          <w:kern w:val="0"/>
          <w:szCs w:val="26"/>
        </w:rPr>
      </w:pPr>
      <w:bookmarkStart w:id="215" w:name="_Toc395138417"/>
      <w:bookmarkStart w:id="216" w:name="_Toc245882765"/>
      <w:bookmarkStart w:id="217" w:name="_Toc454899372"/>
      <w:r>
        <w:rPr>
          <w:rFonts w:hint="eastAsia" w:ascii="Times New Roman"/>
          <w:spacing w:val="12"/>
          <w:w w:val="95"/>
          <w:kern w:val="0"/>
          <w:szCs w:val="26"/>
        </w:rPr>
        <w:t>6.1.4施工期</w:t>
      </w:r>
      <w:r>
        <w:rPr>
          <w:rFonts w:ascii="Times New Roman"/>
          <w:spacing w:val="12"/>
          <w:w w:val="95"/>
          <w:kern w:val="0"/>
          <w:szCs w:val="26"/>
        </w:rPr>
        <w:t>固体废物</w:t>
      </w:r>
      <w:r>
        <w:rPr>
          <w:rFonts w:hint="eastAsia" w:ascii="Times New Roman"/>
          <w:spacing w:val="12"/>
          <w:w w:val="95"/>
          <w:kern w:val="0"/>
          <w:szCs w:val="26"/>
        </w:rPr>
        <w:t>对环境</w:t>
      </w:r>
      <w:r>
        <w:rPr>
          <w:rFonts w:ascii="Times New Roman"/>
          <w:spacing w:val="12"/>
          <w:w w:val="95"/>
          <w:kern w:val="0"/>
          <w:szCs w:val="26"/>
        </w:rPr>
        <w:t>影响</w:t>
      </w:r>
      <w:bookmarkEnd w:id="215"/>
      <w:bookmarkEnd w:id="216"/>
      <w:bookmarkEnd w:id="217"/>
      <w:r>
        <w:rPr>
          <w:rFonts w:hint="eastAsia" w:ascii="Times New Roman"/>
          <w:spacing w:val="12"/>
          <w:w w:val="95"/>
          <w:kern w:val="0"/>
          <w:szCs w:val="26"/>
        </w:rPr>
        <w:t>预测与评价</w:t>
      </w:r>
    </w:p>
    <w:p>
      <w:pPr>
        <w:pStyle w:val="499"/>
        <w:spacing w:line="460" w:lineRule="exact"/>
        <w:ind w:firstLine="480"/>
        <w:rPr>
          <w:rFonts w:ascii="Times New Roman" w:hAnsi="Times New Roman" w:cs="Times New Roman"/>
          <w:kern w:val="28"/>
        </w:rPr>
      </w:pPr>
      <w:bookmarkStart w:id="218" w:name="_Hlk166254241"/>
      <w:r>
        <w:rPr>
          <w:rFonts w:hint="eastAsia"/>
          <w:kern w:val="28"/>
        </w:rPr>
        <w:t>本项目厂房均已建设完成，后期主要进行设备安装，厂房封闭，地坪硬化等，施工量较小，且施工人员不在施工区设置食宿区，因此施工过程基本无固废产生。</w:t>
      </w:r>
      <w:bookmarkEnd w:id="218"/>
    </w:p>
    <w:p>
      <w:pPr>
        <w:pStyle w:val="499"/>
        <w:spacing w:line="460" w:lineRule="exact"/>
        <w:ind w:firstLine="480"/>
        <w:rPr>
          <w:rFonts w:ascii="Times New Roman" w:hAnsi="Times New Roman" w:eastAsia="宋体" w:cs="Times New Roman"/>
          <w:kern w:val="28"/>
        </w:rPr>
      </w:pPr>
    </w:p>
    <w:p>
      <w:pPr>
        <w:pStyle w:val="2"/>
        <w:ind w:firstLine="480"/>
        <w:rPr>
          <w:color w:val="auto"/>
        </w:rPr>
      </w:pPr>
      <w:r>
        <w:rPr>
          <w:color w:val="auto"/>
        </w:rPr>
        <w:br w:type="page"/>
      </w:r>
    </w:p>
    <w:p>
      <w:pPr>
        <w:pStyle w:val="4"/>
        <w:adjustRightInd w:val="0"/>
        <w:spacing w:before="120" w:after="120" w:line="460" w:lineRule="exact"/>
        <w:textAlignment w:val="baseline"/>
        <w:rPr>
          <w:rFonts w:ascii="Times New Roman" w:hAnsi="Times New Roman"/>
          <w:b w:val="0"/>
          <w:bCs w:val="0"/>
          <w:szCs w:val="28"/>
        </w:rPr>
      </w:pPr>
      <w:bookmarkStart w:id="219" w:name="_Toc165386235"/>
      <w:r>
        <w:rPr>
          <w:rFonts w:hint="eastAsia" w:ascii="Times New Roman" w:hAnsi="Times New Roman"/>
          <w:b w:val="0"/>
          <w:bCs w:val="0"/>
          <w:szCs w:val="28"/>
        </w:rPr>
        <w:t>6.2 运营期环境影响预测与评价</w:t>
      </w:r>
      <w:bookmarkEnd w:id="219"/>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6.2.1运营期大气环境影响预测与评价</w:t>
      </w:r>
    </w:p>
    <w:p>
      <w:pPr>
        <w:pStyle w:val="2"/>
        <w:ind w:firstLine="480"/>
        <w:rPr>
          <w:color w:val="auto"/>
        </w:rPr>
      </w:pPr>
      <w:r>
        <w:rPr>
          <w:color w:val="auto"/>
        </w:rPr>
        <w:t>6.2.1.1</w:t>
      </w:r>
      <w:r>
        <w:rPr>
          <w:rFonts w:hint="eastAsia"/>
          <w:color w:val="auto"/>
        </w:rPr>
        <w:t>达标性分析</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本项目有组织非甲烷总烃排气筒设置及排放情况见表6.2</w:t>
      </w:r>
      <w:r>
        <w:rPr>
          <w:rFonts w:ascii="Times New Roman" w:hAnsi="Times New Roman" w:eastAsia="宋体" w:cs="Times New Roman"/>
          <w:kern w:val="28"/>
        </w:rPr>
        <w:t>-1</w:t>
      </w:r>
      <w:r>
        <w:rPr>
          <w:rFonts w:hint="eastAsia" w:ascii="Times New Roman" w:hAnsi="Times New Roman" w:eastAsia="宋体" w:cs="Times New Roman"/>
          <w:kern w:val="28"/>
        </w:rPr>
        <w:t>。</w:t>
      </w:r>
    </w:p>
    <w:p>
      <w:pPr>
        <w:pStyle w:val="632"/>
        <w:spacing w:line="240" w:lineRule="auto"/>
        <w:ind w:firstLine="420"/>
        <w:rPr>
          <w:rFonts w:eastAsia="黑体"/>
        </w:rPr>
      </w:pPr>
      <w:r>
        <w:rPr>
          <w:rFonts w:hint="eastAsia" w:eastAsia="黑体"/>
        </w:rPr>
        <w:t>表6.2</w:t>
      </w:r>
      <w:r>
        <w:rPr>
          <w:rFonts w:eastAsia="黑体"/>
        </w:rPr>
        <w:t xml:space="preserve">-1                </w:t>
      </w:r>
      <w:r>
        <w:rPr>
          <w:rFonts w:hint="eastAsia" w:eastAsia="黑体"/>
        </w:rPr>
        <w:t>有组织废气排放情况一览表</w:t>
      </w:r>
    </w:p>
    <w:tbl>
      <w:tblPr>
        <w:tblStyle w:val="60"/>
        <w:tblW w:w="89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09"/>
        <w:gridCol w:w="1134"/>
        <w:gridCol w:w="1276"/>
        <w:gridCol w:w="1418"/>
        <w:gridCol w:w="1134"/>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0"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排放口编号</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排气筒名称</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排放速率（</w:t>
            </w:r>
            <w:r>
              <w:rPr>
                <w:color w:val="auto"/>
                <w:kern w:val="0"/>
                <w:sz w:val="21"/>
                <w:szCs w:val="21"/>
              </w:rPr>
              <w:t>kg/h</w:t>
            </w:r>
            <w:r>
              <w:rPr>
                <w:rFonts w:hint="eastAsia"/>
                <w:color w:val="auto"/>
                <w:kern w:val="0"/>
                <w:sz w:val="21"/>
                <w:szCs w:val="21"/>
              </w:rPr>
              <w:t>）</w:t>
            </w:r>
          </w:p>
        </w:tc>
        <w:tc>
          <w:tcPr>
            <w:tcW w:w="1276"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排放浓度（</w:t>
            </w:r>
            <w:r>
              <w:rPr>
                <w:color w:val="auto"/>
                <w:kern w:val="0"/>
                <w:sz w:val="21"/>
                <w:szCs w:val="21"/>
              </w:rPr>
              <w:t>mg/m</w:t>
            </w:r>
            <w:r>
              <w:rPr>
                <w:color w:val="auto"/>
                <w:kern w:val="0"/>
                <w:sz w:val="21"/>
                <w:szCs w:val="21"/>
                <w:vertAlign w:val="superscript"/>
              </w:rPr>
              <w:t>3</w:t>
            </w:r>
            <w:r>
              <w:rPr>
                <w:rFonts w:hint="eastAsia"/>
                <w:color w:val="auto"/>
                <w:kern w:val="0"/>
                <w:sz w:val="21"/>
                <w:szCs w:val="21"/>
              </w:rPr>
              <w:t>）</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标准限值（</w:t>
            </w:r>
            <w:r>
              <w:rPr>
                <w:color w:val="auto"/>
                <w:kern w:val="0"/>
                <w:sz w:val="21"/>
                <w:szCs w:val="21"/>
              </w:rPr>
              <w:t>mg/m</w:t>
            </w:r>
            <w:r>
              <w:rPr>
                <w:color w:val="auto"/>
                <w:kern w:val="0"/>
                <w:sz w:val="21"/>
                <w:szCs w:val="21"/>
                <w:vertAlign w:val="superscript"/>
              </w:rPr>
              <w:t>3</w:t>
            </w:r>
            <w:r>
              <w:rPr>
                <w:rFonts w:hint="eastAsia"/>
                <w:color w:val="auto"/>
                <w:kern w:val="0"/>
                <w:sz w:val="21"/>
                <w:szCs w:val="21"/>
              </w:rPr>
              <w:t>）</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速率</w:t>
            </w:r>
            <w:r>
              <w:rPr>
                <w:color w:val="auto"/>
                <w:kern w:val="0"/>
                <w:sz w:val="21"/>
                <w:szCs w:val="21"/>
              </w:rPr>
              <w:t>限值（</w:t>
            </w:r>
            <w:r>
              <w:rPr>
                <w:rFonts w:hint="eastAsia"/>
                <w:color w:val="auto"/>
                <w:kern w:val="0"/>
                <w:sz w:val="21"/>
                <w:szCs w:val="21"/>
              </w:rPr>
              <w:t>kg/h</w:t>
            </w:r>
            <w:r>
              <w:rPr>
                <w:color w:val="auto"/>
                <w:kern w:val="0"/>
                <w:sz w:val="21"/>
                <w:szCs w:val="21"/>
              </w:rPr>
              <w:t>）</w:t>
            </w:r>
          </w:p>
        </w:tc>
        <w:tc>
          <w:tcPr>
            <w:tcW w:w="70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0" w:type="dxa"/>
            <w:vAlign w:val="center"/>
          </w:tcPr>
          <w:p>
            <w:pPr>
              <w:pStyle w:val="293"/>
              <w:adjustRightInd w:val="0"/>
              <w:snapToGrid w:val="0"/>
              <w:spacing w:before="0" w:after="0"/>
              <w:ind w:left="0" w:right="0"/>
              <w:rPr>
                <w:color w:val="auto"/>
                <w:kern w:val="0"/>
                <w:sz w:val="21"/>
                <w:szCs w:val="21"/>
              </w:rPr>
            </w:pPr>
            <w:r>
              <w:rPr>
                <w:color w:val="auto"/>
                <w:kern w:val="0"/>
                <w:sz w:val="21"/>
                <w:szCs w:val="21"/>
              </w:rPr>
              <w:t>DA001</w:t>
            </w:r>
          </w:p>
        </w:tc>
        <w:tc>
          <w:tcPr>
            <w:tcW w:w="2409" w:type="dxa"/>
            <w:vAlign w:val="center"/>
          </w:tcPr>
          <w:p>
            <w:pPr>
              <w:jc w:val="center"/>
              <w:rPr>
                <w:bCs/>
                <w:kern w:val="0"/>
                <w:sz w:val="21"/>
                <w:szCs w:val="21"/>
              </w:rPr>
            </w:pPr>
            <w:r>
              <w:rPr>
                <w:rFonts w:hint="eastAsia"/>
                <w:bCs/>
                <w:kern w:val="0"/>
                <w:sz w:val="21"/>
                <w:szCs w:val="21"/>
              </w:rPr>
              <w:t>废旧滴灌带造粒及滴灌带生产有机废气排气筒</w:t>
            </w:r>
          </w:p>
        </w:tc>
        <w:tc>
          <w:tcPr>
            <w:tcW w:w="1134" w:type="dxa"/>
            <w:vAlign w:val="center"/>
          </w:tcPr>
          <w:p>
            <w:pPr>
              <w:jc w:val="center"/>
              <w:rPr>
                <w:bCs/>
                <w:kern w:val="0"/>
                <w:sz w:val="21"/>
                <w:szCs w:val="21"/>
              </w:rPr>
            </w:pPr>
            <w:r>
              <w:rPr>
                <w:rFonts w:hint="eastAsia"/>
                <w:bCs/>
                <w:kern w:val="0"/>
                <w:sz w:val="21"/>
                <w:szCs w:val="21"/>
              </w:rPr>
              <w:t>0.23</w:t>
            </w:r>
          </w:p>
        </w:tc>
        <w:tc>
          <w:tcPr>
            <w:tcW w:w="1276" w:type="dxa"/>
            <w:vAlign w:val="center"/>
          </w:tcPr>
          <w:p>
            <w:pPr>
              <w:jc w:val="center"/>
              <w:rPr>
                <w:bCs/>
                <w:kern w:val="0"/>
                <w:sz w:val="21"/>
                <w:szCs w:val="21"/>
              </w:rPr>
            </w:pPr>
            <w:r>
              <w:rPr>
                <w:rFonts w:hint="eastAsia"/>
                <w:bCs/>
                <w:kern w:val="0"/>
                <w:sz w:val="21"/>
                <w:szCs w:val="21"/>
              </w:rPr>
              <w:t>4.38</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70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0" w:type="dxa"/>
            <w:vAlign w:val="center"/>
          </w:tcPr>
          <w:p>
            <w:pPr>
              <w:pStyle w:val="293"/>
              <w:adjustRightInd w:val="0"/>
              <w:snapToGrid w:val="0"/>
              <w:spacing w:before="0" w:after="0"/>
              <w:ind w:left="0" w:right="0"/>
              <w:rPr>
                <w:color w:val="auto"/>
                <w:kern w:val="0"/>
                <w:sz w:val="21"/>
                <w:szCs w:val="21"/>
              </w:rPr>
            </w:pPr>
            <w:r>
              <w:rPr>
                <w:color w:val="auto"/>
                <w:kern w:val="0"/>
                <w:sz w:val="21"/>
                <w:szCs w:val="21"/>
              </w:rPr>
              <w:t>DA00</w:t>
            </w:r>
            <w:r>
              <w:rPr>
                <w:rFonts w:hint="eastAsia"/>
                <w:color w:val="auto"/>
                <w:kern w:val="0"/>
                <w:sz w:val="21"/>
                <w:szCs w:val="21"/>
              </w:rPr>
              <w:t>2</w:t>
            </w:r>
          </w:p>
        </w:tc>
        <w:tc>
          <w:tcPr>
            <w:tcW w:w="2409" w:type="dxa"/>
            <w:vAlign w:val="center"/>
          </w:tcPr>
          <w:p>
            <w:pPr>
              <w:jc w:val="center"/>
              <w:rPr>
                <w:bCs/>
                <w:kern w:val="0"/>
                <w:sz w:val="21"/>
                <w:szCs w:val="21"/>
              </w:rPr>
            </w:pPr>
            <w:r>
              <w:rPr>
                <w:rFonts w:hint="eastAsia"/>
                <w:bCs/>
                <w:kern w:val="0"/>
                <w:sz w:val="21"/>
                <w:szCs w:val="21"/>
              </w:rPr>
              <w:t>废旧塑料膜造粒及PE管生产有机废气排气筒</w:t>
            </w:r>
          </w:p>
        </w:tc>
        <w:tc>
          <w:tcPr>
            <w:tcW w:w="1134" w:type="dxa"/>
            <w:vAlign w:val="center"/>
          </w:tcPr>
          <w:p>
            <w:pPr>
              <w:jc w:val="center"/>
              <w:rPr>
                <w:bCs/>
                <w:kern w:val="0"/>
                <w:sz w:val="21"/>
                <w:szCs w:val="21"/>
              </w:rPr>
            </w:pPr>
            <w:r>
              <w:rPr>
                <w:rFonts w:hint="eastAsia"/>
                <w:bCs/>
                <w:kern w:val="0"/>
                <w:sz w:val="21"/>
                <w:szCs w:val="21"/>
              </w:rPr>
              <w:t>0.13</w:t>
            </w:r>
          </w:p>
        </w:tc>
        <w:tc>
          <w:tcPr>
            <w:tcW w:w="1276" w:type="dxa"/>
            <w:vAlign w:val="center"/>
          </w:tcPr>
          <w:p>
            <w:pPr>
              <w:jc w:val="center"/>
              <w:rPr>
                <w:bCs/>
                <w:kern w:val="0"/>
                <w:sz w:val="21"/>
                <w:szCs w:val="21"/>
              </w:rPr>
            </w:pPr>
            <w:r>
              <w:rPr>
                <w:rFonts w:hint="eastAsia"/>
                <w:bCs/>
                <w:kern w:val="0"/>
                <w:sz w:val="21"/>
                <w:szCs w:val="21"/>
              </w:rPr>
              <w:t>4.13</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70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达标</w:t>
            </w:r>
          </w:p>
        </w:tc>
      </w:tr>
    </w:tbl>
    <w:p>
      <w:pPr>
        <w:pStyle w:val="499"/>
        <w:spacing w:line="460" w:lineRule="exact"/>
        <w:ind w:firstLine="480"/>
        <w:rPr>
          <w:rFonts w:ascii="Times New Roman" w:cs="Times New Roman"/>
          <w:kern w:val="28"/>
        </w:rPr>
      </w:pPr>
      <w:r>
        <w:rPr>
          <w:rFonts w:hint="eastAsia" w:ascii="Times New Roman" w:cs="Times New Roman"/>
          <w:kern w:val="28"/>
        </w:rPr>
        <w:t>根据上表分析，本项目废旧滴灌带造粒及滴灌带生产工序产生的有机废气非甲烷总烃在采取配套设置的</w:t>
      </w:r>
      <w:r>
        <w:rPr>
          <w:rFonts w:ascii="Times New Roman" w:cs="Times New Roman"/>
          <w:kern w:val="28"/>
        </w:rPr>
        <w:t>活性炭吸附</w:t>
      </w:r>
      <w:r>
        <w:rPr>
          <w:rFonts w:hint="eastAsia" w:ascii="Times New Roman" w:cs="Times New Roman"/>
          <w:kern w:val="28"/>
        </w:rPr>
        <w:t>+催化燃烧（CO）</w:t>
      </w:r>
      <w:r>
        <w:rPr>
          <w:rFonts w:ascii="Times New Roman" w:cs="Times New Roman"/>
          <w:kern w:val="28"/>
        </w:rPr>
        <w:t>装置</w:t>
      </w:r>
      <w:r>
        <w:rPr>
          <w:rFonts w:hint="eastAsia" w:ascii="Times New Roman" w:cs="Times New Roman"/>
          <w:kern w:val="28"/>
        </w:rPr>
        <w:t>处置后通过</w:t>
      </w:r>
      <w:r>
        <w:rPr>
          <w:rFonts w:ascii="Times New Roman" w:cs="Times New Roman"/>
          <w:kern w:val="28"/>
        </w:rPr>
        <w:t>1</w:t>
      </w:r>
      <w:r>
        <w:rPr>
          <w:rFonts w:hint="eastAsia" w:ascii="Times New Roman" w:cs="Times New Roman"/>
          <w:kern w:val="28"/>
        </w:rPr>
        <w:t>根</w:t>
      </w:r>
      <w:r>
        <w:rPr>
          <w:rFonts w:ascii="Times New Roman" w:cs="Times New Roman"/>
          <w:kern w:val="28"/>
        </w:rPr>
        <w:t>15m</w:t>
      </w:r>
      <w:r>
        <w:rPr>
          <w:rFonts w:hint="eastAsia" w:ascii="Times New Roman" w:cs="Times New Roman"/>
          <w:kern w:val="28"/>
        </w:rPr>
        <w:t>高排气筒外排，根据计算，排放浓度满足《合成树脂工业污染物排放标准》（GB 31572-2015）中表5大气污染物特别排放限值中要求；</w:t>
      </w:r>
      <w:r>
        <w:rPr>
          <w:rFonts w:hint="eastAsia" w:ascii="Times New Roman" w:cs="Times New Roman"/>
          <w:bCs/>
          <w:kern w:val="28"/>
        </w:rPr>
        <w:t>废旧塑料膜造粒及</w:t>
      </w:r>
      <w:r>
        <w:rPr>
          <w:rFonts w:ascii="Times New Roman" w:cs="Times New Roman"/>
          <w:bCs/>
          <w:kern w:val="28"/>
        </w:rPr>
        <w:t>PE管生产</w:t>
      </w:r>
      <w:r>
        <w:rPr>
          <w:rFonts w:hint="eastAsia" w:ascii="Times New Roman" w:cs="Times New Roman"/>
          <w:bCs/>
          <w:kern w:val="28"/>
        </w:rPr>
        <w:t>产生的非甲烷总烃在采取配套设置的活性炭吸附+催化燃烧（CO）装置处置后通过1根15m高排气筒外排，根据计算，排放浓度满足《合成树脂工业污染物排放标准》（GB 31572-2015）中表5大气污染物特别排放限值中要求</w:t>
      </w:r>
      <w:r>
        <w:rPr>
          <w:rFonts w:hint="eastAsia" w:ascii="Times New Roman" w:cs="Times New Roman"/>
          <w:kern w:val="28"/>
        </w:rPr>
        <w:t>。本项目运营后有组织非甲烷总烃排放量为1.55t，项目建成后全厂滴灌带规模为4000t/a、PE管规模为2500t/a，则单位产品非甲烷总烃排放量为0.23kg/t产品，满足</w:t>
      </w:r>
      <w:r>
        <w:rPr>
          <w:rFonts w:hint="eastAsia" w:ascii="Times New Roman" w:cs="Times New Roman"/>
          <w:bCs/>
          <w:kern w:val="28"/>
        </w:rPr>
        <w:t>《合成树脂工业污染物排放标准》（GB 31572-2015）中表5单位产品非甲烷总烃排放量0.3kg/t产品要求。</w:t>
      </w:r>
    </w:p>
    <w:p>
      <w:pPr>
        <w:pStyle w:val="499"/>
        <w:spacing w:line="460" w:lineRule="exact"/>
        <w:ind w:firstLine="480"/>
        <w:rPr>
          <w:rFonts w:ascii="Times New Roman" w:cs="Times New Roman"/>
          <w:kern w:val="28"/>
        </w:rPr>
      </w:pPr>
      <w:r>
        <w:rPr>
          <w:rFonts w:hint="eastAsia" w:ascii="Times New Roman" w:cs="Times New Roman"/>
          <w:kern w:val="28"/>
        </w:rPr>
        <w:t>根据《挥发性有机物无组织排放控制标准》</w:t>
      </w:r>
      <w:r>
        <w:rPr>
          <w:rFonts w:ascii="Times New Roman" w:cs="Times New Roman"/>
          <w:kern w:val="28"/>
        </w:rPr>
        <w:t>(GB37822-2019)</w:t>
      </w:r>
      <w:r>
        <w:rPr>
          <w:rFonts w:hint="eastAsia" w:ascii="Times New Roman" w:cs="Times New Roman"/>
          <w:kern w:val="28"/>
        </w:rPr>
        <w:t>中关于有机聚合物产品用于制品生产过程的要求，加工成型等工序需要在密闭设备或密闭空间内操作，废气排至</w:t>
      </w:r>
      <w:r>
        <w:rPr>
          <w:rFonts w:ascii="Times New Roman" w:cs="Times New Roman"/>
          <w:kern w:val="28"/>
        </w:rPr>
        <w:t>VOCs</w:t>
      </w:r>
      <w:r>
        <w:rPr>
          <w:rFonts w:hint="eastAsia" w:ascii="Times New Roman" w:cs="Times New Roman"/>
          <w:kern w:val="28"/>
        </w:rPr>
        <w:t>废气收集处理系统，无法密闭的，应采取局部气体收集措施，废气排至</w:t>
      </w:r>
      <w:r>
        <w:rPr>
          <w:rFonts w:ascii="Times New Roman" w:cs="Times New Roman"/>
          <w:kern w:val="28"/>
        </w:rPr>
        <w:t>VOCs</w:t>
      </w:r>
      <w:r>
        <w:rPr>
          <w:rFonts w:hint="eastAsia" w:ascii="Times New Roman" w:cs="Times New Roman"/>
          <w:kern w:val="28"/>
        </w:rPr>
        <w:t>废气收集处理系统。本项目各个生产工序分别设置有集气罩，对产生的有机废气进行集中收集处置，对生产厂房按照工程设计要求设置换气扇，制定运行控制要求，严格按照设计要求定期对厂房进行空气置换，保证生产车间无组织废气满足《挥发性有机物无组织排放控制标准》</w:t>
      </w:r>
      <w:r>
        <w:rPr>
          <w:rFonts w:ascii="Times New Roman" w:cs="Times New Roman"/>
          <w:kern w:val="28"/>
        </w:rPr>
        <w:t>(GB37822-2019)</w:t>
      </w:r>
      <w:r>
        <w:rPr>
          <w:rFonts w:hint="eastAsia" w:ascii="Times New Roman" w:cs="Times New Roman"/>
          <w:kern w:val="28"/>
        </w:rPr>
        <w:t>要求。</w:t>
      </w:r>
    </w:p>
    <w:p>
      <w:pPr>
        <w:pStyle w:val="499"/>
        <w:spacing w:line="460" w:lineRule="exact"/>
        <w:ind w:firstLine="480"/>
        <w:rPr>
          <w:rFonts w:ascii="Times New Roman" w:cs="Times New Roman"/>
          <w:kern w:val="28"/>
        </w:rPr>
      </w:pPr>
      <w:bookmarkStart w:id="220" w:name="_Hlk168302809"/>
      <w:r>
        <w:rPr>
          <w:rFonts w:hint="eastAsia" w:ascii="Times New Roman" w:cs="Times New Roman"/>
          <w:kern w:val="28"/>
        </w:rPr>
        <w:t>恶臭属感觉公害，它可直接作用于人们的嗅觉并危害人们的身体健康，已作为典型七公害（空气污染、水质污染、土壤污染、噪声、振动、地面下沉、恶臭）之一，被确定为限制对象。恶臭污染对人的影响包括：使人感到不快、恶心、头疼、食欲不振、营养不良、妨碍睡眠、嗅觉失调、情绪不振等。</w:t>
      </w:r>
    </w:p>
    <w:p>
      <w:pPr>
        <w:pStyle w:val="499"/>
        <w:spacing w:line="460" w:lineRule="exact"/>
        <w:ind w:firstLine="480"/>
        <w:rPr>
          <w:rFonts w:ascii="Times New Roman" w:cs="Times New Roman"/>
          <w:kern w:val="28"/>
        </w:rPr>
      </w:pPr>
      <w:r>
        <w:rPr>
          <w:rFonts w:hint="eastAsia" w:ascii="Times New Roman" w:cs="Times New Roman"/>
          <w:kern w:val="28"/>
        </w:rPr>
        <w:t>本项目运营期产生的有机废气是项目臭气的主要来源，根据类比《新疆雅得利环保科技有限公司废旧塑料节约综合利用改扩建项目（一期）竣工环境保护验收监测报告》，该项目位于昌吉回族自治州玛纳斯县，项目占地面积12292.7m</w:t>
      </w:r>
      <w:r>
        <w:rPr>
          <w:rFonts w:hint="eastAsia" w:ascii="Times New Roman" w:cs="Times New Roman"/>
          <w:kern w:val="28"/>
          <w:vertAlign w:val="superscript"/>
        </w:rPr>
        <w:t>2</w:t>
      </w:r>
      <w:r>
        <w:rPr>
          <w:rFonts w:hint="eastAsia" w:ascii="Times New Roman" w:cs="Times New Roman"/>
          <w:kern w:val="28"/>
        </w:rPr>
        <w:t>，该项目滴灌带产量为5000t/a，本项目位于昌吉回族自治州昌吉市，区域气象条件与类比相似，本项目占地面积</w:t>
      </w:r>
      <w:r>
        <w:rPr>
          <w:rFonts w:ascii="Times New Roman" w:cs="Times New Roman"/>
          <w:kern w:val="28"/>
        </w:rPr>
        <w:t>18696m</w:t>
      </w:r>
      <w:r>
        <w:rPr>
          <w:rFonts w:ascii="Times New Roman" w:cs="Times New Roman"/>
          <w:kern w:val="28"/>
          <w:vertAlign w:val="superscript"/>
        </w:rPr>
        <w:t>2</w:t>
      </w:r>
      <w:r>
        <w:rPr>
          <w:rFonts w:hint="eastAsia" w:ascii="Times New Roman" w:cs="Times New Roman"/>
          <w:kern w:val="28"/>
        </w:rPr>
        <w:t>，本项目滴灌带产量4000t/a、</w:t>
      </w:r>
      <w:r>
        <w:rPr>
          <w:rFonts w:ascii="Times New Roman" w:cs="Times New Roman"/>
          <w:kern w:val="28"/>
        </w:rPr>
        <w:t>PE管</w:t>
      </w:r>
      <w:r>
        <w:rPr>
          <w:rFonts w:hint="eastAsia" w:ascii="Times New Roman" w:cs="Times New Roman"/>
          <w:kern w:val="28"/>
        </w:rPr>
        <w:t>产量为2500t/a，综合分析项目类比可行。类比项目无组织废气采取安装换气扇，加强车间通风等措施，针对项目区厂界无组织恶臭浓度进行了监测，臭气浓度均低于检出限（小于10），满足《恶臭污染物排放标准》（GB14544-93）中表1限值要求。</w:t>
      </w:r>
    </w:p>
    <w:p>
      <w:pPr>
        <w:pStyle w:val="499"/>
        <w:spacing w:line="460" w:lineRule="exact"/>
        <w:ind w:firstLine="480"/>
        <w:rPr>
          <w:rFonts w:ascii="Times New Roman" w:cs="Times New Roman"/>
          <w:kern w:val="28"/>
        </w:rPr>
      </w:pPr>
      <w:r>
        <w:rPr>
          <w:rFonts w:hint="eastAsia" w:ascii="Times New Roman" w:cs="Times New Roman"/>
          <w:kern w:val="28"/>
        </w:rPr>
        <w:t>本项目无组织废气采取安装换气扇，加强车间通风等措施，根据类比，项目运营期厂界无组织臭气浓度均可满足《恶臭污染物排放标准》（GB14544-93）中表1限值要求，因此，本项目运营期臭气对周围环境影响不大。</w:t>
      </w:r>
      <w:bookmarkEnd w:id="220"/>
    </w:p>
    <w:p>
      <w:pPr>
        <w:pStyle w:val="499"/>
        <w:spacing w:line="460" w:lineRule="exact"/>
        <w:ind w:firstLine="480"/>
        <w:rPr>
          <w:rFonts w:ascii="Times New Roman" w:cs="Times New Roman"/>
          <w:kern w:val="28"/>
        </w:rPr>
      </w:pPr>
      <w:r>
        <w:rPr>
          <w:rFonts w:hint="eastAsia" w:ascii="Times New Roman" w:cs="Times New Roman"/>
          <w:kern w:val="28"/>
        </w:rPr>
        <w:t>根据上述分析，本项目废气对周围大气环境影响不大。</w:t>
      </w:r>
    </w:p>
    <w:p>
      <w:pPr>
        <w:pStyle w:val="2"/>
        <w:ind w:firstLine="480"/>
        <w:rPr>
          <w:color w:val="auto"/>
        </w:rPr>
      </w:pPr>
      <w:r>
        <w:rPr>
          <w:color w:val="auto"/>
        </w:rPr>
        <w:t>6.2.1.2</w:t>
      </w:r>
      <w:r>
        <w:rPr>
          <w:rFonts w:hint="eastAsia"/>
          <w:color w:val="auto"/>
        </w:rPr>
        <w:t>大气环境影响估算</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1、估算模型选取</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为了解本项目废气对周边环境的影响，本此评价根据《环境影响评价技术导则 大气环境》（HJ2.2-2018），采用估算模式（AERSCREEN）对项目排放的废气进行预测分析。结合本项目特点，本评价选取非甲烷总烃作为预测估算因子。</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2、评价标准</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项目评价因子和评价标准详见表6.2-2。</w:t>
      </w:r>
    </w:p>
    <w:p>
      <w:pPr>
        <w:pStyle w:val="632"/>
        <w:spacing w:line="240" w:lineRule="auto"/>
        <w:ind w:firstLine="420"/>
        <w:rPr>
          <w:rFonts w:eastAsia="黑体"/>
        </w:rPr>
      </w:pPr>
      <w:r>
        <w:rPr>
          <w:rFonts w:hint="eastAsia" w:eastAsia="黑体"/>
        </w:rPr>
        <w:t>表6.2-2                评价因子和评价标准一览表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842"/>
        <w:gridCol w:w="1985"/>
        <w:gridCol w:w="2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评价因子</w:t>
            </w:r>
          </w:p>
        </w:tc>
        <w:tc>
          <w:tcPr>
            <w:tcW w:w="184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评价时段</w:t>
            </w:r>
          </w:p>
        </w:tc>
        <w:tc>
          <w:tcPr>
            <w:tcW w:w="198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标准值（</w:t>
            </w:r>
            <w:r>
              <w:rPr>
                <w:color w:val="auto"/>
                <w:kern w:val="0"/>
                <w:sz w:val="21"/>
                <w:szCs w:val="21"/>
              </w:rPr>
              <w:t>μg/m</w:t>
            </w:r>
            <w:r>
              <w:rPr>
                <w:color w:val="auto"/>
                <w:kern w:val="0"/>
                <w:sz w:val="21"/>
                <w:szCs w:val="21"/>
                <w:vertAlign w:val="superscript"/>
              </w:rPr>
              <w:t>3</w:t>
            </w:r>
            <w:r>
              <w:rPr>
                <w:rFonts w:hint="eastAsia"/>
                <w:color w:val="auto"/>
                <w:kern w:val="0"/>
                <w:sz w:val="21"/>
                <w:szCs w:val="21"/>
              </w:rPr>
              <w:t>）</w:t>
            </w:r>
          </w:p>
        </w:tc>
        <w:tc>
          <w:tcPr>
            <w:tcW w:w="294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184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小时平均浓度</w:t>
            </w:r>
          </w:p>
        </w:tc>
        <w:tc>
          <w:tcPr>
            <w:tcW w:w="198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2000</w:t>
            </w:r>
          </w:p>
        </w:tc>
        <w:tc>
          <w:tcPr>
            <w:tcW w:w="294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《大气污染物综合排放标准详解》中的环境管理推荐限值</w:t>
            </w:r>
          </w:p>
        </w:tc>
      </w:tr>
    </w:tbl>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3、污染源强</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根据工程分析，项目废气排放源主要分有组织排放源与无组织排放源，具体见表6.2-3～6.2-6。</w:t>
      </w: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kern w:val="28"/>
        </w:rPr>
      </w:pPr>
      <w:r>
        <w:rPr>
          <w:rFonts w:hint="eastAsia" w:eastAsia="黑体"/>
        </w:rPr>
        <w:t>表6.2</w:t>
      </w:r>
      <w:r>
        <w:rPr>
          <w:rFonts w:eastAsia="黑体"/>
        </w:rPr>
        <w:t xml:space="preserve">-3     </w:t>
      </w:r>
      <w:r>
        <w:rPr>
          <w:rFonts w:hint="eastAsia" w:eastAsia="黑体"/>
        </w:rPr>
        <w:t>废旧滴灌带造粒及滴灌带生产有组织</w:t>
      </w:r>
      <w:r>
        <w:rPr>
          <w:rFonts w:eastAsia="黑体"/>
        </w:rPr>
        <w:t>有机废气</w:t>
      </w:r>
      <w:r>
        <w:rPr>
          <w:rFonts w:hint="eastAsia" w:eastAsia="黑体"/>
        </w:rPr>
        <w:t>污染源一览表（点源）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废旧滴灌带造粒及滴灌带生产有机废气排气筒（</w:t>
            </w:r>
            <w:r>
              <w:rPr>
                <w:color w:val="auto"/>
                <w:kern w:val="0"/>
                <w:sz w:val="21"/>
                <w:szCs w:val="21"/>
              </w:rPr>
              <w:t>DA001</w:t>
            </w: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525704.316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4896926.614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排气筒出口内径</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w:t>
            </w:r>
            <w:r>
              <w:rPr>
                <w:rFonts w:hint="eastAsia"/>
                <w:color w:val="auto"/>
                <w:kern w:val="0"/>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烟气流量</w:t>
            </w:r>
            <w:r>
              <w:rPr>
                <w:color w:val="auto"/>
                <w:kern w:val="0"/>
                <w:sz w:val="21"/>
                <w:szCs w:val="21"/>
              </w:rPr>
              <w:t>/</w:t>
            </w:r>
            <w:r>
              <w:rPr>
                <w:rFonts w:hint="eastAsia"/>
                <w:color w:val="auto"/>
                <w:kern w:val="0"/>
                <w:sz w:val="21"/>
                <w:szCs w:val="21"/>
              </w:rPr>
              <w:t>（</w:t>
            </w:r>
            <w:r>
              <w:rPr>
                <w:color w:val="auto"/>
                <w:kern w:val="0"/>
                <w:sz w:val="21"/>
                <w:szCs w:val="21"/>
              </w:rPr>
              <w:t>m</w:t>
            </w:r>
            <w:r>
              <w:rPr>
                <w:color w:val="auto"/>
                <w:kern w:val="0"/>
                <w:sz w:val="21"/>
                <w:szCs w:val="21"/>
                <w:vertAlign w:val="superscript"/>
              </w:rPr>
              <w:t>3</w:t>
            </w:r>
            <w:r>
              <w:rPr>
                <w:color w:val="auto"/>
                <w:kern w:val="0"/>
                <w:sz w:val="21"/>
                <w:szCs w:val="21"/>
              </w:rPr>
              <w:t>/h</w:t>
            </w:r>
            <w:r>
              <w:rPr>
                <w:rFonts w:hint="eastAsia"/>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烟气温度</w:t>
            </w:r>
            <w:r>
              <w:rPr>
                <w:color w:val="auto"/>
                <w:kern w:val="0"/>
                <w:sz w:val="21"/>
                <w:szCs w:val="21"/>
              </w:rPr>
              <w:t>/</w:t>
            </w:r>
            <w:r>
              <w:rPr>
                <w:rFonts w:hint="eastAsia" w:ascii="宋体" w:hAnsi="宋体" w:cs="宋体"/>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rFonts w:eastAsia="黑体"/>
        </w:rPr>
      </w:pPr>
    </w:p>
    <w:p>
      <w:pPr>
        <w:pStyle w:val="632"/>
        <w:spacing w:line="240" w:lineRule="auto"/>
        <w:ind w:firstLine="420"/>
        <w:rPr>
          <w:kern w:val="28"/>
        </w:rPr>
      </w:pPr>
      <w:r>
        <w:rPr>
          <w:rFonts w:hint="eastAsia" w:eastAsia="黑体"/>
        </w:rPr>
        <w:t>表6.2</w:t>
      </w:r>
      <w:r>
        <w:rPr>
          <w:rFonts w:eastAsia="黑体"/>
        </w:rPr>
        <w:t>-</w:t>
      </w:r>
      <w:r>
        <w:rPr>
          <w:rFonts w:hint="eastAsia" w:eastAsia="黑体"/>
        </w:rPr>
        <w:t>4</w:t>
      </w:r>
      <w:r>
        <w:rPr>
          <w:rFonts w:eastAsia="黑体"/>
        </w:rPr>
        <w:t xml:space="preserve">     </w:t>
      </w:r>
      <w:r>
        <w:rPr>
          <w:rFonts w:hint="eastAsia" w:eastAsia="黑体"/>
        </w:rPr>
        <w:t>废旧塑料膜造粒及</w:t>
      </w:r>
      <w:r>
        <w:rPr>
          <w:rFonts w:eastAsia="黑体"/>
        </w:rPr>
        <w:t>PE管生产</w:t>
      </w:r>
      <w:r>
        <w:rPr>
          <w:rFonts w:hint="eastAsia" w:eastAsia="黑体"/>
        </w:rPr>
        <w:t>有组织</w:t>
      </w:r>
      <w:r>
        <w:rPr>
          <w:rFonts w:eastAsia="黑体"/>
        </w:rPr>
        <w:t>有机废气</w:t>
      </w:r>
      <w:r>
        <w:rPr>
          <w:rFonts w:hint="eastAsia" w:eastAsia="黑体"/>
        </w:rPr>
        <w:t>污染源一览表（点源）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废旧塑料膜造粒及PE管生产有机废气排气筒（</w:t>
            </w:r>
            <w:r>
              <w:rPr>
                <w:color w:val="auto"/>
                <w:kern w:val="0"/>
                <w:sz w:val="21"/>
                <w:szCs w:val="21"/>
              </w:rPr>
              <w:t>DA00</w:t>
            </w:r>
            <w:r>
              <w:rPr>
                <w:rFonts w:hint="eastAsia"/>
                <w:color w:val="auto"/>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525727.091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4896964.540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排气筒底部海拔高度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排气筒出口内径</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烟气流量</w:t>
            </w:r>
            <w:r>
              <w:rPr>
                <w:color w:val="auto"/>
                <w:kern w:val="0"/>
                <w:sz w:val="21"/>
                <w:szCs w:val="21"/>
              </w:rPr>
              <w:t>/</w:t>
            </w:r>
            <w:r>
              <w:rPr>
                <w:rFonts w:hint="eastAsia"/>
                <w:color w:val="auto"/>
                <w:kern w:val="0"/>
                <w:sz w:val="21"/>
                <w:szCs w:val="21"/>
              </w:rPr>
              <w:t>（</w:t>
            </w:r>
            <w:r>
              <w:rPr>
                <w:color w:val="auto"/>
                <w:kern w:val="0"/>
                <w:sz w:val="21"/>
                <w:szCs w:val="21"/>
              </w:rPr>
              <w:t>m</w:t>
            </w:r>
            <w:r>
              <w:rPr>
                <w:color w:val="auto"/>
                <w:kern w:val="0"/>
                <w:sz w:val="21"/>
                <w:szCs w:val="21"/>
                <w:vertAlign w:val="superscript"/>
              </w:rPr>
              <w:t>3</w:t>
            </w:r>
            <w:r>
              <w:rPr>
                <w:color w:val="auto"/>
                <w:kern w:val="0"/>
                <w:sz w:val="21"/>
                <w:szCs w:val="21"/>
              </w:rPr>
              <w:t>/h</w:t>
            </w:r>
            <w:r>
              <w:rPr>
                <w:rFonts w:hint="eastAsia"/>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烟气温度</w:t>
            </w:r>
            <w:r>
              <w:rPr>
                <w:color w:val="auto"/>
                <w:kern w:val="0"/>
                <w:sz w:val="21"/>
                <w:szCs w:val="21"/>
              </w:rPr>
              <w:t>/</w:t>
            </w:r>
            <w:r>
              <w:rPr>
                <w:rFonts w:hint="eastAsia" w:ascii="宋体" w:hAnsi="宋体" w:cs="宋体"/>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w:t>
      </w:r>
      <w:r>
        <w:rPr>
          <w:rFonts w:eastAsia="黑体"/>
        </w:rPr>
        <w:t>-</w:t>
      </w:r>
      <w:r>
        <w:rPr>
          <w:rFonts w:hint="eastAsia" w:eastAsia="黑体"/>
        </w:rPr>
        <w:t>5</w:t>
      </w:r>
      <w:r>
        <w:rPr>
          <w:rFonts w:eastAsia="黑体"/>
        </w:rPr>
        <w:t xml:space="preserve">   </w:t>
      </w:r>
      <w:r>
        <w:rPr>
          <w:rFonts w:hint="eastAsia" w:eastAsia="黑体"/>
        </w:rPr>
        <w:t>废旧滴灌带造粒及滴灌带生产车间无组织废气污染源一览表（面源）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525694.052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4896921.807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面源长度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面源宽度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面源有效排放高度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w:t>
            </w:r>
            <w:r>
              <w:rPr>
                <w:rFonts w:hint="eastAsia"/>
                <w:color w:val="auto"/>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与正北方向夹角</w:t>
            </w:r>
            <w:r>
              <w:rPr>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w:t>
      </w:r>
      <w:r>
        <w:rPr>
          <w:rFonts w:eastAsia="黑体"/>
        </w:rPr>
        <w:t>-</w:t>
      </w:r>
      <w:r>
        <w:rPr>
          <w:rFonts w:hint="eastAsia" w:eastAsia="黑体"/>
        </w:rPr>
        <w:t>6</w:t>
      </w:r>
      <w:r>
        <w:rPr>
          <w:rFonts w:eastAsia="黑体"/>
        </w:rPr>
        <w:t xml:space="preserve">    </w:t>
      </w:r>
      <w:r>
        <w:rPr>
          <w:rFonts w:hint="eastAsia" w:eastAsia="黑体"/>
        </w:rPr>
        <w:t>废旧塑料膜造粒及及PE管生产车间无组织废气污染源一览表（面源）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6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12"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污染源名称</w:t>
            </w:r>
          </w:p>
        </w:tc>
        <w:tc>
          <w:tcPr>
            <w:tcW w:w="4500" w:type="dxa"/>
            <w:tcBorders>
              <w:top w:val="single" w:color="auto" w:sz="12"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废旧塑料膜造粒及及PE管生产车间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vMerge w:val="restart"/>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面源中心坐标</w:t>
            </w:r>
            <w:r>
              <w:rPr>
                <w:color w:val="auto"/>
                <w:kern w:val="0"/>
                <w:sz w:val="21"/>
                <w:szCs w:val="21"/>
              </w:rPr>
              <w:t>/m</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X</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525726.315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kern w:val="0"/>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Y</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4896943.682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面源中心海拔高度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面源长度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面源宽度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面源有效排放高度</w:t>
            </w:r>
            <w:r>
              <w:rPr>
                <w:color w:val="auto"/>
                <w:kern w:val="0"/>
                <w:sz w:val="21"/>
                <w:szCs w:val="21"/>
              </w:rPr>
              <w:t>/m</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1</w:t>
            </w:r>
            <w:r>
              <w:rPr>
                <w:rFonts w:hint="eastAsia"/>
                <w:color w:val="auto"/>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与正北方向夹角</w:t>
            </w:r>
            <w:r>
              <w:rPr>
                <w:color w:val="auto"/>
                <w:kern w:val="0"/>
                <w:sz w:val="21"/>
                <w:szCs w:val="21"/>
              </w:rPr>
              <w:t>/°</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年排放小时</w:t>
            </w:r>
            <w:r>
              <w:rPr>
                <w:color w:val="auto"/>
                <w:kern w:val="0"/>
                <w:sz w:val="21"/>
                <w:szCs w:val="21"/>
              </w:rPr>
              <w:t>/h</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6" w:type="dxa"/>
            <w:gridSpan w:val="2"/>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排放工况</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tcBorders>
              <w:top w:val="single" w:color="auto" w:sz="4" w:space="0"/>
              <w:left w:val="nil"/>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污染物排放速率（</w:t>
            </w:r>
            <w:r>
              <w:rPr>
                <w:color w:val="auto"/>
                <w:kern w:val="0"/>
                <w:sz w:val="21"/>
                <w:szCs w:val="21"/>
              </w:rPr>
              <w:t>kg/h</w:t>
            </w:r>
            <w:r>
              <w:rPr>
                <w:rFonts w:hint="eastAsia"/>
                <w:color w:val="auto"/>
                <w:kern w:val="0"/>
                <w:sz w:val="21"/>
                <w:szCs w:val="2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4500" w:type="dxa"/>
            <w:tcBorders>
              <w:top w:val="single" w:color="auto" w:sz="4" w:space="0"/>
              <w:left w:val="single" w:color="auto" w:sz="4" w:space="0"/>
              <w:bottom w:val="single" w:color="auto" w:sz="4" w:space="0"/>
              <w:right w:val="nil"/>
            </w:tcBorders>
            <w:vAlign w:val="center"/>
          </w:tcPr>
          <w:p>
            <w:pPr>
              <w:pStyle w:val="293"/>
              <w:adjustRightInd w:val="0"/>
              <w:snapToGrid w:val="0"/>
              <w:spacing w:before="0" w:after="0"/>
              <w:ind w:left="0" w:right="0"/>
              <w:rPr>
                <w:color w:val="auto"/>
                <w:kern w:val="0"/>
                <w:sz w:val="21"/>
                <w:szCs w:val="21"/>
              </w:rPr>
            </w:pPr>
            <w:r>
              <w:rPr>
                <w:color w:val="auto"/>
                <w:kern w:val="0"/>
                <w:sz w:val="21"/>
                <w:szCs w:val="21"/>
              </w:rPr>
              <w:t>0.</w:t>
            </w:r>
            <w:r>
              <w:rPr>
                <w:rFonts w:hint="eastAsia"/>
                <w:color w:val="auto"/>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6" w:type="dxa"/>
            <w:gridSpan w:val="3"/>
            <w:tcBorders>
              <w:top w:val="single" w:color="auto" w:sz="4" w:space="0"/>
              <w:left w:val="nil"/>
              <w:bottom w:val="single" w:color="auto" w:sz="12" w:space="0"/>
              <w:right w:val="nil"/>
            </w:tcBorders>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备注：</w:t>
            </w:r>
            <w:r>
              <w:rPr>
                <w:color w:val="auto"/>
                <w:kern w:val="0"/>
                <w:sz w:val="21"/>
                <w:szCs w:val="21"/>
              </w:rPr>
              <w:t>X</w:t>
            </w:r>
            <w:r>
              <w:rPr>
                <w:rFonts w:hint="eastAsia"/>
                <w:color w:val="auto"/>
                <w:kern w:val="0"/>
                <w:sz w:val="21"/>
                <w:szCs w:val="21"/>
              </w:rPr>
              <w:t>、</w:t>
            </w:r>
            <w:r>
              <w:rPr>
                <w:color w:val="auto"/>
                <w:kern w:val="0"/>
                <w:sz w:val="21"/>
                <w:szCs w:val="21"/>
              </w:rPr>
              <w:t>Y</w:t>
            </w:r>
            <w:r>
              <w:rPr>
                <w:rFonts w:hint="eastAsia"/>
                <w:color w:val="auto"/>
                <w:kern w:val="0"/>
                <w:sz w:val="21"/>
                <w:szCs w:val="21"/>
              </w:rPr>
              <w:t>取值为</w:t>
            </w:r>
            <w:r>
              <w:rPr>
                <w:color w:val="auto"/>
                <w:kern w:val="0"/>
                <w:sz w:val="21"/>
                <w:szCs w:val="21"/>
              </w:rPr>
              <w:t>UTM</w:t>
            </w:r>
            <w:r>
              <w:rPr>
                <w:rFonts w:hint="eastAsia"/>
                <w:color w:val="auto"/>
                <w:kern w:val="0"/>
                <w:sz w:val="21"/>
                <w:szCs w:val="21"/>
              </w:rPr>
              <w:t>坐标</w:t>
            </w:r>
          </w:p>
        </w:tc>
      </w:tr>
    </w:tbl>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4、估算模型参数</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本次评价选用《环境影响评价技术导则</w:t>
      </w:r>
      <w:r>
        <w:rPr>
          <w:rFonts w:ascii="Times New Roman" w:hAnsi="Times New Roman" w:eastAsia="宋体" w:cs="Times New Roman"/>
          <w:kern w:val="28"/>
        </w:rPr>
        <w:t xml:space="preserve"> </w:t>
      </w:r>
      <w:r>
        <w:rPr>
          <w:rFonts w:hint="eastAsia" w:ascii="Times New Roman" w:hAnsi="Times New Roman" w:eastAsia="宋体" w:cs="Times New Roman"/>
          <w:kern w:val="28"/>
        </w:rPr>
        <w:t>大气环境》（</w:t>
      </w:r>
      <w:r>
        <w:rPr>
          <w:rFonts w:ascii="Times New Roman" w:hAnsi="Times New Roman" w:eastAsia="宋体" w:cs="Times New Roman"/>
          <w:kern w:val="28"/>
        </w:rPr>
        <w:t>HJ2.2-2018</w:t>
      </w:r>
      <w:r>
        <w:rPr>
          <w:rFonts w:hint="eastAsia" w:ascii="Times New Roman" w:hAnsi="Times New Roman" w:eastAsia="宋体" w:cs="Times New Roman"/>
          <w:kern w:val="28"/>
        </w:rPr>
        <w:t>）推荐的AERSCREEN模型，估算模型参数详见表6.2-7。</w:t>
      </w:r>
    </w:p>
    <w:p>
      <w:pPr>
        <w:pStyle w:val="632"/>
        <w:spacing w:line="240" w:lineRule="auto"/>
        <w:ind w:firstLine="420"/>
        <w:rPr>
          <w:rFonts w:eastAsia="黑体"/>
        </w:rPr>
      </w:pPr>
      <w:r>
        <w:rPr>
          <w:rFonts w:hint="eastAsia" w:eastAsia="黑体"/>
        </w:rPr>
        <w:t>表6.2-7                   估算模型参数表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409"/>
        <w:gridCol w:w="3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参数</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城市/农村选项</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城市/农村</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人口数（城市选项时）</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最高环境温度/℃</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最低环境温度/℃</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土地利用类型</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区域湿度条件</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干燥气候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是否考虑地形</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考虑地形</w:t>
            </w:r>
          </w:p>
        </w:tc>
        <w:tc>
          <w:tcPr>
            <w:tcW w:w="3792" w:type="dxa"/>
            <w:vAlign w:val="center"/>
          </w:tcPr>
          <w:p>
            <w:pPr>
              <w:pStyle w:val="293"/>
              <w:adjustRightInd w:val="0"/>
              <w:snapToGrid w:val="0"/>
              <w:spacing w:before="0" w:after="0"/>
              <w:ind w:left="0" w:right="0"/>
              <w:rPr>
                <w:color w:val="auto"/>
                <w:kern w:val="0"/>
                <w:sz w:val="21"/>
                <w:szCs w:val="21"/>
              </w:rPr>
            </w:pPr>
            <w:r>
              <w:rPr>
                <w:color w:val="auto"/>
                <w:kern w:val="0"/>
                <w:sz w:val="21"/>
                <w:szCs w:val="21"/>
              </w:rPr>
              <w:t></w:t>
            </w:r>
            <w:r>
              <w:rPr>
                <w:rFonts w:hint="eastAsia" w:ascii="MS Mincho" w:hAnsi="MS Mincho" w:eastAsia="MS Mincho" w:cs="MS Mincho"/>
                <w:color w:val="auto"/>
                <w:kern w:val="0"/>
                <w:sz w:val="21"/>
                <w:szCs w:val="21"/>
              </w:rPr>
              <w:t>☑</w:t>
            </w:r>
            <w:r>
              <w:rPr>
                <w:rFonts w:hint="eastAsia"/>
                <w:color w:val="auto"/>
                <w:kern w:val="0"/>
                <w:sz w:val="21"/>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地形数据分辨率</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是否考虑岸线熏烟</w:t>
            </w: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考虑岸线熏烟</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 xml:space="preserve">  □是  </w:t>
            </w:r>
            <w:r>
              <w:rPr>
                <w:rFonts w:hint="eastAsia" w:ascii="MS Mincho" w:hAnsi="MS Mincho" w:eastAsia="MS Mincho" w:cs="MS Mincho"/>
                <w:color w:val="auto"/>
                <w:kern w:val="0"/>
                <w:sz w:val="21"/>
                <w:szCs w:val="21"/>
              </w:rPr>
              <w:t>☑</w:t>
            </w:r>
            <w:r>
              <w:rPr>
                <w:rFonts w:hint="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岸线距离/m</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pPr>
              <w:pStyle w:val="293"/>
              <w:adjustRightInd w:val="0"/>
              <w:snapToGrid w:val="0"/>
              <w:spacing w:before="0" w:after="0"/>
              <w:ind w:left="0" w:right="0"/>
              <w:rPr>
                <w:color w:val="auto"/>
                <w:kern w:val="0"/>
                <w:sz w:val="21"/>
                <w:szCs w:val="21"/>
              </w:rPr>
            </w:pPr>
          </w:p>
        </w:tc>
        <w:tc>
          <w:tcPr>
            <w:tcW w:w="240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岸线方向/°</w:t>
            </w:r>
          </w:p>
        </w:tc>
        <w:tc>
          <w:tcPr>
            <w:tcW w:w="379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（5）主要污染源估算模型计算结果</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项目主要污染源估算模型计算结果详见表6.2</w:t>
      </w:r>
      <w:r>
        <w:rPr>
          <w:rFonts w:ascii="Times New Roman" w:hAnsi="Times New Roman" w:eastAsia="宋体" w:cs="Times New Roman"/>
          <w:kern w:val="28"/>
        </w:rPr>
        <w:t>-</w:t>
      </w:r>
      <w:r>
        <w:rPr>
          <w:rFonts w:hint="eastAsia" w:ascii="Times New Roman" w:hAnsi="Times New Roman" w:eastAsia="宋体" w:cs="Times New Roman"/>
          <w:kern w:val="28"/>
        </w:rPr>
        <w:t>8～表6.2</w:t>
      </w:r>
      <w:r>
        <w:rPr>
          <w:rFonts w:ascii="Times New Roman" w:hAnsi="Times New Roman" w:eastAsia="宋体" w:cs="Times New Roman"/>
          <w:kern w:val="28"/>
        </w:rPr>
        <w:t>-</w:t>
      </w:r>
      <w:r>
        <w:rPr>
          <w:rFonts w:hint="eastAsia" w:ascii="Times New Roman" w:hAnsi="Times New Roman" w:eastAsia="宋体" w:cs="Times New Roman"/>
          <w:kern w:val="28"/>
        </w:rPr>
        <w:t>11。</w:t>
      </w:r>
    </w:p>
    <w:p>
      <w:pPr>
        <w:pStyle w:val="632"/>
        <w:spacing w:line="240" w:lineRule="auto"/>
        <w:ind w:firstLine="420"/>
        <w:rPr>
          <w:rFonts w:eastAsia="黑体"/>
        </w:rPr>
      </w:pPr>
      <w:r>
        <w:rPr>
          <w:rFonts w:hint="eastAsia" w:eastAsia="黑体"/>
        </w:rPr>
        <w:t>表6.2-8   废旧滴灌带造粒及滴灌带生产有组织</w:t>
      </w:r>
      <w:r>
        <w:rPr>
          <w:rFonts w:eastAsia="黑体"/>
        </w:rPr>
        <w:t>有机</w:t>
      </w:r>
      <w:r>
        <w:rPr>
          <w:rFonts w:hint="eastAsia" w:eastAsia="黑体"/>
        </w:rPr>
        <w:t>废气估算模型计算结果一览表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离源距离（m）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DA001（非甲烷总烃）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continue"/>
            <w:vAlign w:val="center"/>
          </w:tcPr>
          <w:p>
            <w:pPr>
              <w:pStyle w:val="293"/>
              <w:adjustRightInd w:val="0"/>
              <w:snapToGrid w:val="0"/>
              <w:spacing w:before="0" w:after="0"/>
              <w:ind w:left="0" w:right="0"/>
              <w:rPr>
                <w:color w:val="auto"/>
                <w:kern w:val="0"/>
                <w:sz w:val="21"/>
                <w:szCs w:val="21"/>
              </w:rPr>
            </w:pP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预测浓度（mg/m</w:t>
            </w:r>
            <w:r>
              <w:rPr>
                <w:rFonts w:hint="eastAsia"/>
                <w:color w:val="auto"/>
                <w:kern w:val="0"/>
                <w:sz w:val="21"/>
                <w:szCs w:val="21"/>
                <w:vertAlign w:val="superscript"/>
              </w:rPr>
              <w:t>3</w:t>
            </w:r>
            <w:r>
              <w:rPr>
                <w:rFonts w:hint="eastAsia"/>
                <w:color w:val="auto"/>
                <w:kern w:val="0"/>
                <w:sz w:val="21"/>
                <w:szCs w:val="21"/>
              </w:rPr>
              <w:t>）</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79</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8.37E-02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7.22E-02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5.52E-02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4.58E-02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3.94E-02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3.48E-02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3.13E-02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2.86E-02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2.65E-02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2.47E-02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2.17E-02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9.63E-03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9.28E-03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8.95E-03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8.66E-03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8.59E-03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8.12E-03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7.87E-03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最大质量浓度及占标率</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8.37E-02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w:t>
            </w:r>
            <w:r>
              <w:rPr>
                <w:rFonts w:hint="eastAsia"/>
                <w:color w:val="auto"/>
                <w:kern w:val="0"/>
                <w:sz w:val="21"/>
                <w:szCs w:val="21"/>
                <w:vertAlign w:val="subscript"/>
              </w:rPr>
              <w:t>10%</w:t>
            </w:r>
            <w:r>
              <w:rPr>
                <w:rFonts w:hint="eastAsia"/>
                <w:color w:val="auto"/>
                <w:kern w:val="0"/>
                <w:sz w:val="21"/>
                <w:szCs w:val="21"/>
              </w:rPr>
              <w:t>最远距离（m）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表6.2-9   废旧塑料膜造粒及</w:t>
      </w:r>
      <w:r>
        <w:rPr>
          <w:rFonts w:eastAsia="黑体"/>
        </w:rPr>
        <w:t>PE管生产</w:t>
      </w:r>
      <w:r>
        <w:rPr>
          <w:rFonts w:hint="eastAsia" w:eastAsia="黑体"/>
        </w:rPr>
        <w:t>有组织有机废气估算模型计算结果一览表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离源距离（m）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DA002（非甲烷总烃）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continue"/>
            <w:vAlign w:val="center"/>
          </w:tcPr>
          <w:p>
            <w:pPr>
              <w:pStyle w:val="293"/>
              <w:adjustRightInd w:val="0"/>
              <w:snapToGrid w:val="0"/>
              <w:spacing w:before="0" w:after="0"/>
              <w:ind w:left="0" w:right="0"/>
              <w:rPr>
                <w:color w:val="auto"/>
                <w:kern w:val="0"/>
                <w:sz w:val="21"/>
                <w:szCs w:val="21"/>
              </w:rPr>
            </w:pP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预测浓度（mg/m</w:t>
            </w:r>
            <w:r>
              <w:rPr>
                <w:rFonts w:hint="eastAsia"/>
                <w:color w:val="auto"/>
                <w:kern w:val="0"/>
                <w:sz w:val="21"/>
                <w:szCs w:val="21"/>
                <w:vertAlign w:val="superscript"/>
              </w:rPr>
              <w:t>3</w:t>
            </w:r>
            <w:r>
              <w:rPr>
                <w:rFonts w:hint="eastAsia"/>
                <w:color w:val="auto"/>
                <w:kern w:val="0"/>
                <w:sz w:val="21"/>
                <w:szCs w:val="21"/>
              </w:rPr>
              <w:t>）</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79</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4.08E-02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3.12E-02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9.23E-03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8.55E-03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7.99E-03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7.53E-03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7.11E-03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6.73E-03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6.41E-03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6.13E-03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5.87E-03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5.63E-03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5.43E-03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5.04E-03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4.84E-03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4.57E-03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4.44E-03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最大质量浓度及占标率</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w:t>
            </w:r>
            <w:r>
              <w:rPr>
                <w:rFonts w:hint="eastAsia"/>
                <w:color w:val="auto"/>
                <w:kern w:val="0"/>
                <w:sz w:val="21"/>
                <w:szCs w:val="21"/>
                <w:vertAlign w:val="subscript"/>
              </w:rPr>
              <w:t>10%</w:t>
            </w:r>
            <w:r>
              <w:rPr>
                <w:rFonts w:hint="eastAsia"/>
                <w:color w:val="auto"/>
                <w:kern w:val="0"/>
                <w:sz w:val="21"/>
                <w:szCs w:val="21"/>
              </w:rPr>
              <w:t>最远距离（m）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表6.2-10  废旧滴灌带造粒及滴灌带生产车间无组织废气估算模型计算结果一览表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离源距离（m）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废旧滴灌带造粒及滴灌带生产车间（非甲烷总烃）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continue"/>
            <w:vAlign w:val="center"/>
          </w:tcPr>
          <w:p>
            <w:pPr>
              <w:pStyle w:val="293"/>
              <w:adjustRightInd w:val="0"/>
              <w:snapToGrid w:val="0"/>
              <w:spacing w:before="0" w:after="0"/>
              <w:ind w:left="0" w:right="0"/>
              <w:rPr>
                <w:color w:val="auto"/>
                <w:kern w:val="0"/>
                <w:sz w:val="21"/>
                <w:szCs w:val="21"/>
              </w:rPr>
            </w:pP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预测浓度（mg/m</w:t>
            </w:r>
            <w:r>
              <w:rPr>
                <w:rFonts w:hint="eastAsia"/>
                <w:color w:val="auto"/>
                <w:kern w:val="0"/>
                <w:sz w:val="21"/>
                <w:szCs w:val="21"/>
                <w:vertAlign w:val="superscript"/>
              </w:rPr>
              <w:t>3</w:t>
            </w:r>
            <w:r>
              <w:rPr>
                <w:rFonts w:hint="eastAsia"/>
                <w:color w:val="auto"/>
                <w:kern w:val="0"/>
                <w:sz w:val="21"/>
                <w:szCs w:val="21"/>
              </w:rPr>
              <w:t>）</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9.57E-02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8.91E-02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6.85E-02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5.57E-02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4.16E-02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3.73E-02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3.39E-02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3.11E-02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2.89E-02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2.28E-02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9.85E-03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9.56E-03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9.29E-03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最大质量浓度及占标率</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9.57E-02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w:t>
            </w:r>
            <w:r>
              <w:rPr>
                <w:rFonts w:hint="eastAsia"/>
                <w:color w:val="auto"/>
                <w:kern w:val="0"/>
                <w:sz w:val="21"/>
                <w:szCs w:val="21"/>
                <w:vertAlign w:val="subscript"/>
              </w:rPr>
              <w:t>10%</w:t>
            </w:r>
            <w:r>
              <w:rPr>
                <w:rFonts w:hint="eastAsia"/>
                <w:color w:val="auto"/>
                <w:kern w:val="0"/>
                <w:sz w:val="21"/>
                <w:szCs w:val="21"/>
              </w:rPr>
              <w:t>最远距离（m）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表6.2-11   废旧塑料膜造粒及PE管生产车间无组织废气估算模型计算结果一览表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离源距离（m）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废旧塑料膜造粒及PE管生产车间（非甲烷总烃）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Merge w:val="continue"/>
            <w:vAlign w:val="center"/>
          </w:tcPr>
          <w:p>
            <w:pPr>
              <w:pStyle w:val="293"/>
              <w:adjustRightInd w:val="0"/>
              <w:snapToGrid w:val="0"/>
              <w:spacing w:before="0" w:after="0"/>
              <w:ind w:left="0" w:right="0"/>
              <w:rPr>
                <w:color w:val="auto"/>
                <w:kern w:val="0"/>
                <w:sz w:val="21"/>
                <w:szCs w:val="21"/>
              </w:rPr>
            </w:pP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预测浓度（mg/m</w:t>
            </w:r>
            <w:r>
              <w:rPr>
                <w:rFonts w:hint="eastAsia"/>
                <w:color w:val="auto"/>
                <w:kern w:val="0"/>
                <w:sz w:val="21"/>
                <w:szCs w:val="21"/>
                <w:vertAlign w:val="superscript"/>
              </w:rPr>
              <w:t>3</w:t>
            </w:r>
            <w:r>
              <w:rPr>
                <w:rFonts w:hint="eastAsia"/>
                <w:color w:val="auto"/>
                <w:kern w:val="0"/>
                <w:sz w:val="21"/>
                <w:szCs w:val="21"/>
              </w:rPr>
              <w:t>）</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54</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4.99E-02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5.16E-02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75</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5.15E-02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4.74E-02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3.63E-02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2.96E-02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2.52E-02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350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1.98E-02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450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1.54E-02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1.35E-02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1.01E-02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9.41E-03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8.80E-03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8.28E-03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7.83E-03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7.43E-03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7.08E-03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1600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6.76E-03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1700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6.48E-03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1800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6.22E-03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1900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5.99E-03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2000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5.78E-03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2100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5.59E-03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2200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5.41E-03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2300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5.24E-03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2400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5.09E-03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2500</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4.94E-03</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最大质量浓度及占标率</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5.16E-02</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D</w:t>
            </w:r>
            <w:r>
              <w:rPr>
                <w:rFonts w:hint="eastAsia"/>
                <w:color w:val="auto"/>
                <w:kern w:val="0"/>
                <w:sz w:val="21"/>
                <w:szCs w:val="21"/>
                <w:vertAlign w:val="subscript"/>
              </w:rPr>
              <w:t>10%</w:t>
            </w:r>
            <w:r>
              <w:rPr>
                <w:rFonts w:hint="eastAsia"/>
                <w:color w:val="auto"/>
                <w:kern w:val="0"/>
                <w:sz w:val="21"/>
                <w:szCs w:val="21"/>
              </w:rPr>
              <w:t>最远距离（m）</w:t>
            </w:r>
          </w:p>
        </w:tc>
        <w:tc>
          <w:tcPr>
            <w:tcW w:w="5624"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bl>
    <w:p>
      <w:pPr>
        <w:pStyle w:val="499"/>
        <w:spacing w:line="460" w:lineRule="exact"/>
        <w:ind w:firstLine="480"/>
        <w:rPr>
          <w:kern w:val="28"/>
        </w:rPr>
      </w:pPr>
      <w:r>
        <w:rPr>
          <w:rFonts w:hint="eastAsia" w:ascii="Times New Roman" w:hAnsi="Times New Roman" w:eastAsia="宋体" w:cs="Times New Roman"/>
          <w:kern w:val="28"/>
        </w:rPr>
        <w:t>根据上述各表估算结果可知，项目废旧滴灌带造粒及滴灌带生产</w:t>
      </w:r>
      <w:r>
        <w:rPr>
          <w:rFonts w:ascii="Times New Roman" w:hAnsi="Times New Roman" w:eastAsia="宋体" w:cs="Times New Roman"/>
          <w:kern w:val="28"/>
        </w:rPr>
        <w:t>有组织非甲烷总烃</w:t>
      </w:r>
      <w:r>
        <w:rPr>
          <w:rFonts w:hint="eastAsia" w:ascii="Times New Roman" w:hAnsi="Times New Roman" w:eastAsia="宋体" w:cs="Times New Roman"/>
          <w:kern w:val="28"/>
        </w:rPr>
        <w:t>最大落地浓度为0.0837mg/m</w:t>
      </w:r>
      <w:r>
        <w:rPr>
          <w:rFonts w:hint="eastAsia" w:ascii="Times New Roman" w:hAnsi="Times New Roman" w:eastAsia="宋体" w:cs="Times New Roman"/>
          <w:kern w:val="28"/>
          <w:vertAlign w:val="superscript"/>
        </w:rPr>
        <w:t>3</w:t>
      </w:r>
      <w:r>
        <w:rPr>
          <w:rFonts w:hint="eastAsia" w:ascii="Times New Roman" w:hAnsi="Times New Roman" w:eastAsia="宋体" w:cs="Times New Roman"/>
          <w:kern w:val="28"/>
        </w:rPr>
        <w:t>，位于离源79m处；废旧塑料膜造粒及PE管生产</w:t>
      </w:r>
      <w:r>
        <w:rPr>
          <w:rFonts w:ascii="Times New Roman" w:hAnsi="Times New Roman" w:eastAsia="宋体" w:cs="Times New Roman"/>
          <w:kern w:val="28"/>
        </w:rPr>
        <w:t>有组织</w:t>
      </w:r>
      <w:r>
        <w:rPr>
          <w:rFonts w:hint="eastAsia" w:ascii="Times New Roman" w:hAnsi="Times New Roman" w:eastAsia="宋体" w:cs="Times New Roman"/>
          <w:kern w:val="28"/>
        </w:rPr>
        <w:t>非甲烷总烃最大落地浓度为0.0473mg/m</w:t>
      </w:r>
      <w:r>
        <w:rPr>
          <w:rFonts w:hint="eastAsia" w:ascii="Times New Roman" w:hAnsi="Times New Roman" w:eastAsia="宋体" w:cs="Times New Roman"/>
          <w:kern w:val="28"/>
          <w:vertAlign w:val="superscript"/>
        </w:rPr>
        <w:t>3</w:t>
      </w:r>
      <w:r>
        <w:rPr>
          <w:rFonts w:hint="eastAsia" w:ascii="Times New Roman" w:hAnsi="Times New Roman" w:eastAsia="宋体" w:cs="Times New Roman"/>
          <w:kern w:val="28"/>
        </w:rPr>
        <w:t>，位于离源79m处；废旧滴灌带造粒及滴灌带生产车间</w:t>
      </w:r>
      <w:r>
        <w:rPr>
          <w:rFonts w:ascii="Times New Roman" w:hAnsi="Times New Roman" w:eastAsia="宋体" w:cs="Times New Roman"/>
          <w:kern w:val="28"/>
        </w:rPr>
        <w:t>无组织</w:t>
      </w:r>
      <w:r>
        <w:rPr>
          <w:rFonts w:hint="eastAsia" w:ascii="Times New Roman" w:hAnsi="Times New Roman" w:eastAsia="宋体" w:cs="Times New Roman"/>
          <w:kern w:val="28"/>
        </w:rPr>
        <w:t>非甲烷总烃最大落地浓度为0.0957mg/m</w:t>
      </w:r>
      <w:r>
        <w:rPr>
          <w:rFonts w:hint="eastAsia" w:ascii="Times New Roman" w:hAnsi="Times New Roman" w:eastAsia="宋体" w:cs="Times New Roman"/>
          <w:kern w:val="28"/>
          <w:vertAlign w:val="superscript"/>
        </w:rPr>
        <w:t>3</w:t>
      </w:r>
      <w:r>
        <w:rPr>
          <w:rFonts w:hint="eastAsia" w:ascii="Times New Roman" w:hAnsi="Times New Roman" w:eastAsia="宋体" w:cs="Times New Roman"/>
          <w:kern w:val="28"/>
        </w:rPr>
        <w:t>，位于离源72m处；废旧塑料膜造粒及及PE管生产车间</w:t>
      </w:r>
      <w:r>
        <w:rPr>
          <w:rFonts w:ascii="Times New Roman" w:hAnsi="Times New Roman" w:eastAsia="宋体" w:cs="Times New Roman"/>
          <w:kern w:val="28"/>
        </w:rPr>
        <w:t>无组织非甲烷总烃</w:t>
      </w:r>
      <w:r>
        <w:rPr>
          <w:rFonts w:hint="eastAsia" w:ascii="Times New Roman" w:hAnsi="Times New Roman" w:eastAsia="宋体" w:cs="Times New Roman"/>
          <w:kern w:val="28"/>
        </w:rPr>
        <w:t>最大落地浓度为0.0516mg/m</w:t>
      </w:r>
      <w:r>
        <w:rPr>
          <w:rFonts w:hint="eastAsia" w:ascii="Times New Roman" w:hAnsi="Times New Roman" w:eastAsia="宋体" w:cs="Times New Roman"/>
          <w:kern w:val="28"/>
          <w:vertAlign w:val="superscript"/>
        </w:rPr>
        <w:t>3</w:t>
      </w:r>
      <w:r>
        <w:rPr>
          <w:rFonts w:hint="eastAsia" w:ascii="Times New Roman" w:hAnsi="Times New Roman" w:eastAsia="宋体" w:cs="Times New Roman"/>
          <w:kern w:val="28"/>
        </w:rPr>
        <w:t>，位于离源70m处，根据分析，各污染源估算非甲烷总烃最大落地浓度均远小于《大气污染物综合排放标准详解》中的环境管理推荐限值要求，因此项目运营期对周围环境影响较小。</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3、大气环境防护距离</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根据估算结果显示，项目各污染源估算非甲烷总烃最大落地浓度均远小于《大气污染物综合排放标准详解》中的环境管理推荐限值要求，不需要设置大气环境防护距离。</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4、污染物排放量核算</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项目大气污染物有组织排放量核算详见表6.2-</w:t>
      </w:r>
      <w:r>
        <w:rPr>
          <w:rFonts w:ascii="Times New Roman" w:hAnsi="Times New Roman" w:eastAsia="宋体" w:cs="Times New Roman"/>
          <w:kern w:val="28"/>
        </w:rPr>
        <w:t>1</w:t>
      </w:r>
      <w:r>
        <w:rPr>
          <w:rFonts w:hint="eastAsia" w:ascii="Times New Roman" w:hAnsi="Times New Roman" w:eastAsia="宋体" w:cs="Times New Roman"/>
          <w:kern w:val="28"/>
        </w:rPr>
        <w:t>2，项目大气污染物无组织排放量核算详见表6.2</w:t>
      </w:r>
      <w:r>
        <w:rPr>
          <w:rFonts w:ascii="Times New Roman" w:hAnsi="Times New Roman" w:eastAsia="宋体" w:cs="Times New Roman"/>
          <w:kern w:val="28"/>
        </w:rPr>
        <w:t>-1</w:t>
      </w:r>
      <w:r>
        <w:rPr>
          <w:rFonts w:hint="eastAsia" w:ascii="Times New Roman" w:hAnsi="Times New Roman" w:eastAsia="宋体" w:cs="Times New Roman"/>
          <w:kern w:val="28"/>
        </w:rPr>
        <w:t>3，项目大气污染物年排放量核算详见表6.2</w:t>
      </w:r>
      <w:r>
        <w:rPr>
          <w:rFonts w:ascii="Times New Roman" w:hAnsi="Times New Roman" w:eastAsia="宋体" w:cs="Times New Roman"/>
          <w:kern w:val="28"/>
        </w:rPr>
        <w:t>-1</w:t>
      </w:r>
      <w:r>
        <w:rPr>
          <w:rFonts w:hint="eastAsia" w:ascii="Times New Roman" w:hAnsi="Times New Roman" w:eastAsia="宋体" w:cs="Times New Roman"/>
          <w:kern w:val="28"/>
        </w:rPr>
        <w:t>4，非正常排放量核算详见表6.2-15。</w:t>
      </w:r>
    </w:p>
    <w:p>
      <w:pPr>
        <w:pStyle w:val="632"/>
        <w:spacing w:line="240" w:lineRule="auto"/>
        <w:ind w:firstLine="420"/>
        <w:rPr>
          <w:rFonts w:eastAsia="黑体"/>
        </w:rPr>
      </w:pPr>
      <w:r>
        <w:rPr>
          <w:rFonts w:hint="eastAsia" w:eastAsia="黑体"/>
        </w:rPr>
        <w:t>表6.2-</w:t>
      </w:r>
      <w:r>
        <w:rPr>
          <w:rFonts w:eastAsia="黑体"/>
        </w:rPr>
        <w:t>1</w:t>
      </w:r>
      <w:r>
        <w:rPr>
          <w:rFonts w:hint="eastAsia" w:eastAsia="黑体"/>
        </w:rPr>
        <w:t>2               大气污染物有组织排放量核算表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5"/>
        <w:gridCol w:w="1418"/>
        <w:gridCol w:w="1984"/>
        <w:gridCol w:w="1701"/>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序号</w:t>
            </w:r>
          </w:p>
        </w:tc>
        <w:tc>
          <w:tcPr>
            <w:tcW w:w="127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排放口编号</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w:t>
            </w:r>
          </w:p>
        </w:tc>
        <w:tc>
          <w:tcPr>
            <w:tcW w:w="198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核算排放浓度（mg/m</w:t>
            </w:r>
            <w:r>
              <w:rPr>
                <w:rFonts w:hint="eastAsia"/>
                <w:color w:val="auto"/>
                <w:kern w:val="0"/>
                <w:sz w:val="21"/>
                <w:szCs w:val="21"/>
                <w:vertAlign w:val="superscript"/>
              </w:rPr>
              <w:t>3</w:t>
            </w:r>
            <w:r>
              <w:rPr>
                <w:rFonts w:hint="eastAsia"/>
                <w:color w:val="auto"/>
                <w:kern w:val="0"/>
                <w:sz w:val="21"/>
                <w:szCs w:val="21"/>
              </w:rPr>
              <w:t>）</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核算排放速率（kg/h）</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6"/>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127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198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1701"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gridSpan w:val="2"/>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主要排放口合计</w:t>
            </w:r>
          </w:p>
        </w:tc>
        <w:tc>
          <w:tcPr>
            <w:tcW w:w="5103"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SO</w:t>
            </w:r>
            <w:r>
              <w:rPr>
                <w:rFonts w:hint="eastAsia"/>
                <w:color w:val="auto"/>
                <w:kern w:val="0"/>
                <w:sz w:val="21"/>
                <w:szCs w:val="21"/>
                <w:vertAlign w:val="subscript"/>
              </w:rPr>
              <w:t>2</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gridSpan w:val="2"/>
            <w:vMerge w:val="continue"/>
            <w:vAlign w:val="center"/>
          </w:tcPr>
          <w:p>
            <w:pPr>
              <w:pStyle w:val="293"/>
              <w:adjustRightInd w:val="0"/>
              <w:snapToGrid w:val="0"/>
              <w:spacing w:before="0" w:after="0"/>
              <w:ind w:left="0" w:right="0"/>
              <w:rPr>
                <w:color w:val="auto"/>
                <w:kern w:val="0"/>
                <w:sz w:val="21"/>
                <w:szCs w:val="21"/>
              </w:rPr>
            </w:pPr>
          </w:p>
        </w:tc>
        <w:tc>
          <w:tcPr>
            <w:tcW w:w="5103"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NOx</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gridSpan w:val="2"/>
            <w:vMerge w:val="continue"/>
            <w:vAlign w:val="center"/>
          </w:tcPr>
          <w:p>
            <w:pPr>
              <w:pStyle w:val="293"/>
              <w:adjustRightInd w:val="0"/>
              <w:snapToGrid w:val="0"/>
              <w:spacing w:before="0" w:after="0"/>
              <w:ind w:left="0" w:right="0"/>
              <w:rPr>
                <w:color w:val="auto"/>
                <w:kern w:val="0"/>
                <w:sz w:val="21"/>
                <w:szCs w:val="21"/>
              </w:rPr>
            </w:pPr>
          </w:p>
        </w:tc>
        <w:tc>
          <w:tcPr>
            <w:tcW w:w="5103"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颗粒物</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gridSpan w:val="2"/>
            <w:vMerge w:val="continue"/>
            <w:vAlign w:val="center"/>
          </w:tcPr>
          <w:p>
            <w:pPr>
              <w:pStyle w:val="293"/>
              <w:adjustRightInd w:val="0"/>
              <w:snapToGrid w:val="0"/>
              <w:spacing w:before="0" w:after="0"/>
              <w:ind w:left="0" w:right="0"/>
              <w:rPr>
                <w:color w:val="auto"/>
                <w:kern w:val="0"/>
                <w:sz w:val="21"/>
                <w:szCs w:val="21"/>
              </w:rPr>
            </w:pPr>
          </w:p>
        </w:tc>
        <w:tc>
          <w:tcPr>
            <w:tcW w:w="5103"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VOCs</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6"/>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w:t>
            </w:r>
          </w:p>
        </w:tc>
        <w:tc>
          <w:tcPr>
            <w:tcW w:w="1275" w:type="dxa"/>
            <w:vAlign w:val="center"/>
          </w:tcPr>
          <w:p>
            <w:pPr>
              <w:pStyle w:val="293"/>
              <w:adjustRightInd w:val="0"/>
              <w:snapToGrid w:val="0"/>
              <w:spacing w:before="0" w:after="0"/>
              <w:ind w:left="0" w:right="0"/>
              <w:rPr>
                <w:color w:val="auto"/>
                <w:kern w:val="0"/>
                <w:sz w:val="21"/>
                <w:szCs w:val="21"/>
              </w:rPr>
            </w:pPr>
            <w:r>
              <w:rPr>
                <w:color w:val="auto"/>
                <w:kern w:val="0"/>
                <w:sz w:val="21"/>
                <w:szCs w:val="21"/>
              </w:rPr>
              <w:t>DA001</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1984" w:type="dxa"/>
            <w:vAlign w:val="center"/>
          </w:tcPr>
          <w:p>
            <w:pPr>
              <w:jc w:val="center"/>
              <w:rPr>
                <w:bCs/>
                <w:kern w:val="0"/>
                <w:sz w:val="21"/>
                <w:szCs w:val="21"/>
              </w:rPr>
            </w:pPr>
            <w:r>
              <w:rPr>
                <w:rFonts w:hint="eastAsia"/>
                <w:bCs/>
                <w:kern w:val="0"/>
                <w:sz w:val="21"/>
                <w:szCs w:val="21"/>
              </w:rPr>
              <w:t>4.38</w:t>
            </w:r>
          </w:p>
        </w:tc>
        <w:tc>
          <w:tcPr>
            <w:tcW w:w="1701" w:type="dxa"/>
            <w:vAlign w:val="center"/>
          </w:tcPr>
          <w:p>
            <w:pPr>
              <w:jc w:val="center"/>
              <w:rPr>
                <w:bCs/>
                <w:kern w:val="0"/>
                <w:sz w:val="21"/>
                <w:szCs w:val="21"/>
              </w:rPr>
            </w:pPr>
            <w:r>
              <w:rPr>
                <w:rFonts w:hint="eastAsia"/>
                <w:bCs/>
                <w:kern w:val="0"/>
                <w:sz w:val="21"/>
                <w:szCs w:val="21"/>
              </w:rPr>
              <w:t>0.23</w:t>
            </w:r>
          </w:p>
        </w:tc>
        <w:tc>
          <w:tcPr>
            <w:tcW w:w="1524" w:type="dxa"/>
            <w:vAlign w:val="center"/>
          </w:tcPr>
          <w:p>
            <w:pPr>
              <w:jc w:val="center"/>
              <w:rPr>
                <w:bCs/>
                <w:kern w:val="0"/>
                <w:sz w:val="21"/>
                <w:szCs w:val="21"/>
              </w:rPr>
            </w:pPr>
            <w:r>
              <w:rPr>
                <w:rFonts w:hint="eastAsia"/>
                <w:bCs/>
                <w:kern w:val="0"/>
                <w:sz w:val="21"/>
                <w:szCs w:val="21"/>
              </w:rPr>
              <w: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w:t>
            </w:r>
          </w:p>
        </w:tc>
        <w:tc>
          <w:tcPr>
            <w:tcW w:w="1275" w:type="dxa"/>
            <w:vAlign w:val="center"/>
          </w:tcPr>
          <w:p>
            <w:pPr>
              <w:pStyle w:val="293"/>
              <w:adjustRightInd w:val="0"/>
              <w:snapToGrid w:val="0"/>
              <w:spacing w:before="0" w:after="0"/>
              <w:ind w:left="0" w:right="0"/>
              <w:rPr>
                <w:color w:val="auto"/>
                <w:kern w:val="0"/>
                <w:sz w:val="21"/>
                <w:szCs w:val="21"/>
              </w:rPr>
            </w:pPr>
            <w:r>
              <w:rPr>
                <w:color w:val="auto"/>
                <w:kern w:val="0"/>
                <w:sz w:val="21"/>
                <w:szCs w:val="21"/>
              </w:rPr>
              <w:t>DA00</w:t>
            </w:r>
            <w:r>
              <w:rPr>
                <w:rFonts w:hint="eastAsia"/>
                <w:color w:val="auto"/>
                <w:kern w:val="0"/>
                <w:sz w:val="21"/>
                <w:szCs w:val="21"/>
              </w:rPr>
              <w:t>2</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1984" w:type="dxa"/>
            <w:vAlign w:val="center"/>
          </w:tcPr>
          <w:p>
            <w:pPr>
              <w:jc w:val="center"/>
              <w:rPr>
                <w:bCs/>
                <w:kern w:val="0"/>
                <w:sz w:val="21"/>
                <w:szCs w:val="21"/>
              </w:rPr>
            </w:pPr>
            <w:r>
              <w:rPr>
                <w:rFonts w:hint="eastAsia"/>
                <w:bCs/>
                <w:kern w:val="0"/>
                <w:sz w:val="21"/>
                <w:szCs w:val="21"/>
              </w:rPr>
              <w:t>4.13</w:t>
            </w:r>
          </w:p>
        </w:tc>
        <w:tc>
          <w:tcPr>
            <w:tcW w:w="1701" w:type="dxa"/>
            <w:vAlign w:val="center"/>
          </w:tcPr>
          <w:p>
            <w:pPr>
              <w:jc w:val="center"/>
              <w:rPr>
                <w:bCs/>
                <w:kern w:val="0"/>
                <w:sz w:val="21"/>
                <w:szCs w:val="21"/>
              </w:rPr>
            </w:pPr>
            <w:r>
              <w:rPr>
                <w:rFonts w:hint="eastAsia"/>
                <w:bCs/>
                <w:kern w:val="0"/>
                <w:sz w:val="21"/>
                <w:szCs w:val="21"/>
              </w:rPr>
              <w:t>0.13</w:t>
            </w:r>
          </w:p>
        </w:tc>
        <w:tc>
          <w:tcPr>
            <w:tcW w:w="1524" w:type="dxa"/>
            <w:vAlign w:val="center"/>
          </w:tcPr>
          <w:p>
            <w:pPr>
              <w:jc w:val="center"/>
              <w:rPr>
                <w:bCs/>
                <w:kern w:val="0"/>
                <w:sz w:val="21"/>
                <w:szCs w:val="21"/>
              </w:rPr>
            </w:pPr>
            <w:r>
              <w:rPr>
                <w:rFonts w:hint="eastAsia"/>
                <w:bCs/>
                <w:kern w:val="0"/>
                <w:sz w:val="21"/>
                <w:szCs w:val="2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一般排放口合计</w:t>
            </w:r>
          </w:p>
        </w:tc>
        <w:tc>
          <w:tcPr>
            <w:tcW w:w="5103"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VOCs</w:t>
            </w:r>
          </w:p>
        </w:tc>
        <w:tc>
          <w:tcPr>
            <w:tcW w:w="152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6"/>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注</w:t>
            </w:r>
            <w:r>
              <w:rPr>
                <w:color w:val="auto"/>
                <w:kern w:val="0"/>
                <w:sz w:val="21"/>
                <w:szCs w:val="21"/>
              </w:rPr>
              <w:t>1</w:t>
            </w:r>
            <w:r>
              <w:rPr>
                <w:rFonts w:hint="eastAsia"/>
                <w:color w:val="auto"/>
                <w:kern w:val="0"/>
                <w:sz w:val="21"/>
                <w:szCs w:val="21"/>
              </w:rPr>
              <w:t>：本项目不涉及《排污许可证申请与核发技术规范 总则》（</w:t>
            </w:r>
            <w:r>
              <w:rPr>
                <w:color w:val="auto"/>
                <w:kern w:val="0"/>
                <w:sz w:val="21"/>
                <w:szCs w:val="21"/>
              </w:rPr>
              <w:t>HJ942-2018</w:t>
            </w:r>
            <w:r>
              <w:rPr>
                <w:rFonts w:hint="eastAsia"/>
                <w:color w:val="auto"/>
                <w:kern w:val="0"/>
                <w:sz w:val="21"/>
                <w:szCs w:val="21"/>
              </w:rPr>
              <w:t>）中规定的主要排放口。</w:t>
            </w:r>
          </w:p>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注</w:t>
            </w:r>
            <w:r>
              <w:rPr>
                <w:color w:val="auto"/>
                <w:kern w:val="0"/>
                <w:sz w:val="21"/>
                <w:szCs w:val="21"/>
              </w:rPr>
              <w:t>2</w:t>
            </w:r>
            <w:r>
              <w:rPr>
                <w:rFonts w:hint="eastAsia"/>
                <w:color w:val="auto"/>
                <w:kern w:val="0"/>
                <w:sz w:val="21"/>
                <w:szCs w:val="21"/>
              </w:rPr>
              <w:t>：本项目排放因子为非甲烷总烃，以</w:t>
            </w:r>
            <w:r>
              <w:rPr>
                <w:color w:val="auto"/>
                <w:kern w:val="0"/>
                <w:sz w:val="21"/>
                <w:szCs w:val="21"/>
              </w:rPr>
              <w:t>VOCs</w:t>
            </w:r>
            <w:r>
              <w:rPr>
                <w:rFonts w:hint="eastAsia"/>
                <w:color w:val="auto"/>
                <w:kern w:val="0"/>
                <w:sz w:val="21"/>
                <w:szCs w:val="21"/>
              </w:rPr>
              <w:t>形式核算总量。</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w:t>
      </w:r>
      <w:r>
        <w:rPr>
          <w:rFonts w:eastAsia="黑体"/>
        </w:rPr>
        <w:t>1</w:t>
      </w:r>
      <w:r>
        <w:rPr>
          <w:rFonts w:hint="eastAsia" w:eastAsia="黑体"/>
        </w:rPr>
        <w:t>3             大气污染物无组织排放量核算表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997"/>
        <w:gridCol w:w="1134"/>
        <w:gridCol w:w="850"/>
        <w:gridCol w:w="993"/>
        <w:gridCol w:w="1842"/>
        <w:gridCol w:w="1134"/>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序号</w:t>
            </w:r>
          </w:p>
        </w:tc>
        <w:tc>
          <w:tcPr>
            <w:tcW w:w="997"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排放口编号</w:t>
            </w:r>
          </w:p>
        </w:tc>
        <w:tc>
          <w:tcPr>
            <w:tcW w:w="1134"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产污环节</w:t>
            </w:r>
          </w:p>
        </w:tc>
        <w:tc>
          <w:tcPr>
            <w:tcW w:w="850"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w:t>
            </w:r>
          </w:p>
        </w:tc>
        <w:tc>
          <w:tcPr>
            <w:tcW w:w="993"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主要防治措施</w:t>
            </w:r>
          </w:p>
        </w:tc>
        <w:tc>
          <w:tcPr>
            <w:tcW w:w="2976" w:type="dxa"/>
            <w:gridSpan w:val="2"/>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国家或地方污染物排放标准</w:t>
            </w:r>
          </w:p>
        </w:tc>
        <w:tc>
          <w:tcPr>
            <w:tcW w:w="957"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pPr>
              <w:pStyle w:val="293"/>
              <w:adjustRightInd w:val="0"/>
              <w:snapToGrid w:val="0"/>
              <w:spacing w:before="0" w:after="0"/>
              <w:ind w:left="0" w:right="0"/>
              <w:rPr>
                <w:color w:val="auto"/>
                <w:kern w:val="0"/>
                <w:sz w:val="21"/>
                <w:szCs w:val="21"/>
              </w:rPr>
            </w:pPr>
          </w:p>
        </w:tc>
        <w:tc>
          <w:tcPr>
            <w:tcW w:w="997" w:type="dxa"/>
            <w:vMerge w:val="continue"/>
            <w:vAlign w:val="center"/>
          </w:tcPr>
          <w:p>
            <w:pPr>
              <w:pStyle w:val="293"/>
              <w:adjustRightInd w:val="0"/>
              <w:snapToGrid w:val="0"/>
              <w:spacing w:before="0" w:after="0"/>
              <w:ind w:left="0" w:right="0"/>
              <w:rPr>
                <w:color w:val="auto"/>
                <w:kern w:val="0"/>
                <w:sz w:val="21"/>
                <w:szCs w:val="21"/>
              </w:rPr>
            </w:pPr>
          </w:p>
        </w:tc>
        <w:tc>
          <w:tcPr>
            <w:tcW w:w="1134" w:type="dxa"/>
            <w:vMerge w:val="continue"/>
            <w:vAlign w:val="center"/>
          </w:tcPr>
          <w:p>
            <w:pPr>
              <w:pStyle w:val="293"/>
              <w:adjustRightInd w:val="0"/>
              <w:snapToGrid w:val="0"/>
              <w:spacing w:before="0" w:after="0"/>
              <w:ind w:left="0" w:right="0"/>
              <w:rPr>
                <w:color w:val="auto"/>
                <w:kern w:val="0"/>
                <w:sz w:val="21"/>
                <w:szCs w:val="21"/>
              </w:rPr>
            </w:pPr>
          </w:p>
        </w:tc>
        <w:tc>
          <w:tcPr>
            <w:tcW w:w="850" w:type="dxa"/>
            <w:vMerge w:val="continue"/>
            <w:vAlign w:val="center"/>
          </w:tcPr>
          <w:p>
            <w:pPr>
              <w:pStyle w:val="293"/>
              <w:adjustRightInd w:val="0"/>
              <w:snapToGrid w:val="0"/>
              <w:spacing w:before="0" w:after="0"/>
              <w:ind w:left="0" w:right="0"/>
              <w:rPr>
                <w:color w:val="auto"/>
                <w:kern w:val="0"/>
                <w:sz w:val="21"/>
                <w:szCs w:val="21"/>
              </w:rPr>
            </w:pPr>
          </w:p>
        </w:tc>
        <w:tc>
          <w:tcPr>
            <w:tcW w:w="993" w:type="dxa"/>
            <w:vMerge w:val="continue"/>
            <w:vAlign w:val="center"/>
          </w:tcPr>
          <w:p>
            <w:pPr>
              <w:pStyle w:val="293"/>
              <w:adjustRightInd w:val="0"/>
              <w:snapToGrid w:val="0"/>
              <w:spacing w:before="0" w:after="0"/>
              <w:ind w:left="0" w:right="0"/>
              <w:rPr>
                <w:color w:val="auto"/>
                <w:kern w:val="0"/>
                <w:sz w:val="21"/>
                <w:szCs w:val="21"/>
              </w:rPr>
            </w:pPr>
          </w:p>
        </w:tc>
        <w:tc>
          <w:tcPr>
            <w:tcW w:w="184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标准名称</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浓度限值（mg/m</w:t>
            </w:r>
            <w:r>
              <w:rPr>
                <w:rFonts w:hint="eastAsia"/>
                <w:color w:val="auto"/>
                <w:kern w:val="0"/>
                <w:sz w:val="21"/>
                <w:szCs w:val="21"/>
                <w:vertAlign w:val="superscript"/>
              </w:rPr>
              <w:t>3</w:t>
            </w:r>
            <w:r>
              <w:rPr>
                <w:rFonts w:hint="eastAsia"/>
                <w:color w:val="auto"/>
                <w:kern w:val="0"/>
                <w:sz w:val="21"/>
                <w:szCs w:val="21"/>
              </w:rPr>
              <w:t>）</w:t>
            </w:r>
          </w:p>
        </w:tc>
        <w:tc>
          <w:tcPr>
            <w:tcW w:w="957" w:type="dxa"/>
            <w:vMerge w:val="continue"/>
            <w:vAlign w:val="center"/>
          </w:tcPr>
          <w:p>
            <w:pPr>
              <w:pStyle w:val="293"/>
              <w:adjustRightInd w:val="0"/>
              <w:snapToGrid w:val="0"/>
              <w:spacing w:before="0" w:after="0"/>
              <w:ind w:left="0" w:right="0"/>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w:t>
            </w:r>
          </w:p>
        </w:tc>
        <w:tc>
          <w:tcPr>
            <w:tcW w:w="99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废旧滴灌带造粒及滴灌带生产车间</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废旧滴灌带造粒、滴灌带生产</w:t>
            </w:r>
          </w:p>
        </w:tc>
        <w:tc>
          <w:tcPr>
            <w:tcW w:w="850"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993"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集气罩、加强车间通风</w:t>
            </w:r>
          </w:p>
        </w:tc>
        <w:tc>
          <w:tcPr>
            <w:tcW w:w="1842" w:type="dxa"/>
            <w:vAlign w:val="center"/>
          </w:tcPr>
          <w:p>
            <w:pPr>
              <w:pStyle w:val="547"/>
              <w:jc w:val="center"/>
              <w:rPr>
                <w:color w:val="auto"/>
                <w:szCs w:val="21"/>
              </w:rPr>
            </w:pPr>
            <w:r>
              <w:rPr>
                <w:rFonts w:hint="eastAsia"/>
                <w:color w:val="auto"/>
                <w:sz w:val="21"/>
                <w:szCs w:val="21"/>
              </w:rPr>
              <w:t>《合成树脂工业污染物排放标准》（</w:t>
            </w:r>
            <w:r>
              <w:rPr>
                <w:rFonts w:ascii="Times New Roman" w:cs="Times New Roman"/>
                <w:color w:val="auto"/>
                <w:sz w:val="21"/>
                <w:szCs w:val="21"/>
              </w:rPr>
              <w:t>GB31572-2015</w:t>
            </w:r>
            <w:r>
              <w:rPr>
                <w:rFonts w:hint="eastAsia"/>
                <w:color w:val="auto"/>
                <w:sz w:val="21"/>
                <w:szCs w:val="21"/>
              </w:rPr>
              <w:t>）表</w:t>
            </w:r>
            <w:r>
              <w:rPr>
                <w:rFonts w:ascii="Times New Roman" w:cs="Times New Roman"/>
                <w:color w:val="auto"/>
                <w:sz w:val="21"/>
                <w:szCs w:val="21"/>
              </w:rPr>
              <w:t>9</w:t>
            </w:r>
            <w:r>
              <w:rPr>
                <w:rFonts w:hint="eastAsia"/>
                <w:color w:val="auto"/>
                <w:sz w:val="21"/>
                <w:szCs w:val="21"/>
              </w:rPr>
              <w:t>中标准要求</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w:t>
            </w:r>
          </w:p>
        </w:tc>
        <w:tc>
          <w:tcPr>
            <w:tcW w:w="95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w:t>
            </w:r>
          </w:p>
        </w:tc>
        <w:tc>
          <w:tcPr>
            <w:tcW w:w="99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废旧塑料膜造粒及PE管生产车间</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废旧塑料膜造粒、PE管挤出成型</w:t>
            </w:r>
          </w:p>
        </w:tc>
        <w:tc>
          <w:tcPr>
            <w:tcW w:w="850"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非甲烷总烃</w:t>
            </w:r>
          </w:p>
        </w:tc>
        <w:tc>
          <w:tcPr>
            <w:tcW w:w="993"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集气罩、加强车间通风</w:t>
            </w:r>
          </w:p>
        </w:tc>
        <w:tc>
          <w:tcPr>
            <w:tcW w:w="1842" w:type="dxa"/>
            <w:vAlign w:val="center"/>
          </w:tcPr>
          <w:p>
            <w:pPr>
              <w:pStyle w:val="547"/>
              <w:jc w:val="center"/>
              <w:rPr>
                <w:rFonts w:ascii="Times New Roman" w:cs="Times New Roman"/>
                <w:color w:val="auto"/>
                <w:sz w:val="21"/>
                <w:szCs w:val="21"/>
              </w:rPr>
            </w:pPr>
            <w:r>
              <w:rPr>
                <w:rFonts w:ascii="Times New Roman" w:cs="Times New Roman"/>
                <w:color w:val="auto"/>
                <w:sz w:val="21"/>
                <w:szCs w:val="21"/>
              </w:rPr>
              <w:t>《合成树脂工业污染物排放标准》（GB31572-2015）表9中标准要求</w:t>
            </w:r>
          </w:p>
        </w:tc>
        <w:tc>
          <w:tcPr>
            <w:tcW w:w="113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4.0</w:t>
            </w:r>
          </w:p>
        </w:tc>
        <w:tc>
          <w:tcPr>
            <w:tcW w:w="95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8"/>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0" w:type="dxa"/>
            <w:gridSpan w:val="4"/>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无组织排放总计</w:t>
            </w:r>
          </w:p>
        </w:tc>
        <w:tc>
          <w:tcPr>
            <w:tcW w:w="3969" w:type="dxa"/>
            <w:gridSpan w:val="3"/>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VOCs</w:t>
            </w:r>
          </w:p>
        </w:tc>
        <w:tc>
          <w:tcPr>
            <w:tcW w:w="95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8"/>
            <w:vAlign w:val="center"/>
          </w:tcPr>
          <w:p>
            <w:pPr>
              <w:pStyle w:val="293"/>
              <w:adjustRightInd w:val="0"/>
              <w:snapToGrid w:val="0"/>
              <w:spacing w:before="0" w:after="0"/>
              <w:ind w:left="0" w:right="0"/>
              <w:jc w:val="left"/>
              <w:rPr>
                <w:color w:val="auto"/>
                <w:kern w:val="0"/>
                <w:sz w:val="21"/>
                <w:szCs w:val="21"/>
              </w:rPr>
            </w:pPr>
            <w:r>
              <w:rPr>
                <w:rFonts w:hint="eastAsia"/>
                <w:color w:val="auto"/>
                <w:kern w:val="0"/>
                <w:sz w:val="21"/>
                <w:szCs w:val="21"/>
              </w:rPr>
              <w:t>注1：本项目排放因子为非甲烷总烃，以VOCs形式核算总量。</w:t>
            </w:r>
          </w:p>
        </w:tc>
      </w:tr>
    </w:tbl>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w:t>
      </w:r>
      <w:r>
        <w:rPr>
          <w:rFonts w:eastAsia="黑体"/>
        </w:rPr>
        <w:t>1</w:t>
      </w:r>
      <w:r>
        <w:rPr>
          <w:rFonts w:hint="eastAsia" w:eastAsia="黑体"/>
        </w:rPr>
        <w:t>4                大气污染物年排放量核算表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序号</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VOCs</w:t>
            </w:r>
          </w:p>
        </w:tc>
        <w:tc>
          <w:tcPr>
            <w:tcW w:w="281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2.69</w:t>
            </w:r>
          </w:p>
        </w:tc>
      </w:tr>
    </w:tbl>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表6.2-</w:t>
      </w:r>
      <w:r>
        <w:rPr>
          <w:rFonts w:eastAsia="黑体"/>
        </w:rPr>
        <w:t>1</w:t>
      </w:r>
      <w:r>
        <w:rPr>
          <w:rFonts w:hint="eastAsia" w:eastAsia="黑体"/>
        </w:rPr>
        <w:t>5              大气污染物非正常排放量核算表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208"/>
        <w:gridCol w:w="1275"/>
        <w:gridCol w:w="1232"/>
        <w:gridCol w:w="1010"/>
        <w:gridCol w:w="910"/>
        <w:gridCol w:w="922"/>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污染源</w:t>
            </w:r>
          </w:p>
        </w:tc>
        <w:tc>
          <w:tcPr>
            <w:tcW w:w="120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非正常排放原因</w:t>
            </w:r>
          </w:p>
        </w:tc>
        <w:tc>
          <w:tcPr>
            <w:tcW w:w="1275"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污染物</w:t>
            </w:r>
          </w:p>
        </w:tc>
        <w:tc>
          <w:tcPr>
            <w:tcW w:w="123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非正常排放浓度（mg/m3）</w:t>
            </w:r>
          </w:p>
        </w:tc>
        <w:tc>
          <w:tcPr>
            <w:tcW w:w="1010"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非正常排放速率（kg/h）</w:t>
            </w:r>
          </w:p>
        </w:tc>
        <w:tc>
          <w:tcPr>
            <w:tcW w:w="910"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单词持续时间（h）</w:t>
            </w:r>
          </w:p>
        </w:tc>
        <w:tc>
          <w:tcPr>
            <w:tcW w:w="92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年发生频次（次）</w:t>
            </w:r>
          </w:p>
        </w:tc>
        <w:tc>
          <w:tcPr>
            <w:tcW w:w="874"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Align w:val="center"/>
          </w:tcPr>
          <w:p>
            <w:pPr>
              <w:jc w:val="center"/>
              <w:rPr>
                <w:rFonts w:eastAsiaTheme="minorEastAsia"/>
                <w:kern w:val="0"/>
                <w:sz w:val="21"/>
                <w:szCs w:val="21"/>
              </w:rPr>
            </w:pPr>
            <w:r>
              <w:rPr>
                <w:rFonts w:eastAsiaTheme="minorEastAsia"/>
                <w:kern w:val="0"/>
                <w:sz w:val="21"/>
                <w:szCs w:val="21"/>
              </w:rPr>
              <w:t>DA001</w:t>
            </w:r>
          </w:p>
        </w:tc>
        <w:tc>
          <w:tcPr>
            <w:tcW w:w="1208" w:type="dxa"/>
            <w:vAlign w:val="center"/>
          </w:tcPr>
          <w:p>
            <w:pPr>
              <w:jc w:val="center"/>
              <w:rPr>
                <w:rFonts w:eastAsiaTheme="minorEastAsia"/>
                <w:kern w:val="0"/>
                <w:sz w:val="21"/>
                <w:szCs w:val="21"/>
              </w:rPr>
            </w:pPr>
            <w:r>
              <w:rPr>
                <w:rFonts w:eastAsiaTheme="minorEastAsia"/>
                <w:kern w:val="0"/>
                <w:sz w:val="21"/>
                <w:szCs w:val="21"/>
              </w:rPr>
              <w:t>处置措施故障</w:t>
            </w:r>
          </w:p>
        </w:tc>
        <w:tc>
          <w:tcPr>
            <w:tcW w:w="1275" w:type="dxa"/>
            <w:vAlign w:val="center"/>
          </w:tcPr>
          <w:p>
            <w:pPr>
              <w:jc w:val="center"/>
              <w:rPr>
                <w:rFonts w:eastAsiaTheme="minorEastAsia"/>
                <w:kern w:val="0"/>
                <w:sz w:val="21"/>
                <w:szCs w:val="21"/>
              </w:rPr>
            </w:pPr>
            <w:r>
              <w:rPr>
                <w:rFonts w:hint="eastAsia" w:eastAsiaTheme="minorEastAsia"/>
                <w:kern w:val="0"/>
                <w:sz w:val="21"/>
                <w:szCs w:val="21"/>
              </w:rPr>
              <w:t>非甲烷总烃</w:t>
            </w:r>
          </w:p>
        </w:tc>
        <w:tc>
          <w:tcPr>
            <w:tcW w:w="1232" w:type="dxa"/>
            <w:vAlign w:val="center"/>
          </w:tcPr>
          <w:p>
            <w:pPr>
              <w:jc w:val="center"/>
              <w:rPr>
                <w:rFonts w:eastAsiaTheme="minorEastAsia"/>
                <w:kern w:val="0"/>
                <w:sz w:val="21"/>
                <w:szCs w:val="21"/>
              </w:rPr>
            </w:pPr>
            <w:r>
              <w:rPr>
                <w:rFonts w:hint="eastAsia" w:eastAsiaTheme="minorEastAsia"/>
                <w:kern w:val="0"/>
                <w:sz w:val="21"/>
                <w:szCs w:val="21"/>
              </w:rPr>
              <w:t>30.46</w:t>
            </w:r>
          </w:p>
        </w:tc>
        <w:tc>
          <w:tcPr>
            <w:tcW w:w="1010" w:type="dxa"/>
            <w:vAlign w:val="center"/>
          </w:tcPr>
          <w:p>
            <w:pPr>
              <w:jc w:val="center"/>
              <w:rPr>
                <w:rFonts w:eastAsiaTheme="minorEastAsia"/>
                <w:kern w:val="0"/>
                <w:sz w:val="21"/>
                <w:szCs w:val="21"/>
              </w:rPr>
            </w:pPr>
            <w:r>
              <w:rPr>
                <w:rFonts w:hint="eastAsia" w:eastAsiaTheme="minorEastAsia"/>
                <w:kern w:val="0"/>
                <w:sz w:val="21"/>
                <w:szCs w:val="21"/>
              </w:rPr>
              <w:t>0.91</w:t>
            </w:r>
          </w:p>
        </w:tc>
        <w:tc>
          <w:tcPr>
            <w:tcW w:w="910" w:type="dxa"/>
            <w:vAlign w:val="center"/>
          </w:tcPr>
          <w:p>
            <w:pPr>
              <w:jc w:val="center"/>
              <w:rPr>
                <w:rFonts w:eastAsiaTheme="minorEastAsia"/>
                <w:kern w:val="0"/>
                <w:sz w:val="21"/>
                <w:szCs w:val="21"/>
              </w:rPr>
            </w:pPr>
            <w:r>
              <w:rPr>
                <w:rFonts w:eastAsiaTheme="minorEastAsia"/>
                <w:kern w:val="0"/>
                <w:sz w:val="21"/>
                <w:szCs w:val="21"/>
              </w:rPr>
              <w:t>0.25</w:t>
            </w:r>
          </w:p>
        </w:tc>
        <w:tc>
          <w:tcPr>
            <w:tcW w:w="922" w:type="dxa"/>
            <w:vAlign w:val="center"/>
          </w:tcPr>
          <w:p>
            <w:pPr>
              <w:jc w:val="center"/>
              <w:rPr>
                <w:rFonts w:eastAsiaTheme="minorEastAsia"/>
                <w:kern w:val="0"/>
                <w:sz w:val="21"/>
                <w:szCs w:val="21"/>
                <w:vertAlign w:val="superscript"/>
              </w:rPr>
            </w:pPr>
            <w:r>
              <w:rPr>
                <w:rFonts w:eastAsiaTheme="minorEastAsia"/>
                <w:kern w:val="0"/>
                <w:sz w:val="21"/>
                <w:szCs w:val="21"/>
              </w:rPr>
              <w:t>10</w:t>
            </w:r>
            <w:r>
              <w:rPr>
                <w:rFonts w:eastAsiaTheme="minorEastAsia"/>
                <w:kern w:val="0"/>
                <w:sz w:val="21"/>
                <w:szCs w:val="21"/>
                <w:vertAlign w:val="superscript"/>
              </w:rPr>
              <w:t>-4</w:t>
            </w:r>
          </w:p>
        </w:tc>
        <w:tc>
          <w:tcPr>
            <w:tcW w:w="874" w:type="dxa"/>
            <w:vMerge w:val="restart"/>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及时停车，对故障部位进行维修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Align w:val="center"/>
          </w:tcPr>
          <w:p>
            <w:pPr>
              <w:jc w:val="center"/>
              <w:rPr>
                <w:rFonts w:eastAsiaTheme="minorEastAsia"/>
                <w:kern w:val="0"/>
                <w:sz w:val="21"/>
                <w:szCs w:val="21"/>
              </w:rPr>
            </w:pPr>
            <w:r>
              <w:rPr>
                <w:rFonts w:hint="eastAsia" w:eastAsiaTheme="minorEastAsia"/>
                <w:kern w:val="0"/>
                <w:sz w:val="21"/>
                <w:szCs w:val="21"/>
              </w:rPr>
              <w:t>DA</w:t>
            </w:r>
            <w:r>
              <w:rPr>
                <w:rFonts w:eastAsiaTheme="minorEastAsia"/>
                <w:kern w:val="0"/>
                <w:sz w:val="21"/>
                <w:szCs w:val="21"/>
              </w:rPr>
              <w:t>00</w:t>
            </w:r>
            <w:r>
              <w:rPr>
                <w:rFonts w:hint="eastAsia" w:eastAsiaTheme="minorEastAsia"/>
                <w:kern w:val="0"/>
                <w:sz w:val="21"/>
                <w:szCs w:val="21"/>
              </w:rPr>
              <w:t>2</w:t>
            </w:r>
          </w:p>
        </w:tc>
        <w:tc>
          <w:tcPr>
            <w:tcW w:w="1208" w:type="dxa"/>
            <w:vAlign w:val="center"/>
          </w:tcPr>
          <w:p>
            <w:pPr>
              <w:widowControl/>
              <w:jc w:val="center"/>
              <w:rPr>
                <w:rFonts w:eastAsiaTheme="minorEastAsia"/>
                <w:kern w:val="0"/>
                <w:sz w:val="21"/>
                <w:szCs w:val="21"/>
              </w:rPr>
            </w:pPr>
            <w:r>
              <w:rPr>
                <w:rFonts w:eastAsiaTheme="minorEastAsia"/>
                <w:kern w:val="0"/>
                <w:sz w:val="21"/>
                <w:szCs w:val="21"/>
              </w:rPr>
              <w:t>处置措施故障</w:t>
            </w:r>
          </w:p>
        </w:tc>
        <w:tc>
          <w:tcPr>
            <w:tcW w:w="1275" w:type="dxa"/>
            <w:vAlign w:val="center"/>
          </w:tcPr>
          <w:p>
            <w:pPr>
              <w:jc w:val="center"/>
              <w:rPr>
                <w:rFonts w:eastAsiaTheme="minorEastAsia"/>
                <w:kern w:val="0"/>
                <w:sz w:val="21"/>
                <w:szCs w:val="21"/>
              </w:rPr>
            </w:pPr>
            <w:r>
              <w:rPr>
                <w:rFonts w:hint="eastAsia" w:eastAsiaTheme="minorEastAsia"/>
                <w:kern w:val="0"/>
                <w:sz w:val="21"/>
                <w:szCs w:val="21"/>
              </w:rPr>
              <w:t>非甲烷总烃</w:t>
            </w:r>
          </w:p>
        </w:tc>
        <w:tc>
          <w:tcPr>
            <w:tcW w:w="1232" w:type="dxa"/>
            <w:vAlign w:val="center"/>
          </w:tcPr>
          <w:p>
            <w:pPr>
              <w:jc w:val="center"/>
              <w:rPr>
                <w:rFonts w:eastAsiaTheme="minorEastAsia"/>
                <w:kern w:val="0"/>
                <w:sz w:val="21"/>
                <w:szCs w:val="21"/>
              </w:rPr>
            </w:pPr>
            <w:r>
              <w:rPr>
                <w:rFonts w:hint="eastAsia" w:eastAsiaTheme="minorEastAsia"/>
                <w:kern w:val="0"/>
                <w:sz w:val="21"/>
                <w:szCs w:val="21"/>
              </w:rPr>
              <w:t>28.94</w:t>
            </w:r>
          </w:p>
        </w:tc>
        <w:tc>
          <w:tcPr>
            <w:tcW w:w="1010" w:type="dxa"/>
            <w:vAlign w:val="center"/>
          </w:tcPr>
          <w:p>
            <w:pPr>
              <w:jc w:val="center"/>
              <w:rPr>
                <w:rFonts w:eastAsiaTheme="minorEastAsia"/>
                <w:kern w:val="0"/>
                <w:sz w:val="21"/>
                <w:szCs w:val="21"/>
              </w:rPr>
            </w:pPr>
            <w:r>
              <w:rPr>
                <w:rFonts w:hint="eastAsia" w:eastAsiaTheme="minorEastAsia"/>
                <w:kern w:val="0"/>
                <w:sz w:val="21"/>
                <w:szCs w:val="21"/>
              </w:rPr>
              <w:t>0.52</w:t>
            </w:r>
          </w:p>
        </w:tc>
        <w:tc>
          <w:tcPr>
            <w:tcW w:w="910" w:type="dxa"/>
            <w:vAlign w:val="center"/>
          </w:tcPr>
          <w:p>
            <w:pPr>
              <w:jc w:val="center"/>
              <w:rPr>
                <w:rFonts w:eastAsiaTheme="minorEastAsia"/>
                <w:kern w:val="0"/>
                <w:sz w:val="21"/>
                <w:szCs w:val="21"/>
              </w:rPr>
            </w:pPr>
            <w:r>
              <w:rPr>
                <w:rFonts w:eastAsiaTheme="minorEastAsia"/>
                <w:kern w:val="0"/>
                <w:sz w:val="21"/>
                <w:szCs w:val="21"/>
              </w:rPr>
              <w:t>0.25</w:t>
            </w:r>
          </w:p>
        </w:tc>
        <w:tc>
          <w:tcPr>
            <w:tcW w:w="922" w:type="dxa"/>
            <w:vAlign w:val="center"/>
          </w:tcPr>
          <w:p>
            <w:pPr>
              <w:jc w:val="center"/>
              <w:rPr>
                <w:rFonts w:eastAsiaTheme="minorEastAsia"/>
                <w:kern w:val="0"/>
                <w:sz w:val="21"/>
                <w:szCs w:val="21"/>
              </w:rPr>
            </w:pPr>
            <w:r>
              <w:rPr>
                <w:rFonts w:eastAsiaTheme="minorEastAsia"/>
                <w:kern w:val="0"/>
                <w:sz w:val="21"/>
                <w:szCs w:val="21"/>
              </w:rPr>
              <w:t>10</w:t>
            </w:r>
            <w:r>
              <w:rPr>
                <w:rFonts w:eastAsiaTheme="minorEastAsia"/>
                <w:kern w:val="0"/>
                <w:sz w:val="21"/>
                <w:szCs w:val="21"/>
                <w:vertAlign w:val="superscript"/>
              </w:rPr>
              <w:t>-4</w:t>
            </w:r>
          </w:p>
        </w:tc>
        <w:tc>
          <w:tcPr>
            <w:tcW w:w="874" w:type="dxa"/>
            <w:vMerge w:val="continue"/>
            <w:vAlign w:val="center"/>
          </w:tcPr>
          <w:p>
            <w:pPr>
              <w:pStyle w:val="293"/>
              <w:adjustRightInd w:val="0"/>
              <w:snapToGrid w:val="0"/>
              <w:spacing w:before="0" w:after="0"/>
              <w:ind w:left="0" w:right="0"/>
              <w:rPr>
                <w:color w:val="auto"/>
                <w:kern w:val="0"/>
                <w:sz w:val="21"/>
                <w:szCs w:val="21"/>
              </w:rPr>
            </w:pPr>
          </w:p>
        </w:tc>
      </w:tr>
    </w:tbl>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5、大气环境影响评价自查表</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建设项目大气环境影响评价自查表详见表6.2</w:t>
      </w:r>
      <w:r>
        <w:rPr>
          <w:rFonts w:ascii="Times New Roman" w:hAnsi="Times New Roman" w:eastAsia="宋体" w:cs="Times New Roman"/>
          <w:kern w:val="28"/>
        </w:rPr>
        <w:t>-1</w:t>
      </w:r>
      <w:r>
        <w:rPr>
          <w:rFonts w:hint="eastAsia" w:ascii="Times New Roman" w:hAnsi="Times New Roman" w:eastAsia="宋体" w:cs="Times New Roman"/>
          <w:kern w:val="28"/>
        </w:rPr>
        <w:t>6。</w:t>
      </w:r>
    </w:p>
    <w:p>
      <w:pPr>
        <w:pStyle w:val="632"/>
        <w:spacing w:line="240" w:lineRule="auto"/>
        <w:ind w:firstLine="420"/>
        <w:rPr>
          <w:rFonts w:eastAsia="黑体"/>
        </w:rPr>
      </w:pPr>
      <w:r>
        <w:rPr>
          <w:rFonts w:hint="eastAsia" w:eastAsia="黑体"/>
        </w:rPr>
        <w:t>表6.2-</w:t>
      </w:r>
      <w:r>
        <w:rPr>
          <w:rFonts w:eastAsia="黑体"/>
        </w:rPr>
        <w:t>1</w:t>
      </w:r>
      <w:r>
        <w:rPr>
          <w:rFonts w:hint="eastAsia" w:eastAsia="黑体"/>
        </w:rPr>
        <w:t>6              建设项目大气环境影响评价自查表</w:t>
      </w:r>
    </w:p>
    <w:tbl>
      <w:tblPr>
        <w:tblStyle w:val="59"/>
        <w:tblW w:w="951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29"/>
        <w:gridCol w:w="1770"/>
        <w:gridCol w:w="1024"/>
        <w:gridCol w:w="394"/>
        <w:gridCol w:w="120"/>
        <w:gridCol w:w="274"/>
        <w:gridCol w:w="133"/>
        <w:gridCol w:w="123"/>
        <w:gridCol w:w="591"/>
        <w:gridCol w:w="402"/>
        <w:gridCol w:w="111"/>
        <w:gridCol w:w="344"/>
        <w:gridCol w:w="635"/>
        <w:gridCol w:w="191"/>
        <w:gridCol w:w="651"/>
        <w:gridCol w:w="199"/>
        <w:gridCol w:w="248"/>
        <w:gridCol w:w="512"/>
        <w:gridCol w:w="75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9" w:type="dxa"/>
            <w:gridSpan w:val="2"/>
            <w:vAlign w:val="center"/>
          </w:tcPr>
          <w:p>
            <w:pPr>
              <w:pStyle w:val="675"/>
              <w:autoSpaceDE w:val="0"/>
              <w:autoSpaceDN w:val="0"/>
              <w:jc w:val="center"/>
              <w:rPr>
                <w:szCs w:val="21"/>
              </w:rPr>
            </w:pPr>
            <w:r>
              <w:rPr>
                <w:rFonts w:hint="eastAsia" w:ascii="宋体" w:hAnsi="宋体" w:eastAsia="宋体" w:cs="宋体"/>
                <w:szCs w:val="21"/>
              </w:rPr>
              <w:t>工作内容</w:t>
            </w:r>
          </w:p>
        </w:tc>
        <w:tc>
          <w:tcPr>
            <w:tcW w:w="6711" w:type="dxa"/>
            <w:gridSpan w:val="17"/>
            <w:vAlign w:val="center"/>
          </w:tcPr>
          <w:p>
            <w:pPr>
              <w:pStyle w:val="675"/>
              <w:autoSpaceDE w:val="0"/>
              <w:autoSpaceDN w:val="0"/>
              <w:jc w:val="center"/>
              <w:rPr>
                <w:szCs w:val="21"/>
              </w:rPr>
            </w:pPr>
            <w:r>
              <w:rPr>
                <w:rFonts w:hint="eastAsia" w:ascii="宋体" w:hAnsi="宋体" w:eastAsia="宋体" w:cs="宋体"/>
                <w:szCs w:val="21"/>
              </w:rPr>
              <w:t>自查项目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restart"/>
            <w:vAlign w:val="center"/>
          </w:tcPr>
          <w:p>
            <w:pPr>
              <w:pStyle w:val="675"/>
              <w:autoSpaceDE w:val="0"/>
              <w:autoSpaceDN w:val="0"/>
              <w:jc w:val="center"/>
              <w:rPr>
                <w:szCs w:val="21"/>
              </w:rPr>
            </w:pPr>
            <w:r>
              <w:rPr>
                <w:rFonts w:hint="eastAsia" w:ascii="宋体" w:hAnsi="宋体" w:eastAsia="宋体" w:cs="宋体"/>
                <w:szCs w:val="21"/>
              </w:rPr>
              <w:t>评价等级与范围</w:t>
            </w:r>
          </w:p>
        </w:tc>
        <w:tc>
          <w:tcPr>
            <w:tcW w:w="1770" w:type="dxa"/>
            <w:vAlign w:val="center"/>
          </w:tcPr>
          <w:p>
            <w:pPr>
              <w:pStyle w:val="675"/>
              <w:autoSpaceDE w:val="0"/>
              <w:autoSpaceDN w:val="0"/>
              <w:jc w:val="center"/>
              <w:rPr>
                <w:szCs w:val="21"/>
              </w:rPr>
            </w:pPr>
            <w:r>
              <w:rPr>
                <w:rFonts w:hint="eastAsia" w:ascii="宋体" w:hAnsi="宋体" w:eastAsia="宋体" w:cs="宋体"/>
                <w:szCs w:val="21"/>
              </w:rPr>
              <w:t>评价等级</w:t>
            </w:r>
          </w:p>
        </w:tc>
        <w:tc>
          <w:tcPr>
            <w:tcW w:w="2659" w:type="dxa"/>
            <w:gridSpan w:val="7"/>
            <w:vAlign w:val="center"/>
          </w:tcPr>
          <w:p>
            <w:pPr>
              <w:pStyle w:val="675"/>
              <w:autoSpaceDE w:val="0"/>
              <w:autoSpaceDN w:val="0"/>
              <w:jc w:val="center"/>
              <w:rPr>
                <w:szCs w:val="21"/>
              </w:rPr>
            </w:pPr>
            <w:r>
              <w:rPr>
                <w:rFonts w:hint="eastAsia" w:ascii="宋体" w:hAnsi="宋体" w:eastAsia="宋体" w:cs="宋体"/>
                <w:szCs w:val="21"/>
              </w:rPr>
              <w:t>一级</w:t>
            </w:r>
            <w:r>
              <w:rPr>
                <w:rFonts w:ascii="Times New Roman" w:hAnsi="Times New Roman" w:cs="Times New Roman"/>
                <w:szCs w:val="21"/>
              </w:rPr>
              <w:t>□</w:t>
            </w:r>
          </w:p>
        </w:tc>
        <w:tc>
          <w:tcPr>
            <w:tcW w:w="2334" w:type="dxa"/>
            <w:gridSpan w:val="6"/>
            <w:vAlign w:val="center"/>
          </w:tcPr>
          <w:p>
            <w:pPr>
              <w:pStyle w:val="675"/>
              <w:autoSpaceDE w:val="0"/>
              <w:autoSpaceDN w:val="0"/>
              <w:jc w:val="center"/>
              <w:rPr>
                <w:rFonts w:hint="eastAsia" w:eastAsia="宋体"/>
                <w:szCs w:val="21"/>
              </w:rPr>
            </w:pPr>
            <w:r>
              <w:rPr>
                <w:rFonts w:hint="eastAsia" w:ascii="宋体" w:hAnsi="宋体" w:eastAsia="宋体" w:cs="宋体"/>
                <w:szCs w:val="21"/>
              </w:rPr>
              <w:t>二级</w:t>
            </w:r>
            <w:r>
              <w:rPr>
                <w:rFonts w:hint="eastAsia" w:ascii="MS Mincho" w:hAnsi="MS Mincho" w:eastAsia="MS Mincho" w:cs="MS Mincho"/>
                <w:szCs w:val="21"/>
                <w:lang w:val="en-US"/>
              </w:rPr>
              <w:t>☑</w:t>
            </w:r>
          </w:p>
        </w:tc>
        <w:tc>
          <w:tcPr>
            <w:tcW w:w="1718" w:type="dxa"/>
            <w:gridSpan w:val="4"/>
            <w:vAlign w:val="center"/>
          </w:tcPr>
          <w:p>
            <w:pPr>
              <w:pStyle w:val="675"/>
              <w:autoSpaceDE w:val="0"/>
              <w:autoSpaceDN w:val="0"/>
              <w:jc w:val="center"/>
              <w:rPr>
                <w:szCs w:val="21"/>
              </w:rPr>
            </w:pPr>
            <w:r>
              <w:rPr>
                <w:rFonts w:hint="eastAsia" w:ascii="宋体" w:hAnsi="宋体" w:eastAsia="宋体" w:cs="宋体"/>
                <w:szCs w:val="21"/>
              </w:rPr>
              <w:t>三级</w:t>
            </w:r>
            <w:r>
              <w:rPr>
                <w:rFonts w:hint="eastAsia" w:ascii="宋体" w:hAnsi="宋体" w:eastAsia="宋体" w:cs="宋体"/>
                <w:szCs w:val="21"/>
                <w:lang w:val="en-US"/>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评价范围</w:t>
            </w:r>
          </w:p>
        </w:tc>
        <w:tc>
          <w:tcPr>
            <w:tcW w:w="2659" w:type="dxa"/>
            <w:gridSpan w:val="7"/>
            <w:vAlign w:val="center"/>
          </w:tcPr>
          <w:p>
            <w:pPr>
              <w:pStyle w:val="675"/>
              <w:autoSpaceDE w:val="0"/>
              <w:autoSpaceDN w:val="0"/>
              <w:jc w:val="center"/>
              <w:rPr>
                <w:szCs w:val="21"/>
              </w:rPr>
            </w:pPr>
            <w:r>
              <w:rPr>
                <w:rFonts w:hint="eastAsia" w:ascii="宋体" w:hAnsi="宋体" w:eastAsia="宋体" w:cs="宋体"/>
                <w:szCs w:val="21"/>
              </w:rPr>
              <w:t>边长</w:t>
            </w:r>
            <w:r>
              <w:rPr>
                <w:rFonts w:ascii="Times New Roman" w:hAnsi="Times New Roman" w:eastAsia="Times New Roman"/>
                <w:szCs w:val="21"/>
              </w:rPr>
              <w:t>=50km</w:t>
            </w:r>
            <w:r>
              <w:rPr>
                <w:rFonts w:ascii="Times New Roman" w:hAnsi="Times New Roman" w:cs="Times New Roman"/>
                <w:szCs w:val="21"/>
              </w:rPr>
              <w:t>□</w:t>
            </w:r>
          </w:p>
        </w:tc>
        <w:tc>
          <w:tcPr>
            <w:tcW w:w="2334" w:type="dxa"/>
            <w:gridSpan w:val="6"/>
            <w:vAlign w:val="center"/>
          </w:tcPr>
          <w:p>
            <w:pPr>
              <w:pStyle w:val="675"/>
              <w:autoSpaceDE w:val="0"/>
              <w:autoSpaceDN w:val="0"/>
              <w:jc w:val="center"/>
              <w:rPr>
                <w:szCs w:val="21"/>
              </w:rPr>
            </w:pPr>
            <w:r>
              <w:rPr>
                <w:rFonts w:hint="eastAsia" w:ascii="宋体" w:hAnsi="宋体" w:eastAsia="宋体" w:cs="宋体"/>
                <w:szCs w:val="21"/>
              </w:rPr>
              <w:t>边长</w:t>
            </w:r>
            <w:r>
              <w:rPr>
                <w:szCs w:val="21"/>
              </w:rPr>
              <w:t xml:space="preserve"> </w:t>
            </w:r>
            <w:r>
              <w:rPr>
                <w:rFonts w:ascii="Times New Roman" w:hAnsi="Times New Roman" w:eastAsia="Times New Roman"/>
                <w:szCs w:val="21"/>
              </w:rPr>
              <w:t>5</w:t>
            </w:r>
            <w:r>
              <w:rPr>
                <w:rFonts w:hint="eastAsia" w:ascii="宋体" w:hAnsi="宋体" w:eastAsia="宋体" w:cs="宋体"/>
                <w:szCs w:val="21"/>
              </w:rPr>
              <w:t>～</w:t>
            </w:r>
            <w:r>
              <w:rPr>
                <w:rFonts w:ascii="Times New Roman" w:hAnsi="Times New Roman" w:eastAsia="Times New Roman"/>
                <w:szCs w:val="21"/>
              </w:rPr>
              <w:t>50km</w:t>
            </w:r>
            <w:r>
              <w:rPr>
                <w:rFonts w:ascii="Times New Roman" w:hAnsi="Times New Roman" w:cs="Times New Roman"/>
                <w:szCs w:val="21"/>
              </w:rPr>
              <w:t>□</w:t>
            </w:r>
          </w:p>
        </w:tc>
        <w:tc>
          <w:tcPr>
            <w:tcW w:w="1718" w:type="dxa"/>
            <w:gridSpan w:val="4"/>
            <w:vAlign w:val="center"/>
          </w:tcPr>
          <w:p>
            <w:pPr>
              <w:pStyle w:val="675"/>
              <w:autoSpaceDE w:val="0"/>
              <w:autoSpaceDN w:val="0"/>
              <w:jc w:val="center"/>
              <w:rPr>
                <w:rFonts w:hint="eastAsia" w:eastAsia="宋体"/>
                <w:szCs w:val="21"/>
              </w:rPr>
            </w:pPr>
            <w:r>
              <w:rPr>
                <w:rFonts w:hint="eastAsia" w:ascii="宋体" w:hAnsi="宋体" w:eastAsia="宋体" w:cs="宋体"/>
                <w:szCs w:val="21"/>
              </w:rPr>
              <w:t>边长</w:t>
            </w:r>
            <w:r>
              <w:rPr>
                <w:rFonts w:ascii="Times New Roman" w:hAnsi="Times New Roman" w:eastAsia="Times New Roman"/>
                <w:szCs w:val="21"/>
              </w:rPr>
              <w:t>=5 km</w:t>
            </w:r>
            <w:r>
              <w:rPr>
                <w:rFonts w:hint="eastAsia" w:ascii="MS Mincho" w:hAnsi="MS Mincho" w:eastAsia="MS Mincho" w:cs="MS Mincho"/>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restart"/>
            <w:vAlign w:val="center"/>
          </w:tcPr>
          <w:p>
            <w:pPr>
              <w:pStyle w:val="675"/>
              <w:autoSpaceDE w:val="0"/>
              <w:autoSpaceDN w:val="0"/>
              <w:jc w:val="center"/>
              <w:rPr>
                <w:szCs w:val="21"/>
              </w:rPr>
            </w:pPr>
            <w:r>
              <w:rPr>
                <w:rFonts w:hint="eastAsia" w:ascii="宋体" w:hAnsi="宋体" w:eastAsia="宋体" w:cs="宋体"/>
                <w:szCs w:val="21"/>
              </w:rPr>
              <w:t>评价因子</w:t>
            </w:r>
          </w:p>
        </w:tc>
        <w:tc>
          <w:tcPr>
            <w:tcW w:w="1770" w:type="dxa"/>
            <w:vAlign w:val="center"/>
          </w:tcPr>
          <w:p>
            <w:pPr>
              <w:pStyle w:val="675"/>
              <w:autoSpaceDE w:val="0"/>
              <w:autoSpaceDN w:val="0"/>
              <w:jc w:val="center"/>
              <w:rPr>
                <w:szCs w:val="21"/>
              </w:rPr>
            </w:pPr>
            <w:r>
              <w:rPr>
                <w:rFonts w:ascii="Times New Roman" w:eastAsia="Times New Roman"/>
                <w:position w:val="1"/>
                <w:szCs w:val="21"/>
              </w:rPr>
              <w:t>SO</w:t>
            </w:r>
            <w:r>
              <w:rPr>
                <w:rFonts w:ascii="Times New Roman" w:eastAsia="Times New Roman"/>
                <w:szCs w:val="21"/>
                <w:vertAlign w:val="subscript"/>
              </w:rPr>
              <w:t>2</w:t>
            </w:r>
            <w:r>
              <w:rPr>
                <w:rFonts w:ascii="Times New Roman" w:eastAsia="Times New Roman"/>
                <w:szCs w:val="21"/>
              </w:rPr>
              <w:t xml:space="preserve"> </w:t>
            </w:r>
            <w:r>
              <w:rPr>
                <w:rFonts w:ascii="Times New Roman" w:eastAsia="Times New Roman"/>
                <w:position w:val="1"/>
                <w:szCs w:val="21"/>
              </w:rPr>
              <w:t>+NO</w:t>
            </w:r>
            <w:r>
              <w:rPr>
                <w:rFonts w:ascii="Times New Roman" w:eastAsia="Times New Roman"/>
                <w:i/>
                <w:szCs w:val="21"/>
              </w:rPr>
              <w:t xml:space="preserve">x </w:t>
            </w:r>
            <w:r>
              <w:rPr>
                <w:rFonts w:hint="eastAsia" w:ascii="宋体" w:hAnsi="宋体" w:eastAsia="宋体" w:cs="宋体"/>
                <w:position w:val="1"/>
                <w:szCs w:val="21"/>
              </w:rPr>
              <w:t>排放量</w:t>
            </w:r>
          </w:p>
        </w:tc>
        <w:tc>
          <w:tcPr>
            <w:tcW w:w="1418" w:type="dxa"/>
            <w:gridSpan w:val="2"/>
            <w:vAlign w:val="center"/>
          </w:tcPr>
          <w:p>
            <w:pPr>
              <w:pStyle w:val="675"/>
              <w:autoSpaceDE w:val="0"/>
              <w:autoSpaceDN w:val="0"/>
              <w:jc w:val="center"/>
              <w:rPr>
                <w:rFonts w:hint="eastAsia" w:eastAsia="宋体"/>
                <w:szCs w:val="21"/>
              </w:rPr>
            </w:pPr>
            <w:r>
              <w:rPr>
                <w:rFonts w:hint="eastAsia" w:ascii="宋体" w:hAnsi="宋体" w:eastAsia="宋体" w:cs="宋体"/>
                <w:szCs w:val="21"/>
              </w:rPr>
              <w:t>≥</w:t>
            </w:r>
            <w:r>
              <w:rPr>
                <w:szCs w:val="21"/>
              </w:rPr>
              <w:t xml:space="preserve"> </w:t>
            </w:r>
            <w:r>
              <w:rPr>
                <w:rFonts w:ascii="Times New Roman" w:hAnsi="Times New Roman"/>
                <w:szCs w:val="21"/>
              </w:rPr>
              <w:t>2000t/a</w:t>
            </w:r>
            <w:r>
              <w:rPr>
                <w:rFonts w:hint="eastAsia" w:eastAsia="宋体"/>
                <w:szCs w:val="21"/>
              </w:rPr>
              <w:t>□</w:t>
            </w:r>
          </w:p>
        </w:tc>
        <w:tc>
          <w:tcPr>
            <w:tcW w:w="3575" w:type="dxa"/>
            <w:gridSpan w:val="11"/>
            <w:vAlign w:val="center"/>
          </w:tcPr>
          <w:p>
            <w:pPr>
              <w:pStyle w:val="675"/>
              <w:autoSpaceDE w:val="0"/>
              <w:autoSpaceDN w:val="0"/>
              <w:jc w:val="center"/>
              <w:rPr>
                <w:szCs w:val="21"/>
              </w:rPr>
            </w:pPr>
            <w:r>
              <w:rPr>
                <w:rFonts w:ascii="Times New Roman" w:hAnsi="Times New Roman"/>
                <w:szCs w:val="21"/>
              </w:rPr>
              <w:t>500 ~ 2000t/a</w:t>
            </w:r>
            <w:r>
              <w:rPr>
                <w:rFonts w:ascii="Times New Roman" w:hAnsi="Times New Roman" w:cs="Times New Roman"/>
                <w:szCs w:val="21"/>
              </w:rPr>
              <w:t>□</w:t>
            </w:r>
          </w:p>
        </w:tc>
        <w:tc>
          <w:tcPr>
            <w:tcW w:w="1718" w:type="dxa"/>
            <w:gridSpan w:val="4"/>
            <w:vAlign w:val="center"/>
          </w:tcPr>
          <w:p>
            <w:pPr>
              <w:pStyle w:val="675"/>
              <w:autoSpaceDE w:val="0"/>
              <w:autoSpaceDN w:val="0"/>
              <w:jc w:val="center"/>
              <w:rPr>
                <w:rFonts w:hint="eastAsia" w:eastAsia="宋体"/>
                <w:szCs w:val="21"/>
              </w:rPr>
            </w:pPr>
            <w:r>
              <w:rPr>
                <w:rFonts w:hint="eastAsia" w:ascii="宋体" w:hAnsi="宋体" w:eastAsia="宋体" w:cs="宋体"/>
                <w:szCs w:val="21"/>
              </w:rPr>
              <w:t>＜</w:t>
            </w:r>
            <w:r>
              <w:rPr>
                <w:rFonts w:ascii="Times New Roman" w:hAnsi="Times New Roman" w:eastAsia="Times New Roman"/>
                <w:szCs w:val="21"/>
              </w:rPr>
              <w:t>500 t/a</w:t>
            </w:r>
            <w:r>
              <w:rPr>
                <w:rFonts w:hint="eastAsia" w:ascii="MS Mincho" w:hAnsi="MS Mincho" w:eastAsia="MS Mincho" w:cs="MS Mincho"/>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spacing w:before="134"/>
              <w:jc w:val="center"/>
              <w:rPr>
                <w:szCs w:val="21"/>
              </w:rPr>
            </w:pPr>
            <w:r>
              <w:rPr>
                <w:rFonts w:hint="eastAsia" w:ascii="宋体" w:hAnsi="宋体" w:eastAsia="宋体" w:cs="宋体"/>
                <w:szCs w:val="21"/>
              </w:rPr>
              <w:t>评价因子</w:t>
            </w:r>
          </w:p>
        </w:tc>
        <w:tc>
          <w:tcPr>
            <w:tcW w:w="3516" w:type="dxa"/>
            <w:gridSpan w:val="10"/>
            <w:vAlign w:val="center"/>
          </w:tcPr>
          <w:p>
            <w:pPr>
              <w:pStyle w:val="675"/>
              <w:tabs>
                <w:tab w:val="left" w:pos="3078"/>
              </w:tabs>
              <w:autoSpaceDE w:val="0"/>
              <w:autoSpaceDN w:val="0"/>
              <w:spacing w:before="2"/>
              <w:jc w:val="center"/>
              <w:rPr>
                <w:rFonts w:ascii="Times New Roman" w:eastAsia="Times New Roman"/>
                <w:szCs w:val="21"/>
              </w:rPr>
            </w:pPr>
            <w:r>
              <w:rPr>
                <w:rFonts w:hint="eastAsia" w:ascii="宋体" w:hAnsi="宋体" w:eastAsia="宋体" w:cs="宋体"/>
                <w:szCs w:val="21"/>
              </w:rPr>
              <w:t>基本污染物</w:t>
            </w:r>
            <w:r>
              <w:rPr>
                <w:rFonts w:ascii="Times New Roman" w:eastAsia="Times New Roman"/>
                <w:szCs w:val="21"/>
              </w:rPr>
              <w:t>(</w:t>
            </w:r>
            <w:r>
              <w:rPr>
                <w:rFonts w:hint="eastAsia" w:ascii="Times New Roman" w:eastAsia="宋体"/>
                <w:szCs w:val="21"/>
                <w:lang w:val="en-US"/>
              </w:rPr>
              <w:t>PM</w:t>
            </w:r>
            <w:r>
              <w:rPr>
                <w:rFonts w:hint="eastAsia" w:ascii="Times New Roman" w:eastAsia="宋体"/>
                <w:szCs w:val="21"/>
                <w:vertAlign w:val="subscript"/>
                <w:lang w:val="en-US"/>
              </w:rPr>
              <w:t>10</w:t>
            </w:r>
            <w:r>
              <w:rPr>
                <w:rFonts w:hint="eastAsia" w:ascii="Times New Roman" w:eastAsia="宋体"/>
                <w:szCs w:val="21"/>
                <w:lang w:val="en-US"/>
              </w:rPr>
              <w:t>、PM</w:t>
            </w:r>
            <w:r>
              <w:rPr>
                <w:rFonts w:hint="eastAsia" w:ascii="Times New Roman" w:eastAsia="宋体"/>
                <w:szCs w:val="21"/>
                <w:vertAlign w:val="subscript"/>
                <w:lang w:val="en-US"/>
              </w:rPr>
              <w:t>2.5</w:t>
            </w:r>
            <w:r>
              <w:rPr>
                <w:rFonts w:hint="eastAsia" w:ascii="Times New Roman" w:eastAsia="宋体"/>
                <w:szCs w:val="21"/>
                <w:lang w:val="en-US"/>
              </w:rPr>
              <w:t>、SO</w:t>
            </w:r>
            <w:r>
              <w:rPr>
                <w:rFonts w:hint="eastAsia" w:ascii="Times New Roman" w:eastAsia="宋体"/>
                <w:szCs w:val="21"/>
                <w:vertAlign w:val="subscript"/>
                <w:lang w:val="en-US"/>
              </w:rPr>
              <w:t>2</w:t>
            </w:r>
            <w:r>
              <w:rPr>
                <w:rFonts w:hint="eastAsia" w:ascii="Times New Roman" w:eastAsia="宋体"/>
                <w:szCs w:val="21"/>
                <w:lang w:val="en-US"/>
              </w:rPr>
              <w:t>、NOx、CO、O</w:t>
            </w:r>
            <w:r>
              <w:rPr>
                <w:rFonts w:hint="eastAsia" w:ascii="Times New Roman" w:eastAsia="宋体"/>
                <w:szCs w:val="21"/>
                <w:vertAlign w:val="subscript"/>
                <w:lang w:val="en-US"/>
              </w:rPr>
              <w:t>3</w:t>
            </w:r>
            <w:r>
              <w:rPr>
                <w:rFonts w:ascii="Times New Roman" w:eastAsia="宋体"/>
                <w:szCs w:val="21"/>
                <w:vertAlign w:val="subscript"/>
                <w:lang w:val="en-US"/>
              </w:rPr>
              <w:t xml:space="preserve"> </w:t>
            </w:r>
            <w:r>
              <w:rPr>
                <w:rFonts w:ascii="Times New Roman" w:eastAsia="Times New Roman"/>
                <w:szCs w:val="21"/>
              </w:rPr>
              <w:t>)</w:t>
            </w:r>
          </w:p>
          <w:p>
            <w:pPr>
              <w:pStyle w:val="675"/>
              <w:tabs>
                <w:tab w:val="left" w:pos="3078"/>
              </w:tabs>
              <w:autoSpaceDE w:val="0"/>
              <w:autoSpaceDN w:val="0"/>
              <w:jc w:val="center"/>
              <w:rPr>
                <w:rFonts w:ascii="Times New Roman" w:eastAsia="Times New Roman"/>
                <w:szCs w:val="21"/>
              </w:rPr>
            </w:pPr>
            <w:r>
              <w:rPr>
                <w:rFonts w:hint="eastAsia" w:ascii="宋体" w:hAnsi="宋体" w:eastAsia="宋体" w:cs="宋体"/>
                <w:szCs w:val="21"/>
              </w:rPr>
              <w:t>其他污染物</w:t>
            </w:r>
            <w:r>
              <w:rPr>
                <w:szCs w:val="21"/>
              </w:rPr>
              <w:t xml:space="preserve"> </w:t>
            </w:r>
            <w:r>
              <w:rPr>
                <w:spacing w:val="10"/>
                <w:szCs w:val="21"/>
              </w:rPr>
              <w:t xml:space="preserve"> </w:t>
            </w:r>
            <w:r>
              <w:rPr>
                <w:rFonts w:ascii="Times New Roman" w:eastAsia="Times New Roman"/>
                <w:szCs w:val="21"/>
              </w:rPr>
              <w:t>(</w:t>
            </w:r>
            <w:r>
              <w:rPr>
                <w:rFonts w:ascii="Times New Roman" w:eastAsia="宋体"/>
                <w:szCs w:val="21"/>
                <w:lang w:val="en-US"/>
              </w:rPr>
              <w:t xml:space="preserve"> </w:t>
            </w:r>
            <w:r>
              <w:rPr>
                <w:rFonts w:hint="eastAsia" w:ascii="Times New Roman" w:eastAsia="宋体"/>
                <w:szCs w:val="21"/>
                <w:lang w:val="en-US"/>
              </w:rPr>
              <w:t>非甲烷总烃、TSP</w:t>
            </w:r>
            <w:r>
              <w:rPr>
                <w:rFonts w:ascii="Times New Roman" w:eastAsia="宋体"/>
                <w:szCs w:val="21"/>
                <w:lang w:val="en-US"/>
              </w:rPr>
              <w:t xml:space="preserve"> </w:t>
            </w:r>
            <w:r>
              <w:rPr>
                <w:rFonts w:ascii="Times New Roman" w:eastAsia="Times New Roman"/>
                <w:szCs w:val="21"/>
              </w:rPr>
              <w:t>)</w:t>
            </w:r>
          </w:p>
        </w:tc>
        <w:tc>
          <w:tcPr>
            <w:tcW w:w="3195" w:type="dxa"/>
            <w:gridSpan w:val="7"/>
            <w:vAlign w:val="center"/>
          </w:tcPr>
          <w:p>
            <w:pPr>
              <w:pStyle w:val="675"/>
              <w:autoSpaceDE w:val="0"/>
              <w:autoSpaceDN w:val="0"/>
              <w:spacing w:before="1"/>
              <w:jc w:val="center"/>
              <w:rPr>
                <w:szCs w:val="21"/>
              </w:rPr>
            </w:pPr>
            <w:r>
              <w:rPr>
                <w:rFonts w:hint="eastAsia" w:ascii="宋体" w:hAnsi="宋体" w:eastAsia="宋体" w:cs="宋体"/>
                <w:position w:val="1"/>
                <w:szCs w:val="21"/>
              </w:rPr>
              <w:t>包括二次</w:t>
            </w:r>
            <w:r>
              <w:rPr>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vertAlign w:val="subscript"/>
              </w:rPr>
              <w:t>2.5</w:t>
            </w:r>
            <w:r>
              <w:rPr>
                <w:rFonts w:ascii="Times New Roman" w:hAnsi="Times New Roman" w:cs="Times New Roman"/>
                <w:position w:val="1"/>
                <w:szCs w:val="21"/>
              </w:rPr>
              <w:t>□</w:t>
            </w:r>
          </w:p>
          <w:p>
            <w:pPr>
              <w:pStyle w:val="675"/>
              <w:autoSpaceDE w:val="0"/>
              <w:autoSpaceDN w:val="0"/>
              <w:jc w:val="center"/>
              <w:rPr>
                <w:rFonts w:hint="eastAsia" w:eastAsia="宋体"/>
                <w:szCs w:val="21"/>
              </w:rPr>
            </w:pPr>
            <w:r>
              <w:rPr>
                <w:rFonts w:hint="eastAsia" w:ascii="宋体" w:hAnsi="宋体" w:eastAsia="宋体" w:cs="宋体"/>
                <w:position w:val="1"/>
                <w:szCs w:val="21"/>
              </w:rPr>
              <w:t>不包括二次</w:t>
            </w:r>
            <w:r>
              <w:rPr>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vertAlign w:val="subscript"/>
              </w:rPr>
              <w:t>2.5</w:t>
            </w:r>
            <w:r>
              <w:rPr>
                <w:rFonts w:hint="eastAsia" w:ascii="MS Mincho" w:hAnsi="MS Mincho" w:eastAsia="MS Mincho" w:cs="MS Mincho"/>
                <w:position w:val="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Align w:val="center"/>
          </w:tcPr>
          <w:p>
            <w:pPr>
              <w:pStyle w:val="675"/>
              <w:autoSpaceDE w:val="0"/>
              <w:autoSpaceDN w:val="0"/>
              <w:jc w:val="center"/>
              <w:rPr>
                <w:szCs w:val="21"/>
              </w:rPr>
            </w:pPr>
            <w:r>
              <w:rPr>
                <w:rFonts w:hint="eastAsia" w:ascii="宋体" w:hAnsi="宋体" w:eastAsia="宋体" w:cs="宋体"/>
                <w:szCs w:val="21"/>
              </w:rPr>
              <w:t>评价标准</w:t>
            </w:r>
          </w:p>
        </w:tc>
        <w:tc>
          <w:tcPr>
            <w:tcW w:w="1770" w:type="dxa"/>
            <w:vAlign w:val="center"/>
          </w:tcPr>
          <w:p>
            <w:pPr>
              <w:pStyle w:val="675"/>
              <w:autoSpaceDE w:val="0"/>
              <w:autoSpaceDN w:val="0"/>
              <w:jc w:val="center"/>
              <w:rPr>
                <w:szCs w:val="21"/>
              </w:rPr>
            </w:pPr>
            <w:r>
              <w:rPr>
                <w:rFonts w:hint="eastAsia" w:ascii="宋体" w:hAnsi="宋体" w:eastAsia="宋体" w:cs="宋体"/>
                <w:szCs w:val="21"/>
              </w:rPr>
              <w:t>评价标准</w:t>
            </w:r>
          </w:p>
        </w:tc>
        <w:tc>
          <w:tcPr>
            <w:tcW w:w="2068" w:type="dxa"/>
            <w:gridSpan w:val="6"/>
            <w:vAlign w:val="center"/>
          </w:tcPr>
          <w:p>
            <w:pPr>
              <w:pStyle w:val="675"/>
              <w:autoSpaceDE w:val="0"/>
              <w:autoSpaceDN w:val="0"/>
              <w:jc w:val="center"/>
              <w:rPr>
                <w:rFonts w:hint="eastAsia" w:eastAsia="宋体"/>
                <w:szCs w:val="21"/>
              </w:rPr>
            </w:pPr>
            <w:r>
              <w:rPr>
                <w:rFonts w:hint="eastAsia" w:ascii="宋体" w:hAnsi="宋体" w:eastAsia="宋体" w:cs="宋体"/>
                <w:szCs w:val="21"/>
              </w:rPr>
              <w:t>国家标准</w:t>
            </w:r>
            <w:r>
              <w:rPr>
                <w:rFonts w:hint="eastAsia" w:ascii="MS Mincho" w:hAnsi="MS Mincho" w:eastAsia="MS Mincho" w:cs="MS Mincho"/>
                <w:szCs w:val="21"/>
                <w:lang w:val="en-US"/>
              </w:rPr>
              <w:t>☑</w:t>
            </w:r>
          </w:p>
        </w:tc>
        <w:tc>
          <w:tcPr>
            <w:tcW w:w="1448" w:type="dxa"/>
            <w:gridSpan w:val="4"/>
            <w:vAlign w:val="center"/>
          </w:tcPr>
          <w:p>
            <w:pPr>
              <w:pStyle w:val="675"/>
              <w:autoSpaceDE w:val="0"/>
              <w:autoSpaceDN w:val="0"/>
              <w:jc w:val="center"/>
              <w:rPr>
                <w:rFonts w:hint="eastAsia" w:eastAsia="宋体"/>
                <w:szCs w:val="21"/>
              </w:rPr>
            </w:pPr>
            <w:r>
              <w:rPr>
                <w:rFonts w:hint="eastAsia" w:ascii="宋体" w:hAnsi="宋体" w:eastAsia="宋体" w:cs="宋体"/>
                <w:szCs w:val="21"/>
              </w:rPr>
              <w:t>地方标准</w:t>
            </w:r>
            <w:r>
              <w:rPr>
                <w:szCs w:val="21"/>
              </w:rPr>
              <w:t xml:space="preserve"> </w:t>
            </w:r>
            <w:r>
              <w:rPr>
                <w:rFonts w:hint="eastAsia" w:eastAsia="宋体"/>
                <w:szCs w:val="21"/>
              </w:rPr>
              <w:t>□</w:t>
            </w:r>
          </w:p>
        </w:tc>
        <w:tc>
          <w:tcPr>
            <w:tcW w:w="1924" w:type="dxa"/>
            <w:gridSpan w:val="5"/>
            <w:vAlign w:val="center"/>
          </w:tcPr>
          <w:p>
            <w:pPr>
              <w:pStyle w:val="675"/>
              <w:autoSpaceDE w:val="0"/>
              <w:autoSpaceDN w:val="0"/>
              <w:jc w:val="center"/>
              <w:rPr>
                <w:rFonts w:hint="eastAsia" w:eastAsia="宋体"/>
                <w:szCs w:val="21"/>
              </w:rPr>
            </w:pPr>
            <w:r>
              <w:rPr>
                <w:rFonts w:hint="eastAsia" w:ascii="宋体" w:hAnsi="宋体" w:eastAsia="宋体" w:cs="宋体"/>
                <w:szCs w:val="21"/>
              </w:rPr>
              <w:t>附</w:t>
            </w:r>
            <w:r>
              <w:rPr>
                <w:szCs w:val="21"/>
              </w:rPr>
              <w:t xml:space="preserve"> </w:t>
            </w:r>
            <w:r>
              <w:rPr>
                <w:rFonts w:hint="eastAsia" w:ascii="宋体" w:hAnsi="宋体" w:eastAsia="宋体" w:cs="宋体"/>
                <w:szCs w:val="21"/>
              </w:rPr>
              <w:t>录</w:t>
            </w:r>
            <w:r>
              <w:rPr>
                <w:szCs w:val="21"/>
              </w:rPr>
              <w:t xml:space="preserve"> </w:t>
            </w:r>
            <w:r>
              <w:rPr>
                <w:rFonts w:ascii="Times New Roman" w:hAnsi="Times New Roman" w:eastAsia="Times New Roman"/>
                <w:szCs w:val="21"/>
              </w:rPr>
              <w:t xml:space="preserve">D </w:t>
            </w:r>
            <w:r>
              <w:rPr>
                <w:rFonts w:hint="eastAsia" w:eastAsia="宋体"/>
                <w:szCs w:val="21"/>
              </w:rPr>
              <w:t>□</w:t>
            </w:r>
          </w:p>
        </w:tc>
        <w:tc>
          <w:tcPr>
            <w:tcW w:w="1271" w:type="dxa"/>
            <w:gridSpan w:val="2"/>
            <w:vAlign w:val="center"/>
          </w:tcPr>
          <w:p>
            <w:pPr>
              <w:pStyle w:val="675"/>
              <w:autoSpaceDE w:val="0"/>
              <w:autoSpaceDN w:val="0"/>
              <w:jc w:val="center"/>
              <w:rPr>
                <w:rFonts w:hint="eastAsia" w:eastAsia="宋体"/>
                <w:szCs w:val="21"/>
              </w:rPr>
            </w:pPr>
            <w:r>
              <w:rPr>
                <w:rFonts w:hint="eastAsia" w:ascii="宋体" w:hAnsi="宋体" w:eastAsia="宋体" w:cs="宋体"/>
                <w:szCs w:val="21"/>
              </w:rPr>
              <w:t>其他标准</w:t>
            </w:r>
            <w:r>
              <w:rPr>
                <w:szCs w:val="21"/>
              </w:rPr>
              <w:t xml:space="preserve"> </w:t>
            </w:r>
            <w:r>
              <w:rPr>
                <w:rFonts w:hint="eastAsia" w:eastAsia="宋体"/>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restart"/>
            <w:vAlign w:val="center"/>
          </w:tcPr>
          <w:p>
            <w:pPr>
              <w:pStyle w:val="675"/>
              <w:autoSpaceDE w:val="0"/>
              <w:autoSpaceDN w:val="0"/>
              <w:jc w:val="center"/>
              <w:rPr>
                <w:szCs w:val="21"/>
              </w:rPr>
            </w:pPr>
            <w:r>
              <w:rPr>
                <w:rFonts w:hint="eastAsia" w:ascii="宋体" w:hAnsi="宋体" w:eastAsia="宋体" w:cs="宋体"/>
                <w:szCs w:val="21"/>
              </w:rPr>
              <w:t>现状评价</w:t>
            </w:r>
          </w:p>
        </w:tc>
        <w:tc>
          <w:tcPr>
            <w:tcW w:w="1770" w:type="dxa"/>
            <w:vAlign w:val="center"/>
          </w:tcPr>
          <w:p>
            <w:pPr>
              <w:pStyle w:val="675"/>
              <w:autoSpaceDE w:val="0"/>
              <w:autoSpaceDN w:val="0"/>
              <w:jc w:val="center"/>
              <w:rPr>
                <w:szCs w:val="21"/>
              </w:rPr>
            </w:pPr>
            <w:r>
              <w:rPr>
                <w:rFonts w:hint="eastAsia" w:ascii="宋体" w:hAnsi="宋体" w:eastAsia="宋体" w:cs="宋体"/>
                <w:szCs w:val="21"/>
              </w:rPr>
              <w:t>环境功能区</w:t>
            </w:r>
          </w:p>
        </w:tc>
        <w:tc>
          <w:tcPr>
            <w:tcW w:w="2659" w:type="dxa"/>
            <w:gridSpan w:val="7"/>
            <w:vAlign w:val="center"/>
          </w:tcPr>
          <w:p>
            <w:pPr>
              <w:pStyle w:val="675"/>
              <w:autoSpaceDE w:val="0"/>
              <w:autoSpaceDN w:val="0"/>
              <w:jc w:val="center"/>
              <w:rPr>
                <w:szCs w:val="21"/>
              </w:rPr>
            </w:pPr>
            <w:r>
              <w:rPr>
                <w:rFonts w:hint="eastAsia" w:ascii="宋体" w:hAnsi="宋体" w:eastAsia="宋体" w:cs="宋体"/>
                <w:szCs w:val="21"/>
              </w:rPr>
              <w:t>一类区</w:t>
            </w:r>
            <w:r>
              <w:rPr>
                <w:rFonts w:ascii="Times New Roman" w:hAnsi="Times New Roman" w:cs="Times New Roman"/>
                <w:szCs w:val="21"/>
              </w:rPr>
              <w:t>□</w:t>
            </w:r>
          </w:p>
        </w:tc>
        <w:tc>
          <w:tcPr>
            <w:tcW w:w="2334" w:type="dxa"/>
            <w:gridSpan w:val="6"/>
            <w:vAlign w:val="center"/>
          </w:tcPr>
          <w:p>
            <w:pPr>
              <w:pStyle w:val="675"/>
              <w:autoSpaceDE w:val="0"/>
              <w:autoSpaceDN w:val="0"/>
              <w:jc w:val="center"/>
              <w:rPr>
                <w:rFonts w:hint="eastAsia" w:eastAsia="宋体"/>
                <w:szCs w:val="21"/>
              </w:rPr>
            </w:pPr>
            <w:r>
              <w:rPr>
                <w:rFonts w:hint="eastAsia" w:ascii="宋体" w:hAnsi="宋体" w:eastAsia="宋体" w:cs="宋体"/>
                <w:szCs w:val="21"/>
              </w:rPr>
              <w:t>二类区</w:t>
            </w:r>
            <w:r>
              <w:rPr>
                <w:rFonts w:hint="eastAsia" w:ascii="MS Mincho" w:hAnsi="MS Mincho" w:eastAsia="MS Mincho" w:cs="MS Mincho"/>
                <w:szCs w:val="21"/>
                <w:lang w:val="en-US"/>
              </w:rPr>
              <w:t>☑</w:t>
            </w:r>
          </w:p>
        </w:tc>
        <w:tc>
          <w:tcPr>
            <w:tcW w:w="1718" w:type="dxa"/>
            <w:gridSpan w:val="4"/>
            <w:vAlign w:val="center"/>
          </w:tcPr>
          <w:p>
            <w:pPr>
              <w:pStyle w:val="675"/>
              <w:autoSpaceDE w:val="0"/>
              <w:autoSpaceDN w:val="0"/>
              <w:jc w:val="center"/>
              <w:rPr>
                <w:szCs w:val="21"/>
              </w:rPr>
            </w:pPr>
            <w:r>
              <w:rPr>
                <w:rFonts w:hint="eastAsia" w:ascii="宋体" w:hAnsi="宋体" w:eastAsia="宋体" w:cs="宋体"/>
                <w:szCs w:val="21"/>
              </w:rPr>
              <w:t>一类区和二类区</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评价基准年</w:t>
            </w:r>
          </w:p>
        </w:tc>
        <w:tc>
          <w:tcPr>
            <w:tcW w:w="6711" w:type="dxa"/>
            <w:gridSpan w:val="17"/>
            <w:vAlign w:val="center"/>
          </w:tcPr>
          <w:p>
            <w:pPr>
              <w:pStyle w:val="675"/>
              <w:tabs>
                <w:tab w:val="left" w:pos="658"/>
              </w:tabs>
              <w:autoSpaceDE w:val="0"/>
              <w:autoSpaceDN w:val="0"/>
              <w:jc w:val="center"/>
              <w:rPr>
                <w:szCs w:val="21"/>
              </w:rPr>
            </w:pPr>
            <w:r>
              <w:rPr>
                <w:rFonts w:hint="eastAsia" w:ascii="宋体" w:hAnsi="宋体" w:eastAsia="宋体" w:cs="宋体"/>
                <w:szCs w:val="21"/>
              </w:rPr>
              <w:t>（</w:t>
            </w:r>
            <w:r>
              <w:rPr>
                <w:rFonts w:ascii="Times New Roman" w:hAnsi="Times New Roman" w:eastAsia="宋体" w:cs="Times New Roman"/>
                <w:szCs w:val="21"/>
                <w:lang w:val="en-US"/>
              </w:rPr>
              <w:t>202</w:t>
            </w:r>
            <w:r>
              <w:rPr>
                <w:rFonts w:hint="eastAsia" w:ascii="Times New Roman" w:hAnsi="Times New Roman" w:eastAsia="宋体" w:cs="Times New Roman"/>
                <w:szCs w:val="21"/>
                <w:lang w:val="en-US"/>
              </w:rPr>
              <w:t>3</w:t>
            </w:r>
            <w:r>
              <w:rPr>
                <w:rFonts w:hint="eastAsia" w:ascii="宋体" w:hAnsi="宋体" w:eastAsia="宋体" w:cs="宋体"/>
                <w:szCs w:val="21"/>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环境空气质量</w:t>
            </w:r>
          </w:p>
          <w:p>
            <w:pPr>
              <w:pStyle w:val="675"/>
              <w:autoSpaceDE w:val="0"/>
              <w:autoSpaceDN w:val="0"/>
              <w:jc w:val="center"/>
              <w:rPr>
                <w:szCs w:val="21"/>
              </w:rPr>
            </w:pPr>
            <w:r>
              <w:rPr>
                <w:rFonts w:hint="eastAsia" w:ascii="宋体" w:hAnsi="宋体" w:eastAsia="宋体" w:cs="宋体"/>
                <w:szCs w:val="21"/>
              </w:rPr>
              <w:t>现状调查数据来源</w:t>
            </w:r>
          </w:p>
        </w:tc>
        <w:tc>
          <w:tcPr>
            <w:tcW w:w="2659" w:type="dxa"/>
            <w:gridSpan w:val="7"/>
            <w:vAlign w:val="center"/>
          </w:tcPr>
          <w:p>
            <w:pPr>
              <w:pStyle w:val="675"/>
              <w:autoSpaceDE w:val="0"/>
              <w:autoSpaceDN w:val="0"/>
              <w:spacing w:before="71"/>
              <w:jc w:val="center"/>
              <w:rPr>
                <w:szCs w:val="21"/>
              </w:rPr>
            </w:pPr>
            <w:r>
              <w:rPr>
                <w:rFonts w:hint="eastAsia" w:ascii="宋体" w:hAnsi="宋体" w:eastAsia="宋体" w:cs="宋体"/>
                <w:szCs w:val="21"/>
              </w:rPr>
              <w:t>长期例行监测数据</w:t>
            </w:r>
            <w:r>
              <w:rPr>
                <w:rFonts w:ascii="Times New Roman" w:hAnsi="Times New Roman" w:cs="Times New Roman"/>
                <w:szCs w:val="21"/>
              </w:rPr>
              <w:t>□</w:t>
            </w:r>
          </w:p>
        </w:tc>
        <w:tc>
          <w:tcPr>
            <w:tcW w:w="2334" w:type="dxa"/>
            <w:gridSpan w:val="6"/>
            <w:vAlign w:val="center"/>
          </w:tcPr>
          <w:p>
            <w:pPr>
              <w:pStyle w:val="675"/>
              <w:autoSpaceDE w:val="0"/>
              <w:autoSpaceDN w:val="0"/>
              <w:spacing w:before="71"/>
              <w:jc w:val="center"/>
              <w:rPr>
                <w:rFonts w:hint="eastAsia" w:eastAsia="宋体"/>
                <w:szCs w:val="21"/>
              </w:rPr>
            </w:pPr>
            <w:r>
              <w:rPr>
                <w:rFonts w:hint="eastAsia" w:ascii="宋体" w:hAnsi="宋体" w:eastAsia="宋体" w:cs="宋体"/>
                <w:szCs w:val="21"/>
              </w:rPr>
              <w:t>主管部门发布的数据</w:t>
            </w:r>
            <w:r>
              <w:rPr>
                <w:rFonts w:hint="eastAsia" w:ascii="MS Mincho" w:hAnsi="MS Mincho" w:eastAsia="MS Mincho" w:cs="MS Mincho"/>
                <w:szCs w:val="21"/>
              </w:rPr>
              <w:t>☑</w:t>
            </w:r>
          </w:p>
        </w:tc>
        <w:tc>
          <w:tcPr>
            <w:tcW w:w="1718" w:type="dxa"/>
            <w:gridSpan w:val="4"/>
            <w:vAlign w:val="center"/>
          </w:tcPr>
          <w:p>
            <w:pPr>
              <w:pStyle w:val="675"/>
              <w:autoSpaceDE w:val="0"/>
              <w:autoSpaceDN w:val="0"/>
              <w:spacing w:before="71"/>
              <w:jc w:val="center"/>
              <w:rPr>
                <w:rFonts w:hint="eastAsia" w:eastAsia="宋体"/>
                <w:szCs w:val="21"/>
              </w:rPr>
            </w:pPr>
            <w:r>
              <w:rPr>
                <w:rFonts w:hint="eastAsia" w:ascii="宋体" w:hAnsi="宋体" w:eastAsia="宋体" w:cs="宋体"/>
                <w:szCs w:val="21"/>
              </w:rPr>
              <w:t>现状补充监测</w:t>
            </w:r>
            <w:r>
              <w:rPr>
                <w:rFonts w:hint="eastAsia" w:ascii="MS Mincho" w:hAnsi="MS Mincho" w:eastAsia="MS Mincho" w:cs="MS Mincho"/>
                <w:szCs w:val="21"/>
                <w:lang w:val="en-US"/>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现状评价</w:t>
            </w:r>
          </w:p>
        </w:tc>
        <w:tc>
          <w:tcPr>
            <w:tcW w:w="3516" w:type="dxa"/>
            <w:gridSpan w:val="10"/>
            <w:vAlign w:val="center"/>
          </w:tcPr>
          <w:p>
            <w:pPr>
              <w:pStyle w:val="675"/>
              <w:autoSpaceDE w:val="0"/>
              <w:autoSpaceDN w:val="0"/>
              <w:jc w:val="center"/>
              <w:rPr>
                <w:szCs w:val="21"/>
              </w:rPr>
            </w:pPr>
            <w:r>
              <w:rPr>
                <w:rFonts w:hint="eastAsia" w:ascii="宋体" w:hAnsi="宋体" w:eastAsia="宋体" w:cs="宋体"/>
                <w:szCs w:val="21"/>
              </w:rPr>
              <w:t>达标区</w:t>
            </w:r>
            <w:r>
              <w:rPr>
                <w:rFonts w:hint="eastAsia" w:eastAsia="宋体"/>
                <w:szCs w:val="21"/>
              </w:rPr>
              <w:t>□</w:t>
            </w:r>
          </w:p>
        </w:tc>
        <w:tc>
          <w:tcPr>
            <w:tcW w:w="3195" w:type="dxa"/>
            <w:gridSpan w:val="7"/>
            <w:vAlign w:val="center"/>
          </w:tcPr>
          <w:p>
            <w:pPr>
              <w:pStyle w:val="675"/>
              <w:autoSpaceDE w:val="0"/>
              <w:autoSpaceDN w:val="0"/>
              <w:jc w:val="center"/>
              <w:rPr>
                <w:rFonts w:hint="eastAsia" w:eastAsia="宋体"/>
                <w:szCs w:val="21"/>
              </w:rPr>
            </w:pPr>
            <w:r>
              <w:rPr>
                <w:rFonts w:hint="eastAsia" w:ascii="宋体" w:hAnsi="宋体" w:eastAsia="宋体" w:cs="宋体"/>
                <w:szCs w:val="21"/>
              </w:rPr>
              <w:t>不达标区</w:t>
            </w:r>
            <w:r>
              <w:rPr>
                <w:rFonts w:hint="eastAsia" w:ascii="MS Mincho" w:hAnsi="MS Mincho" w:eastAsia="MS Mincho" w:cs="MS Mincho"/>
                <w:szCs w:val="21"/>
                <w:lang w:val="en-US"/>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Align w:val="center"/>
          </w:tcPr>
          <w:p>
            <w:pPr>
              <w:pStyle w:val="675"/>
              <w:autoSpaceDE w:val="0"/>
              <w:autoSpaceDN w:val="0"/>
              <w:spacing w:before="154"/>
              <w:jc w:val="center"/>
              <w:rPr>
                <w:szCs w:val="21"/>
              </w:rPr>
            </w:pPr>
            <w:r>
              <w:rPr>
                <w:rFonts w:hint="eastAsia" w:ascii="宋体" w:hAnsi="宋体" w:eastAsia="宋体" w:cs="宋体"/>
                <w:szCs w:val="21"/>
              </w:rPr>
              <w:t>污染源调查</w:t>
            </w:r>
          </w:p>
        </w:tc>
        <w:tc>
          <w:tcPr>
            <w:tcW w:w="1770" w:type="dxa"/>
            <w:vAlign w:val="center"/>
          </w:tcPr>
          <w:p>
            <w:pPr>
              <w:pStyle w:val="675"/>
              <w:autoSpaceDE w:val="0"/>
              <w:autoSpaceDN w:val="0"/>
              <w:jc w:val="center"/>
              <w:rPr>
                <w:szCs w:val="21"/>
              </w:rPr>
            </w:pPr>
            <w:r>
              <w:rPr>
                <w:rFonts w:hint="eastAsia" w:ascii="宋体" w:hAnsi="宋体" w:eastAsia="宋体" w:cs="宋体"/>
                <w:szCs w:val="21"/>
              </w:rPr>
              <w:t>调查内容</w:t>
            </w:r>
          </w:p>
        </w:tc>
        <w:tc>
          <w:tcPr>
            <w:tcW w:w="2068" w:type="dxa"/>
            <w:gridSpan w:val="6"/>
            <w:vAlign w:val="center"/>
          </w:tcPr>
          <w:p>
            <w:pPr>
              <w:pStyle w:val="675"/>
              <w:autoSpaceDE w:val="0"/>
              <w:autoSpaceDN w:val="0"/>
              <w:jc w:val="center"/>
              <w:rPr>
                <w:rFonts w:hint="eastAsia" w:eastAsia="宋体"/>
                <w:szCs w:val="21"/>
              </w:rPr>
            </w:pPr>
            <w:r>
              <w:rPr>
                <w:rFonts w:hint="eastAsia" w:ascii="宋体" w:hAnsi="宋体" w:eastAsia="宋体" w:cs="宋体"/>
                <w:szCs w:val="21"/>
              </w:rPr>
              <w:t>本项目正常排放源</w:t>
            </w:r>
            <w:r>
              <w:rPr>
                <w:szCs w:val="21"/>
              </w:rPr>
              <w:t xml:space="preserve">  </w:t>
            </w:r>
            <w:r>
              <w:rPr>
                <w:rFonts w:hint="eastAsia" w:ascii="MS Mincho" w:hAnsi="MS Mincho" w:eastAsia="MS Mincho" w:cs="MS Mincho"/>
                <w:szCs w:val="21"/>
                <w:lang w:val="en-US"/>
              </w:rPr>
              <w:t>☑</w:t>
            </w:r>
          </w:p>
          <w:p>
            <w:pPr>
              <w:pStyle w:val="675"/>
              <w:autoSpaceDE w:val="0"/>
              <w:autoSpaceDN w:val="0"/>
              <w:jc w:val="center"/>
              <w:rPr>
                <w:rFonts w:hint="eastAsia" w:eastAsia="宋体"/>
                <w:szCs w:val="21"/>
              </w:rPr>
            </w:pPr>
            <w:r>
              <w:rPr>
                <w:rFonts w:hint="eastAsia" w:ascii="宋体" w:hAnsi="宋体" w:eastAsia="宋体" w:cs="宋体"/>
                <w:szCs w:val="21"/>
              </w:rPr>
              <w:t>本项目非正常排放源</w:t>
            </w:r>
            <w:r>
              <w:rPr>
                <w:szCs w:val="21"/>
              </w:rPr>
              <w:t xml:space="preserve">  </w:t>
            </w:r>
            <w:r>
              <w:rPr>
                <w:rFonts w:hint="eastAsia" w:ascii="MS Mincho" w:hAnsi="MS Mincho" w:eastAsia="MS Mincho" w:cs="MS Mincho"/>
                <w:szCs w:val="21"/>
                <w:lang w:val="en-US"/>
              </w:rPr>
              <w:t>☑</w:t>
            </w:r>
          </w:p>
          <w:p>
            <w:pPr>
              <w:pStyle w:val="675"/>
              <w:autoSpaceDE w:val="0"/>
              <w:autoSpaceDN w:val="0"/>
              <w:jc w:val="center"/>
              <w:rPr>
                <w:rFonts w:hint="eastAsia" w:eastAsia="宋体"/>
                <w:szCs w:val="21"/>
              </w:rPr>
            </w:pPr>
            <w:r>
              <w:rPr>
                <w:rFonts w:hint="eastAsia" w:ascii="宋体" w:hAnsi="宋体" w:eastAsia="宋体" w:cs="宋体"/>
                <w:szCs w:val="21"/>
              </w:rPr>
              <w:t>现有污染源</w:t>
            </w:r>
            <w:r>
              <w:rPr>
                <w:szCs w:val="21"/>
              </w:rPr>
              <w:t xml:space="preserve">  </w:t>
            </w:r>
            <w:r>
              <w:rPr>
                <w:rFonts w:hint="eastAsia" w:eastAsia="宋体"/>
                <w:szCs w:val="21"/>
              </w:rPr>
              <w:t>□</w:t>
            </w:r>
          </w:p>
        </w:tc>
        <w:tc>
          <w:tcPr>
            <w:tcW w:w="1448" w:type="dxa"/>
            <w:gridSpan w:val="4"/>
            <w:vAlign w:val="center"/>
          </w:tcPr>
          <w:p>
            <w:pPr>
              <w:pStyle w:val="675"/>
              <w:autoSpaceDE w:val="0"/>
              <w:autoSpaceDN w:val="0"/>
              <w:jc w:val="center"/>
              <w:rPr>
                <w:rFonts w:hint="eastAsia" w:eastAsia="宋体"/>
                <w:szCs w:val="21"/>
              </w:rPr>
            </w:pPr>
            <w:r>
              <w:rPr>
                <w:rFonts w:hint="eastAsia" w:ascii="宋体" w:hAnsi="宋体" w:eastAsia="宋体" w:cs="宋体"/>
                <w:szCs w:val="21"/>
              </w:rPr>
              <w:t>拟替代的污染源</w:t>
            </w:r>
            <w:r>
              <w:rPr>
                <w:rFonts w:hint="eastAsia" w:eastAsia="宋体"/>
                <w:szCs w:val="21"/>
              </w:rPr>
              <w:t>□</w:t>
            </w:r>
          </w:p>
        </w:tc>
        <w:tc>
          <w:tcPr>
            <w:tcW w:w="1924" w:type="dxa"/>
            <w:gridSpan w:val="5"/>
            <w:vAlign w:val="center"/>
          </w:tcPr>
          <w:p>
            <w:pPr>
              <w:pStyle w:val="675"/>
              <w:autoSpaceDE w:val="0"/>
              <w:autoSpaceDN w:val="0"/>
              <w:spacing w:before="154"/>
              <w:jc w:val="center"/>
              <w:rPr>
                <w:szCs w:val="21"/>
              </w:rPr>
            </w:pPr>
            <w:r>
              <w:rPr>
                <w:rFonts w:hint="eastAsia" w:ascii="宋体" w:hAnsi="宋体" w:eastAsia="宋体" w:cs="宋体"/>
                <w:szCs w:val="21"/>
              </w:rPr>
              <w:t>其他在建、拟建项目污染源</w:t>
            </w:r>
            <w:r>
              <w:rPr>
                <w:rFonts w:ascii="Times New Roman" w:hAnsi="Times New Roman" w:cs="Times New Roman"/>
                <w:szCs w:val="21"/>
              </w:rPr>
              <w:t>□</w:t>
            </w:r>
          </w:p>
        </w:tc>
        <w:tc>
          <w:tcPr>
            <w:tcW w:w="1271" w:type="dxa"/>
            <w:gridSpan w:val="2"/>
            <w:vAlign w:val="center"/>
          </w:tcPr>
          <w:p>
            <w:pPr>
              <w:pStyle w:val="675"/>
              <w:autoSpaceDE w:val="0"/>
              <w:autoSpaceDN w:val="0"/>
              <w:jc w:val="center"/>
              <w:rPr>
                <w:szCs w:val="21"/>
              </w:rPr>
            </w:pPr>
            <w:r>
              <w:rPr>
                <w:rFonts w:hint="eastAsia" w:ascii="宋体" w:hAnsi="宋体" w:eastAsia="宋体" w:cs="宋体"/>
                <w:szCs w:val="21"/>
              </w:rPr>
              <w:t>区域污染源</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restart"/>
            <w:vAlign w:val="center"/>
          </w:tcPr>
          <w:p>
            <w:pPr>
              <w:pStyle w:val="675"/>
              <w:autoSpaceDE w:val="0"/>
              <w:autoSpaceDN w:val="0"/>
              <w:jc w:val="center"/>
              <w:rPr>
                <w:szCs w:val="21"/>
              </w:rPr>
            </w:pPr>
            <w:r>
              <w:rPr>
                <w:rFonts w:hint="eastAsia" w:ascii="宋体" w:hAnsi="宋体" w:eastAsia="宋体" w:cs="宋体"/>
                <w:szCs w:val="21"/>
              </w:rPr>
              <w:t>大气环境影响预测与</w:t>
            </w:r>
          </w:p>
          <w:p>
            <w:pPr>
              <w:pStyle w:val="675"/>
              <w:autoSpaceDE w:val="0"/>
              <w:autoSpaceDN w:val="0"/>
              <w:jc w:val="center"/>
              <w:rPr>
                <w:szCs w:val="21"/>
              </w:rPr>
            </w:pPr>
            <w:r>
              <w:rPr>
                <w:rFonts w:hint="eastAsia" w:ascii="宋体" w:hAnsi="宋体" w:eastAsia="宋体" w:cs="宋体"/>
                <w:szCs w:val="21"/>
              </w:rPr>
              <w:t>评价</w:t>
            </w:r>
          </w:p>
        </w:tc>
        <w:tc>
          <w:tcPr>
            <w:tcW w:w="1770" w:type="dxa"/>
            <w:vAlign w:val="center"/>
          </w:tcPr>
          <w:p>
            <w:pPr>
              <w:pStyle w:val="675"/>
              <w:autoSpaceDE w:val="0"/>
              <w:autoSpaceDN w:val="0"/>
              <w:spacing w:before="69"/>
              <w:jc w:val="center"/>
              <w:rPr>
                <w:szCs w:val="21"/>
              </w:rPr>
            </w:pPr>
            <w:r>
              <w:rPr>
                <w:rFonts w:hint="eastAsia" w:ascii="宋体" w:hAnsi="宋体" w:eastAsia="宋体" w:cs="宋体"/>
                <w:szCs w:val="21"/>
              </w:rPr>
              <w:t>预测模型</w:t>
            </w:r>
          </w:p>
        </w:tc>
        <w:tc>
          <w:tcPr>
            <w:tcW w:w="1024" w:type="dxa"/>
            <w:vAlign w:val="center"/>
          </w:tcPr>
          <w:p>
            <w:pPr>
              <w:pStyle w:val="675"/>
              <w:autoSpaceDE w:val="0"/>
              <w:autoSpaceDN w:val="0"/>
              <w:spacing w:before="52"/>
              <w:jc w:val="center"/>
              <w:rPr>
                <w:rFonts w:ascii="Times New Roman"/>
                <w:szCs w:val="21"/>
              </w:rPr>
            </w:pPr>
            <w:r>
              <w:rPr>
                <w:rFonts w:ascii="Times New Roman"/>
                <w:szCs w:val="21"/>
              </w:rPr>
              <w:t>AERMOD</w:t>
            </w:r>
          </w:p>
          <w:p>
            <w:pPr>
              <w:pStyle w:val="675"/>
              <w:autoSpaceDE w:val="0"/>
              <w:autoSpaceDN w:val="0"/>
              <w:jc w:val="center"/>
              <w:rPr>
                <w:szCs w:val="21"/>
              </w:rPr>
            </w:pPr>
            <w:r>
              <w:rPr>
                <w:rFonts w:ascii="Times New Roman" w:hAnsi="Times New Roman" w:cs="Times New Roman"/>
                <w:szCs w:val="21"/>
              </w:rPr>
              <w:t>□</w:t>
            </w:r>
          </w:p>
        </w:tc>
        <w:tc>
          <w:tcPr>
            <w:tcW w:w="921" w:type="dxa"/>
            <w:gridSpan w:val="4"/>
            <w:vAlign w:val="center"/>
          </w:tcPr>
          <w:p>
            <w:pPr>
              <w:pStyle w:val="675"/>
              <w:autoSpaceDE w:val="0"/>
              <w:autoSpaceDN w:val="0"/>
              <w:spacing w:before="52"/>
              <w:jc w:val="center"/>
              <w:rPr>
                <w:rFonts w:ascii="Times New Roman"/>
                <w:szCs w:val="21"/>
              </w:rPr>
            </w:pPr>
            <w:r>
              <w:rPr>
                <w:rFonts w:ascii="Times New Roman"/>
                <w:szCs w:val="21"/>
              </w:rPr>
              <w:t>ADMS</w:t>
            </w:r>
          </w:p>
          <w:p>
            <w:pPr>
              <w:pStyle w:val="675"/>
              <w:autoSpaceDE w:val="0"/>
              <w:autoSpaceDN w:val="0"/>
              <w:jc w:val="center"/>
              <w:rPr>
                <w:szCs w:val="21"/>
              </w:rPr>
            </w:pPr>
            <w:r>
              <w:rPr>
                <w:rFonts w:ascii="Times New Roman" w:hAnsi="Times New Roman" w:cs="Times New Roman"/>
                <w:szCs w:val="21"/>
              </w:rPr>
              <w:t>□</w:t>
            </w:r>
          </w:p>
        </w:tc>
        <w:tc>
          <w:tcPr>
            <w:tcW w:w="1116" w:type="dxa"/>
            <w:gridSpan w:val="3"/>
            <w:vAlign w:val="center"/>
          </w:tcPr>
          <w:p>
            <w:pPr>
              <w:pStyle w:val="675"/>
              <w:autoSpaceDE w:val="0"/>
              <w:autoSpaceDN w:val="0"/>
              <w:spacing w:before="52"/>
              <w:jc w:val="center"/>
              <w:rPr>
                <w:rFonts w:ascii="Times New Roman"/>
                <w:szCs w:val="21"/>
              </w:rPr>
            </w:pPr>
            <w:r>
              <w:rPr>
                <w:rFonts w:ascii="Times New Roman"/>
                <w:szCs w:val="21"/>
              </w:rPr>
              <w:t>AUSTAL2000</w:t>
            </w:r>
          </w:p>
          <w:p>
            <w:pPr>
              <w:pStyle w:val="675"/>
              <w:autoSpaceDE w:val="0"/>
              <w:autoSpaceDN w:val="0"/>
              <w:jc w:val="center"/>
              <w:rPr>
                <w:szCs w:val="21"/>
              </w:rPr>
            </w:pPr>
            <w:r>
              <w:rPr>
                <w:rFonts w:ascii="Times New Roman" w:hAnsi="Times New Roman" w:cs="Times New Roman"/>
                <w:szCs w:val="21"/>
              </w:rPr>
              <w:t>□</w:t>
            </w:r>
          </w:p>
        </w:tc>
        <w:tc>
          <w:tcPr>
            <w:tcW w:w="1090" w:type="dxa"/>
            <w:gridSpan w:val="3"/>
            <w:vAlign w:val="center"/>
          </w:tcPr>
          <w:p>
            <w:pPr>
              <w:pStyle w:val="675"/>
              <w:autoSpaceDE w:val="0"/>
              <w:autoSpaceDN w:val="0"/>
              <w:spacing w:before="52"/>
              <w:jc w:val="center"/>
              <w:rPr>
                <w:rFonts w:ascii="Times New Roman"/>
                <w:szCs w:val="21"/>
              </w:rPr>
            </w:pPr>
            <w:r>
              <w:rPr>
                <w:rFonts w:ascii="Times New Roman"/>
                <w:szCs w:val="21"/>
              </w:rPr>
              <w:t>EDMS/AEDT</w:t>
            </w:r>
          </w:p>
          <w:p>
            <w:pPr>
              <w:pStyle w:val="675"/>
              <w:autoSpaceDE w:val="0"/>
              <w:autoSpaceDN w:val="0"/>
              <w:jc w:val="center"/>
              <w:rPr>
                <w:szCs w:val="21"/>
              </w:rPr>
            </w:pPr>
            <w:r>
              <w:rPr>
                <w:rFonts w:ascii="Times New Roman" w:hAnsi="Times New Roman" w:cs="Times New Roman"/>
                <w:szCs w:val="21"/>
              </w:rPr>
              <w:t>□</w:t>
            </w:r>
          </w:p>
        </w:tc>
        <w:tc>
          <w:tcPr>
            <w:tcW w:w="842" w:type="dxa"/>
            <w:gridSpan w:val="2"/>
            <w:vAlign w:val="center"/>
          </w:tcPr>
          <w:p>
            <w:pPr>
              <w:pStyle w:val="675"/>
              <w:autoSpaceDE w:val="0"/>
              <w:autoSpaceDN w:val="0"/>
              <w:spacing w:before="52"/>
              <w:jc w:val="center"/>
              <w:rPr>
                <w:rFonts w:ascii="Times New Roman"/>
                <w:szCs w:val="21"/>
              </w:rPr>
            </w:pPr>
            <w:r>
              <w:rPr>
                <w:rFonts w:ascii="Times New Roman"/>
                <w:szCs w:val="21"/>
              </w:rPr>
              <w:t>CALPUFF</w:t>
            </w:r>
          </w:p>
          <w:p>
            <w:pPr>
              <w:pStyle w:val="675"/>
              <w:autoSpaceDE w:val="0"/>
              <w:autoSpaceDN w:val="0"/>
              <w:jc w:val="center"/>
              <w:rPr>
                <w:szCs w:val="21"/>
              </w:rPr>
            </w:pPr>
            <w:r>
              <w:rPr>
                <w:rFonts w:ascii="Times New Roman" w:hAnsi="Times New Roman" w:cs="Times New Roman"/>
                <w:szCs w:val="21"/>
              </w:rPr>
              <w:t>□</w:t>
            </w:r>
          </w:p>
        </w:tc>
        <w:tc>
          <w:tcPr>
            <w:tcW w:w="959" w:type="dxa"/>
            <w:gridSpan w:val="3"/>
            <w:vAlign w:val="center"/>
          </w:tcPr>
          <w:p>
            <w:pPr>
              <w:pStyle w:val="675"/>
              <w:autoSpaceDE w:val="0"/>
              <w:autoSpaceDN w:val="0"/>
              <w:jc w:val="center"/>
              <w:rPr>
                <w:szCs w:val="21"/>
              </w:rPr>
            </w:pPr>
            <w:r>
              <w:rPr>
                <w:rFonts w:hint="eastAsia" w:ascii="宋体" w:hAnsi="宋体" w:eastAsia="宋体" w:cs="宋体"/>
                <w:szCs w:val="21"/>
              </w:rPr>
              <w:t>网格模型</w:t>
            </w:r>
          </w:p>
          <w:p>
            <w:pPr>
              <w:pStyle w:val="675"/>
              <w:autoSpaceDE w:val="0"/>
              <w:autoSpaceDN w:val="0"/>
              <w:jc w:val="center"/>
              <w:rPr>
                <w:szCs w:val="21"/>
              </w:rPr>
            </w:pPr>
            <w:r>
              <w:rPr>
                <w:rFonts w:ascii="Times New Roman" w:hAnsi="Times New Roman" w:cs="Times New Roman"/>
                <w:szCs w:val="21"/>
              </w:rPr>
              <w:t>□</w:t>
            </w:r>
          </w:p>
        </w:tc>
        <w:tc>
          <w:tcPr>
            <w:tcW w:w="759" w:type="dxa"/>
            <w:vAlign w:val="center"/>
          </w:tcPr>
          <w:p>
            <w:pPr>
              <w:pStyle w:val="675"/>
              <w:autoSpaceDE w:val="0"/>
              <w:autoSpaceDN w:val="0"/>
              <w:jc w:val="center"/>
              <w:rPr>
                <w:szCs w:val="21"/>
              </w:rPr>
            </w:pPr>
            <w:r>
              <w:rPr>
                <w:rFonts w:hint="eastAsia" w:ascii="宋体" w:hAnsi="宋体" w:eastAsia="宋体" w:cs="宋体"/>
                <w:szCs w:val="21"/>
              </w:rPr>
              <w:t>其他</w:t>
            </w:r>
          </w:p>
          <w:p>
            <w:pPr>
              <w:pStyle w:val="675"/>
              <w:autoSpaceDE w:val="0"/>
              <w:autoSpaceDN w:val="0"/>
              <w:jc w:val="center"/>
              <w:rPr>
                <w:rFonts w:hint="eastAsia" w:eastAsia="宋体"/>
                <w:szCs w:val="21"/>
              </w:rPr>
            </w:pPr>
            <w:r>
              <w:rPr>
                <w:rFonts w:hint="eastAsia" w:eastAsia="宋体"/>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预测范围</w:t>
            </w:r>
          </w:p>
        </w:tc>
        <w:tc>
          <w:tcPr>
            <w:tcW w:w="1945" w:type="dxa"/>
            <w:gridSpan w:val="5"/>
            <w:vAlign w:val="center"/>
          </w:tcPr>
          <w:p>
            <w:pPr>
              <w:pStyle w:val="675"/>
              <w:autoSpaceDE w:val="0"/>
              <w:autoSpaceDN w:val="0"/>
              <w:jc w:val="center"/>
              <w:rPr>
                <w:szCs w:val="21"/>
              </w:rPr>
            </w:pPr>
            <w:r>
              <w:rPr>
                <w:rFonts w:hint="eastAsia" w:ascii="宋体" w:hAnsi="宋体" w:eastAsia="宋体" w:cs="宋体"/>
                <w:szCs w:val="21"/>
              </w:rPr>
              <w:t>边长≥</w:t>
            </w:r>
            <w:r>
              <w:rPr>
                <w:rFonts w:ascii="RomanS" w:hAnsi="RomanS" w:cs="RomanS"/>
                <w:szCs w:val="21"/>
              </w:rPr>
              <w:t xml:space="preserve"> </w:t>
            </w:r>
            <w:r>
              <w:rPr>
                <w:rFonts w:ascii="Times New Roman" w:hAnsi="Times New Roman" w:eastAsia="Times New Roman"/>
                <w:szCs w:val="21"/>
              </w:rPr>
              <w:t>50km</w:t>
            </w:r>
            <w:r>
              <w:rPr>
                <w:rFonts w:ascii="Times New Roman" w:hAnsi="Times New Roman" w:cs="Times New Roman"/>
                <w:szCs w:val="21"/>
              </w:rPr>
              <w:t>□</w:t>
            </w:r>
          </w:p>
        </w:tc>
        <w:tc>
          <w:tcPr>
            <w:tcW w:w="3048" w:type="dxa"/>
            <w:gridSpan w:val="8"/>
            <w:vAlign w:val="center"/>
          </w:tcPr>
          <w:p>
            <w:pPr>
              <w:pStyle w:val="675"/>
              <w:autoSpaceDE w:val="0"/>
              <w:autoSpaceDN w:val="0"/>
              <w:jc w:val="center"/>
              <w:rPr>
                <w:szCs w:val="21"/>
              </w:rPr>
            </w:pPr>
            <w:r>
              <w:rPr>
                <w:rFonts w:hint="eastAsia" w:ascii="宋体" w:hAnsi="宋体" w:eastAsia="宋体" w:cs="宋体"/>
                <w:szCs w:val="21"/>
              </w:rPr>
              <w:t>边</w:t>
            </w:r>
            <w:r>
              <w:rPr>
                <w:szCs w:val="21"/>
              </w:rPr>
              <w:t xml:space="preserve"> </w:t>
            </w:r>
            <w:r>
              <w:rPr>
                <w:rFonts w:hint="eastAsia" w:ascii="宋体" w:hAnsi="宋体" w:eastAsia="宋体" w:cs="宋体"/>
                <w:szCs w:val="21"/>
              </w:rPr>
              <w:t>长</w:t>
            </w:r>
            <w:r>
              <w:rPr>
                <w:szCs w:val="21"/>
              </w:rPr>
              <w:t xml:space="preserve"> </w:t>
            </w:r>
            <w:r>
              <w:rPr>
                <w:rFonts w:ascii="Times New Roman" w:hAnsi="Times New Roman" w:eastAsia="Times New Roman"/>
                <w:szCs w:val="21"/>
              </w:rPr>
              <w:t>5</w:t>
            </w:r>
            <w:r>
              <w:rPr>
                <w:rFonts w:hint="eastAsia" w:ascii="宋体" w:hAnsi="宋体" w:eastAsia="宋体" w:cs="宋体"/>
                <w:szCs w:val="21"/>
              </w:rPr>
              <w:t>～</w:t>
            </w:r>
            <w:r>
              <w:rPr>
                <w:rFonts w:ascii="Times New Roman" w:hAnsi="Times New Roman" w:eastAsia="Times New Roman"/>
                <w:szCs w:val="21"/>
              </w:rPr>
              <w:t xml:space="preserve">50km </w:t>
            </w:r>
            <w:r>
              <w:rPr>
                <w:rFonts w:ascii="Times New Roman" w:hAnsi="Times New Roman" w:cs="Times New Roman"/>
                <w:szCs w:val="21"/>
              </w:rPr>
              <w:t>□</w:t>
            </w:r>
          </w:p>
        </w:tc>
        <w:tc>
          <w:tcPr>
            <w:tcW w:w="1718" w:type="dxa"/>
            <w:gridSpan w:val="4"/>
            <w:vAlign w:val="center"/>
          </w:tcPr>
          <w:p>
            <w:pPr>
              <w:pStyle w:val="675"/>
              <w:autoSpaceDE w:val="0"/>
              <w:autoSpaceDN w:val="0"/>
              <w:jc w:val="center"/>
              <w:rPr>
                <w:szCs w:val="21"/>
              </w:rPr>
            </w:pPr>
            <w:r>
              <w:rPr>
                <w:rFonts w:hint="eastAsia" w:ascii="宋体" w:hAnsi="宋体" w:eastAsia="宋体" w:cs="宋体"/>
                <w:szCs w:val="21"/>
              </w:rPr>
              <w:t>边</w:t>
            </w:r>
            <w:r>
              <w:rPr>
                <w:szCs w:val="21"/>
              </w:rPr>
              <w:t xml:space="preserve"> </w:t>
            </w:r>
            <w:r>
              <w:rPr>
                <w:rFonts w:hint="eastAsia" w:ascii="宋体" w:hAnsi="宋体" w:eastAsia="宋体" w:cs="宋体"/>
                <w:szCs w:val="21"/>
              </w:rPr>
              <w:t>长</w:t>
            </w:r>
            <w:r>
              <w:rPr>
                <w:szCs w:val="21"/>
              </w:rPr>
              <w:t xml:space="preserve"> </w:t>
            </w:r>
            <w:r>
              <w:rPr>
                <w:rFonts w:ascii="Times New Roman" w:hAnsi="Times New Roman" w:eastAsia="Times New Roman"/>
                <w:szCs w:val="21"/>
              </w:rPr>
              <w:t xml:space="preserve">= 5 km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spacing w:before="72"/>
              <w:jc w:val="center"/>
              <w:rPr>
                <w:szCs w:val="21"/>
              </w:rPr>
            </w:pPr>
            <w:r>
              <w:rPr>
                <w:rFonts w:hint="eastAsia" w:ascii="宋体" w:hAnsi="宋体" w:eastAsia="宋体" w:cs="宋体"/>
                <w:szCs w:val="21"/>
              </w:rPr>
              <w:t>预测因子</w:t>
            </w:r>
          </w:p>
        </w:tc>
        <w:tc>
          <w:tcPr>
            <w:tcW w:w="3516" w:type="dxa"/>
            <w:gridSpan w:val="10"/>
            <w:vAlign w:val="center"/>
          </w:tcPr>
          <w:p>
            <w:pPr>
              <w:pStyle w:val="675"/>
              <w:tabs>
                <w:tab w:val="left" w:pos="2989"/>
              </w:tabs>
              <w:autoSpaceDE w:val="0"/>
              <w:autoSpaceDN w:val="0"/>
              <w:spacing w:before="72"/>
              <w:jc w:val="center"/>
              <w:rPr>
                <w:rFonts w:ascii="Times New Roman" w:eastAsia="Times New Roman"/>
                <w:szCs w:val="21"/>
              </w:rPr>
            </w:pPr>
            <w:r>
              <w:rPr>
                <w:rFonts w:hint="eastAsia" w:ascii="宋体" w:hAnsi="宋体" w:eastAsia="宋体" w:cs="宋体"/>
                <w:szCs w:val="21"/>
              </w:rPr>
              <w:t>预测因子</w:t>
            </w:r>
            <w:r>
              <w:rPr>
                <w:rFonts w:ascii="Times New Roman" w:eastAsia="Times New Roman"/>
                <w:szCs w:val="21"/>
              </w:rPr>
              <w:t>(</w:t>
            </w:r>
            <w:r>
              <w:rPr>
                <w:rFonts w:ascii="Times New Roman" w:eastAsia="Times New Roman"/>
                <w:szCs w:val="21"/>
              </w:rPr>
              <w:tab/>
            </w:r>
            <w:r>
              <w:rPr>
                <w:rFonts w:ascii="Times New Roman" w:eastAsia="Times New Roman"/>
                <w:szCs w:val="21"/>
              </w:rPr>
              <w:t>)</w:t>
            </w:r>
          </w:p>
        </w:tc>
        <w:tc>
          <w:tcPr>
            <w:tcW w:w="3195" w:type="dxa"/>
            <w:gridSpan w:val="7"/>
            <w:vAlign w:val="center"/>
          </w:tcPr>
          <w:p>
            <w:pPr>
              <w:pStyle w:val="675"/>
              <w:autoSpaceDE w:val="0"/>
              <w:autoSpaceDN w:val="0"/>
              <w:jc w:val="center"/>
              <w:rPr>
                <w:szCs w:val="21"/>
              </w:rPr>
            </w:pPr>
            <w:r>
              <w:rPr>
                <w:rFonts w:hint="eastAsia" w:ascii="宋体" w:hAnsi="宋体" w:eastAsia="宋体" w:cs="宋体"/>
                <w:position w:val="1"/>
                <w:szCs w:val="21"/>
              </w:rPr>
              <w:t>包括二次</w:t>
            </w:r>
            <w:r>
              <w:rPr>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rPr>
              <w:t>2.5</w:t>
            </w:r>
            <w:r>
              <w:rPr>
                <w:rFonts w:ascii="Times New Roman" w:hAnsi="Times New Roman" w:eastAsia="Times New Roman"/>
                <w:spacing w:val="14"/>
                <w:szCs w:val="21"/>
              </w:rPr>
              <w:t xml:space="preserve">  </w:t>
            </w:r>
            <w:r>
              <w:rPr>
                <w:rFonts w:ascii="Times New Roman" w:hAnsi="Times New Roman" w:cs="Times New Roman"/>
                <w:position w:val="1"/>
                <w:szCs w:val="21"/>
              </w:rPr>
              <w:t>□</w:t>
            </w:r>
          </w:p>
          <w:p>
            <w:pPr>
              <w:pStyle w:val="675"/>
              <w:autoSpaceDE w:val="0"/>
              <w:autoSpaceDN w:val="0"/>
              <w:jc w:val="center"/>
              <w:rPr>
                <w:szCs w:val="21"/>
              </w:rPr>
            </w:pPr>
            <w:r>
              <w:rPr>
                <w:rFonts w:hint="eastAsia" w:ascii="宋体" w:hAnsi="宋体" w:eastAsia="宋体" w:cs="宋体"/>
                <w:position w:val="1"/>
                <w:szCs w:val="21"/>
              </w:rPr>
              <w:t>不包括二次</w:t>
            </w:r>
            <w:r>
              <w:rPr>
                <w:position w:val="1"/>
                <w:szCs w:val="21"/>
              </w:rPr>
              <w:t xml:space="preserve"> </w:t>
            </w:r>
            <w:r>
              <w:rPr>
                <w:rFonts w:ascii="Times New Roman" w:hAnsi="Times New Roman" w:eastAsia="Times New Roman"/>
                <w:position w:val="1"/>
                <w:szCs w:val="21"/>
              </w:rPr>
              <w:t>PM</w:t>
            </w:r>
            <w:r>
              <w:rPr>
                <w:rFonts w:ascii="Times New Roman" w:hAnsi="Times New Roman" w:eastAsia="Times New Roman"/>
                <w:szCs w:val="21"/>
              </w:rPr>
              <w:t>2.5</w:t>
            </w:r>
            <w:r>
              <w:rPr>
                <w:rFonts w:ascii="Times New Roman" w:hAnsi="Times New Roman" w:eastAsia="Times New Roman"/>
                <w:spacing w:val="14"/>
                <w:szCs w:val="21"/>
              </w:rPr>
              <w:t xml:space="preserve">  </w:t>
            </w:r>
            <w:r>
              <w:rPr>
                <w:rFonts w:ascii="Times New Roman" w:hAnsi="Times New Roman" w:cs="Times New Roman"/>
                <w:position w:val="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正常排放短期浓度</w:t>
            </w:r>
          </w:p>
          <w:p>
            <w:pPr>
              <w:pStyle w:val="675"/>
              <w:autoSpaceDE w:val="0"/>
              <w:autoSpaceDN w:val="0"/>
              <w:jc w:val="center"/>
              <w:rPr>
                <w:szCs w:val="21"/>
              </w:rPr>
            </w:pPr>
            <w:r>
              <w:rPr>
                <w:rFonts w:hint="eastAsia" w:ascii="宋体" w:hAnsi="宋体" w:eastAsia="宋体" w:cs="宋体"/>
                <w:szCs w:val="21"/>
              </w:rPr>
              <w:t>贡献值</w:t>
            </w:r>
          </w:p>
        </w:tc>
        <w:tc>
          <w:tcPr>
            <w:tcW w:w="3516" w:type="dxa"/>
            <w:gridSpan w:val="10"/>
            <w:vAlign w:val="center"/>
          </w:tcPr>
          <w:p>
            <w:pPr>
              <w:pStyle w:val="675"/>
              <w:autoSpaceDE w:val="0"/>
              <w:autoSpaceDN w:val="0"/>
              <w:spacing w:before="35"/>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最大占标率</w:t>
            </w:r>
            <w:r>
              <w:rPr>
                <w:szCs w:val="21"/>
              </w:rPr>
              <w:t>≤</w:t>
            </w:r>
            <w:r>
              <w:rPr>
                <w:rFonts w:ascii="Times New Roman" w:hAnsi="Times New Roman" w:eastAsia="Times New Roman"/>
                <w:szCs w:val="21"/>
              </w:rPr>
              <w:t>100%</w:t>
            </w:r>
            <w:r>
              <w:rPr>
                <w:rFonts w:ascii="Times New Roman" w:hAnsi="Times New Roman" w:cs="Times New Roman"/>
                <w:szCs w:val="21"/>
              </w:rPr>
              <w:t>□</w:t>
            </w:r>
          </w:p>
        </w:tc>
        <w:tc>
          <w:tcPr>
            <w:tcW w:w="3195" w:type="dxa"/>
            <w:gridSpan w:val="7"/>
            <w:vAlign w:val="center"/>
          </w:tcPr>
          <w:p>
            <w:pPr>
              <w:pStyle w:val="675"/>
              <w:autoSpaceDE w:val="0"/>
              <w:autoSpaceDN w:val="0"/>
              <w:spacing w:before="35"/>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最大占标率＞</w:t>
            </w:r>
            <w:r>
              <w:rPr>
                <w:rFonts w:ascii="Times New Roman" w:hAnsi="Times New Roman" w:eastAsia="Times New Roman"/>
                <w:szCs w:val="21"/>
              </w:rPr>
              <w:t xml:space="preserve">100%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Merge w:val="restart"/>
            <w:vAlign w:val="center"/>
          </w:tcPr>
          <w:p>
            <w:pPr>
              <w:pStyle w:val="675"/>
              <w:autoSpaceDE w:val="0"/>
              <w:autoSpaceDN w:val="0"/>
              <w:jc w:val="center"/>
              <w:rPr>
                <w:szCs w:val="21"/>
              </w:rPr>
            </w:pPr>
            <w:r>
              <w:rPr>
                <w:rFonts w:hint="eastAsia" w:ascii="宋体" w:hAnsi="宋体" w:eastAsia="宋体" w:cs="宋体"/>
                <w:szCs w:val="21"/>
              </w:rPr>
              <w:t>正常排放年均浓度贡献值</w:t>
            </w:r>
          </w:p>
        </w:tc>
        <w:tc>
          <w:tcPr>
            <w:tcW w:w="1024" w:type="dxa"/>
            <w:vAlign w:val="center"/>
          </w:tcPr>
          <w:p>
            <w:pPr>
              <w:pStyle w:val="675"/>
              <w:autoSpaceDE w:val="0"/>
              <w:autoSpaceDN w:val="0"/>
              <w:spacing w:before="55"/>
              <w:jc w:val="center"/>
              <w:rPr>
                <w:szCs w:val="21"/>
              </w:rPr>
            </w:pPr>
            <w:r>
              <w:rPr>
                <w:rFonts w:hint="eastAsia" w:ascii="宋体" w:hAnsi="宋体" w:eastAsia="宋体" w:cs="宋体"/>
                <w:szCs w:val="21"/>
              </w:rPr>
              <w:t>一类区</w:t>
            </w:r>
          </w:p>
        </w:tc>
        <w:tc>
          <w:tcPr>
            <w:tcW w:w="2492" w:type="dxa"/>
            <w:gridSpan w:val="9"/>
            <w:vAlign w:val="center"/>
          </w:tcPr>
          <w:p>
            <w:pPr>
              <w:pStyle w:val="675"/>
              <w:autoSpaceDE w:val="0"/>
              <w:autoSpaceDN w:val="0"/>
              <w:spacing w:before="19"/>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最大占标率</w:t>
            </w:r>
            <w:r>
              <w:rPr>
                <w:szCs w:val="21"/>
              </w:rPr>
              <w:t>≤</w:t>
            </w:r>
            <w:r>
              <w:rPr>
                <w:rFonts w:ascii="Times New Roman" w:hAnsi="Times New Roman" w:eastAsia="Times New Roman"/>
                <w:szCs w:val="21"/>
              </w:rPr>
              <w:t>10%</w:t>
            </w:r>
            <w:r>
              <w:rPr>
                <w:rFonts w:ascii="Times New Roman" w:hAnsi="Times New Roman" w:cs="Times New Roman"/>
                <w:szCs w:val="21"/>
              </w:rPr>
              <w:t>□</w:t>
            </w:r>
          </w:p>
        </w:tc>
        <w:tc>
          <w:tcPr>
            <w:tcW w:w="3195" w:type="dxa"/>
            <w:gridSpan w:val="7"/>
            <w:vAlign w:val="center"/>
          </w:tcPr>
          <w:p>
            <w:pPr>
              <w:pStyle w:val="675"/>
              <w:autoSpaceDE w:val="0"/>
              <w:autoSpaceDN w:val="0"/>
              <w:spacing w:before="19"/>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最大标率＞</w:t>
            </w:r>
            <w:r>
              <w:rPr>
                <w:rFonts w:ascii="Times New Roman" w:hAnsi="Times New Roman" w:eastAsia="Times New Roman"/>
                <w:szCs w:val="21"/>
              </w:rPr>
              <w:t xml:space="preserve">10%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024" w:type="dxa"/>
            <w:vAlign w:val="center"/>
          </w:tcPr>
          <w:p>
            <w:pPr>
              <w:pStyle w:val="675"/>
              <w:autoSpaceDE w:val="0"/>
              <w:autoSpaceDN w:val="0"/>
              <w:spacing w:before="16"/>
              <w:jc w:val="center"/>
              <w:rPr>
                <w:szCs w:val="21"/>
              </w:rPr>
            </w:pPr>
            <w:r>
              <w:rPr>
                <w:rFonts w:hint="eastAsia" w:ascii="宋体" w:hAnsi="宋体" w:eastAsia="宋体" w:cs="宋体"/>
                <w:szCs w:val="21"/>
              </w:rPr>
              <w:t>二类区</w:t>
            </w:r>
          </w:p>
        </w:tc>
        <w:tc>
          <w:tcPr>
            <w:tcW w:w="2492" w:type="dxa"/>
            <w:gridSpan w:val="9"/>
            <w:vAlign w:val="center"/>
          </w:tcPr>
          <w:p>
            <w:pPr>
              <w:pStyle w:val="675"/>
              <w:autoSpaceDE w:val="0"/>
              <w:autoSpaceDN w:val="0"/>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最大占标率</w:t>
            </w:r>
            <w:r>
              <w:rPr>
                <w:szCs w:val="21"/>
              </w:rPr>
              <w:t>≤</w:t>
            </w:r>
            <w:r>
              <w:rPr>
                <w:rFonts w:ascii="Times New Roman" w:hAnsi="Times New Roman" w:eastAsia="Times New Roman"/>
                <w:szCs w:val="21"/>
              </w:rPr>
              <w:t>30%</w:t>
            </w:r>
            <w:r>
              <w:rPr>
                <w:rFonts w:ascii="Times New Roman" w:hAnsi="Times New Roman" w:cs="Times New Roman"/>
                <w:szCs w:val="21"/>
              </w:rPr>
              <w:t>□</w:t>
            </w:r>
          </w:p>
        </w:tc>
        <w:tc>
          <w:tcPr>
            <w:tcW w:w="3195" w:type="dxa"/>
            <w:gridSpan w:val="7"/>
            <w:vAlign w:val="center"/>
          </w:tcPr>
          <w:p>
            <w:pPr>
              <w:pStyle w:val="675"/>
              <w:autoSpaceDE w:val="0"/>
              <w:autoSpaceDN w:val="0"/>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本项目</w:t>
            </w:r>
            <w:r>
              <w:rPr>
                <w:rFonts w:hint="eastAsia" w:ascii="宋体" w:hAnsi="宋体" w:eastAsia="宋体" w:cs="宋体"/>
                <w:szCs w:val="21"/>
              </w:rPr>
              <w:t>最大标率＞</w:t>
            </w:r>
            <w:r>
              <w:rPr>
                <w:rFonts w:ascii="Times New Roman" w:hAnsi="Times New Roman" w:eastAsia="Times New Roman"/>
                <w:szCs w:val="21"/>
              </w:rPr>
              <w:t xml:space="preserve">30%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非正常排放</w:t>
            </w:r>
            <w:r>
              <w:rPr>
                <w:szCs w:val="21"/>
              </w:rPr>
              <w:t xml:space="preserve"> </w:t>
            </w:r>
            <w:r>
              <w:rPr>
                <w:rFonts w:ascii="Times New Roman" w:eastAsia="Times New Roman"/>
                <w:szCs w:val="21"/>
              </w:rPr>
              <w:t xml:space="preserve">1h </w:t>
            </w:r>
            <w:r>
              <w:rPr>
                <w:rFonts w:hint="eastAsia" w:ascii="宋体" w:hAnsi="宋体" w:eastAsia="宋体" w:cs="宋体"/>
                <w:szCs w:val="21"/>
              </w:rPr>
              <w:t>浓度</w:t>
            </w:r>
          </w:p>
          <w:p>
            <w:pPr>
              <w:pStyle w:val="675"/>
              <w:autoSpaceDE w:val="0"/>
              <w:autoSpaceDN w:val="0"/>
              <w:jc w:val="center"/>
              <w:rPr>
                <w:szCs w:val="21"/>
              </w:rPr>
            </w:pPr>
            <w:r>
              <w:rPr>
                <w:rFonts w:hint="eastAsia" w:ascii="宋体" w:hAnsi="宋体" w:eastAsia="宋体" w:cs="宋体"/>
                <w:szCs w:val="21"/>
              </w:rPr>
              <w:t>贡献值</w:t>
            </w:r>
          </w:p>
        </w:tc>
        <w:tc>
          <w:tcPr>
            <w:tcW w:w="1538" w:type="dxa"/>
            <w:gridSpan w:val="3"/>
            <w:vAlign w:val="center"/>
          </w:tcPr>
          <w:p>
            <w:pPr>
              <w:pStyle w:val="675"/>
              <w:autoSpaceDE w:val="0"/>
              <w:autoSpaceDN w:val="0"/>
              <w:jc w:val="center"/>
              <w:rPr>
                <w:szCs w:val="21"/>
              </w:rPr>
            </w:pPr>
            <w:r>
              <w:rPr>
                <w:rFonts w:hint="eastAsia" w:ascii="宋体" w:hAnsi="宋体" w:eastAsia="宋体" w:cs="宋体"/>
                <w:szCs w:val="21"/>
              </w:rPr>
              <w:t>非正常持续时长</w:t>
            </w:r>
          </w:p>
          <w:p>
            <w:pPr>
              <w:pStyle w:val="675"/>
              <w:autoSpaceDE w:val="0"/>
              <w:autoSpaceDN w:val="0"/>
              <w:jc w:val="center"/>
              <w:rPr>
                <w:rFonts w:ascii="Times New Roman" w:eastAsia="Times New Roman"/>
                <w:szCs w:val="21"/>
              </w:rPr>
            </w:pPr>
            <w:r>
              <w:rPr>
                <w:rFonts w:hint="eastAsia" w:ascii="宋体" w:hAnsi="宋体" w:eastAsia="宋体" w:cs="宋体"/>
                <w:szCs w:val="21"/>
              </w:rPr>
              <w:t>（</w:t>
            </w:r>
            <w:r>
              <w:rPr>
                <w:szCs w:val="21"/>
              </w:rPr>
              <w:t xml:space="preserve"> </w:t>
            </w:r>
            <w:r>
              <w:rPr>
                <w:rFonts w:hint="eastAsia" w:ascii="宋体" w:hAnsi="宋体" w:eastAsia="宋体" w:cs="宋体"/>
                <w:szCs w:val="21"/>
              </w:rPr>
              <w:t>）</w:t>
            </w:r>
            <w:r>
              <w:rPr>
                <w:rFonts w:ascii="Times New Roman" w:eastAsia="Times New Roman"/>
                <w:szCs w:val="21"/>
              </w:rPr>
              <w:t>h</w:t>
            </w:r>
          </w:p>
        </w:tc>
        <w:tc>
          <w:tcPr>
            <w:tcW w:w="2804" w:type="dxa"/>
            <w:gridSpan w:val="9"/>
            <w:vAlign w:val="center"/>
          </w:tcPr>
          <w:p>
            <w:pPr>
              <w:pStyle w:val="675"/>
              <w:autoSpaceDE w:val="0"/>
              <w:autoSpaceDN w:val="0"/>
              <w:spacing w:before="33"/>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非正常</w:t>
            </w:r>
            <w:r>
              <w:rPr>
                <w:rFonts w:hint="eastAsia" w:ascii="宋体" w:hAnsi="宋体" w:eastAsia="宋体" w:cs="宋体"/>
                <w:szCs w:val="21"/>
              </w:rPr>
              <w:t>占标率</w:t>
            </w:r>
            <w:r>
              <w:rPr>
                <w:szCs w:val="21"/>
              </w:rPr>
              <w:t>≤</w:t>
            </w:r>
            <w:r>
              <w:rPr>
                <w:rFonts w:ascii="Times New Roman" w:hAnsi="Times New Roman" w:eastAsia="Times New Roman"/>
                <w:szCs w:val="21"/>
              </w:rPr>
              <w:t xml:space="preserve">100% </w:t>
            </w:r>
            <w:r>
              <w:rPr>
                <w:rFonts w:ascii="Times New Roman" w:hAnsi="Times New Roman" w:cs="Times New Roman"/>
                <w:szCs w:val="21"/>
              </w:rPr>
              <w:t>□</w:t>
            </w:r>
          </w:p>
        </w:tc>
        <w:tc>
          <w:tcPr>
            <w:tcW w:w="2369" w:type="dxa"/>
            <w:gridSpan w:val="5"/>
            <w:vAlign w:val="center"/>
          </w:tcPr>
          <w:p>
            <w:pPr>
              <w:pStyle w:val="675"/>
              <w:autoSpaceDE w:val="0"/>
              <w:autoSpaceDN w:val="0"/>
              <w:spacing w:before="33"/>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非正常</w:t>
            </w:r>
            <w:r>
              <w:rPr>
                <w:rFonts w:hint="eastAsia" w:ascii="宋体" w:hAnsi="宋体" w:eastAsia="宋体" w:cs="宋体"/>
                <w:szCs w:val="21"/>
              </w:rPr>
              <w:t>占标率＞</w:t>
            </w:r>
            <w:r>
              <w:rPr>
                <w:rFonts w:ascii="Times New Roman" w:hAnsi="Times New Roman" w:eastAsia="Times New Roman"/>
                <w:szCs w:val="21"/>
              </w:rPr>
              <w:t>100%</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spacing w:before="77"/>
              <w:jc w:val="center"/>
              <w:rPr>
                <w:szCs w:val="21"/>
              </w:rPr>
            </w:pPr>
            <w:r>
              <w:rPr>
                <w:rFonts w:hint="eastAsia" w:ascii="宋体" w:hAnsi="宋体" w:eastAsia="宋体" w:cs="宋体"/>
                <w:szCs w:val="21"/>
              </w:rPr>
              <w:t>保证率日平均浓度和年平均浓度叠加值</w:t>
            </w:r>
          </w:p>
        </w:tc>
        <w:tc>
          <w:tcPr>
            <w:tcW w:w="3172" w:type="dxa"/>
            <w:gridSpan w:val="9"/>
            <w:vAlign w:val="center"/>
          </w:tcPr>
          <w:p>
            <w:pPr>
              <w:pStyle w:val="675"/>
              <w:autoSpaceDE w:val="0"/>
              <w:autoSpaceDN w:val="0"/>
              <w:spacing w:before="86"/>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叠加</w:t>
            </w:r>
            <w:r>
              <w:rPr>
                <w:rFonts w:hint="eastAsia" w:ascii="宋体" w:hAnsi="宋体" w:eastAsia="宋体" w:cs="宋体"/>
                <w:szCs w:val="21"/>
              </w:rPr>
              <w:t>达标</w:t>
            </w:r>
            <w:r>
              <w:rPr>
                <w:szCs w:val="21"/>
              </w:rPr>
              <w:t xml:space="preserve">  </w:t>
            </w:r>
            <w:r>
              <w:rPr>
                <w:rFonts w:ascii="Times New Roman" w:hAnsi="Times New Roman" w:cs="Times New Roman"/>
                <w:szCs w:val="21"/>
              </w:rPr>
              <w:t>□</w:t>
            </w:r>
          </w:p>
        </w:tc>
        <w:tc>
          <w:tcPr>
            <w:tcW w:w="3539" w:type="dxa"/>
            <w:gridSpan w:val="8"/>
            <w:vAlign w:val="center"/>
          </w:tcPr>
          <w:p>
            <w:pPr>
              <w:pStyle w:val="675"/>
              <w:autoSpaceDE w:val="0"/>
              <w:autoSpaceDN w:val="0"/>
              <w:spacing w:before="86"/>
              <w:jc w:val="center"/>
              <w:rPr>
                <w:szCs w:val="21"/>
              </w:rPr>
            </w:pPr>
            <w:r>
              <w:rPr>
                <w:rFonts w:ascii="Times New Roman" w:hAnsi="Times New Roman" w:eastAsia="宋体" w:cs="Times New Roman"/>
                <w:szCs w:val="21"/>
                <w:lang w:val="en-US"/>
              </w:rPr>
              <w:t>C</w:t>
            </w:r>
            <w:r>
              <w:rPr>
                <w:rFonts w:hint="eastAsia" w:ascii="宋体" w:hAnsi="宋体" w:eastAsia="宋体" w:cs="宋体"/>
                <w:position w:val="-5"/>
                <w:szCs w:val="21"/>
              </w:rPr>
              <w:t>叠加</w:t>
            </w:r>
            <w:r>
              <w:rPr>
                <w:rFonts w:hint="eastAsia" w:ascii="宋体" w:hAnsi="宋体" w:eastAsia="宋体" w:cs="宋体"/>
                <w:szCs w:val="21"/>
              </w:rPr>
              <w:t>不达标</w:t>
            </w:r>
            <w:r>
              <w:rPr>
                <w:szCs w:val="21"/>
              </w:rPr>
              <w:t xml:space="preserve">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区域环境质量的整体</w:t>
            </w:r>
          </w:p>
          <w:p>
            <w:pPr>
              <w:pStyle w:val="675"/>
              <w:autoSpaceDE w:val="0"/>
              <w:autoSpaceDN w:val="0"/>
              <w:jc w:val="center"/>
              <w:rPr>
                <w:szCs w:val="21"/>
              </w:rPr>
            </w:pPr>
            <w:r>
              <w:rPr>
                <w:rFonts w:hint="eastAsia" w:ascii="宋体" w:hAnsi="宋体" w:eastAsia="宋体" w:cs="宋体"/>
                <w:szCs w:val="21"/>
              </w:rPr>
              <w:t>变化情况</w:t>
            </w:r>
          </w:p>
        </w:tc>
        <w:tc>
          <w:tcPr>
            <w:tcW w:w="3172" w:type="dxa"/>
            <w:gridSpan w:val="9"/>
            <w:vAlign w:val="center"/>
          </w:tcPr>
          <w:p>
            <w:pPr>
              <w:pStyle w:val="675"/>
              <w:autoSpaceDE w:val="0"/>
              <w:autoSpaceDN w:val="0"/>
              <w:spacing w:before="71"/>
              <w:jc w:val="center"/>
              <w:rPr>
                <w:szCs w:val="21"/>
              </w:rPr>
            </w:pPr>
            <w:r>
              <w:rPr>
                <w:rFonts w:ascii="Times New Roman" w:hAnsi="Times New Roman"/>
                <w:i/>
                <w:szCs w:val="21"/>
              </w:rPr>
              <w:t xml:space="preserve">k  </w:t>
            </w:r>
            <w:r>
              <w:rPr>
                <w:szCs w:val="21"/>
              </w:rPr>
              <w:t>≤</w:t>
            </w:r>
            <w:r>
              <w:rPr>
                <w:rFonts w:ascii="Times New Roman" w:hAnsi="Times New Roman"/>
                <w:szCs w:val="21"/>
              </w:rPr>
              <w:t xml:space="preserve">-20% </w:t>
            </w:r>
            <w:r>
              <w:rPr>
                <w:rFonts w:ascii="Times New Roman" w:hAnsi="Times New Roman" w:cs="Times New Roman"/>
                <w:szCs w:val="21"/>
              </w:rPr>
              <w:t>□</w:t>
            </w:r>
          </w:p>
        </w:tc>
        <w:tc>
          <w:tcPr>
            <w:tcW w:w="3539" w:type="dxa"/>
            <w:gridSpan w:val="8"/>
            <w:vAlign w:val="center"/>
          </w:tcPr>
          <w:p>
            <w:pPr>
              <w:pStyle w:val="675"/>
              <w:autoSpaceDE w:val="0"/>
              <w:autoSpaceDN w:val="0"/>
              <w:spacing w:before="71"/>
              <w:jc w:val="center"/>
              <w:rPr>
                <w:szCs w:val="21"/>
              </w:rPr>
            </w:pPr>
            <w:r>
              <w:rPr>
                <w:rFonts w:ascii="Times New Roman" w:hAnsi="Times New Roman" w:eastAsia="Times New Roman"/>
                <w:i/>
                <w:szCs w:val="21"/>
              </w:rPr>
              <w:t xml:space="preserve">k  </w:t>
            </w:r>
            <w:r>
              <w:rPr>
                <w:rFonts w:hint="eastAsia" w:ascii="宋体" w:hAnsi="宋体" w:eastAsia="宋体" w:cs="宋体"/>
                <w:szCs w:val="21"/>
              </w:rPr>
              <w:t>＞</w:t>
            </w:r>
            <w:r>
              <w:rPr>
                <w:rFonts w:ascii="Times New Roman" w:hAnsi="Times New Roman" w:eastAsia="Times New Roman"/>
                <w:szCs w:val="21"/>
              </w:rPr>
              <w:t xml:space="preserve">-20%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restart"/>
            <w:vAlign w:val="center"/>
          </w:tcPr>
          <w:p>
            <w:pPr>
              <w:pStyle w:val="675"/>
              <w:autoSpaceDE w:val="0"/>
              <w:autoSpaceDN w:val="0"/>
              <w:jc w:val="center"/>
              <w:rPr>
                <w:szCs w:val="21"/>
              </w:rPr>
            </w:pPr>
            <w:r>
              <w:rPr>
                <w:rFonts w:hint="eastAsia" w:ascii="宋体" w:hAnsi="宋体" w:eastAsia="宋体" w:cs="宋体"/>
                <w:szCs w:val="21"/>
              </w:rPr>
              <w:t>环境监测</w:t>
            </w:r>
          </w:p>
          <w:p>
            <w:pPr>
              <w:pStyle w:val="675"/>
              <w:autoSpaceDE w:val="0"/>
              <w:autoSpaceDN w:val="0"/>
              <w:jc w:val="center"/>
              <w:rPr>
                <w:szCs w:val="21"/>
              </w:rPr>
            </w:pPr>
            <w:r>
              <w:rPr>
                <w:rFonts w:hint="eastAsia" w:ascii="宋体" w:hAnsi="宋体" w:eastAsia="宋体" w:cs="宋体"/>
                <w:szCs w:val="21"/>
              </w:rPr>
              <w:t>计划</w:t>
            </w:r>
          </w:p>
        </w:tc>
        <w:tc>
          <w:tcPr>
            <w:tcW w:w="1770" w:type="dxa"/>
            <w:vAlign w:val="center"/>
          </w:tcPr>
          <w:p>
            <w:pPr>
              <w:pStyle w:val="675"/>
              <w:autoSpaceDE w:val="0"/>
              <w:autoSpaceDN w:val="0"/>
              <w:spacing w:before="71"/>
              <w:jc w:val="center"/>
              <w:rPr>
                <w:szCs w:val="21"/>
              </w:rPr>
            </w:pPr>
            <w:r>
              <w:rPr>
                <w:rFonts w:hint="eastAsia" w:ascii="宋体" w:hAnsi="宋体" w:eastAsia="宋体" w:cs="宋体"/>
                <w:szCs w:val="21"/>
              </w:rPr>
              <w:t>污染源监测</w:t>
            </w:r>
          </w:p>
        </w:tc>
        <w:tc>
          <w:tcPr>
            <w:tcW w:w="3172" w:type="dxa"/>
            <w:gridSpan w:val="9"/>
            <w:vAlign w:val="center"/>
          </w:tcPr>
          <w:p>
            <w:pPr>
              <w:pStyle w:val="675"/>
              <w:tabs>
                <w:tab w:val="left" w:pos="2466"/>
              </w:tabs>
              <w:autoSpaceDE w:val="0"/>
              <w:autoSpaceDN w:val="0"/>
              <w:spacing w:before="71"/>
              <w:jc w:val="center"/>
              <w:rPr>
                <w:szCs w:val="21"/>
              </w:rPr>
            </w:pPr>
            <w:r>
              <w:rPr>
                <w:rFonts w:hint="eastAsia" w:ascii="宋体" w:hAnsi="宋体" w:eastAsia="宋体" w:cs="宋体"/>
                <w:szCs w:val="21"/>
              </w:rPr>
              <w:t>监测因子</w:t>
            </w:r>
            <w:r>
              <w:rPr>
                <w:rFonts w:hint="eastAsia" w:ascii="宋体" w:hAnsi="宋体" w:eastAsia="宋体" w:cs="宋体"/>
                <w:spacing w:val="-92"/>
                <w:szCs w:val="21"/>
              </w:rPr>
              <w:t>：</w:t>
            </w:r>
            <w:r>
              <w:rPr>
                <w:rFonts w:hint="eastAsia" w:ascii="宋体" w:hAnsi="宋体" w:eastAsia="宋体" w:cs="宋体"/>
                <w:szCs w:val="21"/>
              </w:rPr>
              <w:t>（</w:t>
            </w:r>
            <w:r>
              <w:rPr>
                <w:rFonts w:hint="eastAsia" w:ascii="Times New Roman" w:hAnsi="Times New Roman" w:eastAsia="宋体" w:cs="Times New Roman"/>
                <w:szCs w:val="21"/>
                <w:lang w:val="en-US"/>
              </w:rPr>
              <w:t>颗粒物、</w:t>
            </w:r>
            <w:r>
              <w:rPr>
                <w:rFonts w:hint="eastAsia" w:eastAsia="宋体"/>
                <w:szCs w:val="21"/>
                <w:lang w:val="en-US"/>
              </w:rPr>
              <w:t>非甲烷总烃、</w:t>
            </w:r>
            <w:r>
              <w:rPr>
                <w:rFonts w:eastAsia="宋体"/>
                <w:szCs w:val="21"/>
                <w:lang w:val="en-US"/>
              </w:rPr>
              <w:t>臭气浓度</w:t>
            </w:r>
            <w:r>
              <w:rPr>
                <w:rFonts w:hint="eastAsia" w:ascii="宋体" w:hAnsi="宋体" w:eastAsia="宋体" w:cs="宋体"/>
                <w:szCs w:val="21"/>
              </w:rPr>
              <w:t>）</w:t>
            </w:r>
          </w:p>
        </w:tc>
        <w:tc>
          <w:tcPr>
            <w:tcW w:w="2268" w:type="dxa"/>
            <w:gridSpan w:val="6"/>
            <w:vAlign w:val="center"/>
          </w:tcPr>
          <w:p>
            <w:pPr>
              <w:pStyle w:val="675"/>
              <w:autoSpaceDE w:val="0"/>
              <w:autoSpaceDN w:val="0"/>
              <w:jc w:val="center"/>
              <w:rPr>
                <w:rFonts w:hint="eastAsia" w:eastAsia="宋体"/>
                <w:szCs w:val="21"/>
              </w:rPr>
            </w:pPr>
            <w:r>
              <w:rPr>
                <w:rFonts w:hint="eastAsia" w:ascii="宋体" w:hAnsi="宋体" w:eastAsia="宋体" w:cs="宋体"/>
                <w:szCs w:val="21"/>
              </w:rPr>
              <w:t>有组织废气监测</w:t>
            </w:r>
            <w:r>
              <w:rPr>
                <w:szCs w:val="21"/>
              </w:rPr>
              <w:t xml:space="preserve">  </w:t>
            </w:r>
            <w:r>
              <w:rPr>
                <w:rFonts w:hint="eastAsia" w:ascii="MS Mincho" w:hAnsi="MS Mincho" w:eastAsia="MS Mincho" w:cs="MS Mincho"/>
                <w:szCs w:val="21"/>
              </w:rPr>
              <w:t>☑</w:t>
            </w:r>
          </w:p>
          <w:p>
            <w:pPr>
              <w:pStyle w:val="675"/>
              <w:autoSpaceDE w:val="0"/>
              <w:autoSpaceDN w:val="0"/>
              <w:jc w:val="center"/>
              <w:rPr>
                <w:rFonts w:hint="eastAsia" w:eastAsia="宋体"/>
                <w:szCs w:val="21"/>
              </w:rPr>
            </w:pPr>
            <w:r>
              <w:rPr>
                <w:rFonts w:hint="eastAsia" w:ascii="宋体" w:hAnsi="宋体" w:eastAsia="宋体" w:cs="宋体"/>
                <w:szCs w:val="21"/>
              </w:rPr>
              <w:t>无组织废气监测</w:t>
            </w:r>
            <w:r>
              <w:rPr>
                <w:szCs w:val="21"/>
              </w:rPr>
              <w:t xml:space="preserve">  </w:t>
            </w:r>
            <w:r>
              <w:rPr>
                <w:rFonts w:hint="eastAsia" w:ascii="MS Mincho" w:hAnsi="MS Mincho" w:eastAsia="MS Mincho" w:cs="MS Mincho"/>
                <w:szCs w:val="21"/>
              </w:rPr>
              <w:t>☑</w:t>
            </w:r>
          </w:p>
        </w:tc>
        <w:tc>
          <w:tcPr>
            <w:tcW w:w="1271" w:type="dxa"/>
            <w:gridSpan w:val="2"/>
            <w:vAlign w:val="center"/>
          </w:tcPr>
          <w:p>
            <w:pPr>
              <w:pStyle w:val="675"/>
              <w:autoSpaceDE w:val="0"/>
              <w:autoSpaceDN w:val="0"/>
              <w:spacing w:before="71"/>
              <w:jc w:val="center"/>
              <w:rPr>
                <w:szCs w:val="21"/>
              </w:rPr>
            </w:pPr>
            <w:r>
              <w:rPr>
                <w:rFonts w:hint="eastAsia" w:ascii="宋体" w:hAnsi="宋体" w:eastAsia="宋体" w:cs="宋体"/>
                <w:szCs w:val="21"/>
              </w:rPr>
              <w:t>无监测</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环境质量监测</w:t>
            </w:r>
          </w:p>
        </w:tc>
        <w:tc>
          <w:tcPr>
            <w:tcW w:w="3172" w:type="dxa"/>
            <w:gridSpan w:val="9"/>
            <w:vAlign w:val="center"/>
          </w:tcPr>
          <w:p>
            <w:pPr>
              <w:pStyle w:val="675"/>
              <w:tabs>
                <w:tab w:val="left" w:pos="2466"/>
              </w:tabs>
              <w:autoSpaceDE w:val="0"/>
              <w:autoSpaceDN w:val="0"/>
              <w:jc w:val="center"/>
              <w:rPr>
                <w:szCs w:val="21"/>
              </w:rPr>
            </w:pPr>
            <w:r>
              <w:rPr>
                <w:rFonts w:hint="eastAsia" w:ascii="宋体" w:hAnsi="宋体" w:eastAsia="宋体" w:cs="宋体"/>
                <w:szCs w:val="21"/>
              </w:rPr>
              <w:t>监测因子</w:t>
            </w:r>
            <w:r>
              <w:rPr>
                <w:rFonts w:hint="eastAsia" w:ascii="宋体" w:hAnsi="宋体" w:eastAsia="宋体" w:cs="宋体"/>
                <w:spacing w:val="-92"/>
                <w:szCs w:val="21"/>
              </w:rPr>
              <w:t>：</w:t>
            </w:r>
            <w:r>
              <w:rPr>
                <w:rFonts w:hint="eastAsia" w:ascii="宋体" w:hAnsi="宋体" w:eastAsia="宋体" w:cs="宋体"/>
                <w:szCs w:val="21"/>
              </w:rPr>
              <w:t>（</w:t>
            </w:r>
            <w:r>
              <w:rPr>
                <w:rFonts w:eastAsia="宋体"/>
                <w:szCs w:val="21"/>
                <w:lang w:val="en-US"/>
              </w:rPr>
              <w:t xml:space="preserve"> </w:t>
            </w:r>
            <w:r>
              <w:rPr>
                <w:rFonts w:hint="eastAsia" w:eastAsia="宋体"/>
                <w:szCs w:val="21"/>
                <w:lang w:val="en-US"/>
              </w:rPr>
              <w:t>非甲烷总烃</w:t>
            </w:r>
            <w:r>
              <w:rPr>
                <w:rFonts w:eastAsia="宋体"/>
                <w:szCs w:val="21"/>
                <w:lang w:val="en-US"/>
              </w:rPr>
              <w:t xml:space="preserve"> </w:t>
            </w:r>
            <w:r>
              <w:rPr>
                <w:rFonts w:hint="eastAsia" w:ascii="宋体" w:hAnsi="宋体" w:eastAsia="宋体" w:cs="宋体"/>
                <w:szCs w:val="21"/>
              </w:rPr>
              <w:t>）</w:t>
            </w:r>
          </w:p>
        </w:tc>
        <w:tc>
          <w:tcPr>
            <w:tcW w:w="2268" w:type="dxa"/>
            <w:gridSpan w:val="6"/>
            <w:vAlign w:val="center"/>
          </w:tcPr>
          <w:p>
            <w:pPr>
              <w:pStyle w:val="675"/>
              <w:tabs>
                <w:tab w:val="left" w:pos="1928"/>
              </w:tabs>
              <w:autoSpaceDE w:val="0"/>
              <w:autoSpaceDN w:val="0"/>
              <w:jc w:val="center"/>
              <w:rPr>
                <w:szCs w:val="21"/>
              </w:rPr>
            </w:pPr>
            <w:r>
              <w:rPr>
                <w:rFonts w:hint="eastAsia" w:ascii="宋体" w:hAnsi="宋体" w:eastAsia="宋体" w:cs="宋体"/>
                <w:szCs w:val="21"/>
              </w:rPr>
              <w:t>监测点位数（</w:t>
            </w:r>
            <w:r>
              <w:rPr>
                <w:rFonts w:eastAsia="宋体"/>
                <w:szCs w:val="21"/>
                <w:lang w:val="en-US"/>
              </w:rPr>
              <w:t xml:space="preserve"> </w:t>
            </w:r>
            <w:r>
              <w:rPr>
                <w:rFonts w:hint="eastAsia" w:eastAsia="宋体"/>
                <w:szCs w:val="21"/>
                <w:lang w:val="en-US"/>
              </w:rPr>
              <w:t>1</w:t>
            </w:r>
            <w:r>
              <w:rPr>
                <w:rFonts w:eastAsia="宋体"/>
                <w:szCs w:val="21"/>
                <w:lang w:val="en-US"/>
              </w:rPr>
              <w:t xml:space="preserve"> </w:t>
            </w:r>
            <w:r>
              <w:rPr>
                <w:rFonts w:hint="eastAsia" w:ascii="宋体" w:hAnsi="宋体" w:eastAsia="宋体" w:cs="宋体"/>
                <w:szCs w:val="21"/>
              </w:rPr>
              <w:t>）</w:t>
            </w:r>
          </w:p>
        </w:tc>
        <w:tc>
          <w:tcPr>
            <w:tcW w:w="1271" w:type="dxa"/>
            <w:gridSpan w:val="2"/>
            <w:vAlign w:val="center"/>
          </w:tcPr>
          <w:p>
            <w:pPr>
              <w:pStyle w:val="675"/>
              <w:autoSpaceDE w:val="0"/>
              <w:autoSpaceDN w:val="0"/>
              <w:jc w:val="center"/>
              <w:rPr>
                <w:szCs w:val="21"/>
              </w:rPr>
            </w:pPr>
            <w:r>
              <w:rPr>
                <w:rFonts w:hint="eastAsia" w:ascii="宋体" w:hAnsi="宋体" w:eastAsia="宋体" w:cs="宋体"/>
                <w:szCs w:val="21"/>
              </w:rPr>
              <w:t>无监测</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restart"/>
            <w:vAlign w:val="center"/>
          </w:tcPr>
          <w:p>
            <w:pPr>
              <w:pStyle w:val="675"/>
              <w:autoSpaceDE w:val="0"/>
              <w:autoSpaceDN w:val="0"/>
              <w:spacing w:before="1"/>
              <w:jc w:val="center"/>
              <w:rPr>
                <w:szCs w:val="21"/>
              </w:rPr>
            </w:pPr>
            <w:r>
              <w:rPr>
                <w:rFonts w:hint="eastAsia" w:ascii="宋体" w:hAnsi="宋体" w:eastAsia="宋体" w:cs="宋体"/>
                <w:szCs w:val="21"/>
              </w:rPr>
              <w:t>评价结论</w:t>
            </w:r>
          </w:p>
        </w:tc>
        <w:tc>
          <w:tcPr>
            <w:tcW w:w="1770" w:type="dxa"/>
            <w:vAlign w:val="center"/>
          </w:tcPr>
          <w:p>
            <w:pPr>
              <w:pStyle w:val="675"/>
              <w:autoSpaceDE w:val="0"/>
              <w:autoSpaceDN w:val="0"/>
              <w:spacing w:before="7"/>
              <w:jc w:val="center"/>
              <w:rPr>
                <w:szCs w:val="21"/>
              </w:rPr>
            </w:pPr>
            <w:r>
              <w:rPr>
                <w:rFonts w:hint="eastAsia" w:ascii="宋体" w:hAnsi="宋体" w:eastAsia="宋体" w:cs="宋体"/>
                <w:szCs w:val="21"/>
              </w:rPr>
              <w:t>环境影响</w:t>
            </w:r>
          </w:p>
        </w:tc>
        <w:tc>
          <w:tcPr>
            <w:tcW w:w="6711" w:type="dxa"/>
            <w:gridSpan w:val="17"/>
            <w:vAlign w:val="center"/>
          </w:tcPr>
          <w:p>
            <w:pPr>
              <w:pStyle w:val="675"/>
              <w:tabs>
                <w:tab w:val="left" w:pos="3582"/>
              </w:tabs>
              <w:autoSpaceDE w:val="0"/>
              <w:autoSpaceDN w:val="0"/>
              <w:spacing w:before="7"/>
              <w:jc w:val="center"/>
              <w:rPr>
                <w:szCs w:val="21"/>
              </w:rPr>
            </w:pPr>
            <w:r>
              <w:rPr>
                <w:rFonts w:hint="eastAsia" w:ascii="宋体" w:hAnsi="宋体" w:eastAsia="宋体" w:cs="宋体"/>
                <w:szCs w:val="21"/>
              </w:rPr>
              <w:t>可以接受</w:t>
            </w:r>
            <w:r>
              <w:rPr>
                <w:szCs w:val="21"/>
              </w:rPr>
              <w:t xml:space="preserve"> </w:t>
            </w:r>
            <w:r>
              <w:rPr>
                <w:spacing w:val="10"/>
                <w:szCs w:val="21"/>
              </w:rPr>
              <w:t xml:space="preserve"> </w:t>
            </w:r>
            <w:r>
              <w:rPr>
                <w:rFonts w:hint="eastAsia" w:ascii="MS Mincho" w:hAnsi="MS Mincho" w:eastAsia="MS Mincho" w:cs="MS Mincho"/>
                <w:szCs w:val="21"/>
                <w:lang w:val="en-US"/>
              </w:rPr>
              <w:t>☑</w:t>
            </w:r>
            <w:r>
              <w:rPr>
                <w:szCs w:val="21"/>
              </w:rPr>
              <w:tab/>
            </w:r>
            <w:r>
              <w:rPr>
                <w:rFonts w:hint="eastAsia" w:ascii="宋体" w:hAnsi="宋体" w:eastAsia="宋体" w:cs="宋体"/>
                <w:szCs w:val="21"/>
              </w:rPr>
              <w:t>不可以</w:t>
            </w:r>
            <w:r>
              <w:rPr>
                <w:rFonts w:hint="eastAsia" w:ascii="宋体" w:hAnsi="宋体" w:eastAsia="宋体" w:cs="宋体"/>
                <w:spacing w:val="-3"/>
                <w:szCs w:val="21"/>
              </w:rPr>
              <w:t>接</w:t>
            </w:r>
            <w:r>
              <w:rPr>
                <w:rFonts w:hint="eastAsia" w:ascii="宋体" w:hAnsi="宋体" w:eastAsia="宋体" w:cs="宋体"/>
                <w:szCs w:val="21"/>
              </w:rPr>
              <w:t>受</w:t>
            </w:r>
            <w:r>
              <w:rPr>
                <w:spacing w:val="11"/>
                <w:szCs w:val="21"/>
              </w:rPr>
              <w:t xml:space="preserve"> </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spacing w:before="9"/>
              <w:jc w:val="center"/>
              <w:rPr>
                <w:szCs w:val="21"/>
              </w:rPr>
            </w:pPr>
            <w:r>
              <w:rPr>
                <w:rFonts w:hint="eastAsia" w:ascii="宋体" w:hAnsi="宋体" w:eastAsia="宋体" w:cs="宋体"/>
                <w:szCs w:val="21"/>
              </w:rPr>
              <w:t>大气环境防护距离</w:t>
            </w:r>
          </w:p>
        </w:tc>
        <w:tc>
          <w:tcPr>
            <w:tcW w:w="6711" w:type="dxa"/>
            <w:gridSpan w:val="17"/>
            <w:vAlign w:val="center"/>
          </w:tcPr>
          <w:p>
            <w:pPr>
              <w:pStyle w:val="675"/>
              <w:tabs>
                <w:tab w:val="left" w:pos="2840"/>
                <w:tab w:val="left" w:pos="4367"/>
              </w:tabs>
              <w:autoSpaceDE w:val="0"/>
              <w:autoSpaceDN w:val="0"/>
              <w:spacing w:before="9"/>
              <w:jc w:val="center"/>
              <w:rPr>
                <w:rFonts w:ascii="Times New Roman" w:eastAsia="Times New Roman"/>
                <w:szCs w:val="21"/>
              </w:rPr>
            </w:pPr>
            <w:r>
              <w:rPr>
                <w:rFonts w:hint="eastAsia" w:ascii="宋体" w:hAnsi="宋体" w:eastAsia="宋体" w:cs="宋体"/>
                <w:szCs w:val="21"/>
              </w:rPr>
              <w:t>距（</w:t>
            </w:r>
            <w:r>
              <w:rPr>
                <w:szCs w:val="21"/>
              </w:rPr>
              <w:tab/>
            </w:r>
            <w:r>
              <w:rPr>
                <w:rFonts w:hint="eastAsia" w:ascii="宋体" w:hAnsi="宋体" w:eastAsia="宋体" w:cs="宋体"/>
                <w:szCs w:val="21"/>
              </w:rPr>
              <w:t>）厂界最远（</w:t>
            </w:r>
            <w:r>
              <w:rPr>
                <w:szCs w:val="21"/>
              </w:rPr>
              <w:tab/>
            </w:r>
            <w:r>
              <w:rPr>
                <w:rFonts w:hint="eastAsia" w:ascii="宋体" w:hAnsi="宋体" w:eastAsia="宋体" w:cs="宋体"/>
                <w:szCs w:val="21"/>
              </w:rPr>
              <w:t>）</w:t>
            </w:r>
            <w:r>
              <w:rPr>
                <w:rFonts w:ascii="Times New Roman" w:eastAsia="Times New Roman"/>
                <w:szCs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29" w:type="dxa"/>
            <w:vMerge w:val="continue"/>
            <w:vAlign w:val="center"/>
          </w:tcPr>
          <w:p>
            <w:pPr>
              <w:widowControl/>
              <w:jc w:val="left"/>
              <w:rPr>
                <w:rFonts w:ascii="Noto Sans CJK JP Regular" w:hAnsi="Noto Sans CJK JP Regular" w:eastAsia="Noto Sans CJK JP Regular" w:cs="Noto Sans CJK JP Regular"/>
                <w:szCs w:val="21"/>
                <w:lang w:val="zh-CN" w:bidi="zh-CN"/>
              </w:rPr>
            </w:pPr>
          </w:p>
        </w:tc>
        <w:tc>
          <w:tcPr>
            <w:tcW w:w="1770" w:type="dxa"/>
            <w:vAlign w:val="center"/>
          </w:tcPr>
          <w:p>
            <w:pPr>
              <w:pStyle w:val="675"/>
              <w:autoSpaceDE w:val="0"/>
              <w:autoSpaceDN w:val="0"/>
              <w:jc w:val="center"/>
              <w:rPr>
                <w:szCs w:val="21"/>
              </w:rPr>
            </w:pPr>
            <w:r>
              <w:rPr>
                <w:rFonts w:hint="eastAsia" w:ascii="宋体" w:hAnsi="宋体" w:eastAsia="宋体" w:cs="宋体"/>
                <w:szCs w:val="21"/>
              </w:rPr>
              <w:t>污染源年排放量</w:t>
            </w:r>
          </w:p>
        </w:tc>
        <w:tc>
          <w:tcPr>
            <w:tcW w:w="1812" w:type="dxa"/>
            <w:gridSpan w:val="4"/>
            <w:vAlign w:val="center"/>
          </w:tcPr>
          <w:p>
            <w:pPr>
              <w:pStyle w:val="675"/>
              <w:tabs>
                <w:tab w:val="left" w:pos="1129"/>
              </w:tabs>
              <w:autoSpaceDE w:val="0"/>
              <w:autoSpaceDN w:val="0"/>
              <w:jc w:val="center"/>
              <w:rPr>
                <w:rFonts w:ascii="Times New Roman" w:hAnsi="Times New Roman" w:eastAsia="Times New Roman" w:cs="Times New Roman"/>
                <w:szCs w:val="21"/>
              </w:rPr>
            </w:pPr>
            <w:r>
              <w:rPr>
                <w:rFonts w:ascii="Times New Roman" w:hAnsi="Times New Roman" w:eastAsia="Times New Roman" w:cs="Times New Roman"/>
                <w:position w:val="1"/>
                <w:szCs w:val="21"/>
              </w:rPr>
              <w:t>SO</w:t>
            </w:r>
            <w:r>
              <w:rPr>
                <w:rFonts w:ascii="Times New Roman" w:hAnsi="Times New Roman" w:eastAsia="Times New Roman" w:cs="Times New Roman"/>
                <w:szCs w:val="21"/>
                <w:vertAlign w:val="subscript"/>
              </w:rPr>
              <w:t>2</w:t>
            </w:r>
            <w:r>
              <w:rPr>
                <w:rFonts w:ascii="Times New Roman" w:hAnsi="Times New Roman" w:eastAsia="Times New Roman" w:cs="Times New Roman"/>
                <w:position w:val="1"/>
                <w:szCs w:val="21"/>
              </w:rPr>
              <w:t>:</w:t>
            </w:r>
            <w:r>
              <w:rPr>
                <w:rFonts w:hint="eastAsia" w:ascii="宋体" w:hAnsi="宋体" w:eastAsia="宋体" w:cs="宋体"/>
                <w:position w:val="1"/>
                <w:szCs w:val="21"/>
              </w:rPr>
              <w:t>（</w:t>
            </w:r>
            <w:r>
              <w:rPr>
                <w:rFonts w:hint="eastAsia" w:ascii="Times New Roman" w:hAnsi="Times New Roman" w:eastAsia="宋体" w:cs="Times New Roman"/>
                <w:position w:val="1"/>
                <w:szCs w:val="21"/>
                <w:lang w:val="en-US"/>
              </w:rPr>
              <w:t>/</w:t>
            </w:r>
            <w:r>
              <w:rPr>
                <w:rFonts w:hint="eastAsia" w:ascii="宋体" w:hAnsi="宋体" w:eastAsia="宋体" w:cs="宋体"/>
                <w:position w:val="1"/>
                <w:szCs w:val="21"/>
              </w:rPr>
              <w:t>）</w:t>
            </w:r>
            <w:r>
              <w:rPr>
                <w:rFonts w:ascii="Times New Roman" w:hAnsi="Times New Roman" w:eastAsia="Times New Roman" w:cs="Times New Roman"/>
                <w:position w:val="1"/>
                <w:szCs w:val="21"/>
              </w:rPr>
              <w:t>t/a</w:t>
            </w:r>
          </w:p>
        </w:tc>
        <w:tc>
          <w:tcPr>
            <w:tcW w:w="1704" w:type="dxa"/>
            <w:gridSpan w:val="6"/>
            <w:vAlign w:val="center"/>
          </w:tcPr>
          <w:p>
            <w:pPr>
              <w:pStyle w:val="675"/>
              <w:tabs>
                <w:tab w:val="left" w:pos="1181"/>
              </w:tabs>
              <w:autoSpaceDE w:val="0"/>
              <w:autoSpaceDN w:val="0"/>
              <w:jc w:val="center"/>
              <w:rPr>
                <w:rFonts w:ascii="Times New Roman" w:hAnsi="Times New Roman" w:eastAsia="Times New Roman" w:cs="Times New Roman"/>
                <w:szCs w:val="21"/>
              </w:rPr>
            </w:pPr>
            <w:r>
              <w:rPr>
                <w:rFonts w:ascii="Times New Roman" w:hAnsi="Times New Roman" w:eastAsia="Times New Roman" w:cs="Times New Roman"/>
                <w:position w:val="1"/>
                <w:szCs w:val="21"/>
              </w:rPr>
              <w:t>NO</w:t>
            </w:r>
            <w:r>
              <w:rPr>
                <w:rFonts w:ascii="Times New Roman" w:hAnsi="Times New Roman" w:eastAsia="Times New Roman" w:cs="Times New Roman"/>
                <w:szCs w:val="21"/>
              </w:rPr>
              <w:t>x</w:t>
            </w:r>
            <w:r>
              <w:rPr>
                <w:rFonts w:ascii="Times New Roman" w:hAnsi="Times New Roman" w:eastAsia="Times New Roman" w:cs="Times New Roman"/>
                <w:position w:val="1"/>
                <w:szCs w:val="21"/>
              </w:rPr>
              <w:t>:</w:t>
            </w:r>
            <w:r>
              <w:rPr>
                <w:rFonts w:hint="eastAsia" w:ascii="宋体" w:hAnsi="宋体" w:eastAsia="宋体" w:cs="宋体"/>
                <w:position w:val="1"/>
                <w:szCs w:val="21"/>
              </w:rPr>
              <w:t>（</w:t>
            </w:r>
            <w:r>
              <w:rPr>
                <w:rFonts w:hint="eastAsia" w:ascii="Times New Roman" w:hAnsi="Times New Roman" w:eastAsia="宋体" w:cs="Times New Roman"/>
                <w:position w:val="1"/>
                <w:szCs w:val="21"/>
                <w:lang w:val="en-US"/>
              </w:rPr>
              <w:t>/</w:t>
            </w:r>
            <w:r>
              <w:rPr>
                <w:rFonts w:hint="eastAsia" w:ascii="宋体" w:hAnsi="宋体" w:eastAsia="宋体" w:cs="宋体"/>
                <w:position w:val="1"/>
                <w:szCs w:val="21"/>
              </w:rPr>
              <w:t>）</w:t>
            </w:r>
            <w:r>
              <w:rPr>
                <w:rFonts w:ascii="Times New Roman" w:hAnsi="Times New Roman" w:eastAsia="Times New Roman" w:cs="Times New Roman"/>
                <w:position w:val="1"/>
                <w:szCs w:val="21"/>
              </w:rPr>
              <w:t>t/a</w:t>
            </w:r>
          </w:p>
        </w:tc>
        <w:tc>
          <w:tcPr>
            <w:tcW w:w="1676" w:type="dxa"/>
            <w:gridSpan w:val="4"/>
            <w:vAlign w:val="center"/>
          </w:tcPr>
          <w:p>
            <w:pPr>
              <w:pStyle w:val="675"/>
              <w:tabs>
                <w:tab w:val="left" w:pos="1081"/>
              </w:tabs>
              <w:autoSpaceDE w:val="0"/>
              <w:autoSpaceDN w:val="0"/>
              <w:jc w:val="center"/>
              <w:rPr>
                <w:rFonts w:ascii="Times New Roman" w:hAnsi="Times New Roman" w:eastAsia="Times New Roman" w:cs="Times New Roman"/>
                <w:szCs w:val="21"/>
              </w:rPr>
            </w:pPr>
            <w:r>
              <w:rPr>
                <w:rFonts w:hint="eastAsia" w:ascii="宋体" w:hAnsi="宋体" w:eastAsia="宋体" w:cs="宋体"/>
                <w:szCs w:val="21"/>
              </w:rPr>
              <w:t>颗粒物</w:t>
            </w:r>
            <w:r>
              <w:rPr>
                <w:rFonts w:ascii="Times New Roman" w:hAnsi="Times New Roman" w:eastAsia="Times New Roman" w:cs="Times New Roman"/>
                <w:szCs w:val="21"/>
              </w:rPr>
              <w:t>:</w:t>
            </w:r>
            <w:r>
              <w:rPr>
                <w:rFonts w:ascii="Times New Roman" w:hAnsi="宋体" w:eastAsia="宋体" w:cs="Times New Roman"/>
                <w:szCs w:val="21"/>
              </w:rPr>
              <w:t>（</w:t>
            </w:r>
            <w:r>
              <w:rPr>
                <w:rFonts w:hint="eastAsia" w:ascii="Times New Roman" w:hAnsi="Times New Roman" w:eastAsia="宋体" w:cs="Times New Roman"/>
                <w:szCs w:val="21"/>
              </w:rPr>
              <w:t>/</w:t>
            </w:r>
            <w:r>
              <w:rPr>
                <w:rFonts w:ascii="Times New Roman" w:hAnsi="宋体" w:eastAsia="宋体" w:cs="Times New Roman"/>
                <w:szCs w:val="21"/>
              </w:rPr>
              <w:t>）</w:t>
            </w:r>
            <w:r>
              <w:rPr>
                <w:rFonts w:ascii="Times New Roman" w:hAnsi="Times New Roman" w:eastAsia="Times New Roman" w:cs="Times New Roman"/>
                <w:szCs w:val="21"/>
              </w:rPr>
              <w:t>t/a</w:t>
            </w:r>
          </w:p>
        </w:tc>
        <w:tc>
          <w:tcPr>
            <w:tcW w:w="1519" w:type="dxa"/>
            <w:gridSpan w:val="3"/>
            <w:vAlign w:val="center"/>
          </w:tcPr>
          <w:p>
            <w:pPr>
              <w:pStyle w:val="675"/>
              <w:tabs>
                <w:tab w:val="left" w:pos="1039"/>
              </w:tabs>
              <w:autoSpaceDE w:val="0"/>
              <w:autoSpaceDN w:val="0"/>
              <w:jc w:val="center"/>
              <w:rPr>
                <w:rFonts w:ascii="Times New Roman" w:hAnsi="Times New Roman" w:eastAsia="Times New Roman" w:cs="Times New Roman"/>
                <w:szCs w:val="21"/>
              </w:rPr>
            </w:pPr>
            <w:r>
              <w:rPr>
                <w:rFonts w:ascii="Times New Roman" w:hAnsi="Times New Roman" w:eastAsia="Times New Roman" w:cs="Times New Roman"/>
                <w:position w:val="1"/>
                <w:szCs w:val="21"/>
              </w:rPr>
              <w:t>VOC</w:t>
            </w:r>
            <w:r>
              <w:rPr>
                <w:rFonts w:ascii="Times New Roman" w:hAnsi="Times New Roman" w:eastAsia="Times New Roman" w:cs="Times New Roman"/>
                <w:szCs w:val="21"/>
              </w:rPr>
              <w:t>s</w:t>
            </w:r>
            <w:r>
              <w:rPr>
                <w:rFonts w:ascii="Times New Roman" w:hAnsi="Times New Roman" w:eastAsia="Times New Roman" w:cs="Times New Roman"/>
                <w:position w:val="1"/>
                <w:szCs w:val="21"/>
              </w:rPr>
              <w:t>:</w:t>
            </w:r>
            <w:r>
              <w:rPr>
                <w:rFonts w:hint="eastAsia" w:ascii="宋体" w:hAnsi="宋体" w:eastAsia="宋体" w:cs="宋体"/>
                <w:position w:val="1"/>
                <w:szCs w:val="21"/>
              </w:rPr>
              <w:t>（</w:t>
            </w:r>
            <w:r>
              <w:rPr>
                <w:rFonts w:hint="eastAsia" w:ascii="Times New Roman" w:hAnsi="Times New Roman" w:eastAsia="宋体" w:cs="Times New Roman"/>
                <w:position w:val="1"/>
                <w:szCs w:val="21"/>
                <w:lang w:val="en-US"/>
              </w:rPr>
              <w:t>2.69</w:t>
            </w:r>
            <w:r>
              <w:rPr>
                <w:rFonts w:hint="eastAsia" w:ascii="宋体" w:hAnsi="宋体" w:eastAsia="宋体" w:cs="宋体"/>
                <w:position w:val="1"/>
                <w:szCs w:val="21"/>
              </w:rPr>
              <w:t>）</w:t>
            </w:r>
            <w:r>
              <w:rPr>
                <w:rFonts w:ascii="Times New Roman" w:hAnsi="Times New Roman" w:eastAsia="Times New Roman" w:cs="Times New Roman"/>
                <w:position w:val="1"/>
                <w:szCs w:val="21"/>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510" w:type="dxa"/>
            <w:gridSpan w:val="19"/>
            <w:vAlign w:val="center"/>
          </w:tcPr>
          <w:p>
            <w:pPr>
              <w:pStyle w:val="675"/>
              <w:tabs>
                <w:tab w:val="left" w:pos="3439"/>
              </w:tabs>
              <w:autoSpaceDE w:val="0"/>
              <w:autoSpaceDN w:val="0"/>
              <w:spacing w:before="14"/>
              <w:jc w:val="center"/>
              <w:rPr>
                <w:szCs w:val="21"/>
              </w:rPr>
            </w:pPr>
            <w:r>
              <w:rPr>
                <w:rFonts w:hint="eastAsia" w:ascii="宋体" w:hAnsi="宋体" w:eastAsia="宋体" w:cs="宋体"/>
                <w:szCs w:val="21"/>
              </w:rPr>
              <w:t>注</w:t>
            </w:r>
            <w:r>
              <w:rPr>
                <w:rFonts w:hint="eastAsia" w:ascii="宋体" w:hAnsi="宋体" w:eastAsia="宋体" w:cs="宋体"/>
                <w:spacing w:val="-92"/>
                <w:szCs w:val="21"/>
              </w:rPr>
              <w:t>：</w:t>
            </w:r>
            <w:r>
              <w:rPr>
                <w:rFonts w:ascii="Times New Roman" w:hAnsi="Times New Roman" w:cs="Times New Roman"/>
                <w:w w:val="210"/>
                <w:szCs w:val="21"/>
              </w:rPr>
              <w:t>“</w:t>
            </w:r>
            <w:r>
              <w:rPr>
                <w:rFonts w:ascii="Times New Roman" w:hAnsi="Times New Roman" w:cs="Times New Roman"/>
                <w:spacing w:val="2"/>
                <w:szCs w:val="21"/>
              </w:rPr>
              <w:t>□</w:t>
            </w:r>
            <w:r>
              <w:rPr>
                <w:rFonts w:ascii="Times New Roman" w:hAnsi="Times New Roman" w:cs="Times New Roman"/>
                <w:w w:val="210"/>
                <w:szCs w:val="21"/>
              </w:rPr>
              <w:t>”</w:t>
            </w:r>
            <w:r>
              <w:rPr>
                <w:szCs w:val="21"/>
              </w:rPr>
              <w:t xml:space="preserve"> </w:t>
            </w:r>
            <w:r>
              <w:rPr>
                <w:spacing w:val="10"/>
                <w:szCs w:val="21"/>
              </w:rPr>
              <w:t xml:space="preserve"> </w:t>
            </w:r>
            <w:r>
              <w:rPr>
                <w:rFonts w:hint="eastAsia" w:ascii="宋体" w:hAnsi="宋体" w:eastAsia="宋体" w:cs="宋体"/>
                <w:szCs w:val="21"/>
              </w:rPr>
              <w:t>为勾选项</w:t>
            </w:r>
            <w:r>
              <w:rPr>
                <w:szCs w:val="21"/>
              </w:rPr>
              <w:t xml:space="preserve"> </w:t>
            </w:r>
            <w:r>
              <w:rPr>
                <w:spacing w:val="10"/>
                <w:szCs w:val="21"/>
              </w:rPr>
              <w:t xml:space="preserve"> </w:t>
            </w:r>
            <w:r>
              <w:rPr>
                <w:rFonts w:hint="eastAsia" w:ascii="宋体" w:hAnsi="宋体" w:eastAsia="宋体" w:cs="宋体"/>
                <w:szCs w:val="21"/>
              </w:rPr>
              <w:t>，填</w:t>
            </w:r>
            <w:r>
              <w:rPr>
                <w:rFonts w:ascii="Times New Roman" w:hAnsi="Times New Roman" w:cs="Times New Roman"/>
                <w:w w:val="135"/>
                <w:szCs w:val="21"/>
              </w:rPr>
              <w:t>“</w:t>
            </w:r>
            <w:r>
              <w:rPr>
                <w:rFonts w:hint="eastAsia" w:ascii="宋体" w:hAnsi="宋体" w:eastAsia="宋体" w:cs="宋体"/>
                <w:spacing w:val="-3"/>
                <w:w w:val="135"/>
                <w:szCs w:val="21"/>
              </w:rPr>
              <w:t>√</w:t>
            </w:r>
            <w:r>
              <w:rPr>
                <w:rFonts w:ascii="Times New Roman" w:hAnsi="Times New Roman" w:cs="Times New Roman"/>
                <w:w w:val="210"/>
                <w:szCs w:val="21"/>
              </w:rPr>
              <w:t>”</w:t>
            </w:r>
            <w:r>
              <w:rPr>
                <w:szCs w:val="21"/>
              </w:rPr>
              <w:t xml:space="preserve"> </w:t>
            </w:r>
            <w:r>
              <w:rPr>
                <w:spacing w:val="11"/>
                <w:szCs w:val="21"/>
              </w:rPr>
              <w:t xml:space="preserve"> </w:t>
            </w:r>
            <w:r>
              <w:rPr>
                <w:rFonts w:hint="eastAsia" w:ascii="宋体" w:hAnsi="宋体" w:eastAsia="宋体" w:cs="宋体"/>
                <w:szCs w:val="21"/>
              </w:rPr>
              <w:t>；</w:t>
            </w:r>
            <w:r>
              <w:rPr>
                <w:rFonts w:ascii="Times New Roman" w:hAnsi="Times New Roman" w:eastAsia="Times New Roman"/>
                <w:spacing w:val="-1"/>
                <w:szCs w:val="21"/>
              </w:rPr>
              <w:t>“</w:t>
            </w:r>
            <w:r>
              <w:rPr>
                <w:rFonts w:hint="eastAsia" w:ascii="宋体" w:hAnsi="宋体" w:eastAsia="宋体" w:cs="宋体"/>
                <w:szCs w:val="21"/>
              </w:rPr>
              <w:t>（</w:t>
            </w:r>
            <w:r>
              <w:rPr>
                <w:szCs w:val="21"/>
              </w:rPr>
              <w:tab/>
            </w:r>
            <w:r>
              <w:rPr>
                <w:rFonts w:hint="eastAsia" w:ascii="宋体" w:hAnsi="宋体" w:eastAsia="宋体" w:cs="宋体"/>
                <w:szCs w:val="21"/>
              </w:rPr>
              <w:t>）</w:t>
            </w:r>
            <w:r>
              <w:rPr>
                <w:rFonts w:ascii="Times New Roman" w:hAnsi="Times New Roman" w:eastAsia="Times New Roman"/>
                <w:szCs w:val="21"/>
              </w:rPr>
              <w:t xml:space="preserve">”  </w:t>
            </w:r>
            <w:r>
              <w:rPr>
                <w:rFonts w:hint="eastAsia" w:ascii="宋体" w:hAnsi="宋体" w:eastAsia="宋体" w:cs="宋体"/>
                <w:szCs w:val="21"/>
              </w:rPr>
              <w:t>为内容填写项</w:t>
            </w:r>
          </w:p>
        </w:tc>
      </w:tr>
    </w:tbl>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6.2.2运营期水环境影响预测</w:t>
      </w:r>
    </w:p>
    <w:p>
      <w:pPr>
        <w:pStyle w:val="2"/>
        <w:ind w:firstLine="480"/>
        <w:rPr>
          <w:color w:val="auto"/>
        </w:rPr>
      </w:pPr>
      <w:r>
        <w:rPr>
          <w:color w:val="auto"/>
        </w:rPr>
        <w:t>6.2.2.1地表水环境影响</w:t>
      </w:r>
      <w:r>
        <w:rPr>
          <w:rFonts w:hint="eastAsia"/>
          <w:color w:val="auto"/>
        </w:rPr>
        <w:t>预测</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1、</w:t>
      </w:r>
      <w:r>
        <w:rPr>
          <w:rFonts w:ascii="Times New Roman" w:hAnsi="Times New Roman" w:cs="Times New Roman"/>
          <w:kern w:val="28"/>
        </w:rPr>
        <w:t>废水来源分析</w:t>
      </w:r>
    </w:p>
    <w:p>
      <w:pPr>
        <w:autoSpaceDE w:val="0"/>
        <w:autoSpaceDN w:val="0"/>
        <w:spacing w:line="460" w:lineRule="exact"/>
        <w:ind w:firstLine="480" w:firstLineChars="200"/>
        <w:rPr>
          <w:sz w:val="24"/>
        </w:rPr>
      </w:pPr>
      <w:r>
        <w:rPr>
          <w:sz w:val="24"/>
        </w:rPr>
        <w:t>（1）废旧塑料清洗</w:t>
      </w:r>
      <w:r>
        <w:rPr>
          <w:rFonts w:hint="eastAsia"/>
          <w:sz w:val="24"/>
        </w:rPr>
        <w:t>及喷淋</w:t>
      </w:r>
      <w:r>
        <w:rPr>
          <w:sz w:val="24"/>
        </w:rPr>
        <w:t>废水</w:t>
      </w:r>
    </w:p>
    <w:p>
      <w:pPr>
        <w:autoSpaceDE w:val="0"/>
        <w:autoSpaceDN w:val="0"/>
        <w:spacing w:line="460" w:lineRule="exact"/>
        <w:ind w:firstLine="480" w:firstLineChars="200"/>
        <w:rPr>
          <w:sz w:val="24"/>
        </w:rPr>
      </w:pPr>
      <w:r>
        <w:rPr>
          <w:sz w:val="24"/>
        </w:rPr>
        <w:t>项目废旧</w:t>
      </w:r>
      <w:r>
        <w:rPr>
          <w:rFonts w:hint="eastAsia"/>
          <w:sz w:val="24"/>
        </w:rPr>
        <w:t>塑料</w:t>
      </w:r>
      <w:r>
        <w:rPr>
          <w:sz w:val="24"/>
        </w:rPr>
        <w:t>膜、废旧滴灌带表面附着有田间杂土，需要进行清洗处置，清洗过程不添加任何清洗剂，采用清水清洗</w:t>
      </w:r>
      <w:r>
        <w:rPr>
          <w:rFonts w:hint="eastAsia"/>
          <w:sz w:val="24"/>
        </w:rPr>
        <w:t>，废塑料破碎过程采用湿法破碎，喷淋废水直接与废塑料一起进入清洗装置</w:t>
      </w:r>
      <w:r>
        <w:rPr>
          <w:sz w:val="24"/>
        </w:rPr>
        <w:t>。</w:t>
      </w:r>
    </w:p>
    <w:p>
      <w:pPr>
        <w:autoSpaceDE w:val="0"/>
        <w:autoSpaceDN w:val="0"/>
        <w:spacing w:line="460" w:lineRule="exact"/>
        <w:ind w:firstLine="480" w:firstLineChars="200"/>
        <w:rPr>
          <w:sz w:val="24"/>
        </w:rPr>
      </w:pPr>
      <w:r>
        <w:rPr>
          <w:sz w:val="24"/>
        </w:rPr>
        <w:t>项目</w:t>
      </w:r>
      <w:r>
        <w:rPr>
          <w:rFonts w:hint="eastAsia"/>
          <w:sz w:val="24"/>
        </w:rPr>
        <w:t>废旧塑料膜破碎喷淋及清洗废水产生量为11000m</w:t>
      </w:r>
      <w:r>
        <w:rPr>
          <w:rFonts w:hint="eastAsia"/>
          <w:sz w:val="24"/>
          <w:vertAlign w:val="superscript"/>
        </w:rPr>
        <w:t>3</w:t>
      </w:r>
      <w:r>
        <w:rPr>
          <w:rFonts w:hint="eastAsia"/>
          <w:sz w:val="24"/>
        </w:rPr>
        <w:t>/a，废旧滴灌带破碎喷淋及清洗废水产生量为4000m</w:t>
      </w:r>
      <w:r>
        <w:rPr>
          <w:rFonts w:hint="eastAsia"/>
          <w:sz w:val="24"/>
          <w:vertAlign w:val="superscript"/>
        </w:rPr>
        <w:t>3</w:t>
      </w:r>
      <w:r>
        <w:rPr>
          <w:rFonts w:hint="eastAsia"/>
          <w:sz w:val="24"/>
        </w:rPr>
        <w:t>/a</w:t>
      </w:r>
      <w:r>
        <w:rPr>
          <w:sz w:val="24"/>
        </w:rPr>
        <w:t>。本项目废旧</w:t>
      </w:r>
      <w:r>
        <w:rPr>
          <w:rFonts w:hint="eastAsia"/>
          <w:sz w:val="24"/>
        </w:rPr>
        <w:t>塑料膜破碎喷淋及</w:t>
      </w:r>
      <w:r>
        <w:rPr>
          <w:sz w:val="24"/>
        </w:rPr>
        <w:t>清洗废水、废旧滴灌带</w:t>
      </w:r>
      <w:r>
        <w:rPr>
          <w:rFonts w:hint="eastAsia"/>
          <w:sz w:val="24"/>
        </w:rPr>
        <w:t>破碎喷淋及</w:t>
      </w:r>
      <w:r>
        <w:rPr>
          <w:sz w:val="24"/>
        </w:rPr>
        <w:t>清洗废水全部排入厂区已建</w:t>
      </w:r>
      <w:r>
        <w:rPr>
          <w:rFonts w:hint="eastAsia"/>
          <w:sz w:val="24"/>
        </w:rPr>
        <w:t>两座容积分别为</w:t>
      </w:r>
      <w:r>
        <w:rPr>
          <w:sz w:val="24"/>
        </w:rPr>
        <w:t>300m</w:t>
      </w:r>
      <w:r>
        <w:rPr>
          <w:sz w:val="24"/>
          <w:vertAlign w:val="superscript"/>
        </w:rPr>
        <w:t>3</w:t>
      </w:r>
      <w:r>
        <w:rPr>
          <w:sz w:val="24"/>
        </w:rPr>
        <w:t>防渗三级沉淀池沉淀后回用于项目清洗工序，无废水外排。</w:t>
      </w:r>
    </w:p>
    <w:p>
      <w:pPr>
        <w:autoSpaceDE w:val="0"/>
        <w:autoSpaceDN w:val="0"/>
        <w:spacing w:line="460" w:lineRule="exact"/>
        <w:ind w:firstLine="480" w:firstLineChars="200"/>
        <w:rPr>
          <w:sz w:val="24"/>
        </w:rPr>
      </w:pPr>
      <w:r>
        <w:rPr>
          <w:sz w:val="24"/>
        </w:rPr>
        <w:t>（2）冷却用水</w:t>
      </w:r>
    </w:p>
    <w:p>
      <w:pPr>
        <w:autoSpaceDE w:val="0"/>
        <w:autoSpaceDN w:val="0"/>
        <w:spacing w:line="460" w:lineRule="exact"/>
        <w:ind w:firstLine="480" w:firstLineChars="200"/>
        <w:rPr>
          <w:sz w:val="24"/>
        </w:rPr>
      </w:pPr>
      <w:r>
        <w:rPr>
          <w:rFonts w:hint="eastAsia" w:ascii="宋体" w:hAnsi="宋体" w:cs="宋体"/>
          <w:sz w:val="24"/>
        </w:rPr>
        <w:t>①</w:t>
      </w:r>
      <w:r>
        <w:rPr>
          <w:sz w:val="24"/>
        </w:rPr>
        <w:t>废旧塑料造粒冷却用水</w:t>
      </w:r>
    </w:p>
    <w:p>
      <w:pPr>
        <w:autoSpaceDE w:val="0"/>
        <w:autoSpaceDN w:val="0"/>
        <w:spacing w:line="460" w:lineRule="exact"/>
        <w:ind w:firstLine="480" w:firstLineChars="200"/>
        <w:rPr>
          <w:sz w:val="24"/>
        </w:rPr>
      </w:pPr>
      <w:r>
        <w:rPr>
          <w:sz w:val="24"/>
        </w:rPr>
        <w:t>废旧滴灌带再生聚乙烯颗粒料冷却用水量为121.2m</w:t>
      </w:r>
      <w:r>
        <w:rPr>
          <w:sz w:val="24"/>
          <w:vertAlign w:val="superscript"/>
        </w:rPr>
        <w:t>3</w:t>
      </w:r>
      <w:r>
        <w:rPr>
          <w:sz w:val="24"/>
        </w:rPr>
        <w:t>/d，循环量为120m</w:t>
      </w:r>
      <w:r>
        <w:rPr>
          <w:sz w:val="24"/>
          <w:vertAlign w:val="superscript"/>
        </w:rPr>
        <w:t>3</w:t>
      </w:r>
      <w:r>
        <w:rPr>
          <w:sz w:val="24"/>
        </w:rPr>
        <w:t>/d，损耗量为1.2m</w:t>
      </w:r>
      <w:r>
        <w:rPr>
          <w:sz w:val="24"/>
          <w:vertAlign w:val="superscript"/>
        </w:rPr>
        <w:t>3</w:t>
      </w:r>
      <w:r>
        <w:rPr>
          <w:sz w:val="24"/>
        </w:rPr>
        <w:t>/d，冷却水进入冷却水池循环使用不外排；废旧塑料膜再生聚乙烯颗粒料冷却用水量为121.2m</w:t>
      </w:r>
      <w:r>
        <w:rPr>
          <w:sz w:val="24"/>
          <w:vertAlign w:val="superscript"/>
        </w:rPr>
        <w:t>3</w:t>
      </w:r>
      <w:r>
        <w:rPr>
          <w:sz w:val="24"/>
        </w:rPr>
        <w:t>/d，循环量为120m</w:t>
      </w:r>
      <w:r>
        <w:rPr>
          <w:sz w:val="24"/>
          <w:vertAlign w:val="superscript"/>
        </w:rPr>
        <w:t>3</w:t>
      </w:r>
      <w:r>
        <w:rPr>
          <w:sz w:val="24"/>
        </w:rPr>
        <w:t>/d，损耗量为1.2m</w:t>
      </w:r>
      <w:r>
        <w:rPr>
          <w:sz w:val="24"/>
          <w:vertAlign w:val="superscript"/>
        </w:rPr>
        <w:t>3</w:t>
      </w:r>
      <w:r>
        <w:rPr>
          <w:sz w:val="24"/>
        </w:rPr>
        <w:t>/d，冷却水进入冷却水池循环使用不外排；</w:t>
      </w:r>
    </w:p>
    <w:p>
      <w:pPr>
        <w:autoSpaceDE w:val="0"/>
        <w:autoSpaceDN w:val="0"/>
        <w:spacing w:line="460" w:lineRule="exact"/>
        <w:ind w:firstLine="480" w:firstLineChars="200"/>
        <w:rPr>
          <w:sz w:val="24"/>
        </w:rPr>
      </w:pPr>
      <w:r>
        <w:rPr>
          <w:rFonts w:hint="eastAsia" w:ascii="宋体" w:hAnsi="宋体" w:cs="宋体"/>
          <w:sz w:val="24"/>
        </w:rPr>
        <w:t>②</w:t>
      </w:r>
      <w:r>
        <w:rPr>
          <w:sz w:val="24"/>
        </w:rPr>
        <w:t>滴灌带、PE管生产冷却用水</w:t>
      </w:r>
    </w:p>
    <w:p>
      <w:pPr>
        <w:autoSpaceDE w:val="0"/>
        <w:autoSpaceDN w:val="0"/>
        <w:spacing w:line="460" w:lineRule="exact"/>
        <w:ind w:firstLine="480" w:firstLineChars="200"/>
        <w:rPr>
          <w:sz w:val="24"/>
        </w:rPr>
      </w:pPr>
      <w:r>
        <w:rPr>
          <w:sz w:val="24"/>
        </w:rPr>
        <w:t>滴灌带生产冷却用水量为121.2m</w:t>
      </w:r>
      <w:r>
        <w:rPr>
          <w:sz w:val="24"/>
          <w:vertAlign w:val="superscript"/>
        </w:rPr>
        <w:t>3</w:t>
      </w:r>
      <w:r>
        <w:rPr>
          <w:sz w:val="24"/>
        </w:rPr>
        <w:t>/d，循环量为120m</w:t>
      </w:r>
      <w:r>
        <w:rPr>
          <w:sz w:val="24"/>
          <w:vertAlign w:val="superscript"/>
        </w:rPr>
        <w:t>3</w:t>
      </w:r>
      <w:r>
        <w:rPr>
          <w:sz w:val="24"/>
        </w:rPr>
        <w:t>/d，损耗量为1.2m</w:t>
      </w:r>
      <w:r>
        <w:rPr>
          <w:sz w:val="24"/>
          <w:vertAlign w:val="superscript"/>
        </w:rPr>
        <w:t>3</w:t>
      </w:r>
      <w:r>
        <w:rPr>
          <w:sz w:val="24"/>
        </w:rPr>
        <w:t>/d，循环使用不外排；PE管生产冷却用水量为30.6m</w:t>
      </w:r>
      <w:r>
        <w:rPr>
          <w:sz w:val="24"/>
          <w:vertAlign w:val="superscript"/>
        </w:rPr>
        <w:t>3</w:t>
      </w:r>
      <w:r>
        <w:rPr>
          <w:sz w:val="24"/>
        </w:rPr>
        <w:t>/d。循环量为30m</w:t>
      </w:r>
      <w:r>
        <w:rPr>
          <w:sz w:val="24"/>
          <w:vertAlign w:val="superscript"/>
        </w:rPr>
        <w:t>3</w:t>
      </w:r>
      <w:r>
        <w:rPr>
          <w:sz w:val="24"/>
        </w:rPr>
        <w:t>/d，损耗量为0.6m</w:t>
      </w:r>
      <w:r>
        <w:rPr>
          <w:sz w:val="24"/>
          <w:vertAlign w:val="superscript"/>
        </w:rPr>
        <w:t>3</w:t>
      </w:r>
      <w:r>
        <w:rPr>
          <w:sz w:val="24"/>
        </w:rPr>
        <w:t>/d，循环使用不外排。</w:t>
      </w:r>
    </w:p>
    <w:p>
      <w:pPr>
        <w:pStyle w:val="499"/>
        <w:spacing w:line="460" w:lineRule="exact"/>
        <w:ind w:firstLine="480"/>
        <w:rPr>
          <w:rFonts w:ascii="Times New Roman" w:hAnsi="Times New Roman" w:cs="Times New Roman"/>
          <w:kern w:val="28"/>
        </w:rPr>
      </w:pPr>
      <w:r>
        <w:rPr>
          <w:rFonts w:hint="eastAsia" w:ascii="Times New Roman" w:hAnsi="Times New Roman" w:cs="Times New Roman"/>
        </w:rPr>
        <w:t>项目冷却用水设置依托现有2座容积分别为100m</w:t>
      </w:r>
      <w:r>
        <w:rPr>
          <w:rFonts w:hint="eastAsia" w:ascii="Times New Roman" w:hAnsi="Times New Roman" w:cs="Times New Roman"/>
          <w:vertAlign w:val="superscript"/>
        </w:rPr>
        <w:t>3</w:t>
      </w:r>
      <w:r>
        <w:rPr>
          <w:rFonts w:hint="eastAsia" w:ascii="Times New Roman" w:hAnsi="Times New Roman" w:cs="Times New Roman"/>
        </w:rPr>
        <w:t>冷却水池循环使用，不外排。</w:t>
      </w:r>
    </w:p>
    <w:p>
      <w:pPr>
        <w:pStyle w:val="499"/>
        <w:ind w:firstLine="480"/>
        <w:rPr>
          <w:rFonts w:ascii="Times New Roman" w:hAnsi="Times New Roman" w:cs="Times New Roman"/>
          <w:kern w:val="28"/>
        </w:rPr>
      </w:pPr>
      <w:r>
        <w:rPr>
          <w:rFonts w:ascii="Times New Roman" w:hAnsi="Times New Roman" w:cs="Times New Roman"/>
          <w:kern w:val="28"/>
        </w:rPr>
        <w:t>（3）生活污水</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本项目新增劳动定员16人，生活用水量按照80L/人·d计，项目年运行180天，生活用水量为230.4m³/a。生活废水产生量按照用水量的80%计，则生活污水产生量为184.32m³/a。生活污水中的主要污染物为CODcr、BOD</w:t>
      </w:r>
      <w:r>
        <w:rPr>
          <w:rFonts w:hint="eastAsia" w:ascii="Times New Roman" w:hAnsi="Times New Roman" w:cs="Times New Roman"/>
          <w:kern w:val="28"/>
          <w:vertAlign w:val="subscript"/>
        </w:rPr>
        <w:t>5</w:t>
      </w:r>
      <w:r>
        <w:rPr>
          <w:rFonts w:hint="eastAsia" w:ascii="Times New Roman" w:hAnsi="Times New Roman" w:cs="Times New Roman"/>
          <w:kern w:val="28"/>
        </w:rPr>
        <w:t>、SS、氨氮等。生活污水经现有1座100m³的防渗化粪池暂存后，定期拉运至昌吉国家农业科技园区污水处理厂处置。</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2、</w:t>
      </w:r>
      <w:r>
        <w:rPr>
          <w:rFonts w:ascii="Times New Roman" w:hAnsi="Times New Roman" w:cs="Times New Roman"/>
          <w:kern w:val="28"/>
        </w:rPr>
        <w:t>废水处置措施分析</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根据工程分析，项目回收的废旧滴灌带、废旧</w:t>
      </w:r>
      <w:r>
        <w:rPr>
          <w:rFonts w:hint="eastAsia" w:ascii="Times New Roman" w:hAnsi="Times New Roman" w:cs="Times New Roman"/>
          <w:kern w:val="28"/>
        </w:rPr>
        <w:t>塑料</w:t>
      </w:r>
      <w:r>
        <w:rPr>
          <w:rFonts w:ascii="Times New Roman" w:hAnsi="Times New Roman" w:cs="Times New Roman"/>
          <w:kern w:val="28"/>
        </w:rPr>
        <w:t>膜表面粘附有少量泥土，由于废旧滴灌带、废旧</w:t>
      </w:r>
      <w:r>
        <w:rPr>
          <w:rFonts w:hint="eastAsia" w:ascii="Times New Roman" w:hAnsi="Times New Roman" w:cs="Times New Roman"/>
          <w:kern w:val="28"/>
        </w:rPr>
        <w:t>塑料</w:t>
      </w:r>
      <w:r>
        <w:rPr>
          <w:rFonts w:ascii="Times New Roman" w:hAnsi="Times New Roman" w:cs="Times New Roman"/>
          <w:kern w:val="28"/>
        </w:rPr>
        <w:t>膜回收阶段为农产品全部秋收完毕后的最后清理阶段，滴灌带在农田停留时间较久，种植时残留的农药已基本降解完毕，项目清洗过程中不添加任何清洗剂，因此清洗废旧滴灌带、废旧</w:t>
      </w:r>
      <w:r>
        <w:rPr>
          <w:rFonts w:hint="eastAsia" w:ascii="Times New Roman" w:hAnsi="Times New Roman" w:cs="Times New Roman"/>
          <w:kern w:val="28"/>
        </w:rPr>
        <w:t>塑料</w:t>
      </w:r>
      <w:r>
        <w:rPr>
          <w:rFonts w:ascii="Times New Roman" w:hAnsi="Times New Roman" w:cs="Times New Roman"/>
          <w:kern w:val="28"/>
        </w:rPr>
        <w:t>膜过程中产生的废水主要污染物为SS，清洗废水在厂区内设置有</w:t>
      </w:r>
      <w:r>
        <w:rPr>
          <w:rFonts w:hint="eastAsia" w:ascii="Times New Roman" w:hAnsi="Times New Roman" w:cs="Times New Roman"/>
          <w:kern w:val="28"/>
        </w:rPr>
        <w:t>两</w:t>
      </w:r>
      <w:r>
        <w:rPr>
          <w:rFonts w:ascii="Times New Roman" w:hAnsi="Times New Roman" w:cs="Times New Roman"/>
          <w:kern w:val="28"/>
        </w:rPr>
        <w:t>座300m</w:t>
      </w:r>
      <w:r>
        <w:rPr>
          <w:rFonts w:ascii="Times New Roman" w:hAnsi="Times New Roman" w:cs="Times New Roman"/>
          <w:kern w:val="28"/>
          <w:vertAlign w:val="superscript"/>
        </w:rPr>
        <w:t>3</w:t>
      </w:r>
      <w:r>
        <w:rPr>
          <w:rFonts w:ascii="Times New Roman" w:hAnsi="Times New Roman" w:cs="Times New Roman"/>
          <w:kern w:val="28"/>
        </w:rPr>
        <w:t>防渗三级沉淀池，经沉淀后回用于生产，不外排；项目生产过程产生的冷却水在使用过程水温升高，经设置的</w:t>
      </w:r>
      <w:r>
        <w:rPr>
          <w:rFonts w:hint="eastAsia" w:ascii="Times New Roman" w:hAnsi="Times New Roman" w:cs="Times New Roman"/>
          <w:kern w:val="28"/>
        </w:rPr>
        <w:t>两</w:t>
      </w:r>
      <w:r>
        <w:rPr>
          <w:rFonts w:ascii="Times New Roman" w:hAnsi="Times New Roman" w:cs="Times New Roman"/>
          <w:kern w:val="28"/>
        </w:rPr>
        <w:t>座</w:t>
      </w:r>
      <w:r>
        <w:rPr>
          <w:rFonts w:hint="eastAsia" w:ascii="Times New Roman" w:hAnsi="Times New Roman" w:cs="Times New Roman"/>
          <w:kern w:val="28"/>
        </w:rPr>
        <w:t>100</w:t>
      </w:r>
      <w:r>
        <w:rPr>
          <w:rFonts w:ascii="Times New Roman" w:hAnsi="Times New Roman" w:cs="Times New Roman"/>
          <w:kern w:val="28"/>
        </w:rPr>
        <w:t>m</w:t>
      </w:r>
      <w:r>
        <w:rPr>
          <w:rFonts w:ascii="Times New Roman" w:hAnsi="Times New Roman" w:cs="Times New Roman"/>
          <w:kern w:val="28"/>
          <w:vertAlign w:val="superscript"/>
        </w:rPr>
        <w:t>3</w:t>
      </w:r>
      <w:r>
        <w:rPr>
          <w:rFonts w:ascii="Times New Roman" w:hAnsi="Times New Roman" w:cs="Times New Roman"/>
          <w:kern w:val="28"/>
        </w:rPr>
        <w:t>循环冷却池降温后循环使用，均不外排。</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员工产生的生活污水设置</w:t>
      </w:r>
      <w:r>
        <w:rPr>
          <w:rFonts w:hint="eastAsia" w:ascii="Times New Roman" w:hAnsi="Times New Roman" w:cs="Times New Roman"/>
          <w:kern w:val="28"/>
        </w:rPr>
        <w:t>依托厂区已建</w:t>
      </w:r>
      <w:r>
        <w:rPr>
          <w:rFonts w:ascii="Times New Roman" w:hAnsi="Times New Roman" w:cs="Times New Roman"/>
          <w:kern w:val="28"/>
        </w:rPr>
        <w:t>一座</w:t>
      </w:r>
      <w:r>
        <w:rPr>
          <w:rFonts w:hint="eastAsia" w:ascii="Times New Roman" w:hAnsi="Times New Roman" w:cs="Times New Roman"/>
          <w:kern w:val="28"/>
        </w:rPr>
        <w:t>100</w:t>
      </w:r>
      <w:r>
        <w:rPr>
          <w:rFonts w:ascii="Times New Roman" w:hAnsi="Times New Roman" w:cs="Times New Roman"/>
          <w:kern w:val="28"/>
        </w:rPr>
        <w:t>m</w:t>
      </w:r>
      <w:r>
        <w:rPr>
          <w:rFonts w:ascii="Times New Roman" w:hAnsi="Times New Roman" w:cs="Times New Roman"/>
          <w:kern w:val="28"/>
          <w:vertAlign w:val="superscript"/>
        </w:rPr>
        <w:t>3</w:t>
      </w:r>
      <w:r>
        <w:rPr>
          <w:rFonts w:hint="eastAsia" w:ascii="Times New Roman" w:hAnsi="Times New Roman" w:cs="Times New Roman"/>
          <w:kern w:val="28"/>
        </w:rPr>
        <w:t>防渗化粪池暂存后定期拉运至昌吉国家农业科技园区污水处理厂处置，</w:t>
      </w:r>
      <w:r>
        <w:rPr>
          <w:rFonts w:ascii="Times New Roman" w:hAnsi="Times New Roman" w:cs="Times New Roman"/>
          <w:kern w:val="28"/>
        </w:rPr>
        <w:t>根据调查，厂区原有工作人员生活污水产生量为0.8m</w:t>
      </w:r>
      <w:r>
        <w:rPr>
          <w:rFonts w:ascii="Times New Roman" w:hAnsi="Times New Roman" w:cs="Times New Roman"/>
          <w:kern w:val="28"/>
          <w:vertAlign w:val="superscript"/>
        </w:rPr>
        <w:t>3</w:t>
      </w:r>
      <w:r>
        <w:rPr>
          <w:rFonts w:ascii="Times New Roman" w:hAnsi="Times New Roman" w:cs="Times New Roman"/>
          <w:kern w:val="28"/>
        </w:rPr>
        <w:t>/d（144m</w:t>
      </w:r>
      <w:r>
        <w:rPr>
          <w:rFonts w:ascii="Times New Roman" w:hAnsi="Times New Roman" w:cs="Times New Roman"/>
          <w:kern w:val="28"/>
          <w:vertAlign w:val="superscript"/>
        </w:rPr>
        <w:t>3</w:t>
      </w:r>
      <w:r>
        <w:rPr>
          <w:rFonts w:ascii="Times New Roman" w:hAnsi="Times New Roman" w:cs="Times New Roman"/>
          <w:kern w:val="28"/>
        </w:rPr>
        <w:t>/a），本次改扩建项目新增员工生活污水产生量为1.</w:t>
      </w:r>
      <w:r>
        <w:rPr>
          <w:rFonts w:hint="eastAsia" w:ascii="Times New Roman" w:hAnsi="Times New Roman" w:cs="Times New Roman"/>
          <w:kern w:val="28"/>
        </w:rPr>
        <w:t>0</w:t>
      </w:r>
      <w:r>
        <w:rPr>
          <w:rFonts w:ascii="Times New Roman" w:hAnsi="Times New Roman" w:cs="Times New Roman"/>
          <w:kern w:val="28"/>
        </w:rPr>
        <w:t>2m</w:t>
      </w:r>
      <w:r>
        <w:rPr>
          <w:rFonts w:ascii="Times New Roman" w:hAnsi="Times New Roman" w:cs="Times New Roman"/>
          <w:kern w:val="28"/>
          <w:vertAlign w:val="superscript"/>
        </w:rPr>
        <w:t>3</w:t>
      </w:r>
      <w:r>
        <w:rPr>
          <w:rFonts w:ascii="Times New Roman" w:hAnsi="Times New Roman" w:cs="Times New Roman"/>
          <w:kern w:val="28"/>
        </w:rPr>
        <w:t>/d（</w:t>
      </w:r>
      <w:r>
        <w:rPr>
          <w:rFonts w:hint="eastAsia" w:ascii="Times New Roman" w:hAnsi="Times New Roman" w:cs="Times New Roman"/>
          <w:kern w:val="28"/>
        </w:rPr>
        <w:t>184.32</w:t>
      </w:r>
      <w:r>
        <w:rPr>
          <w:rFonts w:ascii="Times New Roman" w:hAnsi="Times New Roman" w:cs="Times New Roman"/>
          <w:kern w:val="28"/>
        </w:rPr>
        <w:t>m</w:t>
      </w:r>
      <w:r>
        <w:rPr>
          <w:rFonts w:ascii="Times New Roman" w:hAnsi="Times New Roman" w:cs="Times New Roman"/>
          <w:kern w:val="28"/>
          <w:vertAlign w:val="superscript"/>
        </w:rPr>
        <w:t>3</w:t>
      </w:r>
      <w:r>
        <w:rPr>
          <w:rFonts w:ascii="Times New Roman" w:hAnsi="Times New Roman" w:cs="Times New Roman"/>
          <w:kern w:val="28"/>
        </w:rPr>
        <w:t>/a），</w:t>
      </w:r>
      <w:r>
        <w:rPr>
          <w:rFonts w:hint="eastAsia" w:ascii="Times New Roman" w:hAnsi="Times New Roman" w:cs="Times New Roman"/>
          <w:kern w:val="28"/>
        </w:rPr>
        <w:t>生活污水平均每个月需要拉运一次，</w:t>
      </w:r>
      <w:r>
        <w:rPr>
          <w:rFonts w:ascii="Times New Roman" w:hAnsi="Times New Roman" w:cs="Times New Roman"/>
          <w:kern w:val="28"/>
        </w:rPr>
        <w:t>因此</w:t>
      </w:r>
      <w:r>
        <w:rPr>
          <w:rFonts w:hint="eastAsia" w:ascii="Times New Roman" w:hAnsi="Times New Roman" w:cs="Times New Roman"/>
          <w:kern w:val="28"/>
        </w:rPr>
        <w:t>本次扩建完成后全厂职工生活污水依托已建100m</w:t>
      </w:r>
      <w:r>
        <w:rPr>
          <w:rFonts w:hint="eastAsia" w:ascii="Times New Roman" w:hAnsi="Times New Roman" w:cs="Times New Roman"/>
          <w:kern w:val="28"/>
          <w:vertAlign w:val="superscript"/>
        </w:rPr>
        <w:t>3</w:t>
      </w:r>
      <w:r>
        <w:rPr>
          <w:rFonts w:hint="eastAsia" w:ascii="Times New Roman" w:hAnsi="Times New Roman" w:cs="Times New Roman"/>
          <w:kern w:val="28"/>
        </w:rPr>
        <w:t>防渗化粪池暂存可行</w:t>
      </w:r>
      <w:r>
        <w:rPr>
          <w:rFonts w:ascii="Times New Roman" w:hAnsi="Times New Roman" w:cs="Times New Roman"/>
          <w:kern w:val="28"/>
        </w:rPr>
        <w:t>。</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昌吉国家农业科技园区污水处理厂位于园区的西北部，总占地面积130亩，建设规模为5000m</w:t>
      </w:r>
      <w:r>
        <w:rPr>
          <w:rFonts w:hint="eastAsia" w:ascii="Times New Roman" w:hAnsi="Times New Roman" w:cs="Times New Roman"/>
          <w:kern w:val="28"/>
          <w:vertAlign w:val="superscript"/>
        </w:rPr>
        <w:t>3</w:t>
      </w:r>
      <w:r>
        <w:rPr>
          <w:rFonts w:hint="eastAsia" w:ascii="Times New Roman" w:hAnsi="Times New Roman" w:cs="Times New Roman"/>
          <w:kern w:val="28"/>
        </w:rPr>
        <w:t>/d，分期建设，其中一期2500m</w:t>
      </w:r>
      <w:r>
        <w:rPr>
          <w:rFonts w:hint="eastAsia" w:ascii="Times New Roman" w:hAnsi="Times New Roman" w:cs="Times New Roman"/>
          <w:kern w:val="28"/>
          <w:vertAlign w:val="superscript"/>
        </w:rPr>
        <w:t>3</w:t>
      </w:r>
      <w:r>
        <w:rPr>
          <w:rFonts w:hint="eastAsia" w:ascii="Times New Roman" w:hAnsi="Times New Roman" w:cs="Times New Roman"/>
          <w:kern w:val="28"/>
        </w:rPr>
        <w:t>/d，现已建成投入使用，收纳处理园区污水。污水处理厂主要建设内容包括粗格栅及提升泵房、细格栅及曝气沉砂池、水解池、生化池、MBR膜池、污泥浓缩池、脱水机房、加氯加药间、鼓风机房配电间、回用水泵房、业务楼、仓库、机修间、车库等配套辅助附属设施等。设计预处理单元采用“格栅+曝气沉砂”工艺，生化单元采用改良“CAST生化池”工艺，深度处理单元采用“高效沉淀池+纤维转盘滤池”，污泥处理采用“浓缩+离心脱水”方案。出水水质满足《城镇污水处理厂污染物排放标准》（GB18918-2002）一级A标准。污水处理厂出水水质达到《城镇污水处理厂污染物排放标准》（GB18918-2002）中一级A标准和《城市污水再生利用水绿地灌溉水质》（GB/T25499-2010）等标准后，冬季储存于园区中水厂，夏季作为再生水用于园区道路绿化生态林灌溉。污水处理厂设3850m</w:t>
      </w:r>
      <w:r>
        <w:rPr>
          <w:rFonts w:hint="eastAsia" w:ascii="Times New Roman" w:hAnsi="Times New Roman" w:cs="Times New Roman"/>
          <w:kern w:val="28"/>
          <w:vertAlign w:val="superscript"/>
        </w:rPr>
        <w:t>3</w:t>
      </w:r>
      <w:r>
        <w:rPr>
          <w:rFonts w:hint="eastAsia" w:ascii="Times New Roman" w:hAnsi="Times New Roman" w:cs="Times New Roman"/>
          <w:kern w:val="28"/>
        </w:rPr>
        <w:t>事故池、在线监测设备及管网等。</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综上所，项目产生的各类废水均得到合理处置，均回用，不外排因此不会对周围水环境造成影响</w:t>
      </w:r>
      <w:r>
        <w:rPr>
          <w:rFonts w:ascii="Times New Roman" w:hAnsi="Times New Roman" w:cs="Times New Roman"/>
          <w:kern w:val="28"/>
        </w:rPr>
        <w:t>。</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地表水环境影响评价自查表见表</w:t>
      </w:r>
      <w:r>
        <w:rPr>
          <w:rFonts w:hint="eastAsia" w:ascii="Times New Roman" w:hAnsi="Times New Roman" w:cs="Times New Roman"/>
          <w:kern w:val="28"/>
        </w:rPr>
        <w:t>6.2-17</w:t>
      </w:r>
      <w:r>
        <w:rPr>
          <w:rFonts w:ascii="Times New Roman" w:hAnsi="Times New Roman" w:cs="Times New Roman"/>
          <w:kern w:val="28"/>
        </w:rPr>
        <w:t>。</w:t>
      </w:r>
    </w:p>
    <w:p>
      <w:pPr>
        <w:ind w:firstLine="420" w:firstLineChars="200"/>
        <w:rPr>
          <w:rFonts w:hAnsi="黑体" w:eastAsia="黑体"/>
        </w:rPr>
      </w:pPr>
      <w:r>
        <w:rPr>
          <w:rFonts w:hint="eastAsia" w:hAnsi="黑体" w:eastAsia="黑体"/>
        </w:rPr>
        <w:t>表6.2-17</w:t>
      </w:r>
      <w:r>
        <w:rPr>
          <w:rFonts w:hAnsi="黑体" w:eastAsia="黑体"/>
        </w:rPr>
        <w:t xml:space="preserve">                </w:t>
      </w:r>
      <w:r>
        <w:rPr>
          <w:rFonts w:hint="eastAsia" w:hAnsi="黑体" w:eastAsia="黑体"/>
        </w:rPr>
        <w:t>地表水环境影响评价自查表</w:t>
      </w:r>
    </w:p>
    <w:tbl>
      <w:tblPr>
        <w:tblStyle w:val="59"/>
        <w:tblW w:w="535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7"/>
        <w:gridCol w:w="1360"/>
        <w:gridCol w:w="1297"/>
        <w:gridCol w:w="532"/>
        <w:gridCol w:w="28"/>
        <w:gridCol w:w="28"/>
        <w:gridCol w:w="719"/>
        <w:gridCol w:w="1081"/>
        <w:gridCol w:w="296"/>
        <w:gridCol w:w="139"/>
        <w:gridCol w:w="139"/>
        <w:gridCol w:w="1017"/>
        <w:gridCol w:w="312"/>
        <w:gridCol w:w="365"/>
        <w:gridCol w:w="12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27" w:type="dxa"/>
            <w:gridSpan w:val="2"/>
            <w:tcBorders>
              <w:top w:val="single" w:color="000000" w:sz="12" w:space="0"/>
              <w:left w:val="nil"/>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工作内容</w:t>
            </w:r>
          </w:p>
        </w:tc>
        <w:tc>
          <w:tcPr>
            <w:tcW w:w="7211" w:type="dxa"/>
            <w:gridSpan w:val="13"/>
            <w:tcBorders>
              <w:top w:val="single" w:color="000000" w:sz="12"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影响识别</w:t>
            </w: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影响类型</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水污染影响型</w:t>
            </w:r>
            <w:r>
              <w:rPr>
                <w:rFonts w:ascii="Times New Roman" w:hAnsi="Times New Roman" w:cs="Times New Roman"/>
                <w:sz w:val="21"/>
                <w:szCs w:val="21"/>
              </w:rPr>
              <w:sym w:font="Wingdings 2" w:char="0052"/>
            </w:r>
            <w:r>
              <w:rPr>
                <w:rFonts w:hint="eastAsia" w:ascii="Times New Roman" w:hAnsi="Times New Roman" w:cs="Times New Roman"/>
                <w:sz w:val="21"/>
                <w:szCs w:val="21"/>
              </w:rPr>
              <w:t>；水文要素影响型</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水环境保护目标</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饮用水水源保护区</w:t>
            </w:r>
            <w:r>
              <w:rPr>
                <w:rFonts w:ascii="Times New Roman" w:hAnsi="Times New Roman" w:cs="Times New Roman"/>
                <w:sz w:val="21"/>
                <w:szCs w:val="21"/>
              </w:rPr>
              <w:sym w:font="Wingdings 2" w:char="00A3"/>
            </w:r>
            <w:r>
              <w:rPr>
                <w:rFonts w:hint="eastAsia" w:ascii="Times New Roman" w:hAnsi="Times New Roman" w:cs="Times New Roman"/>
                <w:sz w:val="21"/>
                <w:szCs w:val="21"/>
              </w:rPr>
              <w:t>；饮用水取水口；涉水的自然保护区</w:t>
            </w:r>
            <w:r>
              <w:rPr>
                <w:rFonts w:ascii="Times New Roman" w:hAnsi="Times New Roman" w:cs="Times New Roman"/>
                <w:sz w:val="21"/>
                <w:szCs w:val="21"/>
              </w:rPr>
              <w:sym w:font="Wingdings 2" w:char="00A3"/>
            </w:r>
            <w:r>
              <w:rPr>
                <w:rFonts w:hint="eastAsia" w:ascii="Times New Roman" w:hAnsi="Times New Roman" w:cs="Times New Roman"/>
                <w:sz w:val="21"/>
                <w:szCs w:val="21"/>
              </w:rPr>
              <w:t>；重要湿地；</w:t>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重点保护与珍惜水生生物的栖息地</w:t>
            </w:r>
            <w:r>
              <w:rPr>
                <w:rFonts w:ascii="Times New Roman" w:hAnsi="Times New Roman" w:cs="Times New Roman"/>
                <w:sz w:val="21"/>
                <w:szCs w:val="21"/>
              </w:rPr>
              <w:sym w:font="Wingdings 2" w:char="00A3"/>
            </w:r>
            <w:r>
              <w:rPr>
                <w:rFonts w:hint="eastAsia" w:ascii="Times New Roman" w:hAnsi="Times New Roman" w:cs="Times New Roman"/>
                <w:sz w:val="21"/>
                <w:szCs w:val="21"/>
              </w:rPr>
              <w:t>；重要水生生物的自然产卵场及索饵场、越冬场和洄游通道、天然渔场等渔业水体</w:t>
            </w:r>
            <w:r>
              <w:rPr>
                <w:rFonts w:ascii="Times New Roman" w:hAnsi="Times New Roman" w:cs="Times New Roman"/>
                <w:sz w:val="21"/>
                <w:szCs w:val="21"/>
              </w:rPr>
              <w:sym w:font="Wingdings 2" w:char="00A3"/>
            </w:r>
            <w:r>
              <w:rPr>
                <w:rFonts w:hint="eastAsia" w:ascii="Times New Roman" w:hAnsi="Times New Roman" w:cs="Times New Roman"/>
                <w:sz w:val="21"/>
                <w:szCs w:val="21"/>
              </w:rPr>
              <w:t>；涉水的风景名胜区</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影响途径</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水污染影响型</w:t>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水文要素影响型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直接排放</w:t>
            </w:r>
            <w:r>
              <w:rPr>
                <w:rFonts w:ascii="Times New Roman" w:hAnsi="Times New Roman" w:cs="Times New Roman"/>
                <w:sz w:val="21"/>
                <w:szCs w:val="21"/>
              </w:rPr>
              <w:sym w:font="Wingdings 2" w:char="00A3"/>
            </w:r>
            <w:r>
              <w:rPr>
                <w:rFonts w:hint="eastAsia" w:ascii="Times New Roman" w:hAnsi="Times New Roman" w:cs="Times New Roman"/>
                <w:sz w:val="21"/>
                <w:szCs w:val="21"/>
              </w:rPr>
              <w:t>；间接排放</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52"/>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水温</w:t>
            </w:r>
            <w:r>
              <w:rPr>
                <w:rFonts w:ascii="Times New Roman" w:hAnsi="Times New Roman" w:cs="Times New Roman"/>
                <w:sz w:val="21"/>
                <w:szCs w:val="21"/>
              </w:rPr>
              <w:sym w:font="Wingdings 2" w:char="00A3"/>
            </w:r>
            <w:r>
              <w:rPr>
                <w:rFonts w:hint="eastAsia" w:ascii="Times New Roman" w:hAnsi="Times New Roman" w:cs="Times New Roman"/>
                <w:sz w:val="21"/>
                <w:szCs w:val="21"/>
              </w:rPr>
              <w:t>；径流</w:t>
            </w:r>
            <w:r>
              <w:rPr>
                <w:rFonts w:ascii="Times New Roman" w:hAnsi="Times New Roman" w:cs="Times New Roman"/>
                <w:sz w:val="21"/>
                <w:szCs w:val="21"/>
              </w:rPr>
              <w:sym w:font="Wingdings 2" w:char="00A3"/>
            </w:r>
            <w:r>
              <w:rPr>
                <w:rFonts w:hint="eastAsia" w:ascii="Times New Roman" w:hAnsi="Times New Roman" w:cs="Times New Roman"/>
                <w:sz w:val="21"/>
                <w:szCs w:val="21"/>
              </w:rPr>
              <w:t>；水域面积</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影响因子</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持久性污染物</w:t>
            </w:r>
            <w:r>
              <w:rPr>
                <w:rFonts w:ascii="Times New Roman" w:hAnsi="Times New Roman" w:cs="Times New Roman"/>
                <w:sz w:val="21"/>
                <w:szCs w:val="21"/>
              </w:rPr>
              <w:sym w:font="Wingdings 2" w:char="00A3"/>
            </w:r>
            <w:r>
              <w:rPr>
                <w:rFonts w:hint="eastAsia" w:ascii="Times New Roman" w:hAnsi="Times New Roman" w:cs="Times New Roman"/>
                <w:sz w:val="21"/>
                <w:szCs w:val="21"/>
              </w:rPr>
              <w:t>；有毒有害污染物</w:t>
            </w:r>
            <w:r>
              <w:rPr>
                <w:rFonts w:ascii="Times New Roman" w:hAnsi="Times New Roman" w:cs="Times New Roman"/>
                <w:sz w:val="21"/>
                <w:szCs w:val="21"/>
              </w:rPr>
              <w:sym w:font="Wingdings 2" w:char="00A3"/>
            </w:r>
            <w:r>
              <w:rPr>
                <w:rFonts w:hint="eastAsia" w:ascii="Times New Roman" w:hAnsi="Times New Roman" w:cs="Times New Roman"/>
                <w:sz w:val="21"/>
                <w:szCs w:val="21"/>
              </w:rPr>
              <w:t>；非持久性污染物</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r>
              <w:rPr>
                <w:rFonts w:ascii="Times New Roman" w:hAnsi="Times New Roman" w:cs="Times New Roman"/>
                <w:sz w:val="21"/>
                <w:szCs w:val="21"/>
              </w:rPr>
              <w:t>pH</w:t>
            </w:r>
            <w:r>
              <w:rPr>
                <w:rFonts w:hint="eastAsia" w:ascii="Times New Roman" w:hAnsi="Times New Roman" w:cs="Times New Roman"/>
                <w:sz w:val="21"/>
                <w:szCs w:val="21"/>
              </w:rPr>
              <w:t>值</w:t>
            </w:r>
            <w:r>
              <w:rPr>
                <w:rFonts w:ascii="Times New Roman" w:hAnsi="Times New Roman" w:cs="Times New Roman"/>
                <w:sz w:val="21"/>
                <w:szCs w:val="21"/>
              </w:rPr>
              <w:sym w:font="Wingdings 2" w:char="00A3"/>
            </w:r>
            <w:r>
              <w:rPr>
                <w:rFonts w:hint="eastAsia" w:ascii="Times New Roman" w:hAnsi="Times New Roman" w:cs="Times New Roman"/>
                <w:sz w:val="21"/>
                <w:szCs w:val="21"/>
              </w:rPr>
              <w:t>；热污染</w:t>
            </w:r>
            <w:r>
              <w:rPr>
                <w:rFonts w:ascii="Times New Roman" w:hAnsi="Times New Roman" w:cs="Times New Roman"/>
                <w:sz w:val="21"/>
                <w:szCs w:val="21"/>
              </w:rPr>
              <w:sym w:font="Wingdings 2" w:char="00A3"/>
            </w:r>
            <w:r>
              <w:rPr>
                <w:rFonts w:hint="eastAsia" w:ascii="Times New Roman" w:hAnsi="Times New Roman" w:cs="Times New Roman"/>
                <w:sz w:val="21"/>
                <w:szCs w:val="21"/>
              </w:rPr>
              <w:t>；富营养化</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52"/>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水温</w:t>
            </w:r>
            <w:r>
              <w:rPr>
                <w:rFonts w:ascii="Times New Roman" w:hAnsi="Times New Roman" w:cs="Times New Roman"/>
                <w:sz w:val="21"/>
                <w:szCs w:val="21"/>
              </w:rPr>
              <w:sym w:font="Wingdings 2" w:char="00A3"/>
            </w:r>
            <w:r>
              <w:rPr>
                <w:rFonts w:hint="eastAsia" w:ascii="Times New Roman" w:hAnsi="Times New Roman" w:cs="Times New Roman"/>
                <w:sz w:val="21"/>
                <w:szCs w:val="21"/>
              </w:rPr>
              <w:t>；水位（水深）</w:t>
            </w:r>
            <w:r>
              <w:rPr>
                <w:rFonts w:ascii="Times New Roman" w:hAnsi="Times New Roman" w:cs="Times New Roman"/>
                <w:sz w:val="21"/>
                <w:szCs w:val="21"/>
              </w:rPr>
              <w:sym w:font="Wingdings 2" w:char="00A3"/>
            </w:r>
            <w:r>
              <w:rPr>
                <w:rFonts w:hint="eastAsia" w:ascii="Times New Roman" w:hAnsi="Times New Roman" w:cs="Times New Roman"/>
                <w:sz w:val="21"/>
                <w:szCs w:val="21"/>
              </w:rPr>
              <w:t>；流速</w:t>
            </w:r>
            <w:r>
              <w:rPr>
                <w:rFonts w:ascii="Times New Roman" w:hAnsi="Times New Roman" w:cs="Times New Roman"/>
                <w:sz w:val="21"/>
                <w:szCs w:val="21"/>
              </w:rPr>
              <w:sym w:font="Wingdings 2" w:char="00A3"/>
            </w:r>
            <w:r>
              <w:rPr>
                <w:rFonts w:hint="eastAsia" w:ascii="Times New Roman" w:hAnsi="Times New Roman" w:cs="Times New Roman"/>
                <w:sz w:val="21"/>
                <w:szCs w:val="21"/>
              </w:rPr>
              <w:t>；流量</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27" w:type="dxa"/>
            <w:gridSpan w:val="2"/>
            <w:vMerge w:val="restart"/>
            <w:tcBorders>
              <w:top w:val="single" w:color="000000" w:sz="4" w:space="0"/>
              <w:left w:val="nil"/>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评价等级</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水污染影响型</w:t>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水文要素影响型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27"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eastAsiaTheme="minorEastAsia"/>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一级</w:t>
            </w:r>
            <w:r>
              <w:rPr>
                <w:rFonts w:ascii="Times New Roman" w:hAnsi="Times New Roman" w:cs="Times New Roman"/>
                <w:sz w:val="21"/>
                <w:szCs w:val="21"/>
              </w:rPr>
              <w:sym w:font="Wingdings 2" w:char="00A3"/>
            </w:r>
            <w:r>
              <w:rPr>
                <w:rFonts w:hint="eastAsia" w:ascii="Times New Roman" w:hAnsi="Times New Roman" w:cs="Times New Roman"/>
                <w:sz w:val="21"/>
                <w:szCs w:val="21"/>
              </w:rPr>
              <w:t>；二级</w:t>
            </w:r>
            <w:r>
              <w:rPr>
                <w:rFonts w:ascii="Times New Roman" w:hAnsi="Times New Roman" w:cs="Times New Roman"/>
                <w:sz w:val="21"/>
                <w:szCs w:val="21"/>
              </w:rPr>
              <w:sym w:font="Wingdings 2" w:char="00A3"/>
            </w:r>
            <w:r>
              <w:rPr>
                <w:rFonts w:hint="eastAsia" w:ascii="Times New Roman" w:hAnsi="Times New Roman" w:cs="Times New Roman"/>
                <w:sz w:val="21"/>
                <w:szCs w:val="21"/>
              </w:rPr>
              <w:t>；三级</w:t>
            </w:r>
            <w:r>
              <w:rPr>
                <w:rFonts w:ascii="Times New Roman" w:hAnsi="Times New Roman" w:cs="Times New Roman"/>
                <w:sz w:val="21"/>
                <w:szCs w:val="21"/>
              </w:rPr>
              <w:t>A</w:t>
            </w:r>
            <w:r>
              <w:rPr>
                <w:rFonts w:ascii="Times New Roman" w:hAnsi="Times New Roman" w:cs="Times New Roman"/>
                <w:sz w:val="21"/>
                <w:szCs w:val="21"/>
              </w:rPr>
              <w:sym w:font="Wingdings 2" w:char="00A3"/>
            </w:r>
            <w:r>
              <w:rPr>
                <w:rFonts w:hint="eastAsia" w:ascii="Times New Roman" w:hAnsi="Times New Roman" w:cs="Times New Roman"/>
                <w:sz w:val="21"/>
                <w:szCs w:val="21"/>
              </w:rPr>
              <w:t>；三级</w:t>
            </w:r>
            <w:r>
              <w:rPr>
                <w:rFonts w:ascii="Times New Roman" w:hAnsi="Times New Roman" w:cs="Times New Roman"/>
                <w:sz w:val="21"/>
                <w:szCs w:val="21"/>
              </w:rPr>
              <w:t>B</w:t>
            </w:r>
            <w:r>
              <w:rPr>
                <w:rFonts w:ascii="Times New Roman" w:hAnsi="Times New Roman" w:cs="Times New Roman"/>
                <w:sz w:val="21"/>
                <w:szCs w:val="21"/>
              </w:rPr>
              <w:sym w:font="Wingdings 2" w:char="0052"/>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一级</w:t>
            </w:r>
            <w:r>
              <w:rPr>
                <w:rFonts w:ascii="Times New Roman" w:hAnsi="Times New Roman" w:cs="Times New Roman"/>
                <w:sz w:val="21"/>
                <w:szCs w:val="21"/>
              </w:rPr>
              <w:sym w:font="Wingdings 2" w:char="00A3"/>
            </w:r>
            <w:r>
              <w:rPr>
                <w:rFonts w:hint="eastAsia" w:ascii="Times New Roman" w:hAnsi="Times New Roman" w:cs="Times New Roman"/>
                <w:sz w:val="21"/>
                <w:szCs w:val="21"/>
              </w:rPr>
              <w:t>；二级</w:t>
            </w:r>
            <w:r>
              <w:rPr>
                <w:rFonts w:ascii="Times New Roman" w:hAnsi="Times New Roman" w:cs="Times New Roman"/>
                <w:sz w:val="21"/>
                <w:szCs w:val="21"/>
              </w:rPr>
              <w:sym w:font="Wingdings 2" w:char="00A3"/>
            </w:r>
            <w:r>
              <w:rPr>
                <w:rFonts w:hint="eastAsia" w:ascii="Times New Roman" w:hAnsi="Times New Roman" w:cs="Times New Roman"/>
                <w:sz w:val="21"/>
                <w:szCs w:val="21"/>
              </w:rPr>
              <w:t>；三级</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现状调查</w:t>
            </w: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区域污染源</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调查项目</w:t>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857" w:type="dxa"/>
            <w:gridSpan w:val="3"/>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已建</w:t>
            </w:r>
            <w:r>
              <w:rPr>
                <w:rFonts w:ascii="Times New Roman" w:hAnsi="Times New Roman" w:cs="Times New Roman"/>
                <w:sz w:val="21"/>
                <w:szCs w:val="21"/>
              </w:rPr>
              <w:sym w:font="Wingdings 2" w:char="00A3"/>
            </w:r>
            <w:r>
              <w:rPr>
                <w:rFonts w:hint="eastAsia" w:ascii="Times New Roman" w:hAnsi="Times New Roman" w:cs="Times New Roman"/>
                <w:sz w:val="21"/>
                <w:szCs w:val="21"/>
              </w:rPr>
              <w:t>；在建</w:t>
            </w:r>
            <w:r>
              <w:rPr>
                <w:rFonts w:ascii="Times New Roman" w:hAnsi="Times New Roman" w:cs="Times New Roman"/>
                <w:sz w:val="21"/>
                <w:szCs w:val="21"/>
              </w:rPr>
              <w:sym w:font="Wingdings 2" w:char="00A3"/>
            </w:r>
            <w:r>
              <w:rPr>
                <w:rFonts w:hint="eastAsia" w:ascii="Times New Roman" w:hAnsi="Times New Roman" w:cs="Times New Roman"/>
                <w:sz w:val="21"/>
                <w:szCs w:val="21"/>
              </w:rPr>
              <w:t>；拟建</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c>
          <w:tcPr>
            <w:tcW w:w="1828" w:type="dxa"/>
            <w:gridSpan w:val="3"/>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拟替代的污染源</w:t>
            </w:r>
            <w:r>
              <w:rPr>
                <w:rFonts w:ascii="Times New Roman" w:hAnsi="Times New Roman" w:cs="Times New Roman"/>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排污许可证</w:t>
            </w:r>
            <w:r>
              <w:rPr>
                <w:rFonts w:ascii="Times New Roman" w:hAnsi="Times New Roman" w:cs="Times New Roman"/>
                <w:sz w:val="21"/>
                <w:szCs w:val="21"/>
              </w:rPr>
              <w:sym w:font="Wingdings 2" w:char="00A3"/>
            </w:r>
            <w:r>
              <w:rPr>
                <w:rFonts w:hint="eastAsia" w:ascii="Times New Roman" w:hAnsi="Times New Roman" w:cs="Times New Roman"/>
                <w:sz w:val="21"/>
                <w:szCs w:val="21"/>
              </w:rPr>
              <w:t>；环评</w:t>
            </w:r>
            <w:r>
              <w:rPr>
                <w:rFonts w:ascii="Times New Roman" w:hAnsi="Times New Roman" w:cs="Times New Roman"/>
                <w:sz w:val="21"/>
                <w:szCs w:val="21"/>
              </w:rPr>
              <w:sym w:font="Wingdings 2" w:char="00A3"/>
            </w:r>
            <w:r>
              <w:rPr>
                <w:rFonts w:hint="eastAsia" w:ascii="Times New Roman" w:hAnsi="Times New Roman" w:cs="Times New Roman"/>
                <w:sz w:val="21"/>
                <w:szCs w:val="21"/>
              </w:rPr>
              <w:t>；环保验收</w:t>
            </w:r>
            <w:r>
              <w:rPr>
                <w:rFonts w:ascii="Times New Roman" w:hAnsi="Times New Roman" w:cs="Times New Roman"/>
                <w:sz w:val="21"/>
                <w:szCs w:val="21"/>
              </w:rPr>
              <w:sym w:font="Wingdings 2" w:char="00A3"/>
            </w:r>
            <w:r>
              <w:rPr>
                <w:rFonts w:hint="eastAsia" w:ascii="Times New Roman" w:hAnsi="Times New Roman" w:cs="Times New Roman"/>
                <w:sz w:val="21"/>
                <w:szCs w:val="21"/>
              </w:rPr>
              <w:t>；即有实施</w:t>
            </w:r>
            <w:r>
              <w:rPr>
                <w:rFonts w:ascii="Times New Roman" w:hAnsi="Times New Roman" w:cs="Times New Roman"/>
                <w:sz w:val="21"/>
                <w:szCs w:val="21"/>
              </w:rPr>
              <w:sym w:font="Wingdings 2" w:char="00A3"/>
            </w:r>
            <w:r>
              <w:rPr>
                <w:rFonts w:hint="eastAsia" w:ascii="Times New Roman" w:hAnsi="Times New Roman" w:cs="Times New Roman"/>
                <w:sz w:val="21"/>
                <w:szCs w:val="21"/>
              </w:rPr>
              <w:t>；现场监测</w:t>
            </w:r>
            <w:r>
              <w:rPr>
                <w:rFonts w:ascii="Times New Roman" w:hAnsi="Times New Roman" w:cs="Times New Roman"/>
                <w:sz w:val="21"/>
                <w:szCs w:val="21"/>
              </w:rPr>
              <w:sym w:font="Wingdings 2" w:char="00A3"/>
            </w:r>
            <w:r>
              <w:rPr>
                <w:rFonts w:hint="eastAsia" w:ascii="Times New Roman" w:hAnsi="Times New Roman" w:cs="Times New Roman"/>
                <w:sz w:val="21"/>
                <w:szCs w:val="21"/>
              </w:rPr>
              <w:t>；入河排放口数据</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受影响水体水环境质量</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调查时期</w:t>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；平水期</w:t>
            </w:r>
            <w:r>
              <w:rPr>
                <w:rFonts w:ascii="Times New Roman" w:hAnsi="Times New Roman" w:cs="Times New Roman"/>
                <w:sz w:val="21"/>
                <w:szCs w:val="21"/>
              </w:rPr>
              <w:sym w:font="Wingdings 2" w:char="00A3"/>
            </w:r>
            <w:r>
              <w:rPr>
                <w:rFonts w:hint="eastAsia" w:ascii="Times New Roman" w:hAnsi="Times New Roman" w:cs="Times New Roman"/>
                <w:sz w:val="21"/>
                <w:szCs w:val="21"/>
              </w:rPr>
              <w:t>；枯水期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；冰封期</w:t>
            </w:r>
            <w:r>
              <w:rPr>
                <w:rFonts w:ascii="Times New Roman" w:hAnsi="Times New Roman" w:cs="Times New Roman"/>
                <w:sz w:val="21"/>
                <w:szCs w:val="21"/>
              </w:rPr>
              <w:sym w:font="Wingdings 2" w:char="00A3"/>
            </w:r>
            <w:r>
              <w:rPr>
                <w:rFonts w:hint="eastAsia" w:ascii="Times New Roman" w:hAnsi="Times New Roman" w:cs="Times New Roman"/>
                <w:sz w:val="21"/>
                <w:szCs w:val="21"/>
              </w:rPr>
              <w:t>；春季</w:t>
            </w:r>
            <w:r>
              <w:rPr>
                <w:rFonts w:ascii="Times New Roman" w:hAnsi="Times New Roman" w:cs="Times New Roman"/>
                <w:sz w:val="21"/>
                <w:szCs w:val="21"/>
              </w:rPr>
              <w:sym w:font="Wingdings 2" w:char="00A3"/>
            </w:r>
            <w:r>
              <w:rPr>
                <w:rFonts w:hint="eastAsia" w:ascii="Times New Roman" w:hAnsi="Times New Roman" w:cs="Times New Roman"/>
                <w:sz w:val="21"/>
                <w:szCs w:val="21"/>
              </w:rPr>
              <w:t>；夏季</w:t>
            </w:r>
            <w:r>
              <w:rPr>
                <w:rFonts w:ascii="Times New Roman" w:hAnsi="Times New Roman" w:cs="Times New Roman"/>
                <w:sz w:val="21"/>
                <w:szCs w:val="21"/>
              </w:rPr>
              <w:sym w:font="Wingdings 2" w:char="0052"/>
            </w:r>
            <w:r>
              <w:rPr>
                <w:rFonts w:hint="eastAsia" w:ascii="Times New Roman" w:hAnsi="Times New Roman" w:cs="Times New Roman"/>
                <w:sz w:val="21"/>
                <w:szCs w:val="21"/>
              </w:rPr>
              <w:t>；秋季</w:t>
            </w:r>
            <w:r>
              <w:rPr>
                <w:rFonts w:ascii="Times New Roman" w:hAnsi="Times New Roman" w:cs="Times New Roman"/>
                <w:sz w:val="21"/>
                <w:szCs w:val="21"/>
              </w:rPr>
              <w:sym w:font="Wingdings 2" w:char="00A3"/>
            </w:r>
            <w:r>
              <w:rPr>
                <w:rFonts w:hint="eastAsia" w:ascii="Times New Roman" w:hAnsi="Times New Roman" w:cs="Times New Roman"/>
                <w:sz w:val="21"/>
                <w:szCs w:val="21"/>
              </w:rPr>
              <w:t>；冬季</w:t>
            </w:r>
            <w:r>
              <w:rPr>
                <w:rFonts w:ascii="Times New Roman" w:hAnsi="Times New Roman" w:cs="Times New Roman"/>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生态环境保护主管部门</w:t>
            </w:r>
            <w:r>
              <w:rPr>
                <w:rFonts w:ascii="Times New Roman" w:hAnsi="Times New Roman" w:cs="Times New Roman"/>
                <w:sz w:val="21"/>
                <w:szCs w:val="21"/>
              </w:rPr>
              <w:sym w:font="Wingdings 2" w:char="00A3"/>
            </w:r>
            <w:r>
              <w:rPr>
                <w:rFonts w:hint="eastAsia" w:ascii="Times New Roman" w:hAnsi="Times New Roman" w:cs="Times New Roman"/>
                <w:sz w:val="21"/>
                <w:szCs w:val="21"/>
              </w:rPr>
              <w:t>；补充监测</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区域水资源开发利用状况</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未开发</w:t>
            </w:r>
            <w:r>
              <w:rPr>
                <w:rFonts w:ascii="Times New Roman" w:hAnsi="Times New Roman" w:cs="Times New Roman"/>
                <w:sz w:val="21"/>
                <w:szCs w:val="21"/>
              </w:rPr>
              <w:sym w:font="Wingdings 2" w:char="00A3"/>
            </w:r>
            <w:r>
              <w:rPr>
                <w:rFonts w:hint="eastAsia" w:ascii="Times New Roman" w:hAnsi="Times New Roman" w:cs="Times New Roman"/>
                <w:sz w:val="21"/>
                <w:szCs w:val="21"/>
              </w:rPr>
              <w:t>；开发量</w:t>
            </w:r>
            <w:r>
              <w:rPr>
                <w:rFonts w:ascii="Times New Roman" w:hAnsi="Times New Roman" w:cs="Times New Roman"/>
                <w:sz w:val="21"/>
                <w:szCs w:val="21"/>
              </w:rPr>
              <w:t>40%</w:t>
            </w:r>
            <w:r>
              <w:rPr>
                <w:rFonts w:hint="eastAsia" w:ascii="Times New Roman" w:hAnsi="Times New Roman" w:cs="Times New Roman"/>
                <w:sz w:val="21"/>
                <w:szCs w:val="21"/>
              </w:rPr>
              <w:t>以下</w:t>
            </w:r>
            <w:r>
              <w:rPr>
                <w:rFonts w:ascii="Times New Roman" w:hAnsi="Times New Roman" w:cs="Times New Roman"/>
                <w:sz w:val="21"/>
                <w:szCs w:val="21"/>
              </w:rPr>
              <w:sym w:font="Wingdings 2" w:char="00A3"/>
            </w:r>
            <w:r>
              <w:rPr>
                <w:rFonts w:hint="eastAsia" w:ascii="Times New Roman" w:hAnsi="Times New Roman" w:cs="Times New Roman"/>
                <w:sz w:val="21"/>
                <w:szCs w:val="21"/>
              </w:rPr>
              <w:t>；开发量</w:t>
            </w:r>
            <w:r>
              <w:rPr>
                <w:rFonts w:ascii="Times New Roman" w:hAnsi="Times New Roman" w:cs="Times New Roman"/>
                <w:sz w:val="21"/>
                <w:szCs w:val="21"/>
              </w:rPr>
              <w:t>40%</w:t>
            </w:r>
            <w:r>
              <w:rPr>
                <w:rFonts w:hint="eastAsia" w:ascii="Times New Roman" w:hAnsi="Times New Roman" w:cs="Times New Roman"/>
                <w:sz w:val="21"/>
                <w:szCs w:val="21"/>
              </w:rPr>
              <w:t>以上</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水文情势调查</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调查时期</w:t>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；平水期</w:t>
            </w:r>
            <w:r>
              <w:rPr>
                <w:rFonts w:ascii="Times New Roman" w:hAnsi="Times New Roman" w:cs="Times New Roman"/>
                <w:sz w:val="21"/>
                <w:szCs w:val="21"/>
              </w:rPr>
              <w:sym w:font="Wingdings 2" w:char="00A3"/>
            </w:r>
            <w:r>
              <w:rPr>
                <w:rFonts w:hint="eastAsia" w:ascii="Times New Roman" w:hAnsi="Times New Roman" w:cs="Times New Roman"/>
                <w:sz w:val="21"/>
                <w:szCs w:val="21"/>
              </w:rPr>
              <w:t>；枯水期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；冰封期</w:t>
            </w:r>
            <w:r>
              <w:rPr>
                <w:rFonts w:ascii="Times New Roman" w:hAnsi="Times New Roman" w:cs="Times New Roman"/>
                <w:sz w:val="21"/>
                <w:szCs w:val="21"/>
              </w:rPr>
              <w:sym w:font="Wingdings 2" w:char="00A3"/>
            </w:r>
            <w:r>
              <w:rPr>
                <w:rFonts w:hint="eastAsia" w:ascii="Times New Roman" w:hAnsi="Times New Roman" w:cs="Times New Roman"/>
                <w:sz w:val="21"/>
                <w:szCs w:val="21"/>
              </w:rPr>
              <w:t>；春季</w:t>
            </w:r>
            <w:r>
              <w:rPr>
                <w:rFonts w:ascii="Times New Roman" w:hAnsi="Times New Roman" w:cs="Times New Roman"/>
                <w:sz w:val="21"/>
                <w:szCs w:val="21"/>
              </w:rPr>
              <w:sym w:font="Wingdings 2" w:char="00A3"/>
            </w:r>
            <w:r>
              <w:rPr>
                <w:rFonts w:hint="eastAsia" w:ascii="Times New Roman" w:hAnsi="Times New Roman" w:cs="Times New Roman"/>
                <w:sz w:val="21"/>
                <w:szCs w:val="21"/>
              </w:rPr>
              <w:t>；夏季</w:t>
            </w:r>
            <w:r>
              <w:rPr>
                <w:rFonts w:ascii="Times New Roman" w:hAnsi="Times New Roman" w:cs="Times New Roman"/>
                <w:sz w:val="21"/>
                <w:szCs w:val="21"/>
              </w:rPr>
              <w:sym w:font="Wingdings 2" w:char="00A3"/>
            </w:r>
            <w:r>
              <w:rPr>
                <w:rFonts w:hint="eastAsia" w:ascii="Times New Roman" w:hAnsi="Times New Roman" w:cs="Times New Roman"/>
                <w:sz w:val="21"/>
                <w:szCs w:val="21"/>
              </w:rPr>
              <w:t>；秋季</w:t>
            </w:r>
            <w:r>
              <w:rPr>
                <w:rFonts w:ascii="Times New Roman" w:hAnsi="Times New Roman" w:cs="Times New Roman"/>
                <w:sz w:val="21"/>
                <w:szCs w:val="21"/>
              </w:rPr>
              <w:sym w:font="Wingdings 2" w:char="00A3"/>
            </w:r>
            <w:r>
              <w:rPr>
                <w:rFonts w:hint="eastAsia" w:ascii="Times New Roman" w:hAnsi="Times New Roman" w:cs="Times New Roman"/>
                <w:sz w:val="21"/>
                <w:szCs w:val="21"/>
              </w:rPr>
              <w:t>；冬季</w:t>
            </w:r>
            <w:r>
              <w:rPr>
                <w:rFonts w:ascii="Times New Roman" w:hAnsi="Times New Roman" w:cs="Times New Roman"/>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水行政主管部门</w:t>
            </w:r>
            <w:r>
              <w:rPr>
                <w:rFonts w:ascii="Times New Roman" w:hAnsi="Times New Roman" w:cs="Times New Roman"/>
                <w:sz w:val="21"/>
                <w:szCs w:val="21"/>
              </w:rPr>
              <w:sym w:font="Wingdings 2" w:char="00A3"/>
            </w:r>
            <w:r>
              <w:rPr>
                <w:rFonts w:hint="eastAsia" w:ascii="Times New Roman" w:hAnsi="Times New Roman" w:cs="Times New Roman"/>
                <w:sz w:val="21"/>
                <w:szCs w:val="21"/>
              </w:rPr>
              <w:t>；补充监测</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补充监测</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监测时间</w:t>
            </w:r>
          </w:p>
        </w:tc>
        <w:tc>
          <w:tcPr>
            <w:tcW w:w="2268"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监测因子</w:t>
            </w:r>
          </w:p>
        </w:tc>
        <w:tc>
          <w:tcPr>
            <w:tcW w:w="1258" w:type="dxa"/>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监测断面或点位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；平水期</w:t>
            </w:r>
            <w:r>
              <w:rPr>
                <w:rFonts w:ascii="Times New Roman" w:hAnsi="Times New Roman" w:cs="Times New Roman"/>
                <w:sz w:val="21"/>
                <w:szCs w:val="21"/>
              </w:rPr>
              <w:sym w:font="Wingdings 2" w:char="00A3"/>
            </w:r>
            <w:r>
              <w:rPr>
                <w:rFonts w:hint="eastAsia" w:ascii="Times New Roman" w:hAnsi="Times New Roman" w:cs="Times New Roman"/>
                <w:sz w:val="21"/>
                <w:szCs w:val="21"/>
              </w:rPr>
              <w:t>；枯水期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；冰封期</w:t>
            </w:r>
            <w:r>
              <w:rPr>
                <w:rFonts w:ascii="Times New Roman" w:hAnsi="Times New Roman" w:cs="Times New Roman"/>
                <w:sz w:val="21"/>
                <w:szCs w:val="21"/>
              </w:rPr>
              <w:sym w:font="Wingdings 2" w:char="00A3"/>
            </w:r>
            <w:r>
              <w:rPr>
                <w:rFonts w:hint="eastAsia" w:ascii="Times New Roman" w:hAnsi="Times New Roman" w:cs="Times New Roman"/>
                <w:sz w:val="21"/>
                <w:szCs w:val="21"/>
              </w:rPr>
              <w:t>；春季</w:t>
            </w:r>
            <w:r>
              <w:rPr>
                <w:rFonts w:ascii="Times New Roman" w:hAnsi="Times New Roman" w:cs="Times New Roman"/>
                <w:sz w:val="21"/>
                <w:szCs w:val="21"/>
              </w:rPr>
              <w:sym w:font="Wingdings 2" w:char="00A3"/>
            </w:r>
            <w:r>
              <w:rPr>
                <w:rFonts w:hint="eastAsia" w:ascii="Times New Roman" w:hAnsi="Times New Roman" w:cs="Times New Roman"/>
                <w:sz w:val="21"/>
                <w:szCs w:val="21"/>
              </w:rPr>
              <w:t>；夏季</w:t>
            </w:r>
            <w:r>
              <w:rPr>
                <w:rFonts w:ascii="Times New Roman" w:hAnsi="Times New Roman" w:cs="Times New Roman"/>
                <w:sz w:val="21"/>
                <w:szCs w:val="21"/>
              </w:rPr>
              <w:sym w:font="Wingdings 2" w:char="00A3"/>
            </w:r>
            <w:r>
              <w:rPr>
                <w:rFonts w:hint="eastAsia" w:ascii="Times New Roman" w:hAnsi="Times New Roman" w:cs="Times New Roman"/>
                <w:sz w:val="21"/>
                <w:szCs w:val="21"/>
              </w:rPr>
              <w:t>；秋季</w:t>
            </w:r>
            <w:r>
              <w:rPr>
                <w:rFonts w:ascii="Times New Roman" w:hAnsi="Times New Roman" w:cs="Times New Roman"/>
                <w:sz w:val="21"/>
                <w:szCs w:val="21"/>
              </w:rPr>
              <w:sym w:font="Wingdings 2" w:char="00A3"/>
            </w:r>
            <w:r>
              <w:rPr>
                <w:rFonts w:hint="eastAsia" w:ascii="Times New Roman" w:hAnsi="Times New Roman" w:cs="Times New Roman"/>
                <w:sz w:val="21"/>
                <w:szCs w:val="21"/>
              </w:rPr>
              <w:t>；冬季</w:t>
            </w:r>
            <w:r>
              <w:rPr>
                <w:rFonts w:ascii="Times New Roman" w:hAnsi="Times New Roman" w:cs="Times New Roman"/>
                <w:sz w:val="21"/>
                <w:szCs w:val="21"/>
              </w:rPr>
              <w:sym w:font="Wingdings 2" w:char="00A3"/>
            </w:r>
          </w:p>
        </w:tc>
        <w:tc>
          <w:tcPr>
            <w:tcW w:w="2268"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58" w:type="dxa"/>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监测断面或点位个数（/）个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现状评价</w:t>
            </w: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评价范围</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河流：长度（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km</w:t>
            </w:r>
            <w:r>
              <w:rPr>
                <w:rFonts w:hint="eastAsia" w:ascii="Times New Roman" w:hAnsi="Times New Roman" w:cs="Times New Roman"/>
                <w:sz w:val="21"/>
                <w:szCs w:val="21"/>
              </w:rPr>
              <w:t>；湖库、河口及近岸海域：面积（</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评价因子</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 </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评价标准</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河流、湖库、河口：</w:t>
            </w:r>
            <w:r>
              <w:rPr>
                <w:rFonts w:hint="eastAsia"/>
                <w:sz w:val="21"/>
                <w:szCs w:val="21"/>
              </w:rPr>
              <w:t>Ⅰ</w:t>
            </w:r>
            <w:r>
              <w:rPr>
                <w:rFonts w:hint="eastAsia" w:ascii="Times New Roman" w:hAnsi="Times New Roman" w:cs="Times New Roman"/>
                <w:sz w:val="21"/>
                <w:szCs w:val="21"/>
              </w:rPr>
              <w:t>类</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r>
              <w:rPr>
                <w:rFonts w:hint="eastAsia"/>
                <w:sz w:val="21"/>
                <w:szCs w:val="21"/>
              </w:rPr>
              <w:t>Ⅱ</w:t>
            </w:r>
            <w:r>
              <w:rPr>
                <w:rFonts w:hint="eastAsia" w:ascii="Times New Roman" w:hAnsi="Times New Roman" w:cs="Times New Roman"/>
                <w:sz w:val="21"/>
                <w:szCs w:val="21"/>
              </w:rPr>
              <w:t>类</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r>
              <w:rPr>
                <w:rFonts w:hint="eastAsia"/>
                <w:sz w:val="21"/>
                <w:szCs w:val="21"/>
              </w:rPr>
              <w:t>Ⅲ</w:t>
            </w:r>
            <w:r>
              <w:rPr>
                <w:rFonts w:hint="eastAsia" w:ascii="Times New Roman" w:hAnsi="Times New Roman" w:cs="Times New Roman"/>
                <w:sz w:val="21"/>
                <w:szCs w:val="21"/>
              </w:rPr>
              <w:t>类</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r>
              <w:rPr>
                <w:rFonts w:hint="eastAsia"/>
                <w:sz w:val="21"/>
                <w:szCs w:val="21"/>
              </w:rPr>
              <w:t>Ⅳ</w:t>
            </w:r>
            <w:r>
              <w:rPr>
                <w:rFonts w:hint="eastAsia" w:ascii="Times New Roman" w:hAnsi="Times New Roman" w:cs="Times New Roman"/>
                <w:sz w:val="21"/>
                <w:szCs w:val="21"/>
              </w:rPr>
              <w:t>类</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r>
              <w:rPr>
                <w:rFonts w:hint="eastAsia"/>
                <w:sz w:val="21"/>
                <w:szCs w:val="21"/>
              </w:rPr>
              <w:t>Ⅴ</w:t>
            </w:r>
            <w:r>
              <w:rPr>
                <w:rFonts w:hint="eastAsia" w:ascii="Times New Roman" w:hAnsi="Times New Roman" w:cs="Times New Roman"/>
                <w:sz w:val="21"/>
                <w:szCs w:val="21"/>
              </w:rPr>
              <w:t>类</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近岸海域：第一类</w:t>
            </w:r>
            <w:r>
              <w:rPr>
                <w:rFonts w:ascii="Times New Roman" w:hAnsi="Times New Roman" w:cs="Times New Roman"/>
                <w:sz w:val="21"/>
                <w:szCs w:val="21"/>
              </w:rPr>
              <w:sym w:font="Wingdings 2" w:char="00A3"/>
            </w:r>
            <w:r>
              <w:rPr>
                <w:rFonts w:hint="eastAsia" w:ascii="Times New Roman" w:hAnsi="Times New Roman" w:cs="Times New Roman"/>
                <w:sz w:val="21"/>
                <w:szCs w:val="21"/>
              </w:rPr>
              <w:t>；第二类</w:t>
            </w:r>
            <w:r>
              <w:rPr>
                <w:rFonts w:ascii="Times New Roman" w:hAnsi="Times New Roman" w:cs="Times New Roman"/>
                <w:sz w:val="21"/>
                <w:szCs w:val="21"/>
              </w:rPr>
              <w:sym w:font="Wingdings 2" w:char="00A3"/>
            </w:r>
            <w:r>
              <w:rPr>
                <w:rFonts w:hint="eastAsia" w:ascii="Times New Roman" w:hAnsi="Times New Roman" w:cs="Times New Roman"/>
                <w:sz w:val="21"/>
                <w:szCs w:val="21"/>
              </w:rPr>
              <w:t>；第三类</w:t>
            </w:r>
            <w:r>
              <w:rPr>
                <w:rFonts w:ascii="Times New Roman" w:hAnsi="Times New Roman" w:cs="Times New Roman"/>
                <w:sz w:val="21"/>
                <w:szCs w:val="21"/>
              </w:rPr>
              <w:sym w:font="Wingdings 2" w:char="00A3"/>
            </w:r>
            <w:r>
              <w:rPr>
                <w:rFonts w:hint="eastAsia" w:ascii="Times New Roman" w:hAnsi="Times New Roman" w:cs="Times New Roman"/>
                <w:sz w:val="21"/>
                <w:szCs w:val="21"/>
              </w:rPr>
              <w:t>；第四类</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规划年评价标准（</w:t>
            </w:r>
            <w:r>
              <w:rPr>
                <w:rFonts w:ascii="Times New Roman" w:hAnsi="Times New Roman" w:cs="Times New Roman"/>
                <w:sz w:val="21"/>
                <w:szCs w:val="21"/>
              </w:rPr>
              <w:t>/</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评价时期</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；平水期</w:t>
            </w:r>
            <w:r>
              <w:rPr>
                <w:rFonts w:ascii="Times New Roman" w:hAnsi="Times New Roman" w:cs="Times New Roman"/>
                <w:sz w:val="21"/>
                <w:szCs w:val="21"/>
              </w:rPr>
              <w:sym w:font="Wingdings 2" w:char="00A3"/>
            </w:r>
            <w:r>
              <w:rPr>
                <w:rFonts w:hint="eastAsia" w:ascii="Times New Roman" w:hAnsi="Times New Roman" w:cs="Times New Roman"/>
                <w:sz w:val="21"/>
                <w:szCs w:val="21"/>
              </w:rPr>
              <w:t>；枯水期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；冰封期</w:t>
            </w:r>
            <w:r>
              <w:rPr>
                <w:rFonts w:ascii="Times New Roman" w:hAnsi="Times New Roman" w:cs="Times New Roman"/>
                <w:sz w:val="21"/>
                <w:szCs w:val="21"/>
              </w:rPr>
              <w:sym w:font="Wingdings 2" w:char="00A3"/>
            </w:r>
            <w:r>
              <w:rPr>
                <w:rFonts w:hint="eastAsia" w:ascii="Times New Roman" w:hAnsi="Times New Roman" w:cs="Times New Roman"/>
                <w:sz w:val="21"/>
                <w:szCs w:val="21"/>
              </w:rPr>
              <w:t>；春季</w:t>
            </w:r>
            <w:r>
              <w:rPr>
                <w:rFonts w:ascii="Times New Roman" w:hAnsi="Times New Roman" w:cs="Times New Roman"/>
                <w:sz w:val="21"/>
                <w:szCs w:val="21"/>
              </w:rPr>
              <w:sym w:font="Wingdings 2" w:char="00A3"/>
            </w:r>
            <w:r>
              <w:rPr>
                <w:rFonts w:hint="eastAsia" w:ascii="Times New Roman" w:hAnsi="Times New Roman" w:cs="Times New Roman"/>
                <w:sz w:val="21"/>
                <w:szCs w:val="21"/>
              </w:rPr>
              <w:t>；夏季</w:t>
            </w:r>
            <w:r>
              <w:rPr>
                <w:rFonts w:ascii="Times New Roman" w:hAnsi="Times New Roman" w:cs="Times New Roman"/>
                <w:sz w:val="21"/>
                <w:szCs w:val="21"/>
              </w:rPr>
              <w:sym w:font="Wingdings 2" w:char="00A3"/>
            </w:r>
            <w:r>
              <w:rPr>
                <w:rFonts w:hint="eastAsia" w:ascii="Times New Roman" w:hAnsi="Times New Roman" w:cs="Times New Roman"/>
                <w:sz w:val="21"/>
                <w:szCs w:val="21"/>
              </w:rPr>
              <w:t>；秋季</w:t>
            </w:r>
            <w:r>
              <w:rPr>
                <w:rFonts w:ascii="Times New Roman" w:hAnsi="Times New Roman" w:cs="Times New Roman"/>
                <w:sz w:val="21"/>
                <w:szCs w:val="21"/>
              </w:rPr>
              <w:sym w:font="Wingdings 2" w:char="00A3"/>
            </w:r>
            <w:r>
              <w:rPr>
                <w:rFonts w:hint="eastAsia" w:ascii="Times New Roman" w:hAnsi="Times New Roman" w:cs="Times New Roman"/>
                <w:sz w:val="21"/>
                <w:szCs w:val="21"/>
              </w:rPr>
              <w:t>；冬季</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评价结论</w:t>
            </w:r>
          </w:p>
        </w:tc>
        <w:tc>
          <w:tcPr>
            <w:tcW w:w="5588" w:type="dxa"/>
            <w:gridSpan w:val="11"/>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水环境功能区或水功能区、近岸海域环境功能区水质达标状况</w:t>
            </w:r>
            <w:r>
              <w:rPr>
                <w:rFonts w:ascii="Times New Roman" w:hAnsi="Times New Roman" w:cs="Times New Roman"/>
                <w:sz w:val="21"/>
                <w:szCs w:val="21"/>
              </w:rPr>
              <w:sym w:font="Wingdings 2" w:char="00A3"/>
            </w:r>
            <w:r>
              <w:rPr>
                <w:rFonts w:hint="eastAsia" w:ascii="Times New Roman" w:hAnsi="Times New Roman" w:cs="Times New Roman"/>
                <w:sz w:val="21"/>
                <w:szCs w:val="21"/>
              </w:rPr>
              <w:t>：达标</w:t>
            </w:r>
            <w:r>
              <w:rPr>
                <w:rFonts w:ascii="Times New Roman" w:hAnsi="Times New Roman" w:cs="Times New Roman"/>
                <w:sz w:val="21"/>
                <w:szCs w:val="21"/>
              </w:rPr>
              <w:sym w:font="Wingdings 2" w:char="00A3"/>
            </w:r>
            <w:r>
              <w:rPr>
                <w:rFonts w:hint="eastAsia" w:ascii="Times New Roman" w:hAnsi="Times New Roman" w:cs="Times New Roman"/>
                <w:sz w:val="21"/>
                <w:szCs w:val="21"/>
              </w:rPr>
              <w:t>；不达标</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水环境控制单元或断面水质达标状况</w:t>
            </w:r>
            <w:r>
              <w:rPr>
                <w:rFonts w:ascii="Times New Roman" w:hAnsi="Times New Roman" w:cs="Times New Roman"/>
                <w:sz w:val="21"/>
                <w:szCs w:val="21"/>
              </w:rPr>
              <w:sym w:font="Wingdings 2" w:char="00A3"/>
            </w:r>
            <w:r>
              <w:rPr>
                <w:rFonts w:ascii="Times New Roman" w:hAnsi="Times New Roman" w:cs="Times New Roman"/>
                <w:sz w:val="21"/>
                <w:szCs w:val="21"/>
              </w:rPr>
              <w:t>;</w:t>
            </w:r>
            <w:r>
              <w:rPr>
                <w:rFonts w:hint="eastAsia" w:ascii="Times New Roman" w:hAnsi="Times New Roman" w:cs="Times New Roman"/>
                <w:sz w:val="21"/>
                <w:szCs w:val="21"/>
              </w:rPr>
              <w:t>达标</w:t>
            </w:r>
            <w:r>
              <w:rPr>
                <w:rFonts w:ascii="Times New Roman" w:hAnsi="Times New Roman" w:cs="Times New Roman"/>
                <w:sz w:val="21"/>
                <w:szCs w:val="21"/>
              </w:rPr>
              <w:sym w:font="Wingdings 2" w:char="00A3"/>
            </w:r>
            <w:r>
              <w:rPr>
                <w:rFonts w:hint="eastAsia" w:ascii="Times New Roman" w:hAnsi="Times New Roman" w:cs="Times New Roman"/>
                <w:sz w:val="21"/>
                <w:szCs w:val="21"/>
              </w:rPr>
              <w:t>；不达标</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水环境保护目标质量状况</w:t>
            </w:r>
            <w:r>
              <w:rPr>
                <w:rFonts w:ascii="Times New Roman" w:hAnsi="Times New Roman" w:cs="Times New Roman"/>
                <w:sz w:val="21"/>
                <w:szCs w:val="21"/>
              </w:rPr>
              <w:sym w:font="Wingdings 2" w:char="00A3"/>
            </w:r>
            <w:r>
              <w:rPr>
                <w:rFonts w:hint="eastAsia" w:ascii="Times New Roman" w:hAnsi="Times New Roman" w:cs="Times New Roman"/>
                <w:sz w:val="21"/>
                <w:szCs w:val="21"/>
              </w:rPr>
              <w:t>：达标</w:t>
            </w:r>
            <w:r>
              <w:rPr>
                <w:rFonts w:ascii="Times New Roman" w:hAnsi="Times New Roman" w:cs="Times New Roman"/>
                <w:sz w:val="21"/>
                <w:szCs w:val="21"/>
              </w:rPr>
              <w:sym w:font="Wingdings 2" w:char="00A3"/>
            </w:r>
            <w:r>
              <w:rPr>
                <w:rFonts w:hint="eastAsia" w:ascii="Times New Roman" w:hAnsi="Times New Roman" w:cs="Times New Roman"/>
                <w:sz w:val="21"/>
                <w:szCs w:val="21"/>
              </w:rPr>
              <w:t>；不达标</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对照断面、控制断面等代表性断面的水质状况</w:t>
            </w:r>
            <w:r>
              <w:rPr>
                <w:rFonts w:ascii="Times New Roman" w:hAnsi="Times New Roman" w:cs="Times New Roman"/>
                <w:sz w:val="21"/>
                <w:szCs w:val="21"/>
              </w:rPr>
              <w:sym w:font="Wingdings 2" w:char="00A3"/>
            </w:r>
            <w:r>
              <w:rPr>
                <w:rFonts w:ascii="Times New Roman" w:hAnsi="Times New Roman" w:cs="Times New Roman"/>
                <w:sz w:val="21"/>
                <w:szCs w:val="21"/>
              </w:rPr>
              <w:t>:</w:t>
            </w:r>
            <w:r>
              <w:rPr>
                <w:rFonts w:hint="eastAsia" w:ascii="Times New Roman" w:hAnsi="Times New Roman" w:cs="Times New Roman"/>
                <w:sz w:val="21"/>
                <w:szCs w:val="21"/>
              </w:rPr>
              <w:t>达标</w:t>
            </w:r>
            <w:r>
              <w:rPr>
                <w:rFonts w:ascii="Times New Roman" w:hAnsi="Times New Roman" w:cs="Times New Roman"/>
                <w:sz w:val="21"/>
                <w:szCs w:val="21"/>
              </w:rPr>
              <w:sym w:font="Wingdings 2" w:char="00A3"/>
            </w:r>
            <w:r>
              <w:rPr>
                <w:rFonts w:hint="eastAsia" w:ascii="Times New Roman" w:hAnsi="Times New Roman" w:cs="Times New Roman"/>
                <w:sz w:val="21"/>
                <w:szCs w:val="21"/>
              </w:rPr>
              <w:t>；不达标</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底泥污染评价</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水资源与开发利用程度及其水文情势评价</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水环境质量回顾评价</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流域（区域）水资源（包括水能资源）与开发利用总体状况、生态流量管理要求与现状满足程度、建设项目占用水域空间的水流状况与河湖演变状况</w:t>
            </w:r>
            <w:r>
              <w:rPr>
                <w:rFonts w:ascii="Times New Roman" w:hAnsi="Times New Roman" w:cs="Times New Roman"/>
                <w:sz w:val="21"/>
                <w:szCs w:val="21"/>
              </w:rPr>
              <w:sym w:font="Wingdings 2" w:char="00A3"/>
            </w:r>
          </w:p>
        </w:tc>
        <w:tc>
          <w:tcPr>
            <w:tcW w:w="1623" w:type="dxa"/>
            <w:gridSpan w:val="2"/>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达标区</w:t>
            </w:r>
            <w:r>
              <w:rPr>
                <w:rFonts w:ascii="Times New Roman" w:hAnsi="Times New Roman" w:cs="Times New Roman"/>
                <w:sz w:val="21"/>
                <w:szCs w:val="21"/>
              </w:rPr>
              <w:sym w:font="Wingdings 2" w:char="00A3"/>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不达标区</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影响预测</w:t>
            </w: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预测范围</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vertAlign w:val="superscript"/>
              </w:rPr>
            </w:pPr>
            <w:r>
              <w:rPr>
                <w:rFonts w:hint="eastAsia" w:ascii="Times New Roman" w:hAnsi="Times New Roman" w:cs="Times New Roman"/>
                <w:sz w:val="21"/>
                <w:szCs w:val="21"/>
              </w:rPr>
              <w:t>河流：长度（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km</w:t>
            </w:r>
            <w:r>
              <w:rPr>
                <w:rFonts w:hint="eastAsia" w:ascii="Times New Roman" w:hAnsi="Times New Roman" w:cs="Times New Roman"/>
                <w:sz w:val="21"/>
                <w:szCs w:val="21"/>
              </w:rPr>
              <w:t>；湖库、河口及近岸海域：面积（</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预测因子</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预测时期</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；平水期</w:t>
            </w:r>
            <w:r>
              <w:rPr>
                <w:rFonts w:ascii="Times New Roman" w:hAnsi="Times New Roman" w:cs="Times New Roman"/>
                <w:sz w:val="21"/>
                <w:szCs w:val="21"/>
              </w:rPr>
              <w:sym w:font="Wingdings 2" w:char="00A3"/>
            </w:r>
            <w:r>
              <w:rPr>
                <w:rFonts w:hint="eastAsia" w:ascii="Times New Roman" w:hAnsi="Times New Roman" w:cs="Times New Roman"/>
                <w:sz w:val="21"/>
                <w:szCs w:val="21"/>
              </w:rPr>
              <w:t>；枯水期</w:t>
            </w:r>
            <w:r>
              <w:rPr>
                <w:rFonts w:ascii="Times New Roman" w:hAnsi="Times New Roman" w:cs="Times New Roman"/>
                <w:sz w:val="21"/>
                <w:szCs w:val="21"/>
              </w:rPr>
              <w:sym w:font="Wingdings 2" w:char="00A3"/>
            </w:r>
            <w:r>
              <w:rPr>
                <w:rFonts w:hint="eastAsia" w:ascii="Times New Roman" w:hAnsi="Times New Roman" w:cs="Times New Roman"/>
                <w:sz w:val="21"/>
                <w:szCs w:val="21"/>
              </w:rPr>
              <w:t>；冰封期</w:t>
            </w:r>
            <w:r>
              <w:rPr>
                <w:rFonts w:ascii="Times New Roman" w:hAnsi="Times New Roman" w:cs="Times New Roman"/>
                <w:sz w:val="21"/>
                <w:szCs w:val="21"/>
              </w:rPr>
              <w:sym w:font="Wingdings 2" w:char="00A3"/>
            </w:r>
            <w:r>
              <w:rPr>
                <w:rFonts w:hint="eastAsia" w:ascii="Times New Roman" w:hAnsi="Times New Roman" w:cs="Times New Roman"/>
                <w:sz w:val="21"/>
                <w:szCs w:val="21"/>
              </w:rPr>
              <w:t>；春季</w:t>
            </w:r>
            <w:r>
              <w:rPr>
                <w:rFonts w:ascii="Times New Roman" w:hAnsi="Times New Roman" w:cs="Times New Roman"/>
                <w:sz w:val="21"/>
                <w:szCs w:val="21"/>
              </w:rPr>
              <w:sym w:font="Wingdings 2" w:char="00A3"/>
            </w:r>
            <w:r>
              <w:rPr>
                <w:rFonts w:hint="eastAsia" w:ascii="Times New Roman" w:hAnsi="Times New Roman" w:cs="Times New Roman"/>
                <w:sz w:val="21"/>
                <w:szCs w:val="21"/>
              </w:rPr>
              <w:t>；夏季</w:t>
            </w:r>
            <w:r>
              <w:rPr>
                <w:rFonts w:ascii="Times New Roman" w:hAnsi="Times New Roman" w:cs="Times New Roman"/>
                <w:sz w:val="21"/>
                <w:szCs w:val="21"/>
              </w:rPr>
              <w:sym w:font="Wingdings 2" w:char="00A3"/>
            </w:r>
            <w:r>
              <w:rPr>
                <w:rFonts w:hint="eastAsia" w:ascii="Times New Roman" w:hAnsi="Times New Roman" w:cs="Times New Roman"/>
                <w:sz w:val="21"/>
                <w:szCs w:val="21"/>
              </w:rPr>
              <w:t>；秋季</w:t>
            </w:r>
            <w:r>
              <w:rPr>
                <w:rFonts w:ascii="Times New Roman" w:hAnsi="Times New Roman" w:cs="Times New Roman"/>
                <w:sz w:val="21"/>
                <w:szCs w:val="21"/>
              </w:rPr>
              <w:sym w:font="Wingdings 2" w:char="00A3"/>
            </w:r>
            <w:r>
              <w:rPr>
                <w:rFonts w:hint="eastAsia" w:ascii="Times New Roman" w:hAnsi="Times New Roman" w:cs="Times New Roman"/>
                <w:sz w:val="21"/>
                <w:szCs w:val="21"/>
              </w:rPr>
              <w:t>；冬季</w:t>
            </w:r>
            <w:r>
              <w:rPr>
                <w:rFonts w:ascii="Times New Roman" w:hAnsi="Times New Roman" w:cs="Times New Roman"/>
                <w:sz w:val="21"/>
                <w:szCs w:val="21"/>
              </w:rPr>
              <w:sym w:font="Wingdings 2" w:char="00A3"/>
            </w:r>
            <w:r>
              <w:rPr>
                <w:rFonts w:hint="eastAsia" w:ascii="Times New Roman" w:hAnsi="Times New Roman" w:cs="Times New Roman"/>
                <w:sz w:val="21"/>
                <w:szCs w:val="21"/>
              </w:rPr>
              <w:t>；设计水文条件</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预测情景</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建设期</w:t>
            </w:r>
            <w:r>
              <w:rPr>
                <w:rFonts w:ascii="Times New Roman" w:hAnsi="Times New Roman" w:cs="Times New Roman"/>
                <w:sz w:val="21"/>
                <w:szCs w:val="21"/>
              </w:rPr>
              <w:sym w:font="Wingdings 2" w:char="00A3"/>
            </w:r>
            <w:r>
              <w:rPr>
                <w:rFonts w:hint="eastAsia" w:ascii="Times New Roman" w:hAnsi="Times New Roman" w:cs="Times New Roman"/>
                <w:sz w:val="21"/>
                <w:szCs w:val="21"/>
              </w:rPr>
              <w:t>；生产运行期</w:t>
            </w:r>
            <w:r>
              <w:rPr>
                <w:rFonts w:ascii="Times New Roman" w:hAnsi="Times New Roman" w:cs="Times New Roman"/>
                <w:sz w:val="21"/>
                <w:szCs w:val="21"/>
              </w:rPr>
              <w:sym w:font="Wingdings 2" w:char="00A3"/>
            </w:r>
            <w:r>
              <w:rPr>
                <w:rFonts w:hint="eastAsia" w:ascii="Times New Roman" w:hAnsi="Times New Roman" w:cs="Times New Roman"/>
                <w:sz w:val="21"/>
                <w:szCs w:val="21"/>
              </w:rPr>
              <w:t>；服务期满后</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正常工况</w:t>
            </w:r>
            <w:r>
              <w:rPr>
                <w:rFonts w:ascii="Times New Roman" w:hAnsi="Times New Roman" w:cs="Times New Roman"/>
                <w:sz w:val="21"/>
                <w:szCs w:val="21"/>
              </w:rPr>
              <w:sym w:font="Wingdings 2" w:char="00A3"/>
            </w:r>
            <w:r>
              <w:rPr>
                <w:rFonts w:hint="eastAsia" w:ascii="Times New Roman" w:hAnsi="Times New Roman" w:cs="Times New Roman"/>
                <w:sz w:val="21"/>
                <w:szCs w:val="21"/>
              </w:rPr>
              <w:t>；非正常工况</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污染控制和减缓措施方案</w:t>
            </w:r>
            <w:r>
              <w:rPr>
                <w:rFonts w:ascii="Times New Roman" w:hAnsi="Times New Roman" w:cs="Times New Roman"/>
                <w:sz w:val="21"/>
                <w:szCs w:val="21"/>
              </w:rPr>
              <w:sym w:font="Wingdings 2" w:char="00A3"/>
            </w:r>
            <w:r>
              <w:rPr>
                <w:rFonts w:hint="eastAsia" w:ascii="Times New Roman" w:hAnsi="Times New Roman" w:cs="Times New Roman"/>
                <w:sz w:val="21"/>
                <w:szCs w:val="21"/>
              </w:rPr>
              <w:t>；</w:t>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区（流）域环境质量改善目标要求情景</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预测方法</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数值解</w:t>
            </w:r>
            <w:r>
              <w:rPr>
                <w:rFonts w:ascii="Times New Roman" w:hAnsi="Times New Roman" w:cs="Times New Roman"/>
                <w:sz w:val="21"/>
                <w:szCs w:val="21"/>
              </w:rPr>
              <w:sym w:font="Wingdings 2" w:char="00A3"/>
            </w:r>
            <w:r>
              <w:rPr>
                <w:rFonts w:hint="eastAsia" w:ascii="Times New Roman" w:hAnsi="Times New Roman" w:cs="Times New Roman"/>
                <w:sz w:val="21"/>
                <w:szCs w:val="21"/>
              </w:rPr>
              <w:t>；解析解</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r>
              <w:rPr>
                <w:rFonts w:hint="eastAsia" w:ascii="Times New Roman" w:hAnsi="Times New Roman" w:cs="Times New Roman"/>
                <w:sz w:val="21"/>
                <w:szCs w:val="21"/>
              </w:rPr>
              <w:t>；导则推荐模式</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影响评价</w:t>
            </w: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水污染物控制和水环境影响减缓措施有效性评价</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区（流）域水环境质量改善目标</w:t>
            </w:r>
            <w:r>
              <w:rPr>
                <w:rFonts w:ascii="Times New Roman" w:hAnsi="Times New Roman" w:cs="Times New Roman"/>
                <w:sz w:val="21"/>
                <w:szCs w:val="21"/>
              </w:rPr>
              <w:sym w:font="Wingdings 2" w:char="00A3"/>
            </w:r>
            <w:r>
              <w:rPr>
                <w:rFonts w:hint="eastAsia" w:ascii="Times New Roman" w:hAnsi="Times New Roman" w:cs="Times New Roman"/>
                <w:sz w:val="21"/>
                <w:szCs w:val="21"/>
              </w:rPr>
              <w:t>；替代消减源</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污染源排放量核算</w:t>
            </w:r>
          </w:p>
        </w:tc>
        <w:tc>
          <w:tcPr>
            <w:tcW w:w="1829" w:type="dxa"/>
            <w:gridSpan w:val="2"/>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污染物名称</w:t>
            </w:r>
          </w:p>
        </w:tc>
        <w:tc>
          <w:tcPr>
            <w:tcW w:w="2291"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排放量</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t/a</w:t>
            </w:r>
            <w:r>
              <w:rPr>
                <w:rFonts w:hint="eastAsia" w:ascii="Times New Roman" w:hAnsi="Times New Roman" w:cs="Times New Roman"/>
                <w:sz w:val="21"/>
                <w:szCs w:val="21"/>
              </w:rPr>
              <w:t>）</w:t>
            </w:r>
          </w:p>
        </w:tc>
        <w:tc>
          <w:tcPr>
            <w:tcW w:w="3091" w:type="dxa"/>
            <w:gridSpan w:val="5"/>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排放浓度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829" w:type="dxa"/>
            <w:gridSpan w:val="2"/>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c>
          <w:tcPr>
            <w:tcW w:w="2291" w:type="dxa"/>
            <w:gridSpan w:val="6"/>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c>
          <w:tcPr>
            <w:tcW w:w="3091" w:type="dxa"/>
            <w:gridSpan w:val="5"/>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替代源排放情况</w:t>
            </w:r>
          </w:p>
        </w:tc>
        <w:tc>
          <w:tcPr>
            <w:tcW w:w="1297" w:type="dxa"/>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污染源名称</w:t>
            </w:r>
          </w:p>
        </w:tc>
        <w:tc>
          <w:tcPr>
            <w:tcW w:w="1307"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排污许可证号</w:t>
            </w:r>
          </w:p>
        </w:tc>
        <w:tc>
          <w:tcPr>
            <w:tcW w:w="1377" w:type="dxa"/>
            <w:gridSpan w:val="2"/>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污染物名称</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排放量</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t/a</w:t>
            </w:r>
            <w:r>
              <w:rPr>
                <w:rFonts w:hint="eastAsia" w:ascii="Times New Roman" w:hAnsi="Times New Roman" w:cs="Times New Roman"/>
                <w:sz w:val="21"/>
                <w:szCs w:val="21"/>
              </w:rPr>
              <w:t>）</w:t>
            </w:r>
          </w:p>
        </w:tc>
        <w:tc>
          <w:tcPr>
            <w:tcW w:w="1935" w:type="dxa"/>
            <w:gridSpan w:val="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排放浓度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297" w:type="dxa"/>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307"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377" w:type="dxa"/>
            <w:gridSpan w:val="2"/>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935" w:type="dxa"/>
            <w:gridSpan w:val="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生态流量确定</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生态流量：一般水期（</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m³/s</w:t>
            </w:r>
            <w:r>
              <w:rPr>
                <w:rFonts w:hint="eastAsia" w:ascii="Times New Roman" w:hAnsi="Times New Roman" w:cs="Times New Roman"/>
                <w:sz w:val="21"/>
                <w:szCs w:val="21"/>
              </w:rPr>
              <w:t>；鱼类繁殖期（</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m³/s</w:t>
            </w:r>
            <w:r>
              <w:rPr>
                <w:rFonts w:hint="eastAsia" w:ascii="Times New Roman" w:hAnsi="Times New Roman" w:cs="Times New Roman"/>
                <w:sz w:val="21"/>
                <w:szCs w:val="21"/>
              </w:rPr>
              <w:t>；其他（</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m³/s</w:t>
            </w:r>
          </w:p>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生态水位：一般水期（</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w:t>
            </w:r>
            <w:r>
              <w:rPr>
                <w:rFonts w:hint="eastAsia" w:ascii="Times New Roman" w:hAnsi="Times New Roman" w:cs="Times New Roman"/>
                <w:sz w:val="21"/>
                <w:szCs w:val="21"/>
              </w:rPr>
              <w:t>；鱼类繁殖期（</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w:t>
            </w:r>
            <w:r>
              <w:rPr>
                <w:rFonts w:hint="eastAsia" w:ascii="Times New Roman" w:hAnsi="Times New Roman" w:cs="Times New Roman"/>
                <w:sz w:val="21"/>
                <w:szCs w:val="21"/>
              </w:rPr>
              <w:t>；其他（</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防治措施</w:t>
            </w: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环保措施</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污水处理设施</w:t>
            </w:r>
            <w:r>
              <w:rPr>
                <w:rFonts w:ascii="Times New Roman" w:hAnsi="Times New Roman" w:cs="Times New Roman"/>
                <w:sz w:val="21"/>
                <w:szCs w:val="21"/>
              </w:rPr>
              <w:sym w:font="Wingdings 2" w:char="0052"/>
            </w:r>
            <w:r>
              <w:rPr>
                <w:rFonts w:hint="eastAsia" w:ascii="Times New Roman" w:hAnsi="Times New Roman" w:cs="Times New Roman"/>
                <w:sz w:val="21"/>
                <w:szCs w:val="21"/>
              </w:rPr>
              <w:t>；水文减缓设施</w:t>
            </w:r>
            <w:r>
              <w:rPr>
                <w:rFonts w:ascii="Times New Roman" w:hAnsi="Times New Roman" w:cs="Times New Roman"/>
                <w:sz w:val="21"/>
                <w:szCs w:val="21"/>
              </w:rPr>
              <w:sym w:font="Wingdings 2" w:char="00A3"/>
            </w:r>
            <w:r>
              <w:rPr>
                <w:rFonts w:hint="eastAsia" w:ascii="Times New Roman" w:hAnsi="Times New Roman" w:cs="Times New Roman"/>
                <w:sz w:val="21"/>
                <w:szCs w:val="21"/>
              </w:rPr>
              <w:t>；生态流量保障设施</w:t>
            </w:r>
            <w:r>
              <w:rPr>
                <w:rFonts w:ascii="Times New Roman" w:hAnsi="Times New Roman" w:cs="Times New Roman"/>
                <w:sz w:val="21"/>
                <w:szCs w:val="21"/>
              </w:rPr>
              <w:sym w:font="Wingdings 2" w:char="00A3"/>
            </w:r>
            <w:r>
              <w:rPr>
                <w:rFonts w:hint="eastAsia" w:ascii="Times New Roman" w:hAnsi="Times New Roman" w:cs="Times New Roman"/>
                <w:sz w:val="21"/>
                <w:szCs w:val="21"/>
              </w:rPr>
              <w:t>；区域削减</w:t>
            </w:r>
            <w:r>
              <w:rPr>
                <w:rFonts w:ascii="Times New Roman" w:hAnsi="Times New Roman" w:cs="Times New Roman"/>
                <w:sz w:val="21"/>
                <w:szCs w:val="21"/>
              </w:rPr>
              <w:sym w:font="Wingdings 2" w:char="00A3"/>
            </w:r>
            <w:r>
              <w:rPr>
                <w:rFonts w:hint="eastAsia" w:ascii="Times New Roman" w:hAnsi="Times New Roman" w:cs="Times New Roman"/>
                <w:sz w:val="21"/>
                <w:szCs w:val="21"/>
              </w:rPr>
              <w:t>；依托其他工程措施</w:t>
            </w:r>
            <w:r>
              <w:rPr>
                <w:rFonts w:ascii="Times New Roman" w:hAnsi="Times New Roman" w:cs="Times New Roman"/>
                <w:sz w:val="21"/>
                <w:szCs w:val="21"/>
              </w:rPr>
              <w:sym w:font="Wingdings 2" w:char="00A3"/>
            </w:r>
            <w:r>
              <w:rPr>
                <w:rFonts w:hint="eastAsia" w:ascii="Times New Roman" w:hAnsi="Times New Roman" w:cs="Times New Roman"/>
                <w:sz w:val="21"/>
                <w:szCs w:val="21"/>
              </w:rPr>
              <w:t>；其他</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监测计划</w:t>
            </w: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环境质量</w:t>
            </w:r>
          </w:p>
        </w:tc>
        <w:tc>
          <w:tcPr>
            <w:tcW w:w="2952" w:type="dxa"/>
            <w:gridSpan w:val="4"/>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污染源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监测方式</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手动</w:t>
            </w:r>
            <w:r>
              <w:rPr>
                <w:rFonts w:ascii="Times New Roman" w:hAnsi="Times New Roman" w:cs="Times New Roman"/>
                <w:sz w:val="21"/>
                <w:szCs w:val="21"/>
              </w:rPr>
              <w:sym w:font="Wingdings 2" w:char="00A3"/>
            </w:r>
            <w:r>
              <w:rPr>
                <w:rFonts w:hint="eastAsia" w:ascii="Times New Roman" w:hAnsi="Times New Roman" w:cs="Times New Roman"/>
                <w:sz w:val="21"/>
                <w:szCs w:val="21"/>
              </w:rPr>
              <w:t>；自动</w:t>
            </w:r>
            <w:r>
              <w:rPr>
                <w:rFonts w:ascii="Times New Roman" w:hAnsi="Times New Roman" w:cs="Times New Roman"/>
                <w:sz w:val="21"/>
                <w:szCs w:val="21"/>
              </w:rPr>
              <w:sym w:font="Wingdings 2" w:char="00A3"/>
            </w:r>
            <w:r>
              <w:rPr>
                <w:rFonts w:hint="eastAsia" w:ascii="Times New Roman" w:hAnsi="Times New Roman" w:cs="Times New Roman"/>
                <w:sz w:val="21"/>
                <w:szCs w:val="21"/>
              </w:rPr>
              <w:t>；无监测</w:t>
            </w:r>
            <w:r>
              <w:rPr>
                <w:rFonts w:ascii="Times New Roman" w:hAnsi="Times New Roman" w:cs="Times New Roman"/>
                <w:sz w:val="21"/>
                <w:szCs w:val="21"/>
              </w:rPr>
              <w:sym w:font="Wingdings 2" w:char="00A3"/>
            </w:r>
          </w:p>
        </w:tc>
        <w:tc>
          <w:tcPr>
            <w:tcW w:w="2952" w:type="dxa"/>
            <w:gridSpan w:val="4"/>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手动</w:t>
            </w:r>
            <w:r>
              <w:rPr>
                <w:rFonts w:ascii="Times New Roman" w:hAnsi="Times New Roman" w:cs="Times New Roman"/>
                <w:sz w:val="21"/>
                <w:szCs w:val="21"/>
              </w:rPr>
              <w:sym w:font="Wingdings 2" w:char="00A3"/>
            </w:r>
            <w:r>
              <w:rPr>
                <w:rFonts w:hint="eastAsia" w:ascii="Times New Roman" w:hAnsi="Times New Roman" w:cs="Times New Roman"/>
                <w:sz w:val="21"/>
                <w:szCs w:val="21"/>
              </w:rPr>
              <w:t>；自动</w:t>
            </w:r>
            <w:r>
              <w:rPr>
                <w:rFonts w:ascii="Times New Roman" w:hAnsi="Times New Roman" w:cs="Times New Roman"/>
                <w:sz w:val="21"/>
                <w:szCs w:val="21"/>
              </w:rPr>
              <w:sym w:font="Wingdings 2" w:char="00A3"/>
            </w:r>
            <w:r>
              <w:rPr>
                <w:rFonts w:hint="eastAsia" w:ascii="Times New Roman" w:hAnsi="Times New Roman" w:cs="Times New Roman"/>
                <w:sz w:val="21"/>
                <w:szCs w:val="21"/>
              </w:rPr>
              <w:t>；无监测</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监测点位</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c>
          <w:tcPr>
            <w:tcW w:w="2952" w:type="dxa"/>
            <w:gridSpan w:val="4"/>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eastAsiaTheme="minorEastAsia"/>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监测因子</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c>
          <w:tcPr>
            <w:tcW w:w="2952" w:type="dxa"/>
            <w:gridSpan w:val="4"/>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pPr>
              <w:widowControl/>
              <w:jc w:val="left"/>
              <w:rPr>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污染物排放清单</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27" w:type="dxa"/>
            <w:gridSpan w:val="2"/>
            <w:tcBorders>
              <w:top w:val="single" w:color="000000" w:sz="4" w:space="0"/>
              <w:left w:val="nil"/>
              <w:bottom w:val="single" w:color="000000" w:sz="4" w:space="0"/>
              <w:right w:val="single" w:color="000000" w:sz="4" w:space="0"/>
            </w:tcBorders>
            <w:vAlign w:val="center"/>
          </w:tcPr>
          <w:p>
            <w:pPr>
              <w:snapToGrid w:val="0"/>
              <w:jc w:val="center"/>
              <w:rPr>
                <w:rFonts w:eastAsiaTheme="minorEastAsia"/>
                <w:szCs w:val="21"/>
              </w:rPr>
            </w:pPr>
            <w:r>
              <w:rPr>
                <w:rFonts w:hint="eastAsia"/>
                <w:szCs w:val="21"/>
              </w:rPr>
              <w:t>评价结论</w:t>
            </w:r>
          </w:p>
        </w:tc>
        <w:tc>
          <w:tcPr>
            <w:tcW w:w="7211" w:type="dxa"/>
            <w:gridSpan w:val="13"/>
            <w:tcBorders>
              <w:top w:val="single" w:color="000000" w:sz="4" w:space="0"/>
              <w:left w:val="single" w:color="000000" w:sz="4" w:space="0"/>
              <w:bottom w:val="single" w:color="000000" w:sz="4"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可以接受</w:t>
            </w:r>
            <w:r>
              <w:rPr>
                <w:rFonts w:ascii="Times New Roman" w:hAnsi="Times New Roman" w:cs="Times New Roman"/>
                <w:sz w:val="21"/>
                <w:szCs w:val="21"/>
              </w:rPr>
              <w:sym w:font="Wingdings 2" w:char="0052"/>
            </w:r>
            <w:r>
              <w:rPr>
                <w:rFonts w:hint="eastAsia" w:ascii="Times New Roman" w:hAnsi="Times New Roman" w:cs="Times New Roman"/>
                <w:sz w:val="21"/>
                <w:szCs w:val="21"/>
              </w:rPr>
              <w:t>；不可以接受</w:t>
            </w:r>
            <w:r>
              <w:rPr>
                <w:rFonts w:ascii="Times New Roman" w:hAnsi="Times New Roman" w:cs="Times New Roman"/>
                <w:sz w:val="21"/>
                <w:szCs w:val="21"/>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38" w:type="dxa"/>
            <w:gridSpan w:val="15"/>
            <w:tcBorders>
              <w:top w:val="single" w:color="000000" w:sz="4" w:space="0"/>
              <w:left w:val="nil"/>
              <w:bottom w:val="single" w:color="000000" w:sz="12" w:space="0"/>
              <w:right w:val="nil"/>
            </w:tcBorders>
            <w:vAlign w:val="center"/>
          </w:tcPr>
          <w:p>
            <w:pPr>
              <w:pStyle w:val="68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注：</w:t>
            </w:r>
            <w:r>
              <w:rPr>
                <w:rFonts w:ascii="Times New Roman" w:hAnsi="Times New Roman" w:cs="Times New Roman"/>
                <w:sz w:val="21"/>
                <w:szCs w:val="21"/>
              </w:rPr>
              <w:t>“□”</w:t>
            </w:r>
            <w:r>
              <w:rPr>
                <w:rFonts w:hint="eastAsia" w:ascii="Times New Roman" w:hAnsi="Times New Roman" w:cs="Times New Roman"/>
                <w:sz w:val="21"/>
                <w:szCs w:val="21"/>
              </w:rPr>
              <w:t>为勾选项，填</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为内容填写项</w:t>
            </w:r>
          </w:p>
        </w:tc>
      </w:tr>
    </w:tbl>
    <w:p>
      <w:pPr>
        <w:pStyle w:val="2"/>
        <w:ind w:firstLine="480"/>
        <w:rPr>
          <w:color w:val="auto"/>
        </w:rPr>
      </w:pPr>
      <w:r>
        <w:rPr>
          <w:color w:val="auto"/>
        </w:rPr>
        <w:t>6.2.2.2地下水环境影响分析</w:t>
      </w:r>
    </w:p>
    <w:p>
      <w:pPr>
        <w:pStyle w:val="499"/>
        <w:spacing w:line="460" w:lineRule="exact"/>
        <w:ind w:firstLine="480"/>
        <w:rPr>
          <w:rFonts w:ascii="Times New Roman" w:hAnsi="Times New Roman" w:cs="Times New Roman"/>
          <w:kern w:val="28"/>
        </w:rPr>
      </w:pPr>
      <w:r>
        <w:rPr>
          <w:rFonts w:hint="eastAsia" w:ascii="Times New Roman" w:cs="Times New Roman"/>
          <w:kern w:val="28"/>
        </w:rPr>
        <w:t>1、</w:t>
      </w:r>
      <w:r>
        <w:rPr>
          <w:rFonts w:ascii="Times New Roman" w:cs="Times New Roman"/>
          <w:kern w:val="28"/>
        </w:rPr>
        <w:t>区域水文地质概况</w:t>
      </w:r>
    </w:p>
    <w:p>
      <w:pPr>
        <w:spacing w:line="460" w:lineRule="exact"/>
        <w:ind w:firstLine="480" w:firstLineChars="200"/>
        <w:rPr>
          <w:sz w:val="24"/>
          <w:szCs w:val="36"/>
        </w:rPr>
      </w:pPr>
      <w:r>
        <w:rPr>
          <w:sz w:val="24"/>
          <w:szCs w:val="36"/>
        </w:rPr>
        <w:t>昌吉市区域大厚度的第四纪堆积物，为地下水的贮存、运移提供了良好的空间，其中埋藏着丰富的孔隙潜水和承压水，其地下水的形成及埋藏分布规律，受控于该区地质构造，第四纪地层、地貌、岩性及气象水文条件。昌吉市座落于三屯河冲洪积扇中下部，为多层结构的混合水含水层。</w:t>
      </w:r>
    </w:p>
    <w:p>
      <w:pPr>
        <w:spacing w:line="460" w:lineRule="exact"/>
        <w:ind w:firstLine="480" w:firstLineChars="200"/>
        <w:rPr>
          <w:sz w:val="24"/>
          <w:szCs w:val="36"/>
        </w:rPr>
      </w:pPr>
      <w:r>
        <w:rPr>
          <w:sz w:val="24"/>
          <w:szCs w:val="36"/>
        </w:rPr>
        <w:t>三屯河冲洪积扇区顶到扇缘水文地质分带规律很明显，地下水的埋藏及含水层分布有名下的纵向递变规律，山前隐伏断裂构造控制和影响着出山口后地下水的埋藏深度。地下潜水的埋深自扇顶向扇缘方向逐渐变浅；含水层也由单一结构的大厚度结构松散的卵砾石、砂卵砾石潜水含水层过度为多层结构中厚度结构较致密、含不连续亚砂土、亚粘土隔水地层的混合含水层；到冲洪积扇中下部，含水层厚度向扇缘方向继续变薄，隔水层增多，且结构致密、岩层连续，该处</w:t>
      </w:r>
      <w:r>
        <w:rPr>
          <w:rFonts w:hint="eastAsia"/>
          <w:sz w:val="24"/>
          <w:szCs w:val="36"/>
        </w:rPr>
        <w:t>含水层</w:t>
      </w:r>
      <w:r>
        <w:rPr>
          <w:sz w:val="24"/>
          <w:szCs w:val="36"/>
        </w:rPr>
        <w:t>以承压含水层为主。</w:t>
      </w:r>
    </w:p>
    <w:p>
      <w:pPr>
        <w:spacing w:line="460" w:lineRule="exact"/>
        <w:ind w:firstLine="480" w:firstLineChars="200"/>
        <w:rPr>
          <w:sz w:val="24"/>
          <w:szCs w:val="36"/>
        </w:rPr>
      </w:pPr>
      <w:r>
        <w:rPr>
          <w:sz w:val="24"/>
          <w:szCs w:val="36"/>
        </w:rPr>
        <w:t>昌吉市南部地下水埋深在26.4～27.8m之间；中部地下水埋深在33.2～35.5m之间。钻孔揭露底层深度150m以内含水层厚度为72m左右，含水层岩性以砂砾石为主，多层结构；北部地下水埋深在26.1～31.6m之间，钻孔揭露底层深度200m以内含水层厚度为52m左右，含水层岩性以砾石、砂砾石为主，多层结构；东部地下水埋深在33.8～36.3m之间；钻孔揭露地层深度200m以内含水层厚度为41～120m不等，含水层岩性以砾石。砂卵砾石维护组，多层结构；西部地下水埋深在23.4～28.0m之间，地层深度100m以内钻孔揭露含水层厚度为55m左右，含水层岩性以粉细砂为主，多层结构。</w:t>
      </w:r>
    </w:p>
    <w:p>
      <w:pPr>
        <w:spacing w:line="460" w:lineRule="exact"/>
        <w:ind w:firstLine="480" w:firstLineChars="200"/>
        <w:rPr>
          <w:sz w:val="24"/>
          <w:szCs w:val="36"/>
        </w:rPr>
      </w:pPr>
      <w:r>
        <w:rPr>
          <w:sz w:val="24"/>
          <w:szCs w:val="36"/>
        </w:rPr>
        <w:t>总体来看，区域地下水埋深在23～36m之间，西南部埋深较小，东北部埋深较大，中部埋深也较大，地层深度200m以内含水层厚度大于40m，小于120m，含水层岩性以砂砾石为主，多层结构，富含潜水及承压水，属混合型含水层组。</w:t>
      </w:r>
    </w:p>
    <w:p>
      <w:pPr>
        <w:pStyle w:val="499"/>
        <w:spacing w:line="460" w:lineRule="exact"/>
        <w:ind w:firstLine="480"/>
        <w:rPr>
          <w:rFonts w:ascii="Times New Roman" w:hAnsi="Times New Roman" w:cs="Times New Roman"/>
          <w:kern w:val="28"/>
        </w:rPr>
      </w:pPr>
      <w:r>
        <w:rPr>
          <w:rFonts w:ascii="Times New Roman" w:hAnsi="Times New Roman" w:cs="Times New Roman"/>
          <w:szCs w:val="36"/>
        </w:rPr>
        <w:t>产业园位于三屯河流域形成的冲洪积平原下游的细土平原区，区内各大大小小农场近几年不断发展扩大，共有单位农场127家，作物灌溉全部依靠开采地下水，现共有机井457眼，其中老龙河区各农场有机井272眼，牛圈子湖区各农场有机井185眼。老龙河区井深一般在250—300m，部份井位井深达400—500m左右；牛圈子湖区区井深一般在150—180m左右。园区机井开采层位主要为埋深&gt;100m的潜水含水层、承压含水层和埋深&gt;100m的深层承压含水层。 地下水开采主要集中于4-10月，其他月份仅开采少量的地下水用于人畜饮水和工副业用水。经测算项目区地下水现状开采量为4151.7万m</w:t>
      </w:r>
      <w:r>
        <w:rPr>
          <w:rFonts w:ascii="Times New Roman" w:hAnsi="Times New Roman" w:cs="Times New Roman"/>
          <w:szCs w:val="36"/>
          <w:vertAlign w:val="superscript"/>
        </w:rPr>
        <w:t>3</w:t>
      </w:r>
      <w:r>
        <w:rPr>
          <w:rFonts w:ascii="Times New Roman" w:hAnsi="Times New Roman" w:cs="Times New Roman"/>
          <w:szCs w:val="36"/>
        </w:rPr>
        <w:t>，而该区地下水补给量仅为1242万m</w:t>
      </w:r>
      <w:r>
        <w:rPr>
          <w:rFonts w:ascii="Times New Roman" w:hAnsi="Times New Roman" w:cs="Times New Roman"/>
          <w:szCs w:val="36"/>
          <w:vertAlign w:val="superscript"/>
        </w:rPr>
        <w:t>3</w:t>
      </w:r>
      <w:r>
        <w:rPr>
          <w:rFonts w:ascii="Times New Roman" w:hAnsi="Times New Roman" w:cs="Times New Roman"/>
          <w:szCs w:val="36"/>
        </w:rPr>
        <w:t>，可开采量为916万m</w:t>
      </w:r>
      <w:r>
        <w:rPr>
          <w:rFonts w:ascii="Times New Roman" w:hAnsi="Times New Roman" w:cs="Times New Roman"/>
          <w:szCs w:val="36"/>
          <w:vertAlign w:val="superscript"/>
        </w:rPr>
        <w:t>3</w:t>
      </w:r>
      <w:r>
        <w:rPr>
          <w:rFonts w:ascii="Times New Roman" w:hAnsi="Times New Roman" w:cs="Times New Roman"/>
          <w:szCs w:val="36"/>
        </w:rPr>
        <w:t>，实际开采量远远大于补给量，地下水处于严重超采状态。</w:t>
      </w:r>
    </w:p>
    <w:p>
      <w:pPr>
        <w:pStyle w:val="499"/>
        <w:spacing w:line="460" w:lineRule="exact"/>
        <w:ind w:firstLine="480"/>
        <w:rPr>
          <w:rFonts w:ascii="Times New Roman" w:hAnsi="Times New Roman" w:cs="Times New Roman"/>
          <w:kern w:val="28"/>
        </w:rPr>
      </w:pPr>
      <w:r>
        <w:rPr>
          <w:rFonts w:hint="eastAsia" w:ascii="Times New Roman" w:cs="Times New Roman"/>
          <w:kern w:val="28"/>
        </w:rPr>
        <w:t>2、地层及岩性特征</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根据昌吉市地质勘察中相关资料，地层主要由细砂及少量泥土组成，细砂层性质为：杂色、密实、稍湿；层底埋深0.2～0.8m，层厚4.2～4.8m，整个场地均有分布。卵石含量约5%，砾石含量约30%，泥质弱胶结。卵石最大粒径40mm，砾石一般粒径5～12mm，磨圆度一般，卵石成分以凝灰岩、砂岩、花岗岩为主，表面弱风化，在勘探深度16.0m范围内未揭穿。</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项目的包气带主要由细砂及少量泥土组成，泥质弱胶结，厚度在4.2m以上，Mb≥1.0m，渗透系数6.1×10</w:t>
      </w:r>
      <w:r>
        <w:rPr>
          <w:rFonts w:hint="eastAsia" w:ascii="Times New Roman" w:hAnsi="Times New Roman" w:cs="Times New Roman"/>
          <w:kern w:val="28"/>
          <w:vertAlign w:val="superscript"/>
        </w:rPr>
        <w:t>-4</w:t>
      </w:r>
      <w:r>
        <w:rPr>
          <w:rFonts w:hint="eastAsia" w:ascii="Times New Roman" w:hAnsi="Times New Roman" w:cs="Times New Roman"/>
          <w:kern w:val="28"/>
        </w:rPr>
        <w:t>cm/s，另根据地勘报告，区域地下水埋深大于20m。</w:t>
      </w:r>
    </w:p>
    <w:p>
      <w:pPr>
        <w:pStyle w:val="499"/>
        <w:spacing w:line="460" w:lineRule="exact"/>
        <w:ind w:firstLine="480"/>
        <w:rPr>
          <w:rFonts w:ascii="Times New Roman" w:hAnsi="Times New Roman" w:cs="Times New Roman"/>
          <w:kern w:val="28"/>
        </w:rPr>
      </w:pPr>
      <w:r>
        <w:rPr>
          <w:rFonts w:hint="eastAsia" w:ascii="Times New Roman" w:cs="Times New Roman"/>
          <w:kern w:val="28"/>
        </w:rPr>
        <w:t>3、正常工况</w:t>
      </w:r>
      <w:r>
        <w:rPr>
          <w:rFonts w:ascii="Times New Roman" w:cs="Times New Roman"/>
          <w:kern w:val="28"/>
        </w:rPr>
        <w:t>地下水</w:t>
      </w:r>
      <w:r>
        <w:rPr>
          <w:rFonts w:hint="eastAsia" w:ascii="Times New Roman" w:cs="Times New Roman"/>
          <w:kern w:val="28"/>
        </w:rPr>
        <w:t>环境</w:t>
      </w:r>
      <w:r>
        <w:rPr>
          <w:rFonts w:ascii="Times New Roman" w:cs="Times New Roman"/>
          <w:kern w:val="28"/>
        </w:rPr>
        <w:t>影响分析</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（1）</w:t>
      </w:r>
      <w:r>
        <w:rPr>
          <w:rFonts w:ascii="Times New Roman" w:cs="Times New Roman"/>
          <w:kern w:val="28"/>
        </w:rPr>
        <w:t>地下水现状监测</w:t>
      </w:r>
    </w:p>
    <w:p>
      <w:pPr>
        <w:pStyle w:val="499"/>
        <w:spacing w:line="460" w:lineRule="exact"/>
        <w:ind w:firstLine="480"/>
        <w:rPr>
          <w:rFonts w:ascii="Times New Roman" w:hAnsi="Times New Roman" w:cs="Times New Roman"/>
          <w:kern w:val="28"/>
        </w:rPr>
      </w:pPr>
      <w:r>
        <w:rPr>
          <w:rFonts w:hint="eastAsia" w:ascii="Times New Roman" w:cs="Times New Roman"/>
          <w:kern w:val="28"/>
        </w:rPr>
        <w:t>本项目地下水现状监测引用的</w:t>
      </w:r>
      <w:r>
        <w:rPr>
          <w:rFonts w:ascii="Times New Roman" w:cs="Times New Roman"/>
          <w:kern w:val="28"/>
        </w:rPr>
        <w:t>3</w:t>
      </w:r>
      <w:r>
        <w:rPr>
          <w:rFonts w:hint="eastAsia" w:ascii="Times New Roman" w:cs="Times New Roman"/>
          <w:kern w:val="28"/>
        </w:rPr>
        <w:t>个监测点采样分析地下水水质现状，根据监测结果可知，</w:t>
      </w:r>
      <w:r>
        <w:rPr>
          <w:rFonts w:ascii="Times New Roman" w:cs="Times New Roman"/>
          <w:kern w:val="28"/>
        </w:rPr>
        <w:t>3</w:t>
      </w:r>
      <w:r>
        <w:rPr>
          <w:rFonts w:hint="eastAsia" w:ascii="Times New Roman" w:cs="Times New Roman"/>
          <w:kern w:val="28"/>
        </w:rPr>
        <w:t>个监测点所有监测指标均满足《地下水质量标准》（</w:t>
      </w:r>
      <w:r>
        <w:rPr>
          <w:rFonts w:ascii="Times New Roman" w:cs="Times New Roman"/>
          <w:kern w:val="28"/>
        </w:rPr>
        <w:t>GB/T14848-2017</w:t>
      </w:r>
      <w:r>
        <w:rPr>
          <w:rFonts w:hint="eastAsia" w:ascii="Times New Roman" w:cs="Times New Roman"/>
          <w:kern w:val="28"/>
        </w:rPr>
        <w:t>）中的Ⅲ类标准要求。</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（2）</w:t>
      </w:r>
      <w:r>
        <w:rPr>
          <w:rFonts w:ascii="Times New Roman" w:cs="Times New Roman"/>
          <w:kern w:val="28"/>
        </w:rPr>
        <w:t>废水及影响途径</w:t>
      </w:r>
    </w:p>
    <w:p>
      <w:pPr>
        <w:pStyle w:val="499"/>
        <w:spacing w:line="460" w:lineRule="exact"/>
        <w:ind w:firstLine="480"/>
        <w:rPr>
          <w:kern w:val="28"/>
        </w:rPr>
      </w:pPr>
      <w:r>
        <w:rPr>
          <w:rFonts w:hint="eastAsia"/>
          <w:kern w:val="28"/>
        </w:rPr>
        <w:t>正常情况下，项目严格按照报告中提出的</w:t>
      </w:r>
      <w:r>
        <w:rPr>
          <w:kern w:val="28"/>
        </w:rPr>
        <w:t>“</w:t>
      </w:r>
      <w:r>
        <w:rPr>
          <w:rFonts w:hint="eastAsia"/>
          <w:kern w:val="28"/>
        </w:rPr>
        <w:t>源头控制、分区防控、污染监控、应急响应</w:t>
      </w:r>
      <w:r>
        <w:rPr>
          <w:kern w:val="28"/>
        </w:rPr>
        <w:t>”</w:t>
      </w:r>
      <w:r>
        <w:rPr>
          <w:rFonts w:hint="eastAsia"/>
          <w:kern w:val="28"/>
        </w:rPr>
        <w:t>原则。根据本项目生产特点、废水性质及排放去向，本项目生产废水主要为各类废塑料清洗废水以及产品生产过程工艺冷却水，清洗废水经设置的防渗沉淀池沉淀处理后回用，循环冷却水循环使用不外排，定期补充新鲜水，无生产废水外排。生活污水排入已建一座防渗化粪池暂存后定期拉运至污水处理厂处置。因此，本项目废水不会通过地表水和地下水的水力联系而进入地下水从而引地下水水质的变化。</w:t>
      </w:r>
    </w:p>
    <w:p>
      <w:pPr>
        <w:pStyle w:val="499"/>
        <w:spacing w:line="460" w:lineRule="exact"/>
        <w:ind w:firstLine="480"/>
        <w:rPr>
          <w:rFonts w:ascii="Times New Roman" w:hAnsi="Times New Roman" w:cs="Times New Roman"/>
          <w:kern w:val="28"/>
        </w:rPr>
      </w:pPr>
      <w:r>
        <w:rPr>
          <w:rFonts w:hint="eastAsia" w:ascii="Times New Roman" w:cs="Times New Roman"/>
          <w:kern w:val="28"/>
        </w:rPr>
        <w:t>本项目生产车间、库房、废水处理设施均采取了防渗设计，厂区内道路均为硬化路面。在防渗系统正常运行的情况下，本项目废水向地下渗透将得到很好的控制，不会对地下水质量造成功能类别的改变。因此，在正常状况下，在做好各区域防渗的基础上，不会对场地地下包气带及地下水环境造成影响。</w:t>
      </w:r>
    </w:p>
    <w:p>
      <w:pPr>
        <w:pStyle w:val="499"/>
        <w:spacing w:line="460" w:lineRule="exact"/>
        <w:ind w:firstLine="480"/>
        <w:rPr>
          <w:rFonts w:ascii="Times New Roman" w:hAnsi="Times New Roman" w:cs="Times New Roman"/>
          <w:kern w:val="28"/>
        </w:rPr>
      </w:pPr>
      <w:r>
        <w:rPr>
          <w:rFonts w:hint="eastAsia" w:ascii="Times New Roman" w:cs="Times New Roman"/>
          <w:kern w:val="28"/>
        </w:rPr>
        <w:t>4、</w:t>
      </w:r>
      <w:r>
        <w:rPr>
          <w:rFonts w:ascii="Times New Roman" w:cs="Times New Roman"/>
          <w:kern w:val="28"/>
        </w:rPr>
        <w:t>非正常状况下地下水影响</w:t>
      </w:r>
    </w:p>
    <w:p>
      <w:pPr>
        <w:pStyle w:val="499"/>
        <w:spacing w:line="460" w:lineRule="exact"/>
        <w:ind w:firstLine="480"/>
        <w:rPr>
          <w:rFonts w:ascii="Times New Roman" w:hAnsi="Times New Roman" w:cs="Times New Roman"/>
          <w:kern w:val="28"/>
        </w:rPr>
      </w:pPr>
      <w:r>
        <w:rPr>
          <w:rFonts w:hint="eastAsia" w:ascii="宋体" w:hAnsi="宋体" w:eastAsia="宋体" w:cs="宋体"/>
          <w:kern w:val="28"/>
        </w:rPr>
        <w:t>（1）</w:t>
      </w:r>
      <w:r>
        <w:rPr>
          <w:rFonts w:ascii="Times New Roman" w:cs="Times New Roman"/>
          <w:kern w:val="28"/>
        </w:rPr>
        <w:t>影响途径</w:t>
      </w:r>
    </w:p>
    <w:p>
      <w:pPr>
        <w:pStyle w:val="499"/>
        <w:spacing w:line="460" w:lineRule="exact"/>
        <w:ind w:firstLine="480"/>
        <w:rPr>
          <w:kern w:val="28"/>
        </w:rPr>
      </w:pPr>
      <w:r>
        <w:rPr>
          <w:rFonts w:hint="eastAsia"/>
          <w:kern w:val="28"/>
        </w:rPr>
        <w:t>本项目对地下水的影响主要是项目生活污水化粪池、沉淀池等防渗层发生破裂导致污染物渗漏，污水渗漏首先进入土壤，再通过降雨淋溶经包气带渗透至潜水层而污染浅层地下水。</w:t>
      </w:r>
    </w:p>
    <w:p>
      <w:pPr>
        <w:pStyle w:val="499"/>
        <w:spacing w:line="460" w:lineRule="exact"/>
        <w:ind w:firstLine="480"/>
        <w:rPr>
          <w:kern w:val="28"/>
        </w:rPr>
      </w:pPr>
      <w:r>
        <w:rPr>
          <w:rFonts w:hint="eastAsia"/>
          <w:kern w:val="28"/>
        </w:rPr>
        <w:t>废水进入地下后，其污染物在地下水系统的迁移途径为：</w:t>
      </w:r>
    </w:p>
    <w:p>
      <w:pPr>
        <w:pStyle w:val="499"/>
        <w:spacing w:line="460" w:lineRule="exact"/>
        <w:ind w:firstLine="480"/>
        <w:rPr>
          <w:rFonts w:ascii="Times New Roman" w:cs="Times New Roman"/>
          <w:kern w:val="28"/>
        </w:rPr>
      </w:pPr>
      <w:r>
        <w:rPr>
          <w:rFonts w:hint="eastAsia" w:ascii="Times New Roman" w:cs="Times New Roman"/>
          <w:kern w:val="28"/>
        </w:rPr>
        <w:t>入渗污染物→表土层→包气带→含水层→运移</w:t>
      </w:r>
    </w:p>
    <w:p>
      <w:pPr>
        <w:pStyle w:val="499"/>
        <w:spacing w:line="460" w:lineRule="exact"/>
        <w:ind w:firstLine="480"/>
        <w:rPr>
          <w:rFonts w:ascii="Times New Roman" w:cs="Times New Roman"/>
          <w:kern w:val="28"/>
        </w:rPr>
      </w:pPr>
      <w:r>
        <w:rPr>
          <w:rFonts w:hint="eastAsia" w:ascii="Times New Roman" w:cs="Times New Roman"/>
          <w:kern w:val="28"/>
        </w:rPr>
        <w:t>根据土壤吸附实验相关资料：砂土对COD吸附作用较小，截留率约38%；对NH</w:t>
      </w:r>
      <w:r>
        <w:rPr>
          <w:rFonts w:hint="eastAsia" w:ascii="Times New Roman" w:cs="Times New Roman"/>
          <w:kern w:val="28"/>
          <w:vertAlign w:val="subscript"/>
        </w:rPr>
        <w:t>3</w:t>
      </w:r>
      <w:r>
        <w:rPr>
          <w:rFonts w:hint="eastAsia" w:ascii="Times New Roman" w:cs="Times New Roman"/>
          <w:kern w:val="28"/>
        </w:rPr>
        <w:t>-N吸附作用较强，截留率可达80%；亚粘土对COD吸附能力较强，截留率可达70%；对NH</w:t>
      </w:r>
      <w:r>
        <w:rPr>
          <w:rFonts w:hint="eastAsia" w:ascii="Times New Roman" w:cs="Times New Roman"/>
          <w:kern w:val="28"/>
          <w:vertAlign w:val="subscript"/>
        </w:rPr>
        <w:t>3</w:t>
      </w:r>
      <w:r>
        <w:rPr>
          <w:rFonts w:hint="eastAsia" w:ascii="Times New Roman" w:cs="Times New Roman"/>
          <w:kern w:val="28"/>
        </w:rPr>
        <w:t>-N吸附能力更强，截留率平均可达 95%；该实验结果表明，当污水下渗时，由于包气带微生物降解作用不强，包气带厚度较小，仅靠土壤的吸附作用去除污水中的污染物是很有限的，虽然在污水下渗初期，经过包气带的吸附，污染物会在一定程度上降低，起到了对地下水浸染的减缓作用，但其作用随着时间的推移，包气带土壤对污染物的吸附作用趋向饱和，吸附能力降低，污染物浓度增大至初始浓度，当环境容量饱和时，污染物就进入地下水，对地下水产生污染。</w:t>
      </w:r>
    </w:p>
    <w:p>
      <w:pPr>
        <w:pStyle w:val="499"/>
        <w:spacing w:line="460" w:lineRule="exact"/>
        <w:ind w:firstLine="480"/>
        <w:rPr>
          <w:rFonts w:ascii="Times New Roman" w:cs="Times New Roman"/>
          <w:kern w:val="28"/>
        </w:rPr>
      </w:pPr>
      <w:r>
        <w:rPr>
          <w:rFonts w:hint="eastAsia" w:ascii="Times New Roman" w:cs="Times New Roman"/>
          <w:kern w:val="28"/>
        </w:rPr>
        <w:t>污水事故排放有短期大量排放和长期小流量排放两种。短期大量排放易发现和及时处理，危害较小；长期小流量排放则难以发现及时处理，危害大、时间长。根据本项目性质及污染物排放特征，预测评价的污染物种类主要为CODcr。</w:t>
      </w:r>
    </w:p>
    <w:p>
      <w:pPr>
        <w:pStyle w:val="499"/>
        <w:spacing w:line="460" w:lineRule="exact"/>
        <w:ind w:firstLine="480"/>
        <w:rPr>
          <w:rFonts w:ascii="Times New Roman" w:cs="Times New Roman"/>
          <w:kern w:val="28"/>
        </w:rPr>
      </w:pPr>
      <w:r>
        <w:rPr>
          <w:rFonts w:hint="eastAsia" w:ascii="Times New Roman" w:cs="Times New Roman"/>
          <w:kern w:val="28"/>
        </w:rPr>
        <w:t>（2）预测情景设置</w:t>
      </w:r>
    </w:p>
    <w:p>
      <w:pPr>
        <w:pStyle w:val="499"/>
        <w:spacing w:line="460" w:lineRule="exact"/>
        <w:ind w:firstLine="480"/>
        <w:rPr>
          <w:rFonts w:ascii="Times New Roman" w:cs="Times New Roman"/>
          <w:kern w:val="28"/>
        </w:rPr>
      </w:pPr>
      <w:r>
        <w:rPr>
          <w:rFonts w:hint="eastAsia" w:ascii="Times New Roman" w:cs="Times New Roman"/>
          <w:kern w:val="28"/>
        </w:rPr>
        <w:t>通过项目建设内容、生产工艺和物料特性等考虑，项目可能造成地下会污染的主要情景为：化粪池防渗层破损，生活污水下渗进入包气带。</w:t>
      </w:r>
    </w:p>
    <w:p>
      <w:pPr>
        <w:pStyle w:val="499"/>
        <w:spacing w:line="460" w:lineRule="exact"/>
        <w:ind w:firstLine="480"/>
        <w:rPr>
          <w:rFonts w:ascii="Times New Roman" w:cs="Times New Roman"/>
          <w:kern w:val="28"/>
        </w:rPr>
      </w:pPr>
      <w:r>
        <w:rPr>
          <w:rFonts w:hint="eastAsia" w:ascii="Times New Roman" w:cs="Times New Roman"/>
          <w:kern w:val="28"/>
        </w:rPr>
        <w:t>（3）预测时间</w:t>
      </w:r>
    </w:p>
    <w:p>
      <w:pPr>
        <w:pStyle w:val="499"/>
        <w:spacing w:line="460" w:lineRule="exact"/>
        <w:ind w:firstLine="480"/>
        <w:rPr>
          <w:rFonts w:ascii="Times New Roman" w:cs="Times New Roman"/>
          <w:kern w:val="28"/>
        </w:rPr>
      </w:pPr>
      <w:r>
        <w:rPr>
          <w:rFonts w:hint="eastAsia" w:ascii="Times New Roman" w:cs="Times New Roman"/>
          <w:kern w:val="28"/>
        </w:rPr>
        <w:t>根据导则要求，分别预测100d、365d和1000d对地下水环境的影响。</w:t>
      </w:r>
    </w:p>
    <w:p>
      <w:pPr>
        <w:pStyle w:val="499"/>
        <w:spacing w:line="460" w:lineRule="exact"/>
        <w:ind w:firstLine="480"/>
        <w:rPr>
          <w:rFonts w:ascii="Times New Roman" w:hAnsi="Times New Roman" w:cs="Times New Roman"/>
          <w:kern w:val="28"/>
        </w:rPr>
      </w:pPr>
      <w:r>
        <w:rPr>
          <w:rFonts w:hint="eastAsia" w:ascii="Times New Roman" w:cs="Times New Roman"/>
          <w:kern w:val="28"/>
        </w:rPr>
        <w:t>（4）</w:t>
      </w:r>
      <w:r>
        <w:rPr>
          <w:rFonts w:hint="eastAsia" w:ascii="Times New Roman" w:hAnsi="Times New Roman" w:cs="Times New Roman"/>
          <w:kern w:val="28"/>
        </w:rPr>
        <w:t>预测范围</w:t>
      </w:r>
    </w:p>
    <w:p>
      <w:pPr>
        <w:pStyle w:val="499"/>
        <w:spacing w:line="460" w:lineRule="exact"/>
        <w:ind w:firstLine="480"/>
        <w:rPr>
          <w:rFonts w:ascii="Times New Roman" w:cs="Times New Roman"/>
          <w:kern w:val="28"/>
        </w:rPr>
      </w:pPr>
      <w:r>
        <w:rPr>
          <w:rFonts w:hint="eastAsia" w:ascii="Times New Roman" w:hAnsi="Times New Roman" w:cs="Times New Roman"/>
          <w:kern w:val="28"/>
        </w:rPr>
        <w:t>根据《环境影响评价技术导则-地下水环境》（HJ</w:t>
      </w:r>
      <w:r>
        <w:rPr>
          <w:rFonts w:ascii="Times New Roman" w:hAnsi="Times New Roman" w:cs="Times New Roman"/>
          <w:kern w:val="28"/>
        </w:rPr>
        <w:t xml:space="preserve"> </w:t>
      </w:r>
      <w:r>
        <w:rPr>
          <w:rFonts w:hint="eastAsia" w:ascii="Times New Roman" w:hAnsi="Times New Roman" w:cs="Times New Roman"/>
          <w:kern w:val="28"/>
        </w:rPr>
        <w:t>610-2016）中的规定，地下水环境影响预测范围一般与调查评价范围一致。根据水文地质条件及地下水流向，本项目</w:t>
      </w:r>
      <w:r>
        <w:rPr>
          <w:rFonts w:ascii="Times New Roman" w:hAnsi="Times New Roman" w:cs="Times New Roman"/>
          <w:kern w:val="28"/>
        </w:rPr>
        <w:t>地下水预测范围为</w:t>
      </w:r>
      <w:r>
        <w:rPr>
          <w:rFonts w:ascii="Times New Roman" w:hAnsi="Times New Roman" w:cs="Times New Roman"/>
        </w:rPr>
        <w:t>向上游方向500m，左右两侧各1000m，下游方向2.5km的区域，总面积6km</w:t>
      </w:r>
      <w:r>
        <w:rPr>
          <w:rFonts w:ascii="Times New Roman" w:hAnsi="Times New Roman" w:cs="Times New Roman"/>
          <w:vertAlign w:val="superscript"/>
        </w:rPr>
        <w:t>2</w:t>
      </w:r>
      <w:r>
        <w:rPr>
          <w:rFonts w:ascii="Times New Roman" w:hAnsi="Times New Roman" w:cs="Times New Roman"/>
        </w:rPr>
        <w:t>，包括地下水流向的上游、下游和侧向范围。</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（5）预测因子</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根据分析，本项目化粪池污水中污染物主要为COD、BOD</w:t>
      </w:r>
      <w:r>
        <w:rPr>
          <w:rFonts w:hint="eastAsia" w:ascii="Times New Roman" w:hAnsi="Times New Roman" w:cs="Times New Roman"/>
          <w:kern w:val="28"/>
          <w:vertAlign w:val="subscript"/>
        </w:rPr>
        <w:t>5</w:t>
      </w:r>
      <w:r>
        <w:rPr>
          <w:rFonts w:hint="eastAsia" w:ascii="Times New Roman" w:hAnsi="Times New Roman" w:cs="Times New Roman"/>
          <w:kern w:val="28"/>
        </w:rPr>
        <w:t>、氨氮、SS等，COD浓度约为300mg/L、BOD</w:t>
      </w:r>
      <w:r>
        <w:rPr>
          <w:rFonts w:hint="eastAsia" w:ascii="Times New Roman" w:hAnsi="Times New Roman" w:cs="Times New Roman"/>
          <w:kern w:val="28"/>
          <w:vertAlign w:val="subscript"/>
        </w:rPr>
        <w:t>5</w:t>
      </w:r>
      <w:r>
        <w:rPr>
          <w:rFonts w:hint="eastAsia" w:ascii="Times New Roman" w:hAnsi="Times New Roman" w:cs="Times New Roman"/>
          <w:kern w:val="28"/>
        </w:rPr>
        <w:t>浓度约为200mg/L、氨氮浓度约为35mg/L、SS浓度约为2</w:t>
      </w:r>
      <w:r>
        <w:rPr>
          <w:rFonts w:ascii="Times New Roman" w:hAnsi="Times New Roman" w:cs="Times New Roman"/>
          <w:kern w:val="28"/>
        </w:rPr>
        <w:t>00</w:t>
      </w:r>
      <w:r>
        <w:rPr>
          <w:rFonts w:hint="eastAsia" w:ascii="Times New Roman" w:hAnsi="Times New Roman" w:cs="Times New Roman"/>
          <w:kern w:val="28"/>
        </w:rPr>
        <w:t>mg/L。</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根据《环境影响评价技术导则</w:t>
      </w:r>
      <w:r>
        <w:rPr>
          <w:rFonts w:ascii="Times New Roman" w:hAnsi="Times New Roman" w:cs="Times New Roman"/>
          <w:kern w:val="28"/>
        </w:rPr>
        <w:t xml:space="preserve"> </w:t>
      </w:r>
      <w:r>
        <w:rPr>
          <w:rFonts w:hint="eastAsia" w:ascii="Times New Roman" w:hAnsi="Times New Roman" w:cs="Times New Roman"/>
          <w:kern w:val="28"/>
        </w:rPr>
        <w:t>地下水环境》(HJ</w:t>
      </w:r>
      <w:r>
        <w:rPr>
          <w:rFonts w:ascii="Times New Roman" w:hAnsi="Times New Roman" w:cs="Times New Roman"/>
          <w:kern w:val="28"/>
        </w:rPr>
        <w:t xml:space="preserve"> </w:t>
      </w:r>
      <w:r>
        <w:rPr>
          <w:rFonts w:hint="eastAsia" w:ascii="Times New Roman" w:hAnsi="Times New Roman" w:cs="Times New Roman"/>
          <w:kern w:val="28"/>
        </w:rPr>
        <w:t>610-2016)要求，识别出的特征因子，按照重金属、持久性有机污染物和其他类别进行分类，并对每一类中的各项因子采用标准指数进行排序，分别取标准指数最大的因子作为预测因子；标准指数最大预测因子预测可代表最不利情况下对地下水影响范围，其他特征污染因子影响范围均不会超过指数最大预测因子影响范围。</w:t>
      </w:r>
    </w:p>
    <w:p>
      <w:pPr>
        <w:pStyle w:val="499"/>
        <w:spacing w:line="460" w:lineRule="exact"/>
        <w:ind w:firstLine="480"/>
        <w:rPr>
          <w:rFonts w:ascii="Times New Roman" w:hAnsi="Times New Roman" w:cs="Times New Roman"/>
          <w:kern w:val="28"/>
        </w:rPr>
      </w:pPr>
      <w:r>
        <w:rPr>
          <w:rFonts w:hint="eastAsia" w:ascii="Times New Roman" w:hAnsi="Times New Roman" w:cs="Times New Roman"/>
          <w:kern w:val="28"/>
        </w:rPr>
        <w:t>由于《地下水质量标准》（GB</w:t>
      </w:r>
      <w:r>
        <w:rPr>
          <w:rFonts w:ascii="Times New Roman" w:hAnsi="Times New Roman" w:cs="Times New Roman"/>
          <w:kern w:val="28"/>
        </w:rPr>
        <w:t xml:space="preserve"> </w:t>
      </w:r>
      <w:r>
        <w:rPr>
          <w:rFonts w:hint="eastAsia" w:ascii="Times New Roman" w:hAnsi="Times New Roman" w:cs="Times New Roman"/>
          <w:kern w:val="28"/>
        </w:rPr>
        <w:t>14848-2017）中没有CODcr、BOD</w:t>
      </w:r>
      <w:r>
        <w:rPr>
          <w:rFonts w:hint="eastAsia" w:ascii="Times New Roman" w:hAnsi="Times New Roman" w:cs="Times New Roman"/>
          <w:kern w:val="28"/>
          <w:vertAlign w:val="subscript"/>
        </w:rPr>
        <w:t>5</w:t>
      </w:r>
      <w:r>
        <w:rPr>
          <w:rFonts w:hint="eastAsia" w:ascii="Times New Roman" w:hAnsi="Times New Roman" w:cs="Times New Roman"/>
          <w:kern w:val="28"/>
        </w:rPr>
        <w:t>、SS标准限制，因此将污水中污染物CODcr转换为耗氧量对其进行评价，参照国内学者胡大琼(云南省水文水资源局普洱分局)《高锰酸盐指数与化学需氧量相关关系探讨》一文得出的耗氧量与CODcr线性回归方程Y=4.76X+2.61(X为COD</w:t>
      </w:r>
      <w:r>
        <w:rPr>
          <w:rFonts w:hint="eastAsia" w:ascii="Times New Roman" w:hAnsi="Times New Roman" w:cs="Times New Roman"/>
          <w:kern w:val="28"/>
          <w:vertAlign w:val="subscript"/>
        </w:rPr>
        <w:t>Mn</w:t>
      </w:r>
      <w:r>
        <w:rPr>
          <w:rFonts w:hint="eastAsia" w:ascii="Times New Roman" w:hAnsi="Times New Roman" w:cs="Times New Roman"/>
          <w:kern w:val="28"/>
        </w:rPr>
        <w:t>，Y为CODcr）进行换算，由此将生活污水中的CODcr（化学需氧量）转换成耗氧量（CODMn法，以O</w:t>
      </w:r>
      <w:r>
        <w:rPr>
          <w:rFonts w:hint="eastAsia" w:ascii="Times New Roman" w:hAnsi="Times New Roman" w:cs="Times New Roman"/>
          <w:kern w:val="28"/>
          <w:vertAlign w:val="subscript"/>
        </w:rPr>
        <w:t>2</w:t>
      </w:r>
      <w:r>
        <w:rPr>
          <w:rFonts w:hint="eastAsia" w:ascii="Times New Roman" w:hAnsi="Times New Roman" w:cs="Times New Roman"/>
          <w:kern w:val="28"/>
        </w:rPr>
        <w:t>计），本项目生活污水COD浓度为300mg/L，则COD</w:t>
      </w:r>
      <w:r>
        <w:rPr>
          <w:rFonts w:hint="eastAsia" w:ascii="Times New Roman" w:hAnsi="Times New Roman" w:cs="Times New Roman"/>
          <w:kern w:val="28"/>
          <w:vertAlign w:val="subscript"/>
        </w:rPr>
        <w:t>Mn</w:t>
      </w:r>
      <w:r>
        <w:rPr>
          <w:rFonts w:hint="eastAsia" w:ascii="Times New Roman" w:hAnsi="Times New Roman" w:cs="Times New Roman"/>
          <w:kern w:val="28"/>
        </w:rPr>
        <w:t>浓度为63mg/L。</w:t>
      </w:r>
    </w:p>
    <w:p>
      <w:pPr>
        <w:pStyle w:val="499"/>
        <w:spacing w:line="460" w:lineRule="exact"/>
        <w:ind w:firstLine="480"/>
        <w:rPr>
          <w:rFonts w:ascii="Times New Roman" w:cs="Times New Roman"/>
          <w:kern w:val="28"/>
        </w:rPr>
      </w:pPr>
      <w:r>
        <w:rPr>
          <w:rFonts w:hint="eastAsia" w:ascii="Times New Roman" w:hAnsi="Times New Roman" w:cs="Times New Roman"/>
          <w:kern w:val="28"/>
          <w:lang w:bidi="en-US"/>
        </w:rPr>
        <w:t>根据计算生活污水中氨氮标准值书最大，因此，非正常状况下选取氨氮作为特征污染物进行预测。</w:t>
      </w:r>
    </w:p>
    <w:p>
      <w:pPr>
        <w:pStyle w:val="499"/>
        <w:spacing w:line="460" w:lineRule="exact"/>
        <w:ind w:firstLine="480"/>
        <w:rPr>
          <w:rFonts w:ascii="Times New Roman" w:cs="Times New Roman"/>
          <w:kern w:val="28"/>
        </w:rPr>
      </w:pPr>
      <w:r>
        <w:rPr>
          <w:rFonts w:hint="eastAsia" w:ascii="Times New Roman" w:cs="Times New Roman"/>
          <w:kern w:val="28"/>
        </w:rPr>
        <w:t>（6）预测源强</w:t>
      </w:r>
    </w:p>
    <w:p>
      <w:pPr>
        <w:pStyle w:val="499"/>
        <w:spacing w:line="460" w:lineRule="exact"/>
        <w:ind w:firstLine="480"/>
        <w:rPr>
          <w:rFonts w:ascii="Times New Roman" w:cs="Times New Roman"/>
          <w:kern w:val="28"/>
        </w:rPr>
      </w:pPr>
      <w:r>
        <w:rPr>
          <w:rFonts w:hint="eastAsia" w:ascii="Times New Roman" w:cs="Times New Roman"/>
          <w:kern w:val="28"/>
        </w:rPr>
        <w:t>预测因子浓度：生活污水中氨氮浓度为35mg/L。</w:t>
      </w:r>
    </w:p>
    <w:p>
      <w:pPr>
        <w:pStyle w:val="499"/>
        <w:spacing w:line="460" w:lineRule="exact"/>
        <w:ind w:firstLine="480"/>
        <w:rPr>
          <w:rFonts w:ascii="Times New Roman" w:hAnsi="Times New Roman" w:cs="Times New Roman"/>
          <w:kern w:val="28"/>
          <w:lang w:bidi="en-US"/>
        </w:rPr>
      </w:pPr>
      <w:r>
        <w:rPr>
          <w:rFonts w:ascii="Times New Roman" w:hAnsi="Times New Roman" w:cs="Times New Roman"/>
          <w:kern w:val="28"/>
        </w:rPr>
        <w:t>在非正常情况下，</w:t>
      </w:r>
      <w:r>
        <w:rPr>
          <w:rFonts w:hint="eastAsia" w:ascii="Times New Roman" w:hAnsi="Times New Roman" w:cs="Times New Roman"/>
          <w:kern w:val="28"/>
        </w:rPr>
        <w:t>化粪池</w:t>
      </w:r>
      <w:r>
        <w:rPr>
          <w:rFonts w:ascii="Times New Roman" w:hAnsi="Times New Roman" w:cs="Times New Roman"/>
          <w:kern w:val="28"/>
        </w:rPr>
        <w:t>防渗层破损造成</w:t>
      </w:r>
      <w:r>
        <w:rPr>
          <w:rFonts w:hint="eastAsia" w:ascii="Times New Roman" w:hAnsi="Times New Roman" w:cs="Times New Roman"/>
          <w:kern w:val="28"/>
        </w:rPr>
        <w:t>生活污水</w:t>
      </w:r>
      <w:r>
        <w:rPr>
          <w:rFonts w:ascii="Times New Roman" w:hAnsi="Times New Roman" w:cs="Times New Roman"/>
          <w:kern w:val="28"/>
        </w:rPr>
        <w:t>泄漏，其下渗量参照《环境影响评价技术导则 地下水环境》（征求意见稿）中给出的公式进行计算，渗漏率计算方法如下：</w:t>
      </w:r>
    </w:p>
    <w:p>
      <w:pPr>
        <w:pStyle w:val="499"/>
        <w:spacing w:line="460" w:lineRule="exact"/>
        <w:ind w:firstLine="0" w:firstLineChars="0"/>
        <w:jc w:val="center"/>
        <w:rPr>
          <w:rFonts w:ascii="Times New Roman" w:hAnsi="Times New Roman" w:cs="Times New Roman"/>
          <w:kern w:val="28"/>
        </w:rPr>
      </w:pPr>
      <w:r>
        <w:rPr>
          <w:rFonts w:ascii="Times New Roman" w:hAnsi="Times New Roman" w:cs="Times New Roman"/>
          <w:kern w:val="28"/>
        </w:rPr>
        <w:t>Q/A=n·0.976C</w:t>
      </w:r>
      <w:r>
        <w:rPr>
          <w:rFonts w:ascii="Times New Roman" w:hAnsi="Times New Roman" w:cs="Times New Roman"/>
          <w:kern w:val="28"/>
          <w:vertAlign w:val="subscript"/>
        </w:rPr>
        <w:t>q0</w:t>
      </w:r>
      <w:r>
        <w:rPr>
          <w:rFonts w:ascii="Times New Roman" w:hAnsi="Times New Roman" w:cs="Times New Roman"/>
          <w:kern w:val="28"/>
        </w:rPr>
        <w:t>·[1+0.1（h/t</w:t>
      </w:r>
      <w:r>
        <w:rPr>
          <w:rFonts w:ascii="Times New Roman" w:hAnsi="Times New Roman" w:cs="Times New Roman"/>
          <w:kern w:val="28"/>
          <w:vertAlign w:val="subscript"/>
        </w:rPr>
        <w:t>s</w:t>
      </w:r>
      <w:r>
        <w:rPr>
          <w:rFonts w:ascii="Times New Roman" w:hAnsi="Times New Roman" w:cs="Times New Roman"/>
          <w:kern w:val="28"/>
        </w:rPr>
        <w:t>）</w:t>
      </w:r>
      <w:r>
        <w:rPr>
          <w:rFonts w:ascii="Times New Roman" w:hAnsi="Times New Roman" w:cs="Times New Roman"/>
          <w:kern w:val="28"/>
          <w:vertAlign w:val="superscript"/>
        </w:rPr>
        <w:t>0.95</w:t>
      </w:r>
      <w:r>
        <w:rPr>
          <w:rFonts w:ascii="Times New Roman" w:hAnsi="Times New Roman" w:cs="Times New Roman"/>
          <w:kern w:val="28"/>
        </w:rPr>
        <w:t>]d</w:t>
      </w:r>
      <w:r>
        <w:rPr>
          <w:rFonts w:ascii="Times New Roman" w:hAnsi="Times New Roman" w:cs="Times New Roman"/>
          <w:kern w:val="28"/>
          <w:vertAlign w:val="superscript"/>
        </w:rPr>
        <w:t>0.2</w:t>
      </w:r>
      <w:r>
        <w:rPr>
          <w:rFonts w:ascii="Times New Roman" w:hAnsi="Times New Roman" w:cs="Times New Roman"/>
          <w:kern w:val="28"/>
        </w:rPr>
        <w:t>h</w:t>
      </w:r>
      <w:r>
        <w:rPr>
          <w:rFonts w:ascii="Times New Roman" w:hAnsi="Times New Roman" w:cs="Times New Roman"/>
          <w:kern w:val="28"/>
          <w:vertAlign w:val="superscript"/>
        </w:rPr>
        <w:t>0.9</w:t>
      </w:r>
      <w:r>
        <w:rPr>
          <w:rFonts w:ascii="Times New Roman" w:hAnsi="Times New Roman" w:cs="Times New Roman"/>
          <w:kern w:val="28"/>
        </w:rPr>
        <w:t>k</w:t>
      </w:r>
      <w:r>
        <w:rPr>
          <w:rFonts w:ascii="Times New Roman" w:hAnsi="Times New Roman" w:cs="Times New Roman"/>
          <w:kern w:val="28"/>
          <w:vertAlign w:val="subscript"/>
        </w:rPr>
        <w:t>s</w:t>
      </w:r>
      <w:r>
        <w:rPr>
          <w:rFonts w:ascii="Times New Roman" w:hAnsi="Times New Roman" w:cs="Times New Roman"/>
          <w:kern w:val="28"/>
          <w:vertAlign w:val="superscript"/>
        </w:rPr>
        <w:t>0.74</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式中：Q—渗漏率，m</w:t>
      </w:r>
      <w:r>
        <w:rPr>
          <w:rFonts w:ascii="Times New Roman" w:hAnsi="Times New Roman" w:cs="Times New Roman"/>
          <w:kern w:val="28"/>
          <w:vertAlign w:val="superscript"/>
        </w:rPr>
        <w:t>3</w:t>
      </w:r>
      <w:r>
        <w:rPr>
          <w:rFonts w:ascii="Times New Roman" w:hAnsi="Times New Roman" w:cs="Times New Roman"/>
          <w:kern w:val="28"/>
        </w:rPr>
        <w:t>/s；</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A—防渗面积，</w:t>
      </w:r>
      <w:r>
        <w:rPr>
          <w:rFonts w:hint="eastAsia" w:ascii="Times New Roman" w:hAnsi="Times New Roman" w:cs="Times New Roman"/>
          <w:kern w:val="28"/>
        </w:rPr>
        <w:t>84</w:t>
      </w:r>
      <w:r>
        <w:rPr>
          <w:rFonts w:ascii="Times New Roman" w:hAnsi="Times New Roman" w:cs="Times New Roman"/>
          <w:kern w:val="28"/>
        </w:rPr>
        <w:t>m</w:t>
      </w:r>
      <w:r>
        <w:rPr>
          <w:rFonts w:ascii="Times New Roman" w:hAnsi="Times New Roman" w:cs="Times New Roman"/>
          <w:kern w:val="28"/>
          <w:vertAlign w:val="superscript"/>
        </w:rPr>
        <w:t>2</w:t>
      </w:r>
      <w:r>
        <w:rPr>
          <w:rFonts w:ascii="Times New Roman" w:hAnsi="Times New Roman" w:cs="Times New Roman"/>
          <w:kern w:val="28"/>
        </w:rPr>
        <w:t>；</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n—防渗面积上的总破损数量，取1；</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C</w:t>
      </w:r>
      <w:r>
        <w:rPr>
          <w:rFonts w:ascii="Times New Roman" w:hAnsi="Times New Roman" w:cs="Times New Roman"/>
          <w:kern w:val="28"/>
          <w:vertAlign w:val="subscript"/>
        </w:rPr>
        <w:t>q0</w:t>
      </w:r>
      <w:r>
        <w:rPr>
          <w:rFonts w:ascii="Times New Roman" w:hAnsi="Times New Roman" w:cs="Times New Roman"/>
          <w:kern w:val="28"/>
        </w:rPr>
        <w:t>—接触关系系数，取0.21；</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d—破损处直径，取</w:t>
      </w:r>
      <w:r>
        <w:rPr>
          <w:rFonts w:hint="eastAsia" w:ascii="Times New Roman" w:hAnsi="Times New Roman" w:cs="Times New Roman"/>
          <w:kern w:val="28"/>
        </w:rPr>
        <w:t>5</w:t>
      </w:r>
      <w:r>
        <w:rPr>
          <w:rFonts w:ascii="Times New Roman" w:hAnsi="Times New Roman" w:cs="Times New Roman"/>
          <w:kern w:val="28"/>
        </w:rPr>
        <w:t>00mm；</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h—防渗层上水头高度，</w:t>
      </w:r>
      <w:r>
        <w:rPr>
          <w:rFonts w:hint="eastAsia" w:ascii="Times New Roman" w:hAnsi="Times New Roman" w:cs="Times New Roman"/>
          <w:kern w:val="28"/>
        </w:rPr>
        <w:t>2</w:t>
      </w:r>
      <w:r>
        <w:rPr>
          <w:rFonts w:ascii="Times New Roman" w:hAnsi="Times New Roman" w:cs="Times New Roman"/>
          <w:kern w:val="28"/>
        </w:rPr>
        <w:t>.5m；</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t</w:t>
      </w:r>
      <w:r>
        <w:rPr>
          <w:rFonts w:ascii="Times New Roman" w:hAnsi="Times New Roman" w:cs="Times New Roman"/>
          <w:kern w:val="28"/>
          <w:vertAlign w:val="subscript"/>
        </w:rPr>
        <w:t>s</w:t>
      </w:r>
      <w:r>
        <w:rPr>
          <w:rFonts w:ascii="Times New Roman" w:hAnsi="Times New Roman" w:cs="Times New Roman"/>
          <w:kern w:val="28"/>
        </w:rPr>
        <w:t>--复合防渗层中低渗透性土层的厚度，0.5m；</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 xml:space="preserve">      k</w:t>
      </w:r>
      <w:r>
        <w:rPr>
          <w:rFonts w:ascii="Times New Roman" w:hAnsi="Times New Roman" w:cs="Times New Roman"/>
          <w:kern w:val="28"/>
          <w:vertAlign w:val="subscript"/>
        </w:rPr>
        <w:t>s</w:t>
      </w:r>
      <w:r>
        <w:rPr>
          <w:rFonts w:ascii="Times New Roman" w:hAnsi="Times New Roman" w:cs="Times New Roman"/>
          <w:kern w:val="28"/>
        </w:rPr>
        <w:t>—防渗材料接触层饱和渗透系数，10</w:t>
      </w:r>
      <w:r>
        <w:rPr>
          <w:rFonts w:ascii="Times New Roman" w:hAnsi="Times New Roman" w:cs="Times New Roman"/>
          <w:kern w:val="28"/>
          <w:vertAlign w:val="superscript"/>
        </w:rPr>
        <w:t>-7</w:t>
      </w:r>
      <w:r>
        <w:rPr>
          <w:rFonts w:ascii="Times New Roman" w:hAnsi="Times New Roman" w:cs="Times New Roman"/>
          <w:kern w:val="28"/>
        </w:rPr>
        <w:t>cm/s。</w:t>
      </w:r>
    </w:p>
    <w:p>
      <w:pPr>
        <w:pStyle w:val="499"/>
        <w:spacing w:line="460" w:lineRule="exact"/>
        <w:ind w:firstLine="480"/>
        <w:rPr>
          <w:rFonts w:ascii="Times New Roman" w:hAnsi="Times New Roman" w:cs="Times New Roman"/>
          <w:kern w:val="28"/>
        </w:rPr>
      </w:pPr>
      <w:r>
        <w:rPr>
          <w:rFonts w:ascii="Times New Roman" w:hAnsi="Times New Roman" w:cs="Times New Roman"/>
          <w:kern w:val="28"/>
        </w:rPr>
        <w:t>经计算，项目废水渗漏速率为</w:t>
      </w:r>
      <w:r>
        <w:rPr>
          <w:rFonts w:hint="eastAsia" w:ascii="Times New Roman" w:hAnsi="Times New Roman" w:cs="Times New Roman"/>
          <w:kern w:val="28"/>
        </w:rPr>
        <w:t>3.76</w:t>
      </w:r>
      <w:r>
        <w:rPr>
          <w:rFonts w:ascii="Times New Roman" w:hAnsi="Times New Roman" w:cs="Times New Roman"/>
          <w:kern w:val="28"/>
        </w:rPr>
        <w:t>m</w:t>
      </w:r>
      <w:r>
        <w:rPr>
          <w:rFonts w:ascii="Times New Roman" w:hAnsi="Times New Roman" w:cs="Times New Roman"/>
          <w:kern w:val="28"/>
          <w:vertAlign w:val="superscript"/>
        </w:rPr>
        <w:t>3</w:t>
      </w:r>
      <w:r>
        <w:rPr>
          <w:rFonts w:ascii="Times New Roman" w:hAnsi="Times New Roman" w:cs="Times New Roman"/>
          <w:kern w:val="28"/>
        </w:rPr>
        <w:t>/d。</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则氨氮泄漏量为131.59g</w:t>
      </w:r>
      <w:r>
        <w:rPr>
          <w:rFonts w:ascii="Times New Roman" w:hAnsi="Times New Roman" w:cs="Times New Roman"/>
          <w:kern w:val="28"/>
          <w:lang w:bidi="en-US"/>
        </w:rPr>
        <w:t>/</w:t>
      </w:r>
      <w:r>
        <w:rPr>
          <w:rFonts w:hint="eastAsia" w:ascii="Times New Roman" w:hAnsi="Times New Roman" w:cs="Times New Roman"/>
          <w:kern w:val="28"/>
          <w:lang w:bidi="en-US"/>
        </w:rPr>
        <w:t>d。</w:t>
      </w:r>
    </w:p>
    <w:p>
      <w:pPr>
        <w:pStyle w:val="499"/>
        <w:spacing w:line="460" w:lineRule="exact"/>
        <w:ind w:firstLine="480"/>
        <w:rPr>
          <w:rFonts w:ascii="Times New Roman" w:cs="Times New Roman"/>
          <w:kern w:val="28"/>
        </w:rPr>
      </w:pPr>
      <w:r>
        <w:rPr>
          <w:rFonts w:hint="eastAsia" w:ascii="Times New Roman" w:cs="Times New Roman"/>
          <w:kern w:val="28"/>
        </w:rPr>
        <w:t>（7）预测模型</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本项目为地下水三级评价，根据导则要求采用解析法进行预测。</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选用《环境影响评价技术导则 地下水环境》（HJ 610-2016）中一维稳定流动二维水动力弥散连续注入示踪剂—平面连续点源预测模型。具体如下：</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采用地下水动力学模式预测污染物在含水层中的扩散时，进行如下假定或概化。</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——不考虑污染物进入地下水后对渗流场的影响；</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——预测区内地下水的运动是稳定流；</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——污染物在地下水中的运移主要考虑对流及水动力弥散作用对浓度的影响；</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本次溶质运移模拟仅考虑对流、弥散两种作用，不考虑溶解、吸附、降解、挥发、生物化学等作用，以求达到最大风险程度。这样选择的理由是：</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①从保守性角度考虑，假设污染物质在运移中不与含水层介质发生反应，可以被认为是保守型污染物质，只按保守型污染物质来计算，即只考虑运移过程中的对流、弥散作用。</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②有机污染物在地下水中的运移非常复杂，影响因素除对流、弥散作用以外，还存在物理、化学、微生物等作用，这些作用常常会使污染浓度衰减。目前国际上对这些作用参数的准确获取还存在着困难。</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③在国际上有很多用保守型污染物作为模拟因子的环境质量评价的成功实例，保守型考虑符合工程设计的思想。</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——预测区内含水层的基本参数(如渗透系数、厚度、有效孔隙度等)不变。</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污染源简化包括排放形式与排放规律的简化。根据污染源的具体情况，排放形式简化为点源；排放规律可以简化为连续恒定排放及瞬时排放。</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由区域水文地质资料可知，项目区的地下水流向主要是从北向南呈一维流动，因此污染物在浅层含水层中的迁移，可概化为连续注入示踪剂（二维点源持续泄露）的一维稳定流动二维水动力弥散问题，当取平行地下水流动的方向为x轴正方向，垂直地下水流向为y方向时，则求取污染浓度分布模型如下：</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利用所选取的污染物迁移模型，能否达到对污染物迁移过程的合理预测，关键就在于模型参数的选取和确定是否正确合理。本次评价参数选取如下：</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含水层厚度M：根据水文地质资料可知，项目所在区域潜水层平均总厚度55m左右；</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mt详见预测源强计算，预测中把渗漏的量当成不被包气带吸附和降解而全部进入含水层计算，不考虑渗透本身造成的时间滞后，预测对地下水的影响；</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含水层有效孔隙度n取经验值0.3；</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地下水流速u：根据区域水文地质资料，本区域潜水含水层渗透系数K为0.53m/d，水力坡度0.0019。</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则地下水的渗流流速V=KI=</w:t>
      </w:r>
      <w:r>
        <w:rPr>
          <w:rFonts w:ascii="Times New Roman" w:hAnsi="Times New Roman" w:cs="Times New Roman"/>
          <w:kern w:val="28"/>
          <w:lang w:bidi="en-US"/>
        </w:rPr>
        <w:t>0.</w:t>
      </w:r>
      <w:r>
        <w:rPr>
          <w:rFonts w:hint="eastAsia" w:ascii="Times New Roman" w:hAnsi="Times New Roman" w:cs="Times New Roman"/>
          <w:kern w:val="28"/>
          <w:lang w:bidi="en-US"/>
        </w:rPr>
        <w:t>53×0.0019=</w:t>
      </w:r>
      <w:r>
        <w:rPr>
          <w:rFonts w:ascii="Times New Roman" w:hAnsi="Times New Roman" w:cs="Times New Roman"/>
          <w:kern w:val="28"/>
          <w:lang w:bidi="en-US"/>
        </w:rPr>
        <w:t>0.00</w:t>
      </w:r>
      <w:r>
        <w:rPr>
          <w:rFonts w:hint="eastAsia" w:ascii="Times New Roman" w:hAnsi="Times New Roman" w:cs="Times New Roman"/>
          <w:kern w:val="28"/>
          <w:lang w:bidi="en-US"/>
        </w:rPr>
        <w:t>1m/d：</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平均实际流速u=V/n=</w:t>
      </w:r>
      <w:r>
        <w:rPr>
          <w:rFonts w:ascii="Times New Roman" w:hAnsi="Times New Roman" w:cs="Times New Roman"/>
          <w:kern w:val="28"/>
          <w:lang w:bidi="en-US"/>
        </w:rPr>
        <w:t>0.00</w:t>
      </w:r>
      <w:r>
        <w:rPr>
          <w:rFonts w:hint="eastAsia" w:ascii="Times New Roman" w:hAnsi="Times New Roman" w:cs="Times New Roman"/>
          <w:kern w:val="28"/>
          <w:lang w:bidi="en-US"/>
        </w:rPr>
        <w:t>1/0.3=0.</w:t>
      </w:r>
      <w:r>
        <w:rPr>
          <w:rFonts w:ascii="Times New Roman" w:hAnsi="Times New Roman" w:cs="Times New Roman"/>
          <w:kern w:val="28"/>
          <w:lang w:bidi="en-US"/>
        </w:rPr>
        <w:t>00</w:t>
      </w:r>
      <w:r>
        <w:rPr>
          <w:rFonts w:hint="eastAsia" w:ascii="Times New Roman" w:hAnsi="Times New Roman" w:cs="Times New Roman"/>
          <w:kern w:val="28"/>
          <w:lang w:bidi="en-US"/>
        </w:rPr>
        <w:t>3m/d。</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纵向弥散系数DL：根据2011年10月16日环保部环境工程评估中心“关于转发环保部评估中心《环境影响评价技术导则 地下水环境》专家研讨会意见的通知”有关精神可知，根据已有的地下水研究成果表明，弥散试验的结果受试验场地的尺度效应影响明显，其结果应用受到很大的局限性。参考Gelhar 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根据其研究成果，纵向弥散度αL 从整体上随着基准尺度的增加而增大。基准尺度Ls 是指研究区大小的度量，一般用溶质运移到观测孔的最大距离表示，或用计算区的近似最大内径长度代替，本次预测弥散度参数值取5m，区域纵向弥散系数D</w:t>
      </w:r>
      <w:r>
        <w:rPr>
          <w:rFonts w:hint="eastAsia" w:ascii="Times New Roman" w:hAnsi="Times New Roman" w:cs="Times New Roman"/>
          <w:kern w:val="28"/>
          <w:vertAlign w:val="subscript"/>
          <w:lang w:bidi="en-US"/>
        </w:rPr>
        <w:t>L</w:t>
      </w:r>
      <w:r>
        <w:rPr>
          <w:rFonts w:hint="eastAsia" w:ascii="Times New Roman" w:hAnsi="Times New Roman" w:cs="Times New Roman"/>
          <w:kern w:val="28"/>
          <w:lang w:bidi="en-US"/>
        </w:rPr>
        <w:t>=α×u=5×0.</w:t>
      </w:r>
      <w:r>
        <w:rPr>
          <w:rFonts w:ascii="Times New Roman" w:hAnsi="Times New Roman" w:cs="Times New Roman"/>
          <w:kern w:val="28"/>
          <w:lang w:bidi="en-US"/>
        </w:rPr>
        <w:t>00</w:t>
      </w:r>
      <w:r>
        <w:rPr>
          <w:rFonts w:hint="eastAsia" w:ascii="Times New Roman" w:hAnsi="Times New Roman" w:cs="Times New Roman"/>
          <w:kern w:val="28"/>
          <w:lang w:bidi="en-US"/>
        </w:rPr>
        <w:t>3=</w:t>
      </w:r>
      <w:r>
        <w:rPr>
          <w:rFonts w:ascii="Times New Roman" w:hAnsi="Times New Roman" w:cs="Times New Roman"/>
          <w:kern w:val="28"/>
          <w:lang w:bidi="en-US"/>
        </w:rPr>
        <w:t>0.0</w:t>
      </w:r>
      <w:r>
        <w:rPr>
          <w:rFonts w:hint="eastAsia" w:ascii="Times New Roman" w:hAnsi="Times New Roman" w:cs="Times New Roman"/>
          <w:kern w:val="28"/>
          <w:lang w:bidi="en-US"/>
        </w:rPr>
        <w:t>15m</w:t>
      </w:r>
      <w:r>
        <w:rPr>
          <w:rFonts w:hint="eastAsia" w:ascii="Times New Roman" w:hAnsi="Times New Roman" w:cs="Times New Roman"/>
          <w:kern w:val="28"/>
          <w:vertAlign w:val="superscript"/>
          <w:lang w:bidi="en-US"/>
        </w:rPr>
        <w:t>2</w:t>
      </w:r>
      <w:r>
        <w:rPr>
          <w:rFonts w:hint="eastAsia" w:ascii="Times New Roman" w:hAnsi="Times New Roman" w:cs="Times New Roman"/>
          <w:kern w:val="28"/>
          <w:lang w:bidi="en-US"/>
        </w:rPr>
        <w:t>/d。</w:t>
      </w:r>
    </w:p>
    <w:p>
      <w:pPr>
        <w:pStyle w:val="499"/>
        <w:spacing w:line="460" w:lineRule="exact"/>
        <w:ind w:firstLine="480"/>
        <w:rPr>
          <w:rFonts w:ascii="Times New Roman" w:hAnsi="Times New Roman" w:cs="Times New Roman"/>
          <w:kern w:val="28"/>
          <w:lang w:bidi="en-US"/>
        </w:rPr>
      </w:pPr>
      <w:r>
        <w:rPr>
          <w:rFonts w:hint="eastAsia" w:ascii="Times New Roman" w:hAnsi="Times New Roman" w:cs="Times New Roman"/>
          <w:kern w:val="28"/>
          <w:lang w:bidi="en-US"/>
        </w:rPr>
        <w:t>横向弥散系数D</w:t>
      </w:r>
      <w:r>
        <w:rPr>
          <w:rFonts w:hint="eastAsia" w:ascii="Times New Roman" w:hAnsi="Times New Roman" w:cs="Times New Roman"/>
          <w:kern w:val="28"/>
          <w:vertAlign w:val="subscript"/>
          <w:lang w:bidi="en-US"/>
        </w:rPr>
        <w:t>T</w:t>
      </w:r>
      <w:r>
        <w:rPr>
          <w:rFonts w:hint="eastAsia" w:ascii="Times New Roman" w:hAnsi="Times New Roman" w:cs="Times New Roman"/>
          <w:kern w:val="28"/>
          <w:lang w:bidi="en-US"/>
        </w:rPr>
        <w:t>=0.1D</w:t>
      </w:r>
      <w:r>
        <w:rPr>
          <w:rFonts w:hint="eastAsia" w:ascii="Times New Roman" w:hAnsi="Times New Roman" w:cs="Times New Roman"/>
          <w:kern w:val="28"/>
          <w:vertAlign w:val="subscript"/>
          <w:lang w:bidi="en-US"/>
        </w:rPr>
        <w:t>L</w:t>
      </w:r>
      <w:r>
        <w:rPr>
          <w:rFonts w:hint="eastAsia" w:ascii="Times New Roman" w:hAnsi="Times New Roman" w:cs="Times New Roman"/>
          <w:kern w:val="28"/>
          <w:lang w:bidi="en-US"/>
        </w:rPr>
        <w:t>=</w:t>
      </w:r>
      <w:r>
        <w:rPr>
          <w:rFonts w:ascii="Times New Roman" w:hAnsi="Times New Roman" w:cs="Times New Roman"/>
          <w:kern w:val="28"/>
          <w:lang w:bidi="en-US"/>
        </w:rPr>
        <w:t>0.00</w:t>
      </w:r>
      <w:r>
        <w:rPr>
          <w:rFonts w:hint="eastAsia" w:ascii="Times New Roman" w:hAnsi="Times New Roman" w:cs="Times New Roman"/>
          <w:kern w:val="28"/>
          <w:lang w:bidi="en-US"/>
        </w:rPr>
        <w:t>15m</w:t>
      </w:r>
      <w:r>
        <w:rPr>
          <w:rFonts w:hint="eastAsia" w:ascii="Times New Roman" w:hAnsi="Times New Roman" w:cs="Times New Roman"/>
          <w:kern w:val="28"/>
          <w:vertAlign w:val="superscript"/>
          <w:lang w:bidi="en-US"/>
        </w:rPr>
        <w:t>2</w:t>
      </w:r>
      <w:r>
        <w:rPr>
          <w:rFonts w:hint="eastAsia" w:ascii="Times New Roman" w:hAnsi="Times New Roman" w:cs="Times New Roman"/>
          <w:kern w:val="28"/>
          <w:lang w:bidi="en-US"/>
        </w:rPr>
        <w:t>/d。</w:t>
      </w:r>
    </w:p>
    <w:p>
      <w:pPr>
        <w:pStyle w:val="499"/>
        <w:spacing w:line="460" w:lineRule="exact"/>
        <w:ind w:firstLine="480"/>
        <w:rPr>
          <w:rFonts w:ascii="Times New Roman" w:cs="Times New Roman"/>
          <w:kern w:val="28"/>
        </w:rPr>
      </w:pPr>
      <w:r>
        <w:rPr>
          <w:rFonts w:hint="eastAsia" w:ascii="Times New Roman" w:hAnsi="Times New Roman" w:cs="Times New Roman"/>
          <w:kern w:val="28"/>
          <w:lang w:bidi="en-US"/>
        </w:rPr>
        <w:t>则本项目预测参数见表6.2-17。</w:t>
      </w:r>
    </w:p>
    <w:p>
      <w:pPr>
        <w:ind w:firstLine="420" w:firstLineChars="200"/>
        <w:rPr>
          <w:rFonts w:eastAsia="黑体"/>
          <w:bCs/>
        </w:rPr>
      </w:pPr>
      <w:r>
        <w:rPr>
          <w:rFonts w:eastAsia="黑体"/>
          <w:bCs/>
        </w:rPr>
        <w:t>表</w:t>
      </w:r>
      <w:r>
        <w:rPr>
          <w:rFonts w:hint="eastAsia" w:eastAsia="黑体"/>
          <w:bCs/>
        </w:rPr>
        <w:t>6.2-17</w:t>
      </w:r>
      <w:r>
        <w:rPr>
          <w:rFonts w:eastAsia="黑体"/>
          <w:bCs/>
        </w:rPr>
        <w:t xml:space="preserve">                   预测参数取值表            </w:t>
      </w:r>
    </w:p>
    <w:tbl>
      <w:tblPr>
        <w:tblStyle w:val="59"/>
        <w:tblW w:w="84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108"/>
        <w:gridCol w:w="2107"/>
        <w:gridCol w:w="2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8" w:type="dxa"/>
            <w:vAlign w:val="center"/>
          </w:tcPr>
          <w:p>
            <w:pPr>
              <w:jc w:val="center"/>
            </w:pPr>
            <w:r>
              <w:t>参数名称</w:t>
            </w:r>
          </w:p>
        </w:tc>
        <w:tc>
          <w:tcPr>
            <w:tcW w:w="2108" w:type="dxa"/>
            <w:vAlign w:val="center"/>
          </w:tcPr>
          <w:p>
            <w:pPr>
              <w:jc w:val="center"/>
            </w:pPr>
            <w:r>
              <w:t>取值</w:t>
            </w:r>
          </w:p>
        </w:tc>
        <w:tc>
          <w:tcPr>
            <w:tcW w:w="2107" w:type="dxa"/>
            <w:vAlign w:val="center"/>
          </w:tcPr>
          <w:p>
            <w:pPr>
              <w:jc w:val="center"/>
            </w:pPr>
            <w:r>
              <w:t>参数名称</w:t>
            </w:r>
          </w:p>
        </w:tc>
        <w:tc>
          <w:tcPr>
            <w:tcW w:w="2107" w:type="dxa"/>
            <w:vAlign w:val="center"/>
          </w:tcPr>
          <w:p>
            <w:pPr>
              <w:jc w:val="center"/>
            </w:pPr>
            <w: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8" w:type="dxa"/>
            <w:vAlign w:val="center"/>
          </w:tcPr>
          <w:p>
            <w:pPr>
              <w:jc w:val="center"/>
            </w:pPr>
            <w:r>
              <w:t>含水层厚度M</w:t>
            </w:r>
          </w:p>
        </w:tc>
        <w:tc>
          <w:tcPr>
            <w:tcW w:w="2108" w:type="dxa"/>
            <w:vAlign w:val="center"/>
          </w:tcPr>
          <w:p>
            <w:pPr>
              <w:jc w:val="center"/>
            </w:pPr>
            <w:r>
              <w:rPr>
                <w:rFonts w:hint="eastAsia"/>
              </w:rPr>
              <w:t>55</w:t>
            </w:r>
            <w:r>
              <w:t>m</w:t>
            </w:r>
          </w:p>
        </w:tc>
        <w:tc>
          <w:tcPr>
            <w:tcW w:w="2107" w:type="dxa"/>
            <w:vAlign w:val="center"/>
          </w:tcPr>
          <w:p>
            <w:pPr>
              <w:jc w:val="center"/>
            </w:pPr>
            <w:r>
              <w:t>地下水流速u</w:t>
            </w:r>
          </w:p>
        </w:tc>
        <w:tc>
          <w:tcPr>
            <w:tcW w:w="2107" w:type="dxa"/>
            <w:vAlign w:val="center"/>
          </w:tcPr>
          <w:p>
            <w:pPr>
              <w:jc w:val="center"/>
            </w:pPr>
            <w:r>
              <w:rPr>
                <w:rFonts w:hint="eastAsia"/>
              </w:rPr>
              <w:t>0.003</w:t>
            </w:r>
            <w:r>
              <w:t>m/d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8" w:type="dxa"/>
            <w:vAlign w:val="center"/>
          </w:tcPr>
          <w:p>
            <w:pPr>
              <w:jc w:val="center"/>
            </w:pPr>
            <w:r>
              <w:t>有效孔隙度n</w:t>
            </w:r>
          </w:p>
        </w:tc>
        <w:tc>
          <w:tcPr>
            <w:tcW w:w="2108" w:type="dxa"/>
            <w:vAlign w:val="center"/>
          </w:tcPr>
          <w:p>
            <w:pPr>
              <w:jc w:val="center"/>
            </w:pPr>
            <w:r>
              <w:t>0.3</w:t>
            </w:r>
          </w:p>
        </w:tc>
        <w:tc>
          <w:tcPr>
            <w:tcW w:w="2107" w:type="dxa"/>
            <w:vAlign w:val="center"/>
          </w:tcPr>
          <w:p>
            <w:pPr>
              <w:jc w:val="center"/>
            </w:pPr>
            <w:r>
              <w:t>纵向弥散系数DL</w:t>
            </w:r>
          </w:p>
        </w:tc>
        <w:tc>
          <w:tcPr>
            <w:tcW w:w="2107" w:type="dxa"/>
            <w:vAlign w:val="center"/>
          </w:tcPr>
          <w:p>
            <w:pPr>
              <w:jc w:val="center"/>
            </w:pPr>
            <w:r>
              <w:rPr>
                <w:rFonts w:hint="eastAsia"/>
              </w:rPr>
              <w:t>0.015</w:t>
            </w:r>
            <w:r>
              <w:t>m</w:t>
            </w:r>
            <w:r>
              <w:rPr>
                <w:vertAlign w:val="superscript"/>
              </w:rPr>
              <w:t>2</w:t>
            </w:r>
            <w: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8" w:type="dxa"/>
            <w:vAlign w:val="center"/>
          </w:tcPr>
          <w:p>
            <w:pPr>
              <w:jc w:val="center"/>
            </w:pPr>
            <w:r>
              <w:t>示踪迹质量m</w:t>
            </w:r>
            <w:r>
              <w:rPr>
                <w:vertAlign w:val="subscript"/>
              </w:rPr>
              <w:t>M</w:t>
            </w:r>
          </w:p>
        </w:tc>
        <w:tc>
          <w:tcPr>
            <w:tcW w:w="2108" w:type="dxa"/>
            <w:vAlign w:val="center"/>
          </w:tcPr>
          <w:p>
            <w:pPr>
              <w:jc w:val="center"/>
            </w:pPr>
            <w:r>
              <w:rPr>
                <w:rFonts w:hint="eastAsia"/>
              </w:rPr>
              <w:t>131.59</w:t>
            </w:r>
            <w:r>
              <w:t>g/d</w:t>
            </w:r>
          </w:p>
        </w:tc>
        <w:tc>
          <w:tcPr>
            <w:tcW w:w="2107" w:type="dxa"/>
            <w:vAlign w:val="center"/>
          </w:tcPr>
          <w:p>
            <w:pPr>
              <w:jc w:val="center"/>
            </w:pPr>
            <w:r>
              <w:t>横向弥散系数DT</w:t>
            </w:r>
          </w:p>
        </w:tc>
        <w:tc>
          <w:tcPr>
            <w:tcW w:w="2107" w:type="dxa"/>
            <w:vAlign w:val="center"/>
          </w:tcPr>
          <w:p>
            <w:pPr>
              <w:jc w:val="center"/>
            </w:pPr>
            <w:r>
              <w:t>0.00</w:t>
            </w:r>
            <w:r>
              <w:rPr>
                <w:rFonts w:hint="eastAsia"/>
              </w:rPr>
              <w:t>15</w:t>
            </w:r>
            <w:r>
              <w:t>m</w:t>
            </w:r>
            <w:r>
              <w:rPr>
                <w:vertAlign w:val="superscript"/>
              </w:rPr>
              <w:t>2</w:t>
            </w:r>
            <w:r>
              <w:t>/d</w:t>
            </w:r>
          </w:p>
        </w:tc>
      </w:tr>
    </w:tbl>
    <w:p>
      <w:pPr>
        <w:pStyle w:val="499"/>
        <w:spacing w:line="460" w:lineRule="exact"/>
        <w:ind w:firstLine="480"/>
        <w:rPr>
          <w:rFonts w:ascii="Times New Roman" w:cs="Times New Roman"/>
          <w:kern w:val="28"/>
        </w:rPr>
      </w:pPr>
      <w:r>
        <w:rPr>
          <w:rFonts w:hint="eastAsia" w:ascii="Times New Roman" w:cs="Times New Roman"/>
          <w:kern w:val="28"/>
        </w:rPr>
        <w:t>（8）预测结果</w:t>
      </w:r>
    </w:p>
    <w:p>
      <w:pPr>
        <w:pStyle w:val="499"/>
        <w:spacing w:line="460" w:lineRule="exact"/>
        <w:ind w:firstLine="480"/>
        <w:rPr>
          <w:rFonts w:ascii="Times New Roman" w:hAnsi="Times New Roman" w:cs="Times New Roman"/>
          <w:kern w:val="28"/>
          <w:lang w:bidi="en-US"/>
        </w:rPr>
      </w:pPr>
      <w:r>
        <w:t>非正常状况下污染物在含水层中运移，在水动力弥散作用下，瞬时注入的污染物</w:t>
      </w:r>
      <w:r>
        <w:rPr>
          <w:rFonts w:ascii="Times New Roman" w:hAnsi="Times New Roman" w:cs="Times New Roman"/>
        </w:rPr>
        <w:t>示踪剂将产生呈椭圆形的污染晕，污染晕中污染物的浓度由中心向四周逐渐降低。随着水动力弥散作用的进行，污染晕将不断沿水流方向运移，污染晕的范围也会发生变化。在本次预测中，预测了</w:t>
      </w:r>
      <w:r>
        <w:rPr>
          <w:rFonts w:hint="eastAsia" w:ascii="Times New Roman" w:hAnsi="Times New Roman" w:cs="Times New Roman"/>
        </w:rPr>
        <w:t>氨氮</w:t>
      </w:r>
      <w:r>
        <w:rPr>
          <w:rFonts w:ascii="Times New Roman" w:hAnsi="Times New Roman" w:cs="Times New Roman"/>
        </w:rPr>
        <w:t>在不同时间段的运移情况，主要分析了预测因子的运移距离、污染晕的最大浓度和影响距离等方面的情况。预测结果见表</w:t>
      </w:r>
      <w:r>
        <w:rPr>
          <w:rFonts w:hint="eastAsia" w:ascii="Times New Roman" w:hAnsi="Times New Roman" w:cs="Times New Roman"/>
        </w:rPr>
        <w:t>6.2-18。</w:t>
      </w:r>
    </w:p>
    <w:p>
      <w:pPr>
        <w:ind w:firstLine="420" w:firstLineChars="200"/>
        <w:rPr>
          <w:rFonts w:eastAsia="黑体"/>
          <w:bCs/>
        </w:rPr>
      </w:pPr>
      <w:r>
        <w:rPr>
          <w:rFonts w:eastAsia="黑体"/>
          <w:bCs/>
        </w:rPr>
        <w:t>表</w:t>
      </w:r>
      <w:r>
        <w:rPr>
          <w:rFonts w:hint="eastAsia" w:eastAsia="黑体"/>
          <w:bCs/>
        </w:rPr>
        <w:t xml:space="preserve">6.2-18 </w:t>
      </w:r>
      <w:r>
        <w:rPr>
          <w:rFonts w:eastAsia="黑体"/>
          <w:bCs/>
        </w:rPr>
        <w:t xml:space="preserve">          地下水中</w:t>
      </w:r>
      <w:r>
        <w:rPr>
          <w:rFonts w:hint="eastAsia" w:eastAsia="黑体"/>
          <w:bCs/>
        </w:rPr>
        <w:t>氨氮</w:t>
      </w:r>
      <w:r>
        <w:rPr>
          <w:rFonts w:eastAsia="黑体"/>
          <w:bCs/>
        </w:rPr>
        <w:t>扩散预测结果</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379"/>
        <w:gridCol w:w="1134"/>
        <w:gridCol w:w="1134"/>
        <w:gridCol w:w="1134"/>
        <w:gridCol w:w="1084"/>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pPr>
              <w:jc w:val="center"/>
              <w:rPr>
                <w:kern w:val="2"/>
                <w:sz w:val="21"/>
              </w:rPr>
            </w:pPr>
            <w:r>
              <w:rPr>
                <w:rFonts w:hint="eastAsia"/>
                <w:kern w:val="2"/>
                <w:sz w:val="21"/>
              </w:rPr>
              <w:t>预测时段</w:t>
            </w:r>
          </w:p>
        </w:tc>
        <w:tc>
          <w:tcPr>
            <w:tcW w:w="5865" w:type="dxa"/>
            <w:gridSpan w:val="5"/>
            <w:vAlign w:val="center"/>
          </w:tcPr>
          <w:p>
            <w:pPr>
              <w:jc w:val="center"/>
              <w:rPr>
                <w:kern w:val="2"/>
                <w:sz w:val="21"/>
              </w:rPr>
            </w:pPr>
            <w:r>
              <w:rPr>
                <w:rFonts w:hint="eastAsia"/>
                <w:kern w:val="2"/>
                <w:sz w:val="21"/>
              </w:rPr>
              <w:t>浓度扩散结果</w:t>
            </w:r>
          </w:p>
        </w:tc>
        <w:tc>
          <w:tcPr>
            <w:tcW w:w="1173" w:type="dxa"/>
            <w:vMerge w:val="restart"/>
            <w:vAlign w:val="center"/>
          </w:tcPr>
          <w:p>
            <w:pPr>
              <w:jc w:val="center"/>
              <w:rPr>
                <w:kern w:val="2"/>
                <w:sz w:val="21"/>
              </w:rPr>
            </w:pPr>
            <w:r>
              <w:rPr>
                <w:rFonts w:hint="eastAsia"/>
                <w:kern w:val="2"/>
                <w:sz w:val="21"/>
              </w:rPr>
              <w:t>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jc w:val="center"/>
              <w:rPr>
                <w:kern w:val="2"/>
                <w:sz w:val="21"/>
              </w:rPr>
            </w:pPr>
          </w:p>
        </w:tc>
        <w:tc>
          <w:tcPr>
            <w:tcW w:w="1379" w:type="dxa"/>
            <w:vAlign w:val="center"/>
          </w:tcPr>
          <w:p>
            <w:pPr>
              <w:jc w:val="center"/>
              <w:rPr>
                <w:kern w:val="2"/>
                <w:sz w:val="21"/>
              </w:rPr>
            </w:pPr>
            <w:r>
              <w:rPr>
                <w:rFonts w:hint="eastAsia"/>
                <w:kern w:val="2"/>
                <w:sz w:val="21"/>
              </w:rPr>
              <w:t>最大预测值（mg/L）</w:t>
            </w:r>
          </w:p>
        </w:tc>
        <w:tc>
          <w:tcPr>
            <w:tcW w:w="1134" w:type="dxa"/>
            <w:vAlign w:val="center"/>
          </w:tcPr>
          <w:p>
            <w:pPr>
              <w:jc w:val="center"/>
              <w:rPr>
                <w:kern w:val="2"/>
                <w:sz w:val="21"/>
              </w:rPr>
            </w:pPr>
            <w:r>
              <w:rPr>
                <w:rFonts w:hint="eastAsia"/>
                <w:kern w:val="2"/>
                <w:sz w:val="21"/>
              </w:rPr>
              <w:t>超标距离（m）</w:t>
            </w:r>
          </w:p>
        </w:tc>
        <w:tc>
          <w:tcPr>
            <w:tcW w:w="1134" w:type="dxa"/>
            <w:vAlign w:val="center"/>
          </w:tcPr>
          <w:p>
            <w:pPr>
              <w:jc w:val="center"/>
              <w:rPr>
                <w:kern w:val="2"/>
                <w:sz w:val="21"/>
              </w:rPr>
            </w:pPr>
            <w:r>
              <w:rPr>
                <w:rFonts w:hint="eastAsia"/>
                <w:kern w:val="2"/>
                <w:sz w:val="21"/>
              </w:rPr>
              <w:t>超标面积（m</w:t>
            </w:r>
            <w:r>
              <w:rPr>
                <w:kern w:val="2"/>
                <w:sz w:val="21"/>
                <w:vertAlign w:val="superscript"/>
              </w:rPr>
              <w:t>2</w:t>
            </w:r>
            <w:r>
              <w:rPr>
                <w:rFonts w:hint="eastAsia"/>
                <w:kern w:val="2"/>
                <w:sz w:val="21"/>
              </w:rPr>
              <w:t>）</w:t>
            </w:r>
          </w:p>
        </w:tc>
        <w:tc>
          <w:tcPr>
            <w:tcW w:w="1134" w:type="dxa"/>
            <w:vAlign w:val="center"/>
          </w:tcPr>
          <w:p>
            <w:pPr>
              <w:jc w:val="center"/>
              <w:rPr>
                <w:kern w:val="2"/>
                <w:sz w:val="21"/>
              </w:rPr>
            </w:pPr>
            <w:r>
              <w:rPr>
                <w:rFonts w:hint="eastAsia"/>
                <w:kern w:val="2"/>
                <w:sz w:val="21"/>
              </w:rPr>
              <w:t>影响距离（m）</w:t>
            </w:r>
          </w:p>
        </w:tc>
        <w:tc>
          <w:tcPr>
            <w:tcW w:w="1084" w:type="dxa"/>
            <w:vAlign w:val="center"/>
          </w:tcPr>
          <w:p>
            <w:pPr>
              <w:jc w:val="center"/>
              <w:rPr>
                <w:kern w:val="2"/>
                <w:sz w:val="21"/>
              </w:rPr>
            </w:pPr>
            <w:r>
              <w:rPr>
                <w:rFonts w:hint="eastAsia"/>
                <w:kern w:val="2"/>
                <w:sz w:val="21"/>
              </w:rPr>
              <w:t>影响面积（m</w:t>
            </w:r>
            <w:r>
              <w:rPr>
                <w:kern w:val="2"/>
                <w:sz w:val="21"/>
                <w:vertAlign w:val="superscript"/>
              </w:rPr>
              <w:t>2</w:t>
            </w:r>
            <w:r>
              <w:rPr>
                <w:rFonts w:hint="eastAsia"/>
                <w:kern w:val="2"/>
                <w:sz w:val="21"/>
              </w:rPr>
              <w:t>）</w:t>
            </w:r>
          </w:p>
        </w:tc>
        <w:tc>
          <w:tcPr>
            <w:tcW w:w="1173" w:type="dxa"/>
            <w:vMerge w:val="continue"/>
            <w:vAlign w:val="center"/>
          </w:tcPr>
          <w:p>
            <w:pPr>
              <w:jc w:val="center"/>
              <w:rPr>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Align w:val="center"/>
          </w:tcPr>
          <w:p>
            <w:pPr>
              <w:jc w:val="center"/>
              <w:rPr>
                <w:kern w:val="2"/>
                <w:sz w:val="21"/>
              </w:rPr>
            </w:pPr>
            <w:r>
              <w:rPr>
                <w:rFonts w:hint="eastAsia"/>
                <w:kern w:val="2"/>
                <w:sz w:val="21"/>
              </w:rPr>
              <w:t>泄漏1</w:t>
            </w:r>
            <w:r>
              <w:rPr>
                <w:kern w:val="2"/>
                <w:sz w:val="21"/>
              </w:rPr>
              <w:t>00</w:t>
            </w:r>
            <w:r>
              <w:rPr>
                <w:rFonts w:hint="eastAsia"/>
                <w:kern w:val="2"/>
                <w:sz w:val="21"/>
              </w:rPr>
              <w:t>d</w:t>
            </w:r>
          </w:p>
        </w:tc>
        <w:tc>
          <w:tcPr>
            <w:tcW w:w="1379" w:type="dxa"/>
            <w:vAlign w:val="center"/>
          </w:tcPr>
          <w:p>
            <w:pPr>
              <w:jc w:val="center"/>
              <w:rPr>
                <w:kern w:val="2"/>
                <w:sz w:val="21"/>
              </w:rPr>
            </w:pPr>
            <w:r>
              <w:rPr>
                <w:rFonts w:hint="eastAsia"/>
                <w:kern w:val="2"/>
                <w:sz w:val="21"/>
              </w:rPr>
              <w:t>89.1</w:t>
            </w:r>
          </w:p>
        </w:tc>
        <w:tc>
          <w:tcPr>
            <w:tcW w:w="1134" w:type="dxa"/>
            <w:vAlign w:val="center"/>
          </w:tcPr>
          <w:p>
            <w:pPr>
              <w:jc w:val="center"/>
              <w:rPr>
                <w:kern w:val="2"/>
                <w:sz w:val="21"/>
              </w:rPr>
            </w:pPr>
            <w:r>
              <w:rPr>
                <w:rFonts w:hint="eastAsia"/>
                <w:kern w:val="2"/>
                <w:sz w:val="21"/>
              </w:rPr>
              <w:t>6</w:t>
            </w:r>
          </w:p>
        </w:tc>
        <w:tc>
          <w:tcPr>
            <w:tcW w:w="1134" w:type="dxa"/>
            <w:vAlign w:val="center"/>
          </w:tcPr>
          <w:p>
            <w:pPr>
              <w:jc w:val="center"/>
              <w:rPr>
                <w:kern w:val="2"/>
                <w:sz w:val="21"/>
              </w:rPr>
            </w:pPr>
            <w:r>
              <w:rPr>
                <w:rFonts w:hint="eastAsia"/>
                <w:kern w:val="2"/>
                <w:sz w:val="21"/>
              </w:rPr>
              <w:t>24</w:t>
            </w:r>
          </w:p>
        </w:tc>
        <w:tc>
          <w:tcPr>
            <w:tcW w:w="1134" w:type="dxa"/>
            <w:vAlign w:val="center"/>
          </w:tcPr>
          <w:p>
            <w:pPr>
              <w:jc w:val="center"/>
              <w:rPr>
                <w:kern w:val="2"/>
                <w:sz w:val="21"/>
              </w:rPr>
            </w:pPr>
            <w:r>
              <w:rPr>
                <w:rFonts w:hint="eastAsia"/>
                <w:kern w:val="2"/>
                <w:sz w:val="21"/>
              </w:rPr>
              <w:t>7</w:t>
            </w:r>
          </w:p>
        </w:tc>
        <w:tc>
          <w:tcPr>
            <w:tcW w:w="1084" w:type="dxa"/>
            <w:vAlign w:val="center"/>
          </w:tcPr>
          <w:p>
            <w:pPr>
              <w:jc w:val="center"/>
              <w:rPr>
                <w:kern w:val="2"/>
                <w:sz w:val="21"/>
              </w:rPr>
            </w:pPr>
            <w:r>
              <w:rPr>
                <w:rFonts w:hint="eastAsia"/>
                <w:kern w:val="2"/>
                <w:sz w:val="21"/>
              </w:rPr>
              <w:t>44</w:t>
            </w:r>
          </w:p>
        </w:tc>
        <w:tc>
          <w:tcPr>
            <w:tcW w:w="1173" w:type="dxa"/>
            <w:vMerge w:val="restart"/>
            <w:vAlign w:val="center"/>
          </w:tcPr>
          <w:p>
            <w:pPr>
              <w:jc w:val="center"/>
              <w:rPr>
                <w:kern w:val="2"/>
                <w:sz w:val="21"/>
              </w:rPr>
            </w:pPr>
            <w:r>
              <w:rPr>
                <w:rFonts w:hint="eastAsia"/>
                <w:kern w:val="2"/>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Align w:val="center"/>
          </w:tcPr>
          <w:p>
            <w:pPr>
              <w:jc w:val="center"/>
              <w:rPr>
                <w:kern w:val="2"/>
                <w:sz w:val="21"/>
              </w:rPr>
            </w:pPr>
            <w:r>
              <w:rPr>
                <w:rFonts w:hint="eastAsia"/>
                <w:kern w:val="2"/>
                <w:sz w:val="21"/>
              </w:rPr>
              <w:t>泄漏3</w:t>
            </w:r>
            <w:r>
              <w:rPr>
                <w:kern w:val="2"/>
                <w:sz w:val="21"/>
              </w:rPr>
              <w:t>65</w:t>
            </w:r>
            <w:r>
              <w:rPr>
                <w:rFonts w:hint="eastAsia"/>
                <w:kern w:val="2"/>
                <w:sz w:val="21"/>
              </w:rPr>
              <w:t>d</w:t>
            </w:r>
          </w:p>
        </w:tc>
        <w:tc>
          <w:tcPr>
            <w:tcW w:w="1379" w:type="dxa"/>
            <w:vAlign w:val="center"/>
          </w:tcPr>
          <w:p>
            <w:pPr>
              <w:jc w:val="center"/>
              <w:rPr>
                <w:kern w:val="2"/>
                <w:sz w:val="21"/>
              </w:rPr>
            </w:pPr>
            <w:r>
              <w:rPr>
                <w:rFonts w:hint="eastAsia"/>
                <w:kern w:val="2"/>
                <w:sz w:val="21"/>
              </w:rPr>
              <w:t>217</w:t>
            </w:r>
          </w:p>
        </w:tc>
        <w:tc>
          <w:tcPr>
            <w:tcW w:w="1134" w:type="dxa"/>
            <w:vAlign w:val="center"/>
          </w:tcPr>
          <w:p>
            <w:pPr>
              <w:jc w:val="center"/>
              <w:rPr>
                <w:kern w:val="2"/>
                <w:sz w:val="21"/>
              </w:rPr>
            </w:pPr>
            <w:r>
              <w:rPr>
                <w:rFonts w:hint="eastAsia"/>
                <w:kern w:val="2"/>
                <w:sz w:val="21"/>
              </w:rPr>
              <w:t>11</w:t>
            </w:r>
          </w:p>
        </w:tc>
        <w:tc>
          <w:tcPr>
            <w:tcW w:w="1134" w:type="dxa"/>
            <w:vAlign w:val="center"/>
          </w:tcPr>
          <w:p>
            <w:pPr>
              <w:jc w:val="center"/>
              <w:rPr>
                <w:kern w:val="2"/>
                <w:sz w:val="21"/>
              </w:rPr>
            </w:pPr>
            <w:r>
              <w:rPr>
                <w:rFonts w:hint="eastAsia"/>
                <w:kern w:val="2"/>
                <w:sz w:val="21"/>
              </w:rPr>
              <w:t>90</w:t>
            </w:r>
          </w:p>
        </w:tc>
        <w:tc>
          <w:tcPr>
            <w:tcW w:w="1134" w:type="dxa"/>
            <w:vAlign w:val="center"/>
          </w:tcPr>
          <w:p>
            <w:pPr>
              <w:jc w:val="center"/>
              <w:rPr>
                <w:kern w:val="2"/>
                <w:sz w:val="21"/>
              </w:rPr>
            </w:pPr>
            <w:r>
              <w:rPr>
                <w:rFonts w:hint="eastAsia"/>
                <w:kern w:val="2"/>
                <w:sz w:val="21"/>
              </w:rPr>
              <w:t>13</w:t>
            </w:r>
          </w:p>
        </w:tc>
        <w:tc>
          <w:tcPr>
            <w:tcW w:w="1084" w:type="dxa"/>
            <w:vAlign w:val="center"/>
          </w:tcPr>
          <w:p>
            <w:pPr>
              <w:jc w:val="center"/>
              <w:rPr>
                <w:kern w:val="2"/>
                <w:sz w:val="21"/>
              </w:rPr>
            </w:pPr>
            <w:r>
              <w:rPr>
                <w:rFonts w:hint="eastAsia"/>
                <w:kern w:val="2"/>
                <w:sz w:val="21"/>
              </w:rPr>
              <w:t>146</w:t>
            </w:r>
          </w:p>
        </w:tc>
        <w:tc>
          <w:tcPr>
            <w:tcW w:w="1173" w:type="dxa"/>
            <w:vMerge w:val="continue"/>
            <w:vAlign w:val="center"/>
          </w:tcPr>
          <w:p>
            <w:pPr>
              <w:jc w:val="center"/>
              <w:rPr>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Align w:val="center"/>
          </w:tcPr>
          <w:p>
            <w:pPr>
              <w:jc w:val="center"/>
              <w:rPr>
                <w:kern w:val="2"/>
                <w:sz w:val="21"/>
              </w:rPr>
            </w:pPr>
            <w:r>
              <w:rPr>
                <w:rFonts w:hint="eastAsia"/>
                <w:kern w:val="2"/>
                <w:sz w:val="21"/>
              </w:rPr>
              <w:t>泄漏1</w:t>
            </w:r>
            <w:r>
              <w:rPr>
                <w:kern w:val="2"/>
                <w:sz w:val="21"/>
              </w:rPr>
              <w:t>000</w:t>
            </w:r>
            <w:r>
              <w:rPr>
                <w:rFonts w:hint="eastAsia"/>
                <w:kern w:val="2"/>
                <w:sz w:val="21"/>
              </w:rPr>
              <w:t>d</w:t>
            </w:r>
          </w:p>
        </w:tc>
        <w:tc>
          <w:tcPr>
            <w:tcW w:w="1379" w:type="dxa"/>
            <w:vAlign w:val="center"/>
          </w:tcPr>
          <w:p>
            <w:pPr>
              <w:jc w:val="center"/>
              <w:rPr>
                <w:kern w:val="2"/>
                <w:sz w:val="21"/>
              </w:rPr>
            </w:pPr>
            <w:r>
              <w:rPr>
                <w:rFonts w:hint="eastAsia"/>
                <w:kern w:val="2"/>
                <w:sz w:val="21"/>
              </w:rPr>
              <w:t>324</w:t>
            </w:r>
          </w:p>
        </w:tc>
        <w:tc>
          <w:tcPr>
            <w:tcW w:w="1134" w:type="dxa"/>
            <w:vAlign w:val="center"/>
          </w:tcPr>
          <w:p>
            <w:pPr>
              <w:jc w:val="center"/>
              <w:rPr>
                <w:kern w:val="2"/>
                <w:sz w:val="21"/>
              </w:rPr>
            </w:pPr>
            <w:r>
              <w:rPr>
                <w:rFonts w:hint="eastAsia"/>
                <w:kern w:val="2"/>
                <w:sz w:val="21"/>
              </w:rPr>
              <w:t>22</w:t>
            </w:r>
          </w:p>
        </w:tc>
        <w:tc>
          <w:tcPr>
            <w:tcW w:w="1134" w:type="dxa"/>
            <w:vAlign w:val="center"/>
          </w:tcPr>
          <w:p>
            <w:pPr>
              <w:jc w:val="center"/>
              <w:rPr>
                <w:kern w:val="2"/>
                <w:sz w:val="21"/>
              </w:rPr>
            </w:pPr>
            <w:r>
              <w:rPr>
                <w:rFonts w:hint="eastAsia"/>
                <w:kern w:val="2"/>
                <w:sz w:val="21"/>
              </w:rPr>
              <w:t>176</w:t>
            </w:r>
          </w:p>
        </w:tc>
        <w:tc>
          <w:tcPr>
            <w:tcW w:w="1134" w:type="dxa"/>
            <w:vAlign w:val="center"/>
          </w:tcPr>
          <w:p>
            <w:pPr>
              <w:jc w:val="center"/>
              <w:rPr>
                <w:kern w:val="2"/>
                <w:sz w:val="21"/>
              </w:rPr>
            </w:pPr>
            <w:r>
              <w:rPr>
                <w:rFonts w:hint="eastAsia"/>
                <w:kern w:val="2"/>
                <w:sz w:val="21"/>
              </w:rPr>
              <w:t>25</w:t>
            </w:r>
          </w:p>
        </w:tc>
        <w:tc>
          <w:tcPr>
            <w:tcW w:w="1084" w:type="dxa"/>
            <w:vAlign w:val="center"/>
          </w:tcPr>
          <w:p>
            <w:pPr>
              <w:jc w:val="center"/>
              <w:rPr>
                <w:kern w:val="2"/>
                <w:sz w:val="21"/>
              </w:rPr>
            </w:pPr>
            <w:r>
              <w:rPr>
                <w:rFonts w:hint="eastAsia"/>
                <w:kern w:val="2"/>
                <w:sz w:val="21"/>
              </w:rPr>
              <w:t>550</w:t>
            </w:r>
          </w:p>
        </w:tc>
        <w:tc>
          <w:tcPr>
            <w:tcW w:w="1173" w:type="dxa"/>
            <w:vMerge w:val="continue"/>
            <w:vAlign w:val="center"/>
          </w:tcPr>
          <w:p>
            <w:pPr>
              <w:jc w:val="center"/>
              <w:rPr>
                <w:kern w:val="2"/>
                <w:sz w:val="21"/>
              </w:rPr>
            </w:pPr>
          </w:p>
        </w:tc>
      </w:tr>
    </w:tbl>
    <w:p>
      <w:pPr>
        <w:pStyle w:val="499"/>
        <w:spacing w:line="460" w:lineRule="exact"/>
        <w:ind w:firstLine="480"/>
        <w:rPr>
          <w:rFonts w:ascii="Times New Roman" w:cs="Times New Roman"/>
          <w:kern w:val="28"/>
        </w:rPr>
      </w:pPr>
      <w:r>
        <w:rPr>
          <w:rFonts w:hint="eastAsia" w:ascii="Times New Roman" w:cs="Times New Roman"/>
          <w:kern w:val="28"/>
        </w:rPr>
        <w:t>由预测结果可知，非正常状况下，污水渗漏下渗将会对区域地下水造成一定程度的污染，并随着时间的推移污染物出现转移情况。污水泄漏发生后100d，污染物氨氮预测超标距离最远为6m，影响距离最远为7m；泄漏发生后365d，污染物氨氮预测超标距离最远为11m，影响距离最远为13m；泄漏发生后1000d，污染物氨氮预测超标距离最远为22m，影响距离最远为25m。</w:t>
      </w:r>
    </w:p>
    <w:p>
      <w:pPr>
        <w:pStyle w:val="499"/>
        <w:spacing w:line="460" w:lineRule="exact"/>
        <w:ind w:firstLine="480"/>
        <w:rPr>
          <w:rFonts w:ascii="Times New Roman" w:cs="Times New Roman"/>
          <w:kern w:val="28"/>
        </w:rPr>
      </w:pPr>
      <w:r>
        <w:rPr>
          <w:rFonts w:hint="eastAsia" w:ascii="Times New Roman" w:cs="Times New Roman"/>
          <w:kern w:val="28"/>
        </w:rPr>
        <w:t>在实际的扩散过程中，氨氮等污染物将被土壤的物理和化学吸附作用所截流，进入地下水体的浓度将极大地降低，污染物泄漏后在水环境中的迁移影响范围将小于预测迁移距离。</w:t>
      </w:r>
    </w:p>
    <w:p>
      <w:pPr>
        <w:pStyle w:val="499"/>
        <w:spacing w:line="460" w:lineRule="exact"/>
        <w:ind w:firstLine="480"/>
        <w:rPr>
          <w:rFonts w:ascii="Times New Roman" w:cs="Times New Roman"/>
          <w:kern w:val="28"/>
        </w:rPr>
      </w:pPr>
      <w:r>
        <w:rPr>
          <w:rFonts w:hint="eastAsia" w:ascii="Times New Roman" w:cs="Times New Roman"/>
          <w:kern w:val="28"/>
        </w:rPr>
        <w:t>根据预测数据，本事故情景下生活污水氨氮会对含水层产生一定污染影响，因此，必须实施严格的监测计划、防渗措施、维修期检查和应急措施，最大限度杜绝事故发生，才可有效降低影响范围，将其非正常工况影响程度降至环境可接受范围。</w:t>
      </w:r>
    </w:p>
    <w:p>
      <w:pPr>
        <w:pStyle w:val="499"/>
        <w:spacing w:line="460" w:lineRule="exact"/>
        <w:ind w:firstLine="480"/>
        <w:rPr>
          <w:rFonts w:ascii="Times New Roman" w:cs="Times New Roman"/>
          <w:kern w:val="28"/>
        </w:rPr>
      </w:pPr>
      <w:r>
        <w:rPr>
          <w:rFonts w:hint="eastAsia" w:ascii="Times New Roman" w:cs="Times New Roman"/>
          <w:kern w:val="28"/>
        </w:rPr>
        <w:t>5、地下水环境影响预测结论</w:t>
      </w:r>
    </w:p>
    <w:p>
      <w:pPr>
        <w:pStyle w:val="499"/>
        <w:spacing w:line="460" w:lineRule="exact"/>
        <w:ind w:firstLine="480"/>
        <w:rPr>
          <w:rFonts w:ascii="Times New Roman" w:cs="Times New Roman"/>
          <w:kern w:val="28"/>
        </w:rPr>
      </w:pPr>
      <w:r>
        <w:rPr>
          <w:rFonts w:hint="eastAsia" w:ascii="Times New Roman" w:cs="Times New Roman"/>
          <w:kern w:val="28"/>
        </w:rPr>
        <w:t>项目建设在严格按照防渗要求加强环保措施后，正常情况下可最大限度将污染物与地下水隔离，有效预防污（废）水的无序扩散，造成地下水污染的可能性小，对下游地下水水质的影响不大。</w:t>
      </w:r>
    </w:p>
    <w:p>
      <w:pPr>
        <w:pStyle w:val="499"/>
        <w:spacing w:line="460" w:lineRule="exact"/>
        <w:ind w:firstLine="480"/>
        <w:rPr>
          <w:rFonts w:ascii="Times New Roman" w:cs="Times New Roman"/>
          <w:kern w:val="28"/>
        </w:rPr>
      </w:pPr>
      <w:r>
        <w:rPr>
          <w:rFonts w:hint="eastAsia" w:ascii="Times New Roman" w:cs="Times New Roman"/>
          <w:kern w:val="28"/>
        </w:rPr>
        <w:t>项目在非正常情况下，因事故导致污水渗漏，污（废）水将通过上覆土层的孔隙或下伏基岩的孔隙及裂隙缓慢入渗补给地下水（渗漏污染方向与地下水的径流方向一致），进一步污染场区至下游地段的地下水水质。</w:t>
      </w:r>
    </w:p>
    <w:p>
      <w:pPr>
        <w:pStyle w:val="499"/>
        <w:spacing w:line="460" w:lineRule="exact"/>
        <w:ind w:firstLine="480"/>
        <w:rPr>
          <w:rFonts w:ascii="Times New Roman" w:cs="Times New Roman"/>
          <w:kern w:val="28"/>
        </w:rPr>
      </w:pPr>
      <w:r>
        <w:rPr>
          <w:rFonts w:hint="eastAsia" w:ascii="Times New Roman" w:cs="Times New Roman"/>
          <w:kern w:val="28"/>
        </w:rPr>
        <w:t>根据预测结果，污水泄漏将对地下水环境造成一定影响。预测因子的中心浓度均随着地下水的稀释而逐渐降低，说明在预测时段内，污染物对环境的影响随着时间推移而减弱，后被地下水稀释自净，但需要的时间很长，故地下水一旦污染，其恢复能力很差。</w:t>
      </w:r>
    </w:p>
    <w:p>
      <w:pPr>
        <w:pStyle w:val="499"/>
        <w:spacing w:line="460" w:lineRule="exact"/>
        <w:ind w:firstLine="480"/>
        <w:rPr>
          <w:rFonts w:ascii="Times New Roman" w:cs="Times New Roman"/>
          <w:kern w:val="28"/>
        </w:rPr>
      </w:pPr>
      <w:r>
        <w:rPr>
          <w:rFonts w:hint="eastAsia" w:ascii="Times New Roman" w:cs="Times New Roman"/>
          <w:kern w:val="28"/>
        </w:rPr>
        <w:t>考虑到地下水污染具有高度隐蔽性，难发现，难治理，要求建设单位重视地下水污染，从源头上做好控制，确保各污水处理设施防渗设施安全正常运营，加强管理和检查，确保不发生泄漏。在发生意外泄露的情况下，要在泄露初期及时控制污染物向下游进行运移扩散，综合采取水动力控制、抽采或阻隔等方法，在污染物进一步运移扩散前将其控制、处理，避免对下游地下水造成污染影响。此外，建设单位需严格落实环境监测计划，密切关注地下水环境质量变化情况，制定相关应急预案，将事故对地下水环境造成的影响最大限度降低。</w:t>
      </w:r>
    </w:p>
    <w:p>
      <w:pPr>
        <w:pStyle w:val="499"/>
        <w:spacing w:line="460" w:lineRule="exact"/>
        <w:ind w:firstLine="480"/>
        <w:rPr>
          <w:rFonts w:ascii="Times New Roman" w:hAnsi="Times New Roman" w:eastAsia="宋体" w:cs="Times New Roman"/>
          <w:kern w:val="28"/>
        </w:rPr>
      </w:pP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6.2.3运营期声环境影响预测与分析评价</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1、噪声声源及源强分析</w:t>
      </w:r>
    </w:p>
    <w:p>
      <w:pPr>
        <w:pStyle w:val="499"/>
        <w:spacing w:line="460" w:lineRule="exact"/>
        <w:ind w:firstLine="480"/>
        <w:rPr>
          <w:rFonts w:ascii="Times New Roman" w:hAnsi="Times New Roman" w:eastAsia="宋体" w:cs="Times New Roman"/>
          <w:kern w:val="28"/>
        </w:rPr>
      </w:pPr>
      <w:r>
        <w:rPr>
          <w:rFonts w:hint="eastAsia" w:ascii="Times New Roman" w:hAnsi="Times New Roman" w:eastAsia="宋体" w:cs="Times New Roman"/>
          <w:kern w:val="28"/>
        </w:rPr>
        <w:t>拟建项目产噪设备主要为清洗机、破碎机、造粒机、挤塑机等生产设备产生的噪声，声级为</w:t>
      </w:r>
      <w:r>
        <w:rPr>
          <w:rFonts w:ascii="Times New Roman" w:hAnsi="Times New Roman" w:eastAsia="宋体" w:cs="Times New Roman"/>
          <w:kern w:val="28"/>
        </w:rPr>
        <w:t>65</w:t>
      </w:r>
      <w:r>
        <w:rPr>
          <w:rFonts w:hint="eastAsia" w:ascii="Times New Roman" w:hAnsi="Times New Roman" w:eastAsia="宋体" w:cs="Times New Roman"/>
          <w:kern w:val="28"/>
        </w:rPr>
        <w:t>～</w:t>
      </w:r>
      <w:r>
        <w:rPr>
          <w:rFonts w:ascii="Times New Roman" w:hAnsi="Times New Roman" w:eastAsia="宋体" w:cs="Times New Roman"/>
          <w:kern w:val="28"/>
        </w:rPr>
        <w:t>90dB(A)</w:t>
      </w:r>
      <w:r>
        <w:rPr>
          <w:rFonts w:hint="eastAsia" w:ascii="Times New Roman" w:hAnsi="Times New Roman" w:eastAsia="宋体" w:cs="Times New Roman"/>
          <w:kern w:val="28"/>
        </w:rPr>
        <w:t>。针对噪声源的特点，通过在设备机座与基础之间设橡胶隔振垫、厂房隔声等措施降噪隔声后，可减低噪声</w:t>
      </w:r>
      <w:r>
        <w:rPr>
          <w:rFonts w:ascii="Times New Roman" w:hAnsi="Times New Roman" w:eastAsia="宋体" w:cs="Times New Roman"/>
          <w:kern w:val="28"/>
        </w:rPr>
        <w:t>10dB</w:t>
      </w:r>
      <w:r>
        <w:rPr>
          <w:rFonts w:hint="eastAsia" w:ascii="Times New Roman" w:hAnsi="Times New Roman" w:eastAsia="宋体" w:cs="Times New Roman"/>
          <w:kern w:val="28"/>
        </w:rPr>
        <w:t>（</w:t>
      </w:r>
      <w:r>
        <w:rPr>
          <w:rFonts w:ascii="Times New Roman" w:hAnsi="Times New Roman" w:eastAsia="宋体" w:cs="Times New Roman"/>
          <w:kern w:val="28"/>
        </w:rPr>
        <w:t>A</w:t>
      </w:r>
      <w:r>
        <w:rPr>
          <w:rFonts w:hint="eastAsia" w:ascii="Times New Roman" w:hAnsi="Times New Roman" w:eastAsia="宋体" w:cs="Times New Roman"/>
          <w:kern w:val="28"/>
        </w:rPr>
        <w:t>），其中风机采取设置消音器、基础减震措施，可减低噪声</w:t>
      </w:r>
      <w:r>
        <w:rPr>
          <w:rFonts w:ascii="Times New Roman" w:hAnsi="Times New Roman" w:eastAsia="宋体" w:cs="Times New Roman"/>
          <w:kern w:val="28"/>
        </w:rPr>
        <w:t>1</w:t>
      </w:r>
      <w:r>
        <w:rPr>
          <w:rFonts w:hint="eastAsia" w:ascii="Times New Roman" w:hAnsi="Times New Roman" w:eastAsia="宋体" w:cs="Times New Roman"/>
          <w:kern w:val="28"/>
        </w:rPr>
        <w:t>0</w:t>
      </w:r>
      <w:r>
        <w:rPr>
          <w:rFonts w:ascii="Times New Roman" w:hAnsi="Times New Roman" w:eastAsia="宋体" w:cs="Times New Roman"/>
          <w:kern w:val="28"/>
        </w:rPr>
        <w:t>dB</w:t>
      </w:r>
      <w:r>
        <w:rPr>
          <w:rFonts w:hint="eastAsia" w:ascii="Times New Roman" w:hAnsi="Times New Roman" w:eastAsia="宋体" w:cs="Times New Roman"/>
          <w:kern w:val="28"/>
        </w:rPr>
        <w:t>（</w:t>
      </w:r>
      <w:r>
        <w:rPr>
          <w:rFonts w:ascii="Times New Roman" w:hAnsi="Times New Roman" w:eastAsia="宋体" w:cs="Times New Roman"/>
          <w:kern w:val="28"/>
        </w:rPr>
        <w:t>A</w:t>
      </w:r>
      <w:r>
        <w:rPr>
          <w:rFonts w:hint="eastAsia" w:ascii="Times New Roman" w:hAnsi="Times New Roman" w:eastAsia="宋体" w:cs="Times New Roman"/>
          <w:kern w:val="28"/>
        </w:rPr>
        <w:t>）。本评价采用噪声距离衰减模式，预测各厂界处及声环境敏感点处的噪声影响。</w:t>
      </w:r>
    </w:p>
    <w:p>
      <w:pPr>
        <w:pStyle w:val="499"/>
        <w:spacing w:line="460" w:lineRule="exact"/>
        <w:ind w:firstLine="480"/>
        <w:rPr>
          <w:rFonts w:ascii="Times New Roman" w:hAnsi="Times New Roman" w:cs="Times New Roman"/>
        </w:rPr>
      </w:pPr>
      <w:r>
        <w:rPr>
          <w:rFonts w:hint="eastAsia" w:ascii="Times New Roman" w:hAnsi="Times New Roman" w:cs="Times New Roman"/>
        </w:rPr>
        <w:t>主要噪声源强及治理措施见表4.4-8、表4.4-9。</w:t>
      </w:r>
    </w:p>
    <w:p>
      <w:pPr>
        <w:pStyle w:val="499"/>
        <w:spacing w:line="460" w:lineRule="exact"/>
        <w:ind w:firstLine="480"/>
        <w:rPr>
          <w:rFonts w:ascii="Times New Roman" w:hAnsi="Times New Roman" w:cs="Times New Roman"/>
        </w:rPr>
      </w:pPr>
      <w:r>
        <w:rPr>
          <w:rFonts w:hint="eastAsia" w:ascii="Times New Roman" w:hAnsi="Times New Roman" w:cs="Times New Roman"/>
        </w:rPr>
        <w:t>2、声环境影响预测与分析评价</w:t>
      </w:r>
    </w:p>
    <w:p>
      <w:pPr>
        <w:pStyle w:val="499"/>
        <w:spacing w:line="460" w:lineRule="exact"/>
        <w:ind w:firstLine="480"/>
        <w:rPr>
          <w:rFonts w:ascii="Times New Roman" w:hAnsi="Times New Roman" w:cs="Times New Roman"/>
        </w:rPr>
      </w:pPr>
      <w:r>
        <w:rPr>
          <w:rFonts w:hint="eastAsia" w:ascii="Times New Roman" w:hAnsi="Times New Roman" w:cs="Times New Roman"/>
        </w:rPr>
        <w:t>（1）预测模式选择</w:t>
      </w:r>
    </w:p>
    <w:p>
      <w:pPr>
        <w:pStyle w:val="499"/>
        <w:spacing w:line="460" w:lineRule="exact"/>
        <w:ind w:firstLine="480"/>
        <w:rPr>
          <w:rFonts w:ascii="Times New Roman" w:hAnsi="Times New Roman" w:eastAsia="宋体" w:cs="Times New Roman"/>
          <w:kern w:val="28"/>
        </w:rPr>
      </w:pPr>
      <w:r>
        <w:rPr>
          <w:rFonts w:ascii="Times New Roman" w:hAnsi="Times New Roman" w:eastAsia="宋体" w:cs="Times New Roman"/>
          <w:kern w:val="28"/>
        </w:rPr>
        <w:t>根据</w:t>
      </w:r>
      <w:bookmarkStart w:id="221" w:name="_Hlk162619399"/>
      <w:r>
        <w:rPr>
          <w:rFonts w:ascii="Times New Roman" w:hAnsi="Times New Roman" w:eastAsia="宋体" w:cs="Times New Roman"/>
          <w:kern w:val="28"/>
        </w:rPr>
        <w:t>《环境影响评价技术导则 声环境》（HJ 2.4-2021）</w:t>
      </w:r>
      <w:bookmarkEnd w:id="221"/>
      <w:r>
        <w:rPr>
          <w:rFonts w:ascii="Times New Roman" w:hAnsi="Times New Roman" w:eastAsia="宋体" w:cs="Times New Roman"/>
          <w:kern w:val="28"/>
        </w:rPr>
        <w:t>中的工业噪声预测模式。本次预测模式不考虑雨、雪、雾和温度梯度等因素，以保证未来实际噪声环境较预测结果优越。</w:t>
      </w:r>
    </w:p>
    <w:p>
      <w:pPr>
        <w:pStyle w:val="499"/>
        <w:spacing w:line="460" w:lineRule="exact"/>
        <w:ind w:firstLine="480"/>
        <w:rPr>
          <w:rFonts w:ascii="Times New Roman" w:hAnsi="Times New Roman" w:eastAsia="宋体" w:cs="Times New Roman"/>
          <w:kern w:val="28"/>
        </w:rPr>
      </w:pPr>
      <w:r>
        <w:rPr>
          <w:rFonts w:ascii="Times New Roman" w:hAnsi="Times New Roman" w:eastAsia="宋体" w:cs="Times New Roman"/>
          <w:kern w:val="28"/>
        </w:rPr>
        <w:t>计算某个室内声源在靠近围护结构处产生的倍频带声压级：</w:t>
      </w:r>
    </w:p>
    <w:p>
      <w:pPr>
        <w:widowControl/>
        <w:ind w:firstLine="480"/>
        <w:jc w:val="center"/>
        <w:rPr>
          <w:kern w:val="0"/>
        </w:rPr>
      </w:pPr>
      <w:r>
        <w:rPr>
          <w:kern w:val="0"/>
        </w:rPr>
        <w:drawing>
          <wp:inline distT="0" distB="0" distL="114300" distR="114300">
            <wp:extent cx="1943735" cy="485775"/>
            <wp:effectExtent l="0" t="0" r="18415" b="889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37"/>
                    <a:stretch>
                      <a:fillRect/>
                    </a:stretch>
                  </pic:blipFill>
                  <pic:spPr>
                    <a:xfrm>
                      <a:off x="0" y="0"/>
                      <a:ext cx="1943735" cy="485775"/>
                    </a:xfrm>
                    <a:prstGeom prst="rect">
                      <a:avLst/>
                    </a:prstGeom>
                    <a:noFill/>
                    <a:ln>
                      <a:noFill/>
                    </a:ln>
                  </pic:spPr>
                </pic:pic>
              </a:graphicData>
            </a:graphic>
          </wp:inline>
        </w:drawing>
      </w:r>
    </w:p>
    <w:p>
      <w:pPr>
        <w:widowControl/>
        <w:spacing w:line="460" w:lineRule="exact"/>
        <w:ind w:firstLine="480" w:firstLineChars="200"/>
        <w:rPr>
          <w:kern w:val="0"/>
          <w:sz w:val="24"/>
        </w:rPr>
      </w:pPr>
      <w:r>
        <w:rPr>
          <w:kern w:val="0"/>
          <w:sz w:val="24"/>
        </w:rPr>
        <w:t>式中：</w:t>
      </w:r>
      <w:r>
        <w:rPr>
          <w:kern w:val="0"/>
          <w:sz w:val="24"/>
        </w:rPr>
        <w:drawing>
          <wp:inline distT="0" distB="0" distL="114300" distR="114300">
            <wp:extent cx="314325" cy="238125"/>
            <wp:effectExtent l="0" t="0" r="9525" b="7620"/>
            <wp:docPr id="4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17"/>
                    <pic:cNvPicPr>
                      <a:picLocks noChangeAspect="1"/>
                    </pic:cNvPicPr>
                  </pic:nvPicPr>
                  <pic:blipFill>
                    <a:blip r:embed="rId38"/>
                    <a:stretch>
                      <a:fillRect/>
                    </a:stretch>
                  </pic:blipFill>
                  <pic:spPr>
                    <a:xfrm>
                      <a:off x="0" y="0"/>
                      <a:ext cx="314325" cy="238125"/>
                    </a:xfrm>
                    <a:prstGeom prst="rect">
                      <a:avLst/>
                    </a:prstGeom>
                    <a:noFill/>
                    <a:ln>
                      <a:noFill/>
                    </a:ln>
                  </pic:spPr>
                </pic:pic>
              </a:graphicData>
            </a:graphic>
          </wp:inline>
        </w:drawing>
      </w:r>
      <w:r>
        <w:rPr>
          <w:kern w:val="0"/>
          <w:sz w:val="24"/>
        </w:rPr>
        <w:t>—某个室内声源在靠近围护结构处产生的倍频带声压级，dB；</w:t>
      </w:r>
    </w:p>
    <w:p>
      <w:pPr>
        <w:widowControl/>
        <w:spacing w:line="460" w:lineRule="exact"/>
        <w:ind w:firstLine="1200" w:firstLineChars="500"/>
        <w:rPr>
          <w:kern w:val="0"/>
          <w:sz w:val="24"/>
        </w:rPr>
      </w:pPr>
      <w:r>
        <w:rPr>
          <w:kern w:val="0"/>
          <w:sz w:val="24"/>
        </w:rPr>
        <w:drawing>
          <wp:inline distT="0" distB="0" distL="114300" distR="114300">
            <wp:extent cx="314325" cy="228600"/>
            <wp:effectExtent l="0" t="0" r="9525" b="0"/>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39"/>
                    <a:stretch>
                      <a:fillRect/>
                    </a:stretch>
                  </pic:blipFill>
                  <pic:spPr>
                    <a:xfrm>
                      <a:off x="0" y="0"/>
                      <a:ext cx="314325" cy="228600"/>
                    </a:xfrm>
                    <a:prstGeom prst="rect">
                      <a:avLst/>
                    </a:prstGeom>
                    <a:noFill/>
                    <a:ln>
                      <a:noFill/>
                    </a:ln>
                  </pic:spPr>
                </pic:pic>
              </a:graphicData>
            </a:graphic>
          </wp:inline>
        </w:drawing>
      </w:r>
      <w:r>
        <w:rPr>
          <w:kern w:val="0"/>
          <w:sz w:val="24"/>
        </w:rPr>
        <w:t>—某个声源的倍频带声功率级，dB；</w:t>
      </w:r>
    </w:p>
    <w:p>
      <w:pPr>
        <w:widowControl/>
        <w:spacing w:line="460" w:lineRule="exact"/>
        <w:ind w:firstLine="1200" w:firstLineChars="500"/>
        <w:rPr>
          <w:kern w:val="0"/>
          <w:sz w:val="24"/>
        </w:rPr>
      </w:pPr>
      <w:r>
        <w:rPr>
          <w:kern w:val="0"/>
          <w:sz w:val="24"/>
        </w:rPr>
        <w:drawing>
          <wp:inline distT="0" distB="0" distL="114300" distR="114300">
            <wp:extent cx="123825" cy="219075"/>
            <wp:effectExtent l="0" t="0" r="9525" b="508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40"/>
                    <a:stretch>
                      <a:fillRect/>
                    </a:stretch>
                  </pic:blipFill>
                  <pic:spPr>
                    <a:xfrm>
                      <a:off x="0" y="0"/>
                      <a:ext cx="123825" cy="219075"/>
                    </a:xfrm>
                    <a:prstGeom prst="rect">
                      <a:avLst/>
                    </a:prstGeom>
                    <a:noFill/>
                    <a:ln>
                      <a:noFill/>
                    </a:ln>
                  </pic:spPr>
                </pic:pic>
              </a:graphicData>
            </a:graphic>
          </wp:inline>
        </w:drawing>
      </w:r>
      <w:r>
        <w:rPr>
          <w:kern w:val="0"/>
          <w:sz w:val="24"/>
        </w:rPr>
        <w:t>—室内某个声源与靠近围护结构处的距离，m；</w:t>
      </w:r>
    </w:p>
    <w:p>
      <w:pPr>
        <w:widowControl/>
        <w:spacing w:line="460" w:lineRule="exact"/>
        <w:ind w:firstLine="1200" w:firstLineChars="500"/>
        <w:rPr>
          <w:kern w:val="0"/>
          <w:sz w:val="24"/>
        </w:rPr>
      </w:pPr>
      <w:r>
        <w:rPr>
          <w:kern w:val="0"/>
          <w:sz w:val="24"/>
        </w:rPr>
        <w:drawing>
          <wp:inline distT="0" distB="0" distL="114300" distR="114300">
            <wp:extent cx="152400" cy="161925"/>
            <wp:effectExtent l="0" t="0" r="0" b="6350"/>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41"/>
                    <a:stretch>
                      <a:fillRect/>
                    </a:stretch>
                  </pic:blipFill>
                  <pic:spPr>
                    <a:xfrm>
                      <a:off x="0" y="0"/>
                      <a:ext cx="152400" cy="161925"/>
                    </a:xfrm>
                    <a:prstGeom prst="rect">
                      <a:avLst/>
                    </a:prstGeom>
                    <a:noFill/>
                    <a:ln>
                      <a:noFill/>
                    </a:ln>
                  </pic:spPr>
                </pic:pic>
              </a:graphicData>
            </a:graphic>
          </wp:inline>
        </w:drawing>
      </w:r>
      <w:r>
        <w:rPr>
          <w:kern w:val="0"/>
          <w:sz w:val="24"/>
        </w:rPr>
        <w:t>—房间常数，m</w:t>
      </w:r>
      <w:r>
        <w:rPr>
          <w:kern w:val="0"/>
          <w:sz w:val="24"/>
          <w:vertAlign w:val="superscript"/>
        </w:rPr>
        <w:t>2</w:t>
      </w:r>
      <w:r>
        <w:rPr>
          <w:kern w:val="0"/>
          <w:sz w:val="24"/>
        </w:rPr>
        <w:t>；</w:t>
      </w:r>
    </w:p>
    <w:p>
      <w:pPr>
        <w:widowControl/>
        <w:spacing w:line="460" w:lineRule="exact"/>
        <w:ind w:firstLine="1200" w:firstLineChars="500"/>
        <w:rPr>
          <w:kern w:val="0"/>
          <w:sz w:val="24"/>
        </w:rPr>
      </w:pPr>
      <w:r>
        <w:rPr>
          <w:kern w:val="0"/>
          <w:sz w:val="24"/>
        </w:rPr>
        <w:drawing>
          <wp:inline distT="0" distB="0" distL="114300" distR="114300">
            <wp:extent cx="152400" cy="200025"/>
            <wp:effectExtent l="0" t="0" r="0" b="6985"/>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42"/>
                    <a:stretch>
                      <a:fillRect/>
                    </a:stretch>
                  </pic:blipFill>
                  <pic:spPr>
                    <a:xfrm>
                      <a:off x="0" y="0"/>
                      <a:ext cx="152400" cy="200025"/>
                    </a:xfrm>
                    <a:prstGeom prst="rect">
                      <a:avLst/>
                    </a:prstGeom>
                    <a:noFill/>
                    <a:ln>
                      <a:noFill/>
                    </a:ln>
                  </pic:spPr>
                </pic:pic>
              </a:graphicData>
            </a:graphic>
          </wp:inline>
        </w:drawing>
      </w:r>
      <w:r>
        <w:rPr>
          <w:kern w:val="0"/>
          <w:sz w:val="24"/>
        </w:rPr>
        <w:t>—方向性因子。</w:t>
      </w:r>
    </w:p>
    <w:p>
      <w:pPr>
        <w:widowControl/>
        <w:spacing w:line="460" w:lineRule="exact"/>
        <w:ind w:firstLine="480" w:firstLineChars="200"/>
        <w:rPr>
          <w:kern w:val="0"/>
          <w:sz w:val="24"/>
        </w:rPr>
      </w:pPr>
      <w:r>
        <w:rPr>
          <w:kern w:val="0"/>
          <w:sz w:val="24"/>
        </w:rPr>
        <w:t>计算所有室内声源在靠近围护结构处产生的总倍频带声压级：</w:t>
      </w:r>
    </w:p>
    <w:p>
      <w:pPr>
        <w:widowControl/>
        <w:ind w:firstLine="480"/>
        <w:jc w:val="center"/>
        <w:rPr>
          <w:kern w:val="0"/>
        </w:rPr>
      </w:pPr>
      <w:r>
        <w:rPr>
          <w:kern w:val="0"/>
        </w:rPr>
        <w:drawing>
          <wp:inline distT="0" distB="0" distL="114300" distR="114300">
            <wp:extent cx="1818640" cy="457200"/>
            <wp:effectExtent l="0" t="0" r="10160" b="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43"/>
                    <a:stretch>
                      <a:fillRect/>
                    </a:stretch>
                  </pic:blipFill>
                  <pic:spPr>
                    <a:xfrm>
                      <a:off x="0" y="0"/>
                      <a:ext cx="1818640" cy="457200"/>
                    </a:xfrm>
                    <a:prstGeom prst="rect">
                      <a:avLst/>
                    </a:prstGeom>
                    <a:noFill/>
                    <a:ln>
                      <a:noFill/>
                    </a:ln>
                  </pic:spPr>
                </pic:pic>
              </a:graphicData>
            </a:graphic>
          </wp:inline>
        </w:drawing>
      </w:r>
    </w:p>
    <w:p>
      <w:pPr>
        <w:pStyle w:val="499"/>
        <w:spacing w:line="460" w:lineRule="exact"/>
        <w:ind w:firstLine="480"/>
        <w:rPr>
          <w:rFonts w:ascii="Times New Roman" w:hAnsi="Times New Roman" w:eastAsia="宋体" w:cs="Times New Roman"/>
          <w:kern w:val="28"/>
        </w:rPr>
      </w:pPr>
      <w:r>
        <w:rPr>
          <w:rFonts w:ascii="Times New Roman" w:hAnsi="Times New Roman" w:eastAsia="宋体" w:cs="Times New Roman"/>
          <w:kern w:val="28"/>
        </w:rPr>
        <w:t>计算室外靠近围护结构处的声压级：</w:t>
      </w:r>
    </w:p>
    <w:p>
      <w:pPr>
        <w:widowControl/>
        <w:ind w:firstLine="480"/>
        <w:jc w:val="center"/>
        <w:rPr>
          <w:kern w:val="0"/>
        </w:rPr>
      </w:pPr>
      <w:r>
        <w:rPr>
          <w:kern w:val="0"/>
        </w:rPr>
        <w:drawing>
          <wp:inline distT="0" distB="0" distL="114300" distR="114300">
            <wp:extent cx="1914525" cy="238125"/>
            <wp:effectExtent l="0" t="0" r="9525" b="9525"/>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44"/>
                    <a:stretch>
                      <a:fillRect/>
                    </a:stretch>
                  </pic:blipFill>
                  <pic:spPr>
                    <a:xfrm>
                      <a:off x="0" y="0"/>
                      <a:ext cx="1914525" cy="238125"/>
                    </a:xfrm>
                    <a:prstGeom prst="rect">
                      <a:avLst/>
                    </a:prstGeom>
                    <a:noFill/>
                    <a:ln>
                      <a:noFill/>
                    </a:ln>
                  </pic:spPr>
                </pic:pic>
              </a:graphicData>
            </a:graphic>
          </wp:inline>
        </w:drawing>
      </w:r>
    </w:p>
    <w:p>
      <w:pPr>
        <w:widowControl/>
        <w:spacing w:line="460" w:lineRule="exact"/>
        <w:ind w:firstLine="480" w:firstLineChars="200"/>
        <w:rPr>
          <w:kern w:val="0"/>
          <w:sz w:val="24"/>
        </w:rPr>
      </w:pPr>
      <w:r>
        <w:rPr>
          <w:kern w:val="0"/>
          <w:sz w:val="24"/>
        </w:rPr>
        <w:t>将室外声级</w:t>
      </w:r>
      <w:r>
        <w:rPr>
          <w:kern w:val="0"/>
          <w:sz w:val="24"/>
        </w:rPr>
        <w:drawing>
          <wp:inline distT="0" distB="0" distL="114300" distR="114300">
            <wp:extent cx="533400" cy="2381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533400" cy="238125"/>
                    </a:xfrm>
                    <a:prstGeom prst="rect">
                      <a:avLst/>
                    </a:prstGeom>
                    <a:noFill/>
                    <a:ln>
                      <a:noFill/>
                    </a:ln>
                  </pic:spPr>
                </pic:pic>
              </a:graphicData>
            </a:graphic>
          </wp:inline>
        </w:drawing>
      </w:r>
      <w:r>
        <w:rPr>
          <w:kern w:val="0"/>
          <w:sz w:val="24"/>
        </w:rPr>
        <w:t>和透声面积换算成等效的室外声源，计算等效声源第i个倍频带的声功率级</w:t>
      </w:r>
      <w:r>
        <w:rPr>
          <w:kern w:val="0"/>
          <w:sz w:val="24"/>
        </w:rPr>
        <w:drawing>
          <wp:inline distT="0" distB="0" distL="114300" distR="114300">
            <wp:extent cx="314325" cy="228600"/>
            <wp:effectExtent l="0" t="0" r="9525" b="0"/>
            <wp:docPr id="4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25"/>
                    <pic:cNvPicPr>
                      <a:picLocks noChangeAspect="1"/>
                    </pic:cNvPicPr>
                  </pic:nvPicPr>
                  <pic:blipFill>
                    <a:blip r:embed="rId39"/>
                    <a:stretch>
                      <a:fillRect/>
                    </a:stretch>
                  </pic:blipFill>
                  <pic:spPr>
                    <a:xfrm>
                      <a:off x="0" y="0"/>
                      <a:ext cx="314325" cy="228600"/>
                    </a:xfrm>
                    <a:prstGeom prst="rect">
                      <a:avLst/>
                    </a:prstGeom>
                    <a:noFill/>
                    <a:ln>
                      <a:noFill/>
                    </a:ln>
                  </pic:spPr>
                </pic:pic>
              </a:graphicData>
            </a:graphic>
          </wp:inline>
        </w:drawing>
      </w:r>
      <w:r>
        <w:rPr>
          <w:kern w:val="0"/>
          <w:sz w:val="24"/>
        </w:rPr>
        <w:t>：</w:t>
      </w:r>
    </w:p>
    <w:p>
      <w:pPr>
        <w:widowControl/>
        <w:ind w:firstLine="480"/>
        <w:jc w:val="center"/>
        <w:rPr>
          <w:kern w:val="0"/>
        </w:rPr>
      </w:pPr>
      <w:r>
        <w:rPr>
          <w:kern w:val="0"/>
        </w:rPr>
        <w:drawing>
          <wp:inline distT="0" distB="0" distL="114300" distR="114300">
            <wp:extent cx="1515110" cy="238125"/>
            <wp:effectExtent l="0" t="0" r="0" b="9525"/>
            <wp:docPr id="4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26"/>
                    <pic:cNvPicPr>
                      <a:picLocks noChangeAspect="1"/>
                    </pic:cNvPicPr>
                  </pic:nvPicPr>
                  <pic:blipFill>
                    <a:blip r:embed="rId46"/>
                    <a:stretch>
                      <a:fillRect/>
                    </a:stretch>
                  </pic:blipFill>
                  <pic:spPr>
                    <a:xfrm>
                      <a:off x="0" y="0"/>
                      <a:ext cx="1515110" cy="238125"/>
                    </a:xfrm>
                    <a:prstGeom prst="rect">
                      <a:avLst/>
                    </a:prstGeom>
                    <a:noFill/>
                    <a:ln>
                      <a:noFill/>
                    </a:ln>
                  </pic:spPr>
                </pic:pic>
              </a:graphicData>
            </a:graphic>
          </wp:inline>
        </w:drawing>
      </w:r>
    </w:p>
    <w:p>
      <w:pPr>
        <w:widowControl/>
        <w:spacing w:line="460" w:lineRule="exact"/>
        <w:ind w:firstLine="480" w:firstLineChars="200"/>
        <w:rPr>
          <w:kern w:val="0"/>
          <w:sz w:val="24"/>
        </w:rPr>
      </w:pPr>
      <w:r>
        <w:rPr>
          <w:kern w:val="0"/>
          <w:sz w:val="24"/>
        </w:rPr>
        <w:t>式中：S—透声面积，m</w:t>
      </w:r>
      <w:r>
        <w:rPr>
          <w:kern w:val="0"/>
          <w:sz w:val="24"/>
          <w:vertAlign w:val="superscript"/>
        </w:rPr>
        <w:t>2</w:t>
      </w:r>
      <w:r>
        <w:rPr>
          <w:kern w:val="0"/>
          <w:sz w:val="24"/>
        </w:rPr>
        <w:t>。</w:t>
      </w:r>
    </w:p>
    <w:p>
      <w:pPr>
        <w:spacing w:line="460" w:lineRule="exact"/>
        <w:ind w:firstLine="480" w:firstLineChars="200"/>
        <w:rPr>
          <w:kern w:val="0"/>
          <w:sz w:val="24"/>
        </w:rPr>
      </w:pPr>
      <w:r>
        <w:rPr>
          <w:kern w:val="0"/>
          <w:sz w:val="24"/>
        </w:rPr>
        <w:t>等效室外声源的位置为围护结构的位置，其倍频带声功率级为</w:t>
      </w:r>
      <w:r>
        <w:rPr>
          <w:kern w:val="0"/>
          <w:sz w:val="24"/>
        </w:rPr>
        <w:drawing>
          <wp:inline distT="0" distB="0" distL="114300" distR="114300">
            <wp:extent cx="314325" cy="228600"/>
            <wp:effectExtent l="0" t="0" r="9525" b="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39"/>
                    <a:stretch>
                      <a:fillRect/>
                    </a:stretch>
                  </pic:blipFill>
                  <pic:spPr>
                    <a:xfrm>
                      <a:off x="0" y="0"/>
                      <a:ext cx="314325" cy="228600"/>
                    </a:xfrm>
                    <a:prstGeom prst="rect">
                      <a:avLst/>
                    </a:prstGeom>
                    <a:noFill/>
                    <a:ln>
                      <a:noFill/>
                    </a:ln>
                  </pic:spPr>
                </pic:pic>
              </a:graphicData>
            </a:graphic>
          </wp:inline>
        </w:drawing>
      </w:r>
      <w:r>
        <w:rPr>
          <w:kern w:val="0"/>
          <w:sz w:val="24"/>
        </w:rPr>
        <w:t>，由此按室外声源方法计算等效室外声源在预测点产生的声级。</w:t>
      </w:r>
    </w:p>
    <w:p>
      <w:pPr>
        <w:spacing w:line="460" w:lineRule="exact"/>
        <w:ind w:firstLine="480" w:firstLineChars="200"/>
        <w:rPr>
          <w:kern w:val="0"/>
          <w:sz w:val="24"/>
        </w:rPr>
      </w:pPr>
      <w:r>
        <w:rPr>
          <w:kern w:val="0"/>
          <w:sz w:val="24"/>
        </w:rPr>
        <w:t>计算某个室外声源在预测点产生的倍频带声压级：</w:t>
      </w:r>
    </w:p>
    <w:p>
      <w:pPr>
        <w:widowControl/>
        <w:ind w:firstLine="480"/>
        <w:jc w:val="center"/>
        <w:rPr>
          <w:kern w:val="0"/>
        </w:rPr>
      </w:pPr>
      <w:r>
        <w:rPr>
          <w:kern w:val="0"/>
        </w:rPr>
        <w:drawing>
          <wp:inline distT="0" distB="0" distL="114300" distR="114300">
            <wp:extent cx="2287270" cy="409575"/>
            <wp:effectExtent l="0" t="0" r="17780" b="825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47"/>
                    <a:stretch>
                      <a:fillRect/>
                    </a:stretch>
                  </pic:blipFill>
                  <pic:spPr>
                    <a:xfrm>
                      <a:off x="0" y="0"/>
                      <a:ext cx="2287270" cy="409575"/>
                    </a:xfrm>
                    <a:prstGeom prst="rect">
                      <a:avLst/>
                    </a:prstGeom>
                    <a:noFill/>
                    <a:ln>
                      <a:noFill/>
                    </a:ln>
                  </pic:spPr>
                </pic:pic>
              </a:graphicData>
            </a:graphic>
          </wp:inline>
        </w:drawing>
      </w:r>
    </w:p>
    <w:p>
      <w:pPr>
        <w:widowControl/>
        <w:spacing w:line="460" w:lineRule="exact"/>
        <w:ind w:firstLine="480" w:firstLineChars="200"/>
        <w:rPr>
          <w:kern w:val="0"/>
          <w:sz w:val="24"/>
        </w:rPr>
      </w:pPr>
      <w:r>
        <w:rPr>
          <w:kern w:val="0"/>
          <w:sz w:val="24"/>
        </w:rPr>
        <w:t>式中：</w:t>
      </w:r>
      <w:r>
        <w:rPr>
          <w:kern w:val="0"/>
          <w:sz w:val="24"/>
        </w:rPr>
        <w:drawing>
          <wp:inline distT="0" distB="0" distL="114300" distR="114300">
            <wp:extent cx="428625" cy="228600"/>
            <wp:effectExtent l="0" t="0" r="889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48"/>
                    <a:stretch>
                      <a:fillRect/>
                    </a:stretch>
                  </pic:blipFill>
                  <pic:spPr>
                    <a:xfrm>
                      <a:off x="0" y="0"/>
                      <a:ext cx="428625" cy="228600"/>
                    </a:xfrm>
                    <a:prstGeom prst="rect">
                      <a:avLst/>
                    </a:prstGeom>
                    <a:noFill/>
                    <a:ln>
                      <a:noFill/>
                    </a:ln>
                  </pic:spPr>
                </pic:pic>
              </a:graphicData>
            </a:graphic>
          </wp:inline>
        </w:drawing>
      </w:r>
      <w:r>
        <w:rPr>
          <w:kern w:val="0"/>
          <w:sz w:val="24"/>
        </w:rPr>
        <w:t>—点声源在预测点产生的倍频带声压级，dB；</w:t>
      </w:r>
    </w:p>
    <w:p>
      <w:pPr>
        <w:widowControl/>
        <w:spacing w:line="460" w:lineRule="exact"/>
        <w:ind w:firstLine="1200" w:firstLineChars="500"/>
        <w:rPr>
          <w:kern w:val="0"/>
          <w:sz w:val="24"/>
        </w:rPr>
      </w:pPr>
      <w:r>
        <w:rPr>
          <w:kern w:val="0"/>
          <w:sz w:val="24"/>
        </w:rPr>
        <w:drawing>
          <wp:inline distT="0" distB="0" distL="114300" distR="114300">
            <wp:extent cx="485775" cy="228600"/>
            <wp:effectExtent l="0" t="0" r="8890" b="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49"/>
                    <a:stretch>
                      <a:fillRect/>
                    </a:stretch>
                  </pic:blipFill>
                  <pic:spPr>
                    <a:xfrm>
                      <a:off x="0" y="0"/>
                      <a:ext cx="485775" cy="228600"/>
                    </a:xfrm>
                    <a:prstGeom prst="rect">
                      <a:avLst/>
                    </a:prstGeom>
                    <a:noFill/>
                    <a:ln>
                      <a:noFill/>
                    </a:ln>
                  </pic:spPr>
                </pic:pic>
              </a:graphicData>
            </a:graphic>
          </wp:inline>
        </w:drawing>
      </w:r>
      <w:r>
        <w:rPr>
          <w:kern w:val="0"/>
          <w:sz w:val="24"/>
        </w:rPr>
        <w:t>—参考位置</w:t>
      </w:r>
      <w:r>
        <w:rPr>
          <w:kern w:val="0"/>
          <w:sz w:val="24"/>
        </w:rPr>
        <w:drawing>
          <wp:inline distT="0" distB="0" distL="114300" distR="114300">
            <wp:extent cx="142875" cy="228600"/>
            <wp:effectExtent l="0" t="0" r="9525"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50"/>
                    <a:stretch>
                      <a:fillRect/>
                    </a:stretch>
                  </pic:blipFill>
                  <pic:spPr>
                    <a:xfrm>
                      <a:off x="0" y="0"/>
                      <a:ext cx="142875" cy="228600"/>
                    </a:xfrm>
                    <a:prstGeom prst="rect">
                      <a:avLst/>
                    </a:prstGeom>
                    <a:noFill/>
                    <a:ln>
                      <a:noFill/>
                    </a:ln>
                  </pic:spPr>
                </pic:pic>
              </a:graphicData>
            </a:graphic>
          </wp:inline>
        </w:drawing>
      </w:r>
      <w:r>
        <w:rPr>
          <w:kern w:val="0"/>
          <w:sz w:val="24"/>
        </w:rPr>
        <w:t>处的倍频带声压级，dB；</w:t>
      </w:r>
    </w:p>
    <w:p>
      <w:pPr>
        <w:widowControl/>
        <w:spacing w:line="460" w:lineRule="exact"/>
        <w:ind w:firstLine="1200" w:firstLineChars="500"/>
        <w:rPr>
          <w:kern w:val="0"/>
          <w:sz w:val="24"/>
        </w:rPr>
      </w:pPr>
      <w:r>
        <w:rPr>
          <w:kern w:val="0"/>
          <w:sz w:val="24"/>
        </w:rPr>
        <w:drawing>
          <wp:inline distT="0" distB="0" distL="114300" distR="114300">
            <wp:extent cx="114300" cy="123825"/>
            <wp:effectExtent l="0" t="0" r="0" b="571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51"/>
                    <a:stretch>
                      <a:fillRect/>
                    </a:stretch>
                  </pic:blipFill>
                  <pic:spPr>
                    <a:xfrm>
                      <a:off x="0" y="0"/>
                      <a:ext cx="114300" cy="123825"/>
                    </a:xfrm>
                    <a:prstGeom prst="rect">
                      <a:avLst/>
                    </a:prstGeom>
                    <a:noFill/>
                    <a:ln>
                      <a:noFill/>
                    </a:ln>
                  </pic:spPr>
                </pic:pic>
              </a:graphicData>
            </a:graphic>
          </wp:inline>
        </w:drawing>
      </w:r>
      <w:r>
        <w:rPr>
          <w:kern w:val="0"/>
          <w:sz w:val="24"/>
        </w:rPr>
        <w:t>—预测点距声源的距离，m；</w:t>
      </w:r>
    </w:p>
    <w:p>
      <w:pPr>
        <w:widowControl/>
        <w:spacing w:line="460" w:lineRule="exact"/>
        <w:ind w:firstLine="1200" w:firstLineChars="500"/>
        <w:rPr>
          <w:kern w:val="0"/>
          <w:sz w:val="24"/>
        </w:rPr>
      </w:pPr>
      <w:r>
        <w:rPr>
          <w:kern w:val="0"/>
          <w:sz w:val="24"/>
        </w:rPr>
        <w:drawing>
          <wp:inline distT="0" distB="0" distL="114300" distR="114300">
            <wp:extent cx="142875" cy="228600"/>
            <wp:effectExtent l="0" t="0" r="9525"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52"/>
                    <a:stretch>
                      <a:fillRect/>
                    </a:stretch>
                  </pic:blipFill>
                  <pic:spPr>
                    <a:xfrm>
                      <a:off x="0" y="0"/>
                      <a:ext cx="142875" cy="228600"/>
                    </a:xfrm>
                    <a:prstGeom prst="rect">
                      <a:avLst/>
                    </a:prstGeom>
                    <a:noFill/>
                    <a:ln>
                      <a:noFill/>
                    </a:ln>
                  </pic:spPr>
                </pic:pic>
              </a:graphicData>
            </a:graphic>
          </wp:inline>
        </w:drawing>
      </w:r>
      <w:r>
        <w:rPr>
          <w:kern w:val="0"/>
          <w:sz w:val="24"/>
        </w:rPr>
        <w:t>—参考位置距声源的距离，m；</w:t>
      </w:r>
    </w:p>
    <w:p>
      <w:pPr>
        <w:widowControl/>
        <w:spacing w:line="460" w:lineRule="exact"/>
        <w:ind w:firstLine="1200" w:firstLineChars="500"/>
        <w:rPr>
          <w:kern w:val="0"/>
          <w:sz w:val="24"/>
        </w:rPr>
      </w:pPr>
      <w:r>
        <w:rPr>
          <w:kern w:val="0"/>
          <w:sz w:val="24"/>
        </w:rPr>
        <w:drawing>
          <wp:inline distT="0" distB="0" distL="114300" distR="114300">
            <wp:extent cx="342900" cy="228600"/>
            <wp:effectExtent l="0" t="0" r="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53"/>
                    <a:stretch>
                      <a:fillRect/>
                    </a:stretch>
                  </pic:blipFill>
                  <pic:spPr>
                    <a:xfrm>
                      <a:off x="0" y="0"/>
                      <a:ext cx="342900" cy="228600"/>
                    </a:xfrm>
                    <a:prstGeom prst="rect">
                      <a:avLst/>
                    </a:prstGeom>
                    <a:noFill/>
                    <a:ln>
                      <a:noFill/>
                    </a:ln>
                  </pic:spPr>
                </pic:pic>
              </a:graphicData>
            </a:graphic>
          </wp:inline>
        </w:drawing>
      </w:r>
      <w:r>
        <w:rPr>
          <w:kern w:val="0"/>
          <w:sz w:val="24"/>
        </w:rPr>
        <w:t>—各种因素引起的衰减量，dB。</w:t>
      </w:r>
    </w:p>
    <w:p>
      <w:pPr>
        <w:widowControl/>
        <w:spacing w:line="460" w:lineRule="exact"/>
        <w:ind w:firstLine="480" w:firstLineChars="200"/>
        <w:rPr>
          <w:kern w:val="0"/>
          <w:sz w:val="24"/>
        </w:rPr>
      </w:pPr>
      <w:r>
        <w:rPr>
          <w:kern w:val="0"/>
          <w:sz w:val="24"/>
        </w:rPr>
        <w:t>如已知声源的倍频带声功率级</w:t>
      </w:r>
      <w:r>
        <w:rPr>
          <w:kern w:val="0"/>
          <w:sz w:val="24"/>
        </w:rPr>
        <w:drawing>
          <wp:inline distT="0" distB="0" distL="114300" distR="114300">
            <wp:extent cx="314325" cy="22860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39"/>
                    <a:stretch>
                      <a:fillRect/>
                    </a:stretch>
                  </pic:blipFill>
                  <pic:spPr>
                    <a:xfrm>
                      <a:off x="0" y="0"/>
                      <a:ext cx="314325" cy="228600"/>
                    </a:xfrm>
                    <a:prstGeom prst="rect">
                      <a:avLst/>
                    </a:prstGeom>
                    <a:noFill/>
                    <a:ln>
                      <a:noFill/>
                    </a:ln>
                  </pic:spPr>
                </pic:pic>
              </a:graphicData>
            </a:graphic>
          </wp:inline>
        </w:drawing>
      </w:r>
      <w:r>
        <w:rPr>
          <w:kern w:val="0"/>
          <w:sz w:val="24"/>
        </w:rPr>
        <w:t>，且声源可看作是位于地面上的，则</w:t>
      </w:r>
    </w:p>
    <w:p>
      <w:pPr>
        <w:widowControl/>
        <w:ind w:firstLine="480"/>
        <w:jc w:val="center"/>
        <w:rPr>
          <w:kern w:val="0"/>
        </w:rPr>
      </w:pPr>
      <w:r>
        <w:rPr>
          <w:kern w:val="0"/>
        </w:rPr>
        <w:drawing>
          <wp:inline distT="0" distB="0" distL="114300" distR="114300">
            <wp:extent cx="1704340" cy="228600"/>
            <wp:effectExtent l="0" t="0" r="10160" b="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54"/>
                    <a:stretch>
                      <a:fillRect/>
                    </a:stretch>
                  </pic:blipFill>
                  <pic:spPr>
                    <a:xfrm>
                      <a:off x="0" y="0"/>
                      <a:ext cx="1704340" cy="228600"/>
                    </a:xfrm>
                    <a:prstGeom prst="rect">
                      <a:avLst/>
                    </a:prstGeom>
                    <a:noFill/>
                    <a:ln>
                      <a:noFill/>
                    </a:ln>
                  </pic:spPr>
                </pic:pic>
              </a:graphicData>
            </a:graphic>
          </wp:inline>
        </w:drawing>
      </w:r>
    </w:p>
    <w:p>
      <w:pPr>
        <w:spacing w:line="460" w:lineRule="exact"/>
        <w:ind w:firstLine="480" w:firstLineChars="200"/>
        <w:rPr>
          <w:kern w:val="0"/>
          <w:sz w:val="24"/>
        </w:rPr>
      </w:pPr>
      <w:r>
        <w:rPr>
          <w:kern w:val="0"/>
          <w:sz w:val="24"/>
        </w:rPr>
        <w:t>由各倍频带声压级合成计算该声源产生的A声级</w:t>
      </w:r>
      <w:r>
        <w:rPr>
          <w:kern w:val="0"/>
          <w:sz w:val="24"/>
        </w:rPr>
        <w:drawing>
          <wp:inline distT="0" distB="0" distL="114300" distR="114300">
            <wp:extent cx="485775" cy="219075"/>
            <wp:effectExtent l="0" t="0" r="8890" b="9525"/>
            <wp:docPr id="4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37"/>
                    <pic:cNvPicPr>
                      <a:picLocks noChangeAspect="1"/>
                    </pic:cNvPicPr>
                  </pic:nvPicPr>
                  <pic:blipFill>
                    <a:blip r:embed="rId55"/>
                    <a:stretch>
                      <a:fillRect/>
                    </a:stretch>
                  </pic:blipFill>
                  <pic:spPr>
                    <a:xfrm>
                      <a:off x="0" y="0"/>
                      <a:ext cx="485775" cy="219075"/>
                    </a:xfrm>
                    <a:prstGeom prst="rect">
                      <a:avLst/>
                    </a:prstGeom>
                    <a:noFill/>
                    <a:ln>
                      <a:noFill/>
                    </a:ln>
                  </pic:spPr>
                </pic:pic>
              </a:graphicData>
            </a:graphic>
          </wp:inline>
        </w:drawing>
      </w:r>
      <w:r>
        <w:rPr>
          <w:kern w:val="0"/>
          <w:sz w:val="24"/>
        </w:rPr>
        <w:t>。</w:t>
      </w:r>
    </w:p>
    <w:p>
      <w:pPr>
        <w:spacing w:line="460" w:lineRule="exact"/>
        <w:ind w:firstLine="480" w:firstLineChars="200"/>
        <w:rPr>
          <w:kern w:val="0"/>
          <w:sz w:val="24"/>
        </w:rPr>
      </w:pPr>
      <w:r>
        <w:rPr>
          <w:kern w:val="0"/>
          <w:sz w:val="24"/>
        </w:rPr>
        <w:t>计算总声压级</w:t>
      </w:r>
    </w:p>
    <w:p>
      <w:pPr>
        <w:spacing w:line="460" w:lineRule="exact"/>
        <w:ind w:firstLine="480" w:firstLineChars="200"/>
        <w:rPr>
          <w:kern w:val="0"/>
          <w:sz w:val="24"/>
        </w:rPr>
      </w:pPr>
      <w:r>
        <w:rPr>
          <w:kern w:val="0"/>
          <w:sz w:val="24"/>
        </w:rPr>
        <w:t>设第i个室外声源在预测点产生的A声级为</w:t>
      </w:r>
      <w:r>
        <w:rPr>
          <w:kern w:val="0"/>
          <w:position w:val="-14"/>
          <w:sz w:val="24"/>
        </w:rPr>
        <w:drawing>
          <wp:inline distT="0" distB="0" distL="114300" distR="114300">
            <wp:extent cx="333375" cy="238125"/>
            <wp:effectExtent l="0" t="0" r="9525" b="762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56"/>
                    <a:stretch>
                      <a:fillRect/>
                    </a:stretch>
                  </pic:blipFill>
                  <pic:spPr>
                    <a:xfrm>
                      <a:off x="0" y="0"/>
                      <a:ext cx="333375" cy="238125"/>
                    </a:xfrm>
                    <a:prstGeom prst="rect">
                      <a:avLst/>
                    </a:prstGeom>
                    <a:noFill/>
                    <a:ln>
                      <a:noFill/>
                    </a:ln>
                  </pic:spPr>
                </pic:pic>
              </a:graphicData>
            </a:graphic>
          </wp:inline>
        </w:drawing>
      </w:r>
      <w:r>
        <w:rPr>
          <w:kern w:val="0"/>
          <w:sz w:val="24"/>
        </w:rPr>
        <w:t>，在</w:t>
      </w:r>
      <w:r>
        <w:rPr>
          <w:kern w:val="0"/>
          <w:sz w:val="24"/>
        </w:rPr>
        <w:drawing>
          <wp:inline distT="0" distB="0" distL="114300" distR="114300">
            <wp:extent cx="142875" cy="161925"/>
            <wp:effectExtent l="0" t="0" r="9525" b="635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57"/>
                    <a:stretch>
                      <a:fillRect/>
                    </a:stretch>
                  </pic:blipFill>
                  <pic:spPr>
                    <a:xfrm>
                      <a:off x="0" y="0"/>
                      <a:ext cx="142875" cy="161925"/>
                    </a:xfrm>
                    <a:prstGeom prst="rect">
                      <a:avLst/>
                    </a:prstGeom>
                    <a:noFill/>
                    <a:ln>
                      <a:noFill/>
                    </a:ln>
                  </pic:spPr>
                </pic:pic>
              </a:graphicData>
            </a:graphic>
          </wp:inline>
        </w:drawing>
      </w:r>
      <w:r>
        <w:rPr>
          <w:kern w:val="0"/>
          <w:sz w:val="24"/>
        </w:rPr>
        <w:t>时间内该声源工作时间为</w:t>
      </w:r>
      <w:r>
        <w:rPr>
          <w:kern w:val="0"/>
          <w:sz w:val="24"/>
        </w:rPr>
        <w:drawing>
          <wp:inline distT="0" distB="0" distL="114300" distR="114300">
            <wp:extent cx="219075" cy="238125"/>
            <wp:effectExtent l="0" t="0" r="9525" b="635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58"/>
                    <a:stretch>
                      <a:fillRect/>
                    </a:stretch>
                  </pic:blipFill>
                  <pic:spPr>
                    <a:xfrm>
                      <a:off x="0" y="0"/>
                      <a:ext cx="219075" cy="238125"/>
                    </a:xfrm>
                    <a:prstGeom prst="rect">
                      <a:avLst/>
                    </a:prstGeom>
                    <a:noFill/>
                    <a:ln>
                      <a:noFill/>
                    </a:ln>
                  </pic:spPr>
                </pic:pic>
              </a:graphicData>
            </a:graphic>
          </wp:inline>
        </w:drawing>
      </w:r>
      <w:r>
        <w:rPr>
          <w:kern w:val="0"/>
          <w:sz w:val="24"/>
        </w:rPr>
        <w:t>，第j个等效室外声源在预测点产生的A声级为</w:t>
      </w:r>
      <w:r>
        <w:rPr>
          <w:kern w:val="0"/>
          <w:sz w:val="24"/>
        </w:rPr>
        <w:drawing>
          <wp:inline distT="0" distB="0" distL="114300" distR="114300">
            <wp:extent cx="390525" cy="238125"/>
            <wp:effectExtent l="0" t="0" r="9525" b="762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59"/>
                    <a:stretch>
                      <a:fillRect/>
                    </a:stretch>
                  </pic:blipFill>
                  <pic:spPr>
                    <a:xfrm>
                      <a:off x="0" y="0"/>
                      <a:ext cx="390525" cy="238125"/>
                    </a:xfrm>
                    <a:prstGeom prst="rect">
                      <a:avLst/>
                    </a:prstGeom>
                    <a:noFill/>
                    <a:ln>
                      <a:noFill/>
                    </a:ln>
                  </pic:spPr>
                </pic:pic>
              </a:graphicData>
            </a:graphic>
          </wp:inline>
        </w:drawing>
      </w:r>
      <w:r>
        <w:rPr>
          <w:kern w:val="0"/>
          <w:sz w:val="24"/>
        </w:rPr>
        <w:t>，在</w:t>
      </w:r>
      <w:r>
        <w:rPr>
          <w:kern w:val="0"/>
          <w:sz w:val="24"/>
        </w:rPr>
        <w:drawing>
          <wp:inline distT="0" distB="0" distL="114300" distR="114300">
            <wp:extent cx="142875" cy="161925"/>
            <wp:effectExtent l="0" t="0" r="9525" b="635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57"/>
                    <a:stretch>
                      <a:fillRect/>
                    </a:stretch>
                  </pic:blipFill>
                  <pic:spPr>
                    <a:xfrm>
                      <a:off x="0" y="0"/>
                      <a:ext cx="142875" cy="161925"/>
                    </a:xfrm>
                    <a:prstGeom prst="rect">
                      <a:avLst/>
                    </a:prstGeom>
                    <a:noFill/>
                    <a:ln>
                      <a:noFill/>
                    </a:ln>
                  </pic:spPr>
                </pic:pic>
              </a:graphicData>
            </a:graphic>
          </wp:inline>
        </w:drawing>
      </w:r>
      <w:r>
        <w:rPr>
          <w:kern w:val="0"/>
          <w:sz w:val="24"/>
        </w:rPr>
        <w:t>时间内该声源工作时间为</w:t>
      </w:r>
      <w:r>
        <w:rPr>
          <w:kern w:val="0"/>
          <w:sz w:val="24"/>
        </w:rPr>
        <w:drawing>
          <wp:inline distT="0" distB="0" distL="114300" distR="114300">
            <wp:extent cx="295275" cy="238125"/>
            <wp:effectExtent l="0" t="0" r="9525" b="635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60"/>
                    <a:stretch>
                      <a:fillRect/>
                    </a:stretch>
                  </pic:blipFill>
                  <pic:spPr>
                    <a:xfrm>
                      <a:off x="0" y="0"/>
                      <a:ext cx="295275" cy="238125"/>
                    </a:xfrm>
                    <a:prstGeom prst="rect">
                      <a:avLst/>
                    </a:prstGeom>
                    <a:noFill/>
                    <a:ln>
                      <a:noFill/>
                    </a:ln>
                  </pic:spPr>
                </pic:pic>
              </a:graphicData>
            </a:graphic>
          </wp:inline>
        </w:drawing>
      </w:r>
      <w:r>
        <w:rPr>
          <w:kern w:val="0"/>
          <w:sz w:val="24"/>
        </w:rPr>
        <w:t>，则预测点的总等效声级为：</w:t>
      </w:r>
    </w:p>
    <w:p>
      <w:pPr>
        <w:widowControl/>
        <w:ind w:firstLine="480"/>
        <w:jc w:val="center"/>
        <w:rPr>
          <w:kern w:val="0"/>
        </w:rPr>
      </w:pPr>
      <w:r>
        <w:rPr>
          <w:kern w:val="0"/>
        </w:rPr>
        <w:drawing>
          <wp:inline distT="0" distB="0" distL="114300" distR="114300">
            <wp:extent cx="3276600" cy="485775"/>
            <wp:effectExtent l="0" t="0" r="0" b="889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61"/>
                    <a:stretch>
                      <a:fillRect/>
                    </a:stretch>
                  </pic:blipFill>
                  <pic:spPr>
                    <a:xfrm>
                      <a:off x="0" y="0"/>
                      <a:ext cx="3276600" cy="485775"/>
                    </a:xfrm>
                    <a:prstGeom prst="rect">
                      <a:avLst/>
                    </a:prstGeom>
                    <a:noFill/>
                    <a:ln>
                      <a:noFill/>
                    </a:ln>
                  </pic:spPr>
                </pic:pic>
              </a:graphicData>
            </a:graphic>
          </wp:inline>
        </w:drawing>
      </w:r>
    </w:p>
    <w:p>
      <w:pPr>
        <w:widowControl/>
        <w:spacing w:line="460" w:lineRule="exact"/>
        <w:ind w:firstLine="480" w:firstLineChars="200"/>
        <w:rPr>
          <w:kern w:val="0"/>
          <w:sz w:val="24"/>
        </w:rPr>
      </w:pPr>
      <w:r>
        <w:rPr>
          <w:kern w:val="0"/>
          <w:sz w:val="24"/>
        </w:rPr>
        <w:t>式中：</w:t>
      </w:r>
      <w:r>
        <w:rPr>
          <w:kern w:val="0"/>
          <w:sz w:val="24"/>
        </w:rPr>
        <w:drawing>
          <wp:inline distT="0" distB="0" distL="114300" distR="114300">
            <wp:extent cx="142875" cy="161925"/>
            <wp:effectExtent l="0" t="0" r="9525" b="635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57"/>
                    <a:stretch>
                      <a:fillRect/>
                    </a:stretch>
                  </pic:blipFill>
                  <pic:spPr>
                    <a:xfrm>
                      <a:off x="0" y="0"/>
                      <a:ext cx="142875" cy="161925"/>
                    </a:xfrm>
                    <a:prstGeom prst="rect">
                      <a:avLst/>
                    </a:prstGeom>
                    <a:noFill/>
                    <a:ln>
                      <a:noFill/>
                    </a:ln>
                  </pic:spPr>
                </pic:pic>
              </a:graphicData>
            </a:graphic>
          </wp:inline>
        </w:drawing>
      </w:r>
      <w:r>
        <w:rPr>
          <w:kern w:val="0"/>
          <w:sz w:val="24"/>
        </w:rPr>
        <w:t>—计算等效声级的时间，h；</w:t>
      </w:r>
    </w:p>
    <w:p>
      <w:pPr>
        <w:widowControl/>
        <w:spacing w:line="460" w:lineRule="exact"/>
        <w:ind w:firstLine="1200" w:firstLineChars="500"/>
        <w:rPr>
          <w:kern w:val="0"/>
          <w:sz w:val="24"/>
        </w:rPr>
      </w:pPr>
      <w:r>
        <w:rPr>
          <w:kern w:val="0"/>
          <w:sz w:val="24"/>
        </w:rPr>
        <w:drawing>
          <wp:inline distT="0" distB="0" distL="114300" distR="114300">
            <wp:extent cx="180975" cy="180975"/>
            <wp:effectExtent l="0" t="0" r="9525" b="889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62"/>
                    <a:stretch>
                      <a:fillRect/>
                    </a:stretch>
                  </pic:blipFill>
                  <pic:spPr>
                    <a:xfrm>
                      <a:off x="0" y="0"/>
                      <a:ext cx="180975" cy="180975"/>
                    </a:xfrm>
                    <a:prstGeom prst="rect">
                      <a:avLst/>
                    </a:prstGeom>
                    <a:noFill/>
                    <a:ln>
                      <a:noFill/>
                    </a:ln>
                  </pic:spPr>
                </pic:pic>
              </a:graphicData>
            </a:graphic>
          </wp:inline>
        </w:drawing>
      </w:r>
      <w:r>
        <w:rPr>
          <w:kern w:val="0"/>
          <w:sz w:val="24"/>
        </w:rPr>
        <w:t>—室外声源个数；</w:t>
      </w:r>
    </w:p>
    <w:p>
      <w:pPr>
        <w:pStyle w:val="499"/>
        <w:spacing w:line="460" w:lineRule="exact"/>
        <w:ind w:firstLine="1200" w:firstLineChars="500"/>
        <w:rPr>
          <w:rFonts w:ascii="Times New Roman" w:hAnsi="Times New Roman" w:cs="Times New Roman"/>
        </w:rPr>
      </w:pPr>
      <w:r>
        <w:rPr>
          <w:rFonts w:ascii="Times New Roman" w:hAnsi="Times New Roman" w:cs="Times New Roman"/>
          <w:kern w:val="0"/>
        </w:rPr>
        <w:drawing>
          <wp:inline distT="0" distB="0" distL="114300" distR="114300">
            <wp:extent cx="200025" cy="161925"/>
            <wp:effectExtent l="0" t="0" r="0" b="6350"/>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63"/>
                    <a:stretch>
                      <a:fillRect/>
                    </a:stretch>
                  </pic:blipFill>
                  <pic:spPr>
                    <a:xfrm>
                      <a:off x="0" y="0"/>
                      <a:ext cx="200025" cy="161925"/>
                    </a:xfrm>
                    <a:prstGeom prst="rect">
                      <a:avLst/>
                    </a:prstGeom>
                    <a:noFill/>
                    <a:ln>
                      <a:noFill/>
                    </a:ln>
                  </pic:spPr>
                </pic:pic>
              </a:graphicData>
            </a:graphic>
          </wp:inline>
        </w:drawing>
      </w:r>
      <w:r>
        <w:rPr>
          <w:rFonts w:ascii="Times New Roman" w:hAnsi="Times New Roman" w:cs="Times New Roman"/>
          <w:kern w:val="0"/>
        </w:rPr>
        <w:t>—等效室外声源个数。</w:t>
      </w:r>
    </w:p>
    <w:p>
      <w:pPr>
        <w:pStyle w:val="499"/>
        <w:spacing w:line="460" w:lineRule="exact"/>
        <w:ind w:firstLine="480"/>
        <w:rPr>
          <w:rFonts w:ascii="Times New Roman" w:hAnsi="Times New Roman" w:cs="Times New Roman"/>
        </w:rPr>
      </w:pPr>
      <w:r>
        <w:rPr>
          <w:rFonts w:ascii="Times New Roman" w:hAnsi="Times New Roman" w:cs="Times New Roman"/>
        </w:rPr>
        <w:t>（2）预测参数</w:t>
      </w:r>
    </w:p>
    <w:p>
      <w:pPr>
        <w:pStyle w:val="499"/>
        <w:spacing w:line="460" w:lineRule="exact"/>
        <w:ind w:firstLine="480"/>
        <w:rPr>
          <w:rFonts w:ascii="Times New Roman" w:hAnsi="Times New Roman" w:cs="Times New Roman"/>
        </w:rPr>
      </w:pPr>
      <w:r>
        <w:rPr>
          <w:rFonts w:ascii="Times New Roman" w:hAnsi="Times New Roman" w:cs="Times New Roman"/>
        </w:rPr>
        <w:t>项目噪声环境影响预测基础数据见表</w:t>
      </w:r>
      <w:r>
        <w:rPr>
          <w:rFonts w:hint="eastAsia" w:ascii="Times New Roman" w:hAnsi="Times New Roman" w:cs="Times New Roman"/>
        </w:rPr>
        <w:t>6.2-19</w:t>
      </w:r>
      <w:r>
        <w:rPr>
          <w:rFonts w:ascii="Times New Roman" w:hAnsi="Times New Roman" w:cs="Times New Roman"/>
        </w:rPr>
        <w:t>。</w:t>
      </w:r>
    </w:p>
    <w:p>
      <w:pPr>
        <w:ind w:firstLine="420" w:firstLineChars="200"/>
        <w:rPr>
          <w:rFonts w:hAnsi="黑体" w:eastAsia="黑体"/>
        </w:rPr>
      </w:pPr>
      <w:r>
        <w:rPr>
          <w:rFonts w:hAnsi="黑体"/>
          <w:bCs/>
        </w:rPr>
        <w:t xml:space="preserve">  </w:t>
      </w:r>
      <w:r>
        <w:rPr>
          <w:rFonts w:hint="eastAsia" w:hAnsi="黑体" w:eastAsia="黑体"/>
        </w:rPr>
        <w:t>表6.2-19</w:t>
      </w:r>
      <w:r>
        <w:rPr>
          <w:rFonts w:hAnsi="黑体" w:eastAsia="黑体"/>
        </w:rPr>
        <w:t xml:space="preserve">                 </w:t>
      </w:r>
      <w:r>
        <w:rPr>
          <w:rFonts w:hint="eastAsia" w:hAnsi="黑体" w:eastAsia="黑体"/>
        </w:rPr>
        <w:t>项目噪声环境影响预测基础数据表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4"/>
        <w:gridCol w:w="2765"/>
        <w:gridCol w:w="2109"/>
        <w:gridCol w:w="21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2" w:type="pct"/>
            <w:vAlign w:val="center"/>
          </w:tcPr>
          <w:p>
            <w:pPr>
              <w:jc w:val="center"/>
              <w:rPr>
                <w:szCs w:val="21"/>
              </w:rPr>
            </w:pPr>
            <w:r>
              <w:rPr>
                <w:szCs w:val="21"/>
              </w:rPr>
              <w:t>序号</w:t>
            </w:r>
          </w:p>
        </w:tc>
        <w:tc>
          <w:tcPr>
            <w:tcW w:w="1639" w:type="pct"/>
            <w:vAlign w:val="center"/>
          </w:tcPr>
          <w:p>
            <w:pPr>
              <w:jc w:val="center"/>
              <w:rPr>
                <w:szCs w:val="21"/>
              </w:rPr>
            </w:pPr>
            <w:r>
              <w:rPr>
                <w:szCs w:val="21"/>
              </w:rPr>
              <w:t>名称</w:t>
            </w:r>
          </w:p>
        </w:tc>
        <w:tc>
          <w:tcPr>
            <w:tcW w:w="1250" w:type="pct"/>
            <w:vAlign w:val="center"/>
          </w:tcPr>
          <w:p>
            <w:pPr>
              <w:jc w:val="center"/>
              <w:rPr>
                <w:szCs w:val="21"/>
              </w:rPr>
            </w:pPr>
            <w:r>
              <w:rPr>
                <w:szCs w:val="21"/>
              </w:rPr>
              <w:t>单位</w:t>
            </w:r>
          </w:p>
        </w:tc>
        <w:tc>
          <w:tcPr>
            <w:tcW w:w="1249" w:type="pct"/>
            <w:vAlign w:val="center"/>
          </w:tcPr>
          <w:p>
            <w:pPr>
              <w:jc w:val="center"/>
              <w:rPr>
                <w:szCs w:val="21"/>
              </w:rPr>
            </w:pPr>
            <w:r>
              <w:rPr>
                <w:szCs w:val="21"/>
              </w:rPr>
              <w:t>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862" w:type="pct"/>
            <w:shd w:val="clear" w:color="auto" w:fill="FFFFFF"/>
            <w:vAlign w:val="center"/>
          </w:tcPr>
          <w:p>
            <w:pPr>
              <w:jc w:val="center"/>
              <w:rPr>
                <w:szCs w:val="21"/>
              </w:rPr>
            </w:pPr>
            <w:r>
              <w:rPr>
                <w:szCs w:val="21"/>
              </w:rPr>
              <w:t>1</w:t>
            </w:r>
          </w:p>
        </w:tc>
        <w:tc>
          <w:tcPr>
            <w:tcW w:w="1639" w:type="pct"/>
            <w:shd w:val="clear" w:color="auto" w:fill="FFFFFF"/>
            <w:vAlign w:val="center"/>
          </w:tcPr>
          <w:p>
            <w:pPr>
              <w:jc w:val="center"/>
              <w:rPr>
                <w:szCs w:val="21"/>
              </w:rPr>
            </w:pPr>
            <w:r>
              <w:rPr>
                <w:szCs w:val="21"/>
              </w:rPr>
              <w:t>年平均风速</w:t>
            </w:r>
          </w:p>
        </w:tc>
        <w:tc>
          <w:tcPr>
            <w:tcW w:w="1250" w:type="pct"/>
            <w:shd w:val="clear" w:color="auto" w:fill="FFFFFF"/>
            <w:vAlign w:val="center"/>
          </w:tcPr>
          <w:p>
            <w:pPr>
              <w:jc w:val="center"/>
              <w:rPr>
                <w:szCs w:val="21"/>
              </w:rPr>
            </w:pPr>
            <w:r>
              <w:rPr>
                <w:szCs w:val="21"/>
              </w:rPr>
              <w:t>m/s</w:t>
            </w:r>
          </w:p>
        </w:tc>
        <w:tc>
          <w:tcPr>
            <w:tcW w:w="1249" w:type="pct"/>
            <w:shd w:val="clear" w:color="auto" w:fill="FFFFFF"/>
            <w:vAlign w:val="center"/>
          </w:tcPr>
          <w:p>
            <w:pPr>
              <w:jc w:val="center"/>
              <w:rPr>
                <w:szCs w:val="21"/>
              </w:rPr>
            </w:pPr>
            <w:r>
              <w:rPr>
                <w:rFonts w:hint="eastAsia"/>
                <w:szCs w:val="21"/>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862" w:type="pct"/>
            <w:shd w:val="clear" w:color="auto" w:fill="FFFFFF"/>
            <w:vAlign w:val="center"/>
          </w:tcPr>
          <w:p>
            <w:pPr>
              <w:jc w:val="center"/>
              <w:rPr>
                <w:szCs w:val="21"/>
              </w:rPr>
            </w:pPr>
            <w:r>
              <w:rPr>
                <w:szCs w:val="21"/>
              </w:rPr>
              <w:t>2</w:t>
            </w:r>
          </w:p>
        </w:tc>
        <w:tc>
          <w:tcPr>
            <w:tcW w:w="1639" w:type="pct"/>
            <w:shd w:val="clear" w:color="auto" w:fill="FFFFFF"/>
            <w:vAlign w:val="center"/>
          </w:tcPr>
          <w:p>
            <w:pPr>
              <w:jc w:val="center"/>
              <w:rPr>
                <w:szCs w:val="21"/>
              </w:rPr>
            </w:pPr>
            <w:r>
              <w:rPr>
                <w:szCs w:val="21"/>
              </w:rPr>
              <w:t>主导风向</w:t>
            </w:r>
          </w:p>
        </w:tc>
        <w:tc>
          <w:tcPr>
            <w:tcW w:w="1250" w:type="pct"/>
            <w:shd w:val="clear" w:color="auto" w:fill="FFFFFF"/>
            <w:vAlign w:val="center"/>
          </w:tcPr>
          <w:p>
            <w:pPr>
              <w:jc w:val="center"/>
              <w:rPr>
                <w:szCs w:val="21"/>
              </w:rPr>
            </w:pPr>
            <w:r>
              <w:rPr>
                <w:szCs w:val="21"/>
              </w:rPr>
              <w:t>/</w:t>
            </w:r>
          </w:p>
        </w:tc>
        <w:tc>
          <w:tcPr>
            <w:tcW w:w="1249" w:type="pct"/>
            <w:shd w:val="clear" w:color="auto" w:fill="FFFFFF"/>
            <w:vAlign w:val="center"/>
          </w:tcPr>
          <w:p>
            <w:pPr>
              <w:jc w:val="center"/>
              <w:rPr>
                <w:szCs w:val="21"/>
              </w:rPr>
            </w:pPr>
            <w:r>
              <w:rPr>
                <w:szCs w:val="21"/>
              </w:rPr>
              <w:t>西南风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862" w:type="pct"/>
            <w:shd w:val="clear" w:color="auto" w:fill="FFFFFF"/>
            <w:vAlign w:val="center"/>
          </w:tcPr>
          <w:p>
            <w:pPr>
              <w:jc w:val="center"/>
              <w:rPr>
                <w:szCs w:val="21"/>
              </w:rPr>
            </w:pPr>
            <w:r>
              <w:rPr>
                <w:szCs w:val="21"/>
              </w:rPr>
              <w:t>3</w:t>
            </w:r>
          </w:p>
        </w:tc>
        <w:tc>
          <w:tcPr>
            <w:tcW w:w="1639" w:type="pct"/>
            <w:shd w:val="clear" w:color="auto" w:fill="FFFFFF"/>
            <w:vAlign w:val="center"/>
          </w:tcPr>
          <w:p>
            <w:pPr>
              <w:jc w:val="center"/>
              <w:rPr>
                <w:szCs w:val="21"/>
              </w:rPr>
            </w:pPr>
            <w:r>
              <w:rPr>
                <w:szCs w:val="21"/>
              </w:rPr>
              <w:t>年平均气温</w:t>
            </w:r>
          </w:p>
        </w:tc>
        <w:tc>
          <w:tcPr>
            <w:tcW w:w="1250" w:type="pct"/>
            <w:shd w:val="clear" w:color="auto" w:fill="FFFFFF"/>
            <w:vAlign w:val="center"/>
          </w:tcPr>
          <w:p>
            <w:pPr>
              <w:jc w:val="center"/>
              <w:rPr>
                <w:szCs w:val="21"/>
              </w:rPr>
            </w:pPr>
            <w:r>
              <w:rPr>
                <w:rFonts w:hint="eastAsia"/>
                <w:szCs w:val="21"/>
              </w:rPr>
              <w:t>℃</w:t>
            </w:r>
          </w:p>
        </w:tc>
        <w:tc>
          <w:tcPr>
            <w:tcW w:w="1249" w:type="pct"/>
            <w:shd w:val="clear" w:color="auto" w:fill="FFFFFF"/>
            <w:vAlign w:val="center"/>
          </w:tcPr>
          <w:p>
            <w:pPr>
              <w:jc w:val="center"/>
              <w:rPr>
                <w:szCs w:val="21"/>
              </w:rPr>
            </w:pPr>
            <w:r>
              <w:rPr>
                <w:rFonts w:hint="eastAsia"/>
                <w:szCs w:val="21"/>
              </w:rPr>
              <w:t>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862" w:type="pct"/>
            <w:shd w:val="clear" w:color="auto" w:fill="FFFFFF"/>
            <w:vAlign w:val="center"/>
          </w:tcPr>
          <w:p>
            <w:pPr>
              <w:jc w:val="center"/>
              <w:rPr>
                <w:szCs w:val="21"/>
              </w:rPr>
            </w:pPr>
            <w:r>
              <w:rPr>
                <w:szCs w:val="21"/>
              </w:rPr>
              <w:t>4</w:t>
            </w:r>
          </w:p>
        </w:tc>
        <w:tc>
          <w:tcPr>
            <w:tcW w:w="1639" w:type="pct"/>
            <w:shd w:val="clear" w:color="auto" w:fill="FFFFFF"/>
            <w:vAlign w:val="center"/>
          </w:tcPr>
          <w:p>
            <w:pPr>
              <w:jc w:val="center"/>
              <w:rPr>
                <w:szCs w:val="21"/>
              </w:rPr>
            </w:pPr>
            <w:r>
              <w:rPr>
                <w:szCs w:val="21"/>
              </w:rPr>
              <w:t>年平均相对湿度</w:t>
            </w:r>
          </w:p>
        </w:tc>
        <w:tc>
          <w:tcPr>
            <w:tcW w:w="1250" w:type="pct"/>
            <w:shd w:val="clear" w:color="auto" w:fill="FFFFFF"/>
            <w:vAlign w:val="center"/>
          </w:tcPr>
          <w:p>
            <w:pPr>
              <w:jc w:val="center"/>
              <w:rPr>
                <w:szCs w:val="21"/>
              </w:rPr>
            </w:pPr>
            <w:r>
              <w:rPr>
                <w:szCs w:val="21"/>
              </w:rPr>
              <w:t>%</w:t>
            </w:r>
          </w:p>
        </w:tc>
        <w:tc>
          <w:tcPr>
            <w:tcW w:w="1249" w:type="pct"/>
            <w:shd w:val="clear" w:color="auto" w:fill="FFFFFF"/>
            <w:vAlign w:val="center"/>
          </w:tcPr>
          <w:p>
            <w:pPr>
              <w:jc w:val="center"/>
              <w:rPr>
                <w:szCs w:val="21"/>
              </w:rPr>
            </w:pPr>
            <w:r>
              <w:rPr>
                <w:rFonts w:hint="eastAsia"/>
                <w:szCs w:val="21"/>
              </w:rPr>
              <w:t>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862" w:type="pct"/>
            <w:shd w:val="clear" w:color="auto" w:fill="FFFFFF"/>
            <w:vAlign w:val="center"/>
          </w:tcPr>
          <w:p>
            <w:pPr>
              <w:jc w:val="center"/>
              <w:rPr>
                <w:szCs w:val="21"/>
              </w:rPr>
            </w:pPr>
            <w:r>
              <w:rPr>
                <w:szCs w:val="21"/>
              </w:rPr>
              <w:t>5</w:t>
            </w:r>
          </w:p>
        </w:tc>
        <w:tc>
          <w:tcPr>
            <w:tcW w:w="1639" w:type="pct"/>
            <w:shd w:val="clear" w:color="auto" w:fill="FFFFFF"/>
            <w:vAlign w:val="center"/>
          </w:tcPr>
          <w:p>
            <w:pPr>
              <w:jc w:val="center"/>
              <w:rPr>
                <w:szCs w:val="21"/>
              </w:rPr>
            </w:pPr>
            <w:r>
              <w:rPr>
                <w:szCs w:val="21"/>
              </w:rPr>
              <w:t>大气压强</w:t>
            </w:r>
          </w:p>
        </w:tc>
        <w:tc>
          <w:tcPr>
            <w:tcW w:w="1250" w:type="pct"/>
            <w:shd w:val="clear" w:color="auto" w:fill="FFFFFF"/>
            <w:vAlign w:val="center"/>
          </w:tcPr>
          <w:p>
            <w:pPr>
              <w:jc w:val="center"/>
              <w:rPr>
                <w:szCs w:val="21"/>
              </w:rPr>
            </w:pPr>
            <w:r>
              <w:rPr>
                <w:szCs w:val="21"/>
              </w:rPr>
              <w:t>atm</w:t>
            </w:r>
          </w:p>
        </w:tc>
        <w:tc>
          <w:tcPr>
            <w:tcW w:w="1249" w:type="pct"/>
            <w:shd w:val="clear" w:color="auto" w:fill="FFFFFF"/>
            <w:vAlign w:val="center"/>
          </w:tcPr>
          <w:p>
            <w:pPr>
              <w:jc w:val="center"/>
              <w:rPr>
                <w:szCs w:val="21"/>
              </w:rPr>
            </w:pPr>
            <w:r>
              <w:rPr>
                <w:szCs w:val="21"/>
              </w:rPr>
              <w:t>1</w:t>
            </w:r>
          </w:p>
        </w:tc>
      </w:tr>
    </w:tbl>
    <w:p>
      <w:pPr>
        <w:pStyle w:val="499"/>
        <w:spacing w:line="460" w:lineRule="exact"/>
        <w:ind w:firstLine="48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）预测内容</w:t>
      </w:r>
    </w:p>
    <w:p>
      <w:pPr>
        <w:pStyle w:val="499"/>
        <w:spacing w:line="460" w:lineRule="exact"/>
        <w:ind w:firstLine="480"/>
        <w:rPr>
          <w:rFonts w:ascii="Times New Roman" w:hAnsi="Times New Roman" w:cs="Times New Roman"/>
        </w:rPr>
      </w:pPr>
      <w:r>
        <w:rPr>
          <w:rFonts w:ascii="Times New Roman" w:hAnsi="Times New Roman" w:cs="Times New Roman"/>
        </w:rPr>
        <w:t>项目厂界四周200m范围之内没有声环境敏感目标。本环评将预测本项目各生产设备噪声源对厂界外1m处声环境的最大贡献值。</w:t>
      </w:r>
    </w:p>
    <w:p>
      <w:pPr>
        <w:pStyle w:val="499"/>
        <w:spacing w:line="460" w:lineRule="exact"/>
        <w:ind w:firstLine="480"/>
        <w:rPr>
          <w:rFonts w:ascii="Times New Roman" w:hAnsi="Times New Roman" w:cs="Times New Roman"/>
        </w:rPr>
      </w:pPr>
      <w:r>
        <w:rPr>
          <w:rFonts w:hint="eastAsia" w:ascii="Times New Roman" w:hAnsi="Times New Roman" w:cs="Times New Roman"/>
        </w:rPr>
        <w:t>（4）预测结果</w:t>
      </w:r>
    </w:p>
    <w:p>
      <w:pPr>
        <w:pStyle w:val="499"/>
        <w:spacing w:line="460" w:lineRule="exact"/>
        <w:ind w:firstLine="480"/>
        <w:rPr>
          <w:rFonts w:ascii="Times New Roman" w:hAnsi="Times New Roman" w:cs="Times New Roman"/>
        </w:rPr>
      </w:pPr>
      <w:r>
        <w:rPr>
          <w:rFonts w:hint="eastAsia" w:ascii="Times New Roman" w:hAnsi="Times New Roman" w:cs="Times New Roman"/>
        </w:rPr>
        <w:t>根据对声环境现状监测的结果，叠加本项目建成后对周围环境的贡献值，预测结果见表6.2-19。</w:t>
      </w:r>
    </w:p>
    <w:p>
      <w:pPr>
        <w:ind w:firstLine="420" w:firstLineChars="200"/>
        <w:rPr>
          <w:rFonts w:hAnsi="黑体" w:eastAsia="黑体"/>
        </w:rPr>
      </w:pPr>
      <w:r>
        <w:rPr>
          <w:rFonts w:hint="eastAsia" w:hAnsi="黑体" w:eastAsia="黑体"/>
        </w:rPr>
        <w:t>表6.2-19              项目声环境叠加预测结果一览表        单位：dB（A）</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742"/>
        <w:gridCol w:w="1985"/>
        <w:gridCol w:w="2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3" w:type="dxa"/>
            <w:gridSpan w:val="2"/>
            <w:vAlign w:val="center"/>
          </w:tcPr>
          <w:p>
            <w:pPr>
              <w:jc w:val="center"/>
              <w:rPr>
                <w:kern w:val="2"/>
                <w:sz w:val="21"/>
                <w:szCs w:val="21"/>
              </w:rPr>
            </w:pPr>
            <w:r>
              <w:rPr>
                <w:rFonts w:hint="eastAsia"/>
                <w:kern w:val="2"/>
                <w:sz w:val="21"/>
                <w:szCs w:val="21"/>
              </w:rPr>
              <w:t>监测点</w:t>
            </w:r>
          </w:p>
        </w:tc>
        <w:tc>
          <w:tcPr>
            <w:tcW w:w="1985" w:type="dxa"/>
            <w:vAlign w:val="center"/>
          </w:tcPr>
          <w:p>
            <w:pPr>
              <w:jc w:val="center"/>
              <w:rPr>
                <w:kern w:val="2"/>
                <w:sz w:val="21"/>
                <w:szCs w:val="21"/>
              </w:rPr>
            </w:pPr>
            <w:r>
              <w:rPr>
                <w:rFonts w:hint="eastAsia"/>
                <w:kern w:val="2"/>
                <w:sz w:val="21"/>
                <w:szCs w:val="21"/>
              </w:rPr>
              <w:t>最大贡献值</w:t>
            </w:r>
          </w:p>
        </w:tc>
        <w:tc>
          <w:tcPr>
            <w:tcW w:w="2543" w:type="dxa"/>
            <w:vAlign w:val="center"/>
          </w:tcPr>
          <w:p>
            <w:pPr>
              <w:jc w:val="center"/>
              <w:rPr>
                <w:kern w:val="2"/>
                <w:sz w:val="21"/>
                <w:szCs w:val="21"/>
              </w:rPr>
            </w:pPr>
            <w:r>
              <w:rPr>
                <w:rFonts w:hint="eastAsia"/>
                <w:kern w:val="2"/>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restart"/>
            <w:vAlign w:val="center"/>
          </w:tcPr>
          <w:p>
            <w:pPr>
              <w:jc w:val="center"/>
              <w:rPr>
                <w:kern w:val="2"/>
                <w:sz w:val="21"/>
                <w:szCs w:val="21"/>
              </w:rPr>
            </w:pPr>
            <w:r>
              <w:rPr>
                <w:kern w:val="2"/>
                <w:sz w:val="21"/>
                <w:szCs w:val="21"/>
              </w:rPr>
              <w:t>项目区</w:t>
            </w:r>
            <w:r>
              <w:rPr>
                <w:rFonts w:hint="eastAsia"/>
                <w:kern w:val="2"/>
                <w:sz w:val="21"/>
                <w:szCs w:val="21"/>
              </w:rPr>
              <w:t>东侧</w:t>
            </w:r>
          </w:p>
        </w:tc>
        <w:tc>
          <w:tcPr>
            <w:tcW w:w="1742" w:type="dxa"/>
            <w:vAlign w:val="center"/>
          </w:tcPr>
          <w:p>
            <w:pPr>
              <w:jc w:val="center"/>
              <w:rPr>
                <w:kern w:val="2"/>
                <w:sz w:val="21"/>
                <w:szCs w:val="21"/>
              </w:rPr>
            </w:pPr>
            <w:r>
              <w:rPr>
                <w:rFonts w:hint="eastAsia"/>
                <w:kern w:val="2"/>
                <w:sz w:val="21"/>
                <w:szCs w:val="21"/>
              </w:rPr>
              <w:t>昼间</w:t>
            </w:r>
          </w:p>
        </w:tc>
        <w:tc>
          <w:tcPr>
            <w:tcW w:w="1985" w:type="dxa"/>
            <w:vMerge w:val="restart"/>
            <w:vAlign w:val="center"/>
          </w:tcPr>
          <w:p>
            <w:pPr>
              <w:jc w:val="center"/>
              <w:rPr>
                <w:kern w:val="2"/>
                <w:sz w:val="21"/>
                <w:szCs w:val="21"/>
              </w:rPr>
            </w:pPr>
            <w:r>
              <w:rPr>
                <w:rFonts w:hint="eastAsia"/>
                <w:kern w:val="2"/>
                <w:sz w:val="21"/>
                <w:szCs w:val="21"/>
              </w:rPr>
              <w:t>39</w:t>
            </w:r>
          </w:p>
        </w:tc>
        <w:tc>
          <w:tcPr>
            <w:tcW w:w="2543" w:type="dxa"/>
            <w:vMerge w:val="restart"/>
            <w:vAlign w:val="center"/>
          </w:tcPr>
          <w:p>
            <w:pPr>
              <w:jc w:val="center"/>
              <w:rPr>
                <w:kern w:val="2"/>
                <w:sz w:val="21"/>
                <w:szCs w:val="21"/>
              </w:rPr>
            </w:pPr>
            <w:r>
              <w:rPr>
                <w:rFonts w:hint="eastAsia"/>
                <w:kern w:val="2"/>
                <w:sz w:val="21"/>
                <w:szCs w:val="21"/>
              </w:rPr>
              <w:t>《工业企业厂界环境噪声排放标准》（</w:t>
            </w:r>
            <w:r>
              <w:rPr>
                <w:kern w:val="2"/>
                <w:sz w:val="21"/>
                <w:szCs w:val="21"/>
              </w:rPr>
              <w:t>GB12348-2008</w:t>
            </w:r>
            <w:r>
              <w:rPr>
                <w:rFonts w:hint="eastAsia"/>
                <w:kern w:val="2"/>
                <w:sz w:val="21"/>
                <w:szCs w:val="21"/>
              </w:rPr>
              <w:t>）中3类标准：昼间</w:t>
            </w:r>
            <w:r>
              <w:rPr>
                <w:kern w:val="2"/>
                <w:sz w:val="21"/>
                <w:szCs w:val="21"/>
              </w:rPr>
              <w:t>6</w:t>
            </w:r>
            <w:r>
              <w:rPr>
                <w:rFonts w:hint="eastAsia"/>
                <w:kern w:val="2"/>
                <w:sz w:val="21"/>
                <w:szCs w:val="21"/>
              </w:rPr>
              <w:t>5</w:t>
            </w:r>
            <w:r>
              <w:rPr>
                <w:kern w:val="2"/>
                <w:sz w:val="21"/>
                <w:szCs w:val="21"/>
              </w:rPr>
              <w:t>dB</w:t>
            </w:r>
            <w:r>
              <w:rPr>
                <w:rFonts w:hint="eastAsia"/>
                <w:kern w:val="2"/>
                <w:sz w:val="21"/>
                <w:szCs w:val="21"/>
              </w:rPr>
              <w:t>（</w:t>
            </w:r>
            <w:r>
              <w:rPr>
                <w:kern w:val="2"/>
                <w:sz w:val="21"/>
                <w:szCs w:val="21"/>
              </w:rPr>
              <w:t>A</w:t>
            </w:r>
            <w:r>
              <w:rPr>
                <w:rFonts w:hint="eastAsia"/>
                <w:kern w:val="2"/>
                <w:sz w:val="21"/>
                <w:szCs w:val="21"/>
              </w:rPr>
              <w:t>）、夜间</w:t>
            </w:r>
            <w:r>
              <w:rPr>
                <w:kern w:val="2"/>
                <w:sz w:val="21"/>
                <w:szCs w:val="21"/>
              </w:rPr>
              <w:t>5</w:t>
            </w:r>
            <w:r>
              <w:rPr>
                <w:rFonts w:hint="eastAsia"/>
                <w:kern w:val="2"/>
                <w:sz w:val="21"/>
                <w:szCs w:val="21"/>
              </w:rPr>
              <w:t>5</w:t>
            </w:r>
            <w:r>
              <w:rPr>
                <w:kern w:val="2"/>
                <w:sz w:val="21"/>
                <w:szCs w:val="21"/>
              </w:rPr>
              <w:t>dB</w:t>
            </w:r>
            <w:r>
              <w:rPr>
                <w:rFonts w:hint="eastAsia"/>
                <w:kern w:val="2"/>
                <w:sz w:val="21"/>
                <w:szCs w:val="21"/>
              </w:rPr>
              <w:t>（</w:t>
            </w:r>
            <w:r>
              <w:rPr>
                <w:kern w:val="2"/>
                <w:sz w:val="21"/>
                <w:szCs w:val="21"/>
              </w:rPr>
              <w:t>A</w:t>
            </w:r>
            <w:r>
              <w:rPr>
                <w:rFonts w:hint="eastAsia"/>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continue"/>
            <w:vAlign w:val="center"/>
          </w:tcPr>
          <w:p>
            <w:pPr>
              <w:jc w:val="center"/>
              <w:rPr>
                <w:kern w:val="2"/>
                <w:sz w:val="21"/>
                <w:szCs w:val="21"/>
              </w:rPr>
            </w:pPr>
          </w:p>
        </w:tc>
        <w:tc>
          <w:tcPr>
            <w:tcW w:w="1742" w:type="dxa"/>
            <w:vAlign w:val="center"/>
          </w:tcPr>
          <w:p>
            <w:pPr>
              <w:jc w:val="center"/>
              <w:rPr>
                <w:kern w:val="2"/>
                <w:sz w:val="21"/>
                <w:szCs w:val="21"/>
              </w:rPr>
            </w:pPr>
            <w:r>
              <w:rPr>
                <w:rFonts w:hint="eastAsia"/>
                <w:kern w:val="2"/>
                <w:sz w:val="21"/>
                <w:szCs w:val="21"/>
              </w:rPr>
              <w:t>夜间</w:t>
            </w:r>
          </w:p>
        </w:tc>
        <w:tc>
          <w:tcPr>
            <w:tcW w:w="1985" w:type="dxa"/>
            <w:vMerge w:val="continue"/>
            <w:vAlign w:val="center"/>
          </w:tcPr>
          <w:p>
            <w:pPr>
              <w:jc w:val="center"/>
              <w:rPr>
                <w:kern w:val="2"/>
                <w:sz w:val="21"/>
                <w:szCs w:val="21"/>
              </w:rPr>
            </w:pP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restart"/>
            <w:vAlign w:val="center"/>
          </w:tcPr>
          <w:p>
            <w:pPr>
              <w:jc w:val="center"/>
              <w:rPr>
                <w:kern w:val="2"/>
                <w:sz w:val="21"/>
                <w:szCs w:val="21"/>
              </w:rPr>
            </w:pPr>
            <w:r>
              <w:rPr>
                <w:kern w:val="2"/>
                <w:sz w:val="21"/>
                <w:szCs w:val="21"/>
              </w:rPr>
              <w:t>项目区</w:t>
            </w:r>
            <w:r>
              <w:rPr>
                <w:rFonts w:hint="eastAsia"/>
                <w:kern w:val="2"/>
                <w:sz w:val="21"/>
                <w:szCs w:val="21"/>
              </w:rPr>
              <w:t>南侧</w:t>
            </w:r>
          </w:p>
        </w:tc>
        <w:tc>
          <w:tcPr>
            <w:tcW w:w="1742" w:type="dxa"/>
            <w:vAlign w:val="center"/>
          </w:tcPr>
          <w:p>
            <w:pPr>
              <w:jc w:val="center"/>
              <w:rPr>
                <w:kern w:val="2"/>
                <w:sz w:val="21"/>
                <w:szCs w:val="21"/>
              </w:rPr>
            </w:pPr>
            <w:r>
              <w:rPr>
                <w:rFonts w:hint="eastAsia"/>
                <w:kern w:val="2"/>
                <w:sz w:val="21"/>
                <w:szCs w:val="21"/>
              </w:rPr>
              <w:t>昼间</w:t>
            </w:r>
          </w:p>
        </w:tc>
        <w:tc>
          <w:tcPr>
            <w:tcW w:w="1985" w:type="dxa"/>
            <w:vMerge w:val="restart"/>
            <w:vAlign w:val="center"/>
          </w:tcPr>
          <w:p>
            <w:pPr>
              <w:jc w:val="center"/>
              <w:rPr>
                <w:kern w:val="2"/>
                <w:sz w:val="21"/>
                <w:szCs w:val="21"/>
              </w:rPr>
            </w:pPr>
            <w:r>
              <w:rPr>
                <w:rFonts w:hint="eastAsia"/>
                <w:kern w:val="2"/>
                <w:sz w:val="21"/>
                <w:szCs w:val="21"/>
              </w:rPr>
              <w:t>51</w:t>
            </w: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continue"/>
            <w:vAlign w:val="center"/>
          </w:tcPr>
          <w:p>
            <w:pPr>
              <w:jc w:val="center"/>
              <w:rPr>
                <w:kern w:val="2"/>
                <w:sz w:val="21"/>
                <w:szCs w:val="21"/>
              </w:rPr>
            </w:pPr>
          </w:p>
        </w:tc>
        <w:tc>
          <w:tcPr>
            <w:tcW w:w="1742" w:type="dxa"/>
            <w:vAlign w:val="center"/>
          </w:tcPr>
          <w:p>
            <w:pPr>
              <w:jc w:val="center"/>
              <w:rPr>
                <w:kern w:val="2"/>
                <w:sz w:val="21"/>
                <w:szCs w:val="21"/>
              </w:rPr>
            </w:pPr>
            <w:r>
              <w:rPr>
                <w:rFonts w:hint="eastAsia"/>
                <w:kern w:val="2"/>
                <w:sz w:val="21"/>
                <w:szCs w:val="21"/>
              </w:rPr>
              <w:t>夜间</w:t>
            </w:r>
          </w:p>
        </w:tc>
        <w:tc>
          <w:tcPr>
            <w:tcW w:w="1985" w:type="dxa"/>
            <w:vMerge w:val="continue"/>
            <w:vAlign w:val="center"/>
          </w:tcPr>
          <w:p>
            <w:pPr>
              <w:jc w:val="center"/>
              <w:rPr>
                <w:kern w:val="2"/>
                <w:sz w:val="21"/>
                <w:szCs w:val="21"/>
              </w:rPr>
            </w:pP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restart"/>
            <w:vAlign w:val="center"/>
          </w:tcPr>
          <w:p>
            <w:pPr>
              <w:jc w:val="center"/>
              <w:rPr>
                <w:kern w:val="2"/>
                <w:sz w:val="21"/>
                <w:szCs w:val="21"/>
              </w:rPr>
            </w:pPr>
            <w:r>
              <w:rPr>
                <w:kern w:val="2"/>
                <w:sz w:val="21"/>
                <w:szCs w:val="21"/>
              </w:rPr>
              <w:t>项目区</w:t>
            </w:r>
            <w:r>
              <w:rPr>
                <w:rFonts w:hint="eastAsia"/>
                <w:kern w:val="2"/>
                <w:sz w:val="21"/>
                <w:szCs w:val="21"/>
              </w:rPr>
              <w:t>西侧</w:t>
            </w:r>
          </w:p>
        </w:tc>
        <w:tc>
          <w:tcPr>
            <w:tcW w:w="1742" w:type="dxa"/>
            <w:vAlign w:val="center"/>
          </w:tcPr>
          <w:p>
            <w:pPr>
              <w:jc w:val="center"/>
              <w:rPr>
                <w:kern w:val="2"/>
                <w:sz w:val="21"/>
                <w:szCs w:val="21"/>
              </w:rPr>
            </w:pPr>
            <w:r>
              <w:rPr>
                <w:rFonts w:hint="eastAsia"/>
                <w:kern w:val="2"/>
                <w:sz w:val="21"/>
                <w:szCs w:val="21"/>
              </w:rPr>
              <w:t>昼间</w:t>
            </w:r>
          </w:p>
        </w:tc>
        <w:tc>
          <w:tcPr>
            <w:tcW w:w="1985" w:type="dxa"/>
            <w:vMerge w:val="restart"/>
            <w:vAlign w:val="center"/>
          </w:tcPr>
          <w:p>
            <w:pPr>
              <w:jc w:val="center"/>
              <w:rPr>
                <w:kern w:val="2"/>
                <w:sz w:val="21"/>
                <w:szCs w:val="21"/>
              </w:rPr>
            </w:pPr>
            <w:r>
              <w:rPr>
                <w:rFonts w:hint="eastAsia"/>
                <w:kern w:val="2"/>
                <w:sz w:val="21"/>
                <w:szCs w:val="21"/>
              </w:rPr>
              <w:t>32</w:t>
            </w: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continue"/>
            <w:vAlign w:val="center"/>
          </w:tcPr>
          <w:p>
            <w:pPr>
              <w:jc w:val="center"/>
              <w:rPr>
                <w:kern w:val="2"/>
                <w:sz w:val="21"/>
                <w:szCs w:val="21"/>
              </w:rPr>
            </w:pPr>
          </w:p>
        </w:tc>
        <w:tc>
          <w:tcPr>
            <w:tcW w:w="1742" w:type="dxa"/>
            <w:vAlign w:val="center"/>
          </w:tcPr>
          <w:p>
            <w:pPr>
              <w:jc w:val="center"/>
              <w:rPr>
                <w:kern w:val="2"/>
                <w:sz w:val="21"/>
                <w:szCs w:val="21"/>
              </w:rPr>
            </w:pPr>
            <w:r>
              <w:rPr>
                <w:rFonts w:hint="eastAsia"/>
                <w:kern w:val="2"/>
                <w:sz w:val="21"/>
                <w:szCs w:val="21"/>
              </w:rPr>
              <w:t>夜间</w:t>
            </w:r>
          </w:p>
        </w:tc>
        <w:tc>
          <w:tcPr>
            <w:tcW w:w="1985" w:type="dxa"/>
            <w:vMerge w:val="continue"/>
            <w:vAlign w:val="center"/>
          </w:tcPr>
          <w:p>
            <w:pPr>
              <w:jc w:val="center"/>
              <w:rPr>
                <w:kern w:val="2"/>
                <w:sz w:val="21"/>
                <w:szCs w:val="21"/>
              </w:rPr>
            </w:pP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restart"/>
            <w:vAlign w:val="center"/>
          </w:tcPr>
          <w:p>
            <w:pPr>
              <w:jc w:val="center"/>
              <w:rPr>
                <w:kern w:val="2"/>
                <w:sz w:val="21"/>
                <w:szCs w:val="21"/>
              </w:rPr>
            </w:pPr>
            <w:r>
              <w:rPr>
                <w:kern w:val="2"/>
                <w:sz w:val="21"/>
                <w:szCs w:val="21"/>
              </w:rPr>
              <w:t>项目区</w:t>
            </w:r>
            <w:r>
              <w:rPr>
                <w:rFonts w:hint="eastAsia"/>
                <w:kern w:val="2"/>
                <w:sz w:val="21"/>
                <w:szCs w:val="21"/>
              </w:rPr>
              <w:t>北侧</w:t>
            </w:r>
          </w:p>
        </w:tc>
        <w:tc>
          <w:tcPr>
            <w:tcW w:w="1742" w:type="dxa"/>
            <w:vAlign w:val="center"/>
          </w:tcPr>
          <w:p>
            <w:pPr>
              <w:jc w:val="center"/>
              <w:rPr>
                <w:kern w:val="2"/>
                <w:sz w:val="21"/>
                <w:szCs w:val="21"/>
              </w:rPr>
            </w:pPr>
            <w:r>
              <w:rPr>
                <w:rFonts w:hint="eastAsia"/>
                <w:kern w:val="2"/>
                <w:sz w:val="21"/>
                <w:szCs w:val="21"/>
              </w:rPr>
              <w:t>昼间</w:t>
            </w:r>
          </w:p>
        </w:tc>
        <w:tc>
          <w:tcPr>
            <w:tcW w:w="1985" w:type="dxa"/>
            <w:vMerge w:val="restart"/>
            <w:vAlign w:val="center"/>
          </w:tcPr>
          <w:p>
            <w:pPr>
              <w:jc w:val="center"/>
              <w:rPr>
                <w:kern w:val="2"/>
                <w:sz w:val="21"/>
                <w:szCs w:val="21"/>
              </w:rPr>
            </w:pPr>
            <w:r>
              <w:rPr>
                <w:rFonts w:hint="eastAsia"/>
                <w:kern w:val="2"/>
                <w:sz w:val="21"/>
                <w:szCs w:val="21"/>
              </w:rPr>
              <w:t>48</w:t>
            </w:r>
          </w:p>
        </w:tc>
        <w:tc>
          <w:tcPr>
            <w:tcW w:w="2543" w:type="dxa"/>
            <w:vMerge w:val="continue"/>
            <w:vAlign w:val="center"/>
          </w:tcPr>
          <w:p>
            <w:pPr>
              <w:jc w:val="center"/>
              <w:rPr>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Merge w:val="continue"/>
            <w:vAlign w:val="center"/>
          </w:tcPr>
          <w:p>
            <w:pPr>
              <w:jc w:val="center"/>
              <w:rPr>
                <w:kern w:val="0"/>
                <w:sz w:val="21"/>
                <w:szCs w:val="21"/>
              </w:rPr>
            </w:pPr>
          </w:p>
        </w:tc>
        <w:tc>
          <w:tcPr>
            <w:tcW w:w="1742" w:type="dxa"/>
            <w:vAlign w:val="center"/>
          </w:tcPr>
          <w:p>
            <w:pPr>
              <w:jc w:val="center"/>
              <w:rPr>
                <w:kern w:val="2"/>
                <w:sz w:val="21"/>
                <w:szCs w:val="21"/>
              </w:rPr>
            </w:pPr>
            <w:r>
              <w:rPr>
                <w:rFonts w:hint="eastAsia"/>
                <w:kern w:val="2"/>
                <w:sz w:val="21"/>
                <w:szCs w:val="21"/>
              </w:rPr>
              <w:t>夜间</w:t>
            </w:r>
          </w:p>
        </w:tc>
        <w:tc>
          <w:tcPr>
            <w:tcW w:w="1985" w:type="dxa"/>
            <w:vMerge w:val="continue"/>
            <w:vAlign w:val="center"/>
          </w:tcPr>
          <w:p>
            <w:pPr>
              <w:jc w:val="center"/>
              <w:rPr>
                <w:kern w:val="0"/>
                <w:sz w:val="21"/>
                <w:szCs w:val="21"/>
              </w:rPr>
            </w:pPr>
          </w:p>
        </w:tc>
        <w:tc>
          <w:tcPr>
            <w:tcW w:w="2543" w:type="dxa"/>
            <w:vMerge w:val="continue"/>
            <w:vAlign w:val="center"/>
          </w:tcPr>
          <w:p>
            <w:pPr>
              <w:jc w:val="center"/>
              <w:rPr>
                <w:kern w:val="0"/>
                <w:sz w:val="21"/>
                <w:szCs w:val="21"/>
              </w:rPr>
            </w:pPr>
          </w:p>
        </w:tc>
      </w:tr>
    </w:tbl>
    <w:p>
      <w:pPr>
        <w:pStyle w:val="499"/>
        <w:spacing w:line="460" w:lineRule="exact"/>
        <w:ind w:firstLine="480"/>
        <w:rPr>
          <w:rFonts w:ascii="Times New Roman" w:hAnsi="Times New Roman" w:cs="Times New Roman"/>
        </w:rPr>
      </w:pPr>
      <w:r>
        <w:rPr>
          <w:rFonts w:hint="eastAsia" w:ascii="Times New Roman" w:hAnsi="Times New Roman" w:cs="Times New Roman"/>
        </w:rPr>
        <w:t>根据上表可知，项目运营期厂界噪声值叠加背景值后预测值昼间及夜间噪声值均满足《工业企业厂界环境噪声排放标准》（</w:t>
      </w:r>
      <w:r>
        <w:rPr>
          <w:rFonts w:ascii="Times New Roman" w:hAnsi="Times New Roman" w:cs="Times New Roman"/>
        </w:rPr>
        <w:t>GB12348-2008</w:t>
      </w:r>
      <w:r>
        <w:rPr>
          <w:rFonts w:hint="eastAsia" w:ascii="Times New Roman" w:hAnsi="Times New Roman" w:cs="Times New Roman"/>
        </w:rPr>
        <w:t>）中3类标准，对周围声环境影响较小。</w:t>
      </w:r>
    </w:p>
    <w:p>
      <w:pPr>
        <w:pStyle w:val="499"/>
        <w:spacing w:line="460" w:lineRule="exact"/>
        <w:ind w:firstLine="480"/>
        <w:rPr>
          <w:rFonts w:ascii="Times New Roman" w:hAnsi="Times New Roman" w:cs="Times New Roman"/>
        </w:rPr>
      </w:pPr>
      <w:r>
        <w:rPr>
          <w:rFonts w:ascii="Times New Roman" w:hAnsi="Times New Roman" w:cs="Times New Roman"/>
        </w:rPr>
        <w:t>声环境影响评价自查表见表</w:t>
      </w:r>
      <w:r>
        <w:rPr>
          <w:rFonts w:hint="eastAsia" w:ascii="Times New Roman" w:hAnsi="Times New Roman" w:cs="Times New Roman"/>
        </w:rPr>
        <w:t>6.2-20</w:t>
      </w:r>
      <w:r>
        <w:rPr>
          <w:rFonts w:ascii="Times New Roman" w:hAnsi="Times New Roman" w:cs="Times New Roman"/>
        </w:rPr>
        <w:t>。</w:t>
      </w:r>
    </w:p>
    <w:p>
      <w:pPr>
        <w:ind w:firstLine="420" w:firstLineChars="200"/>
        <w:rPr>
          <w:rFonts w:hAnsi="黑体" w:eastAsia="黑体"/>
        </w:rPr>
      </w:pPr>
      <w:r>
        <w:rPr>
          <w:rFonts w:hAnsi="黑体" w:eastAsia="黑体"/>
        </w:rPr>
        <w:t>表</w:t>
      </w:r>
      <w:r>
        <w:rPr>
          <w:rFonts w:hint="eastAsia" w:hAnsi="黑体" w:eastAsia="黑体"/>
        </w:rPr>
        <w:t>6.2-20</w:t>
      </w:r>
      <w:r>
        <w:rPr>
          <w:rFonts w:hAnsi="黑体" w:eastAsia="黑体"/>
        </w:rPr>
        <w:t xml:space="preserve">                    声环境影响自查表</w:t>
      </w:r>
    </w:p>
    <w:tbl>
      <w:tblPr>
        <w:tblStyle w:val="60"/>
        <w:tblW w:w="8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559"/>
        <w:gridCol w:w="988"/>
        <w:gridCol w:w="592"/>
        <w:gridCol w:w="401"/>
        <w:gridCol w:w="992"/>
        <w:gridCol w:w="992"/>
        <w:gridCol w:w="592"/>
        <w:gridCol w:w="542"/>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8" w:type="dxa"/>
            <w:gridSpan w:val="2"/>
            <w:vAlign w:val="center"/>
          </w:tcPr>
          <w:p>
            <w:pPr>
              <w:jc w:val="center"/>
              <w:rPr>
                <w:kern w:val="2"/>
                <w:sz w:val="21"/>
                <w:szCs w:val="21"/>
              </w:rPr>
            </w:pPr>
            <w:r>
              <w:rPr>
                <w:kern w:val="2"/>
                <w:sz w:val="21"/>
                <w:szCs w:val="21"/>
              </w:rPr>
              <w:t>工作内容</w:t>
            </w:r>
          </w:p>
        </w:tc>
        <w:tc>
          <w:tcPr>
            <w:tcW w:w="6190" w:type="dxa"/>
            <w:gridSpan w:val="8"/>
            <w:vAlign w:val="center"/>
          </w:tcPr>
          <w:p>
            <w:pPr>
              <w:jc w:val="center"/>
              <w:rPr>
                <w:kern w:val="2"/>
                <w:sz w:val="21"/>
                <w:szCs w:val="21"/>
              </w:rPr>
            </w:pPr>
            <w:r>
              <w:rPr>
                <w:kern w:val="2"/>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restart"/>
            <w:vAlign w:val="center"/>
          </w:tcPr>
          <w:p>
            <w:pPr>
              <w:jc w:val="center"/>
              <w:rPr>
                <w:kern w:val="2"/>
                <w:sz w:val="21"/>
                <w:szCs w:val="21"/>
              </w:rPr>
            </w:pPr>
            <w:r>
              <w:rPr>
                <w:kern w:val="2"/>
                <w:sz w:val="21"/>
                <w:szCs w:val="21"/>
              </w:rPr>
              <w:t>评价等级与范围</w:t>
            </w:r>
          </w:p>
        </w:tc>
        <w:tc>
          <w:tcPr>
            <w:tcW w:w="1559" w:type="dxa"/>
            <w:vAlign w:val="center"/>
          </w:tcPr>
          <w:p>
            <w:pPr>
              <w:jc w:val="center"/>
              <w:rPr>
                <w:kern w:val="2"/>
                <w:sz w:val="21"/>
                <w:szCs w:val="21"/>
              </w:rPr>
            </w:pPr>
            <w:r>
              <w:rPr>
                <w:kern w:val="2"/>
                <w:sz w:val="21"/>
                <w:szCs w:val="21"/>
              </w:rPr>
              <w:t>评价等级</w:t>
            </w:r>
          </w:p>
        </w:tc>
        <w:tc>
          <w:tcPr>
            <w:tcW w:w="6190" w:type="dxa"/>
            <w:gridSpan w:val="8"/>
            <w:vAlign w:val="center"/>
          </w:tcPr>
          <w:p>
            <w:pPr>
              <w:jc w:val="center"/>
              <w:rPr>
                <w:kern w:val="2"/>
                <w:sz w:val="21"/>
                <w:szCs w:val="21"/>
              </w:rPr>
            </w:pPr>
            <w:r>
              <w:rPr>
                <w:kern w:val="2"/>
                <w:sz w:val="21"/>
                <w:szCs w:val="21"/>
              </w:rPr>
              <w:t>一级□            二级□            三级</w:t>
            </w:r>
            <w:r>
              <w:rPr>
                <w:kern w:val="2"/>
                <w:sz w:val="21"/>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评价范围</w:t>
            </w:r>
          </w:p>
        </w:tc>
        <w:tc>
          <w:tcPr>
            <w:tcW w:w="6190" w:type="dxa"/>
            <w:gridSpan w:val="8"/>
            <w:vAlign w:val="center"/>
          </w:tcPr>
          <w:p>
            <w:pPr>
              <w:jc w:val="center"/>
              <w:rPr>
                <w:kern w:val="2"/>
                <w:sz w:val="21"/>
                <w:szCs w:val="21"/>
              </w:rPr>
            </w:pPr>
            <w:r>
              <w:rPr>
                <w:kern w:val="2"/>
                <w:sz w:val="21"/>
                <w:szCs w:val="21"/>
              </w:rPr>
              <w:t>200m</w:t>
            </w:r>
            <w:r>
              <w:rPr>
                <w:kern w:val="2"/>
                <w:sz w:val="21"/>
                <w:szCs w:val="21"/>
              </w:rPr>
              <w:sym w:font="Wingdings 2" w:char="0052"/>
            </w:r>
            <w:r>
              <w:rPr>
                <w:kern w:val="2"/>
                <w:sz w:val="21"/>
                <w:szCs w:val="21"/>
              </w:rPr>
              <w:t xml:space="preserve">            大于200m□           小于200m□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Align w:val="center"/>
          </w:tcPr>
          <w:p>
            <w:pPr>
              <w:jc w:val="center"/>
              <w:rPr>
                <w:kern w:val="2"/>
                <w:sz w:val="21"/>
                <w:szCs w:val="21"/>
              </w:rPr>
            </w:pPr>
            <w:r>
              <w:rPr>
                <w:kern w:val="2"/>
                <w:sz w:val="21"/>
                <w:szCs w:val="21"/>
              </w:rPr>
              <w:t>评价因子</w:t>
            </w:r>
          </w:p>
        </w:tc>
        <w:tc>
          <w:tcPr>
            <w:tcW w:w="1559" w:type="dxa"/>
            <w:vAlign w:val="center"/>
          </w:tcPr>
          <w:p>
            <w:pPr>
              <w:jc w:val="center"/>
              <w:rPr>
                <w:kern w:val="2"/>
                <w:sz w:val="21"/>
                <w:szCs w:val="21"/>
              </w:rPr>
            </w:pPr>
            <w:r>
              <w:rPr>
                <w:kern w:val="2"/>
                <w:sz w:val="21"/>
                <w:szCs w:val="21"/>
              </w:rPr>
              <w:t>评价因子</w:t>
            </w:r>
          </w:p>
        </w:tc>
        <w:tc>
          <w:tcPr>
            <w:tcW w:w="6190" w:type="dxa"/>
            <w:gridSpan w:val="8"/>
            <w:vAlign w:val="center"/>
          </w:tcPr>
          <w:p>
            <w:pPr>
              <w:jc w:val="center"/>
              <w:rPr>
                <w:kern w:val="2"/>
                <w:sz w:val="21"/>
                <w:szCs w:val="21"/>
              </w:rPr>
            </w:pPr>
            <w:r>
              <w:rPr>
                <w:kern w:val="2"/>
                <w:sz w:val="21"/>
                <w:szCs w:val="21"/>
              </w:rPr>
              <w:t>等效连续A声级</w:t>
            </w:r>
            <w:r>
              <w:rPr>
                <w:kern w:val="2"/>
                <w:sz w:val="21"/>
                <w:szCs w:val="21"/>
              </w:rPr>
              <w:sym w:font="Wingdings 2" w:char="0052"/>
            </w:r>
            <w:r>
              <w:rPr>
                <w:kern w:val="2"/>
                <w:sz w:val="21"/>
                <w:szCs w:val="21"/>
              </w:rPr>
              <w:t xml:space="preserve">  最大A声级□ 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Align w:val="center"/>
          </w:tcPr>
          <w:p>
            <w:pPr>
              <w:jc w:val="center"/>
              <w:rPr>
                <w:kern w:val="2"/>
                <w:sz w:val="21"/>
                <w:szCs w:val="21"/>
              </w:rPr>
            </w:pPr>
            <w:r>
              <w:rPr>
                <w:kern w:val="2"/>
                <w:sz w:val="21"/>
                <w:szCs w:val="21"/>
              </w:rPr>
              <w:t>评价标准</w:t>
            </w:r>
          </w:p>
        </w:tc>
        <w:tc>
          <w:tcPr>
            <w:tcW w:w="1559" w:type="dxa"/>
            <w:vAlign w:val="center"/>
          </w:tcPr>
          <w:p>
            <w:pPr>
              <w:jc w:val="center"/>
              <w:rPr>
                <w:kern w:val="2"/>
                <w:sz w:val="21"/>
                <w:szCs w:val="21"/>
              </w:rPr>
            </w:pPr>
            <w:r>
              <w:rPr>
                <w:kern w:val="2"/>
                <w:sz w:val="21"/>
                <w:szCs w:val="21"/>
              </w:rPr>
              <w:t>评价标准</w:t>
            </w:r>
          </w:p>
        </w:tc>
        <w:tc>
          <w:tcPr>
            <w:tcW w:w="6190" w:type="dxa"/>
            <w:gridSpan w:val="8"/>
            <w:vAlign w:val="center"/>
          </w:tcPr>
          <w:p>
            <w:pPr>
              <w:jc w:val="center"/>
              <w:rPr>
                <w:kern w:val="2"/>
                <w:sz w:val="21"/>
                <w:szCs w:val="21"/>
              </w:rPr>
            </w:pPr>
            <w:r>
              <w:rPr>
                <w:kern w:val="2"/>
                <w:sz w:val="21"/>
                <w:szCs w:val="21"/>
              </w:rPr>
              <w:t>国家标准</w:t>
            </w:r>
            <w:r>
              <w:rPr>
                <w:kern w:val="2"/>
                <w:sz w:val="21"/>
                <w:szCs w:val="21"/>
              </w:rPr>
              <w:sym w:font="Wingdings 2" w:char="0052"/>
            </w:r>
            <w:r>
              <w:rPr>
                <w:kern w:val="2"/>
                <w:sz w:val="21"/>
                <w:szCs w:val="21"/>
              </w:rPr>
              <w:t xml:space="preserve">        地方标准□         国外标准□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restart"/>
            <w:vAlign w:val="center"/>
          </w:tcPr>
          <w:p>
            <w:pPr>
              <w:jc w:val="center"/>
              <w:rPr>
                <w:kern w:val="2"/>
                <w:sz w:val="21"/>
                <w:szCs w:val="21"/>
              </w:rPr>
            </w:pPr>
            <w:r>
              <w:rPr>
                <w:kern w:val="2"/>
                <w:sz w:val="21"/>
                <w:szCs w:val="21"/>
              </w:rPr>
              <w:t>现状评价</w:t>
            </w:r>
          </w:p>
        </w:tc>
        <w:tc>
          <w:tcPr>
            <w:tcW w:w="1559" w:type="dxa"/>
            <w:vAlign w:val="center"/>
          </w:tcPr>
          <w:p>
            <w:pPr>
              <w:jc w:val="center"/>
              <w:rPr>
                <w:kern w:val="2"/>
                <w:sz w:val="21"/>
                <w:szCs w:val="21"/>
              </w:rPr>
            </w:pPr>
            <w:r>
              <w:rPr>
                <w:kern w:val="2"/>
                <w:sz w:val="21"/>
                <w:szCs w:val="21"/>
              </w:rPr>
              <w:t>环境功能区</w:t>
            </w:r>
          </w:p>
        </w:tc>
        <w:tc>
          <w:tcPr>
            <w:tcW w:w="988" w:type="dxa"/>
            <w:vAlign w:val="center"/>
          </w:tcPr>
          <w:p>
            <w:pPr>
              <w:jc w:val="center"/>
              <w:rPr>
                <w:kern w:val="2"/>
                <w:sz w:val="21"/>
                <w:szCs w:val="21"/>
              </w:rPr>
            </w:pPr>
            <w:r>
              <w:rPr>
                <w:kern w:val="2"/>
                <w:sz w:val="21"/>
                <w:szCs w:val="21"/>
              </w:rPr>
              <w:t>0类区□</w:t>
            </w:r>
          </w:p>
        </w:tc>
        <w:tc>
          <w:tcPr>
            <w:tcW w:w="993" w:type="dxa"/>
            <w:gridSpan w:val="2"/>
            <w:vAlign w:val="center"/>
          </w:tcPr>
          <w:p>
            <w:pPr>
              <w:jc w:val="center"/>
              <w:rPr>
                <w:kern w:val="2"/>
                <w:sz w:val="21"/>
                <w:szCs w:val="21"/>
              </w:rPr>
            </w:pPr>
            <w:r>
              <w:rPr>
                <w:kern w:val="2"/>
                <w:sz w:val="21"/>
                <w:szCs w:val="21"/>
              </w:rPr>
              <w:t>1类区□</w:t>
            </w:r>
          </w:p>
        </w:tc>
        <w:tc>
          <w:tcPr>
            <w:tcW w:w="992" w:type="dxa"/>
            <w:vAlign w:val="center"/>
          </w:tcPr>
          <w:p>
            <w:pPr>
              <w:jc w:val="center"/>
              <w:rPr>
                <w:kern w:val="2"/>
                <w:sz w:val="21"/>
                <w:szCs w:val="21"/>
              </w:rPr>
            </w:pPr>
            <w:r>
              <w:rPr>
                <w:kern w:val="2"/>
                <w:sz w:val="21"/>
                <w:szCs w:val="21"/>
              </w:rPr>
              <w:t>2类区□</w:t>
            </w:r>
          </w:p>
        </w:tc>
        <w:tc>
          <w:tcPr>
            <w:tcW w:w="992" w:type="dxa"/>
            <w:vAlign w:val="center"/>
          </w:tcPr>
          <w:p>
            <w:pPr>
              <w:jc w:val="center"/>
              <w:rPr>
                <w:kern w:val="2"/>
                <w:sz w:val="21"/>
                <w:szCs w:val="21"/>
              </w:rPr>
            </w:pPr>
            <w:r>
              <w:rPr>
                <w:kern w:val="2"/>
                <w:sz w:val="21"/>
                <w:szCs w:val="21"/>
              </w:rPr>
              <w:t>3类区</w:t>
            </w:r>
            <w:r>
              <w:rPr>
                <w:kern w:val="2"/>
                <w:sz w:val="21"/>
                <w:szCs w:val="21"/>
              </w:rPr>
              <w:sym w:font="Wingdings 2" w:char="0052"/>
            </w:r>
          </w:p>
        </w:tc>
        <w:tc>
          <w:tcPr>
            <w:tcW w:w="1134" w:type="dxa"/>
            <w:gridSpan w:val="2"/>
            <w:vAlign w:val="center"/>
          </w:tcPr>
          <w:p>
            <w:pPr>
              <w:jc w:val="center"/>
              <w:rPr>
                <w:kern w:val="2"/>
                <w:sz w:val="21"/>
                <w:szCs w:val="21"/>
              </w:rPr>
            </w:pPr>
            <w:r>
              <w:rPr>
                <w:kern w:val="2"/>
                <w:sz w:val="21"/>
                <w:szCs w:val="21"/>
              </w:rPr>
              <w:t>4a类区□</w:t>
            </w:r>
          </w:p>
        </w:tc>
        <w:tc>
          <w:tcPr>
            <w:tcW w:w="1091" w:type="dxa"/>
            <w:vAlign w:val="center"/>
          </w:tcPr>
          <w:p>
            <w:pPr>
              <w:jc w:val="center"/>
              <w:rPr>
                <w:kern w:val="2"/>
                <w:sz w:val="21"/>
                <w:szCs w:val="21"/>
              </w:rPr>
            </w:pPr>
            <w:r>
              <w:rPr>
                <w:kern w:val="2"/>
                <w:sz w:val="21"/>
                <w:szCs w:val="21"/>
              </w:rPr>
              <w:t>4b类区□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评价年度</w:t>
            </w:r>
          </w:p>
        </w:tc>
        <w:tc>
          <w:tcPr>
            <w:tcW w:w="1580" w:type="dxa"/>
            <w:gridSpan w:val="2"/>
            <w:vAlign w:val="center"/>
          </w:tcPr>
          <w:p>
            <w:pPr>
              <w:jc w:val="center"/>
              <w:rPr>
                <w:kern w:val="2"/>
                <w:sz w:val="21"/>
                <w:szCs w:val="21"/>
              </w:rPr>
            </w:pPr>
            <w:r>
              <w:rPr>
                <w:kern w:val="2"/>
                <w:sz w:val="21"/>
                <w:szCs w:val="21"/>
              </w:rPr>
              <w:t>初期</w:t>
            </w:r>
            <w:r>
              <w:rPr>
                <w:kern w:val="2"/>
                <w:sz w:val="21"/>
                <w:szCs w:val="21"/>
              </w:rPr>
              <w:sym w:font="Wingdings 2" w:char="0052"/>
            </w:r>
          </w:p>
        </w:tc>
        <w:tc>
          <w:tcPr>
            <w:tcW w:w="1393" w:type="dxa"/>
            <w:gridSpan w:val="2"/>
            <w:vAlign w:val="center"/>
          </w:tcPr>
          <w:p>
            <w:pPr>
              <w:jc w:val="center"/>
              <w:rPr>
                <w:kern w:val="2"/>
                <w:sz w:val="21"/>
                <w:szCs w:val="21"/>
              </w:rPr>
            </w:pPr>
            <w:r>
              <w:rPr>
                <w:kern w:val="2"/>
                <w:sz w:val="21"/>
                <w:szCs w:val="21"/>
              </w:rPr>
              <w:t>近期□</w:t>
            </w:r>
          </w:p>
        </w:tc>
        <w:tc>
          <w:tcPr>
            <w:tcW w:w="1584" w:type="dxa"/>
            <w:gridSpan w:val="2"/>
            <w:vAlign w:val="center"/>
          </w:tcPr>
          <w:p>
            <w:pPr>
              <w:jc w:val="center"/>
              <w:rPr>
                <w:kern w:val="2"/>
                <w:sz w:val="21"/>
                <w:szCs w:val="21"/>
              </w:rPr>
            </w:pPr>
            <w:r>
              <w:rPr>
                <w:kern w:val="2"/>
                <w:sz w:val="21"/>
                <w:szCs w:val="21"/>
              </w:rPr>
              <w:t>中期□</w:t>
            </w:r>
          </w:p>
        </w:tc>
        <w:tc>
          <w:tcPr>
            <w:tcW w:w="1633" w:type="dxa"/>
            <w:gridSpan w:val="2"/>
            <w:vAlign w:val="center"/>
          </w:tcPr>
          <w:p>
            <w:pPr>
              <w:jc w:val="center"/>
              <w:rPr>
                <w:kern w:val="2"/>
                <w:sz w:val="21"/>
                <w:szCs w:val="21"/>
              </w:rPr>
            </w:pPr>
            <w:r>
              <w:rPr>
                <w:kern w:val="2"/>
                <w:sz w:val="21"/>
                <w:szCs w:val="21"/>
              </w:rPr>
              <w:t>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现状调查方法</w:t>
            </w:r>
          </w:p>
        </w:tc>
        <w:tc>
          <w:tcPr>
            <w:tcW w:w="6190" w:type="dxa"/>
            <w:gridSpan w:val="8"/>
            <w:vAlign w:val="center"/>
          </w:tcPr>
          <w:p>
            <w:pPr>
              <w:jc w:val="center"/>
              <w:rPr>
                <w:kern w:val="2"/>
                <w:sz w:val="21"/>
                <w:szCs w:val="21"/>
              </w:rPr>
            </w:pPr>
            <w:r>
              <w:rPr>
                <w:kern w:val="2"/>
                <w:sz w:val="21"/>
                <w:szCs w:val="21"/>
              </w:rPr>
              <w:t>现场实测法</w:t>
            </w:r>
            <w:r>
              <w:rPr>
                <w:kern w:val="2"/>
                <w:sz w:val="21"/>
                <w:szCs w:val="21"/>
              </w:rPr>
              <w:sym w:font="Wingdings 2" w:char="0052"/>
            </w:r>
            <w:r>
              <w:rPr>
                <w:kern w:val="2"/>
                <w:sz w:val="21"/>
                <w:szCs w:val="21"/>
              </w:rPr>
              <w:t xml:space="preserve">    现场实测加模型计算法□     收集资料□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现状评价</w:t>
            </w:r>
          </w:p>
        </w:tc>
        <w:tc>
          <w:tcPr>
            <w:tcW w:w="1981" w:type="dxa"/>
            <w:gridSpan w:val="3"/>
            <w:vAlign w:val="center"/>
          </w:tcPr>
          <w:p>
            <w:pPr>
              <w:jc w:val="center"/>
              <w:rPr>
                <w:kern w:val="2"/>
                <w:sz w:val="21"/>
                <w:szCs w:val="21"/>
              </w:rPr>
            </w:pPr>
            <w:r>
              <w:rPr>
                <w:kern w:val="2"/>
                <w:sz w:val="21"/>
                <w:szCs w:val="21"/>
              </w:rPr>
              <w:t>达标百分比</w:t>
            </w:r>
          </w:p>
        </w:tc>
        <w:tc>
          <w:tcPr>
            <w:tcW w:w="4209" w:type="dxa"/>
            <w:gridSpan w:val="5"/>
            <w:vAlign w:val="center"/>
          </w:tcPr>
          <w:p>
            <w:pPr>
              <w:jc w:val="center"/>
              <w:rPr>
                <w:kern w:val="2"/>
                <w:sz w:val="21"/>
                <w:szCs w:val="21"/>
              </w:rPr>
            </w:pPr>
            <w:r>
              <w:rPr>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Align w:val="center"/>
          </w:tcPr>
          <w:p>
            <w:pPr>
              <w:jc w:val="center"/>
              <w:rPr>
                <w:kern w:val="2"/>
                <w:sz w:val="21"/>
                <w:szCs w:val="21"/>
              </w:rPr>
            </w:pPr>
            <w:r>
              <w:rPr>
                <w:kern w:val="2"/>
                <w:sz w:val="21"/>
                <w:szCs w:val="21"/>
              </w:rPr>
              <w:t>噪声源否调查</w:t>
            </w:r>
          </w:p>
        </w:tc>
        <w:tc>
          <w:tcPr>
            <w:tcW w:w="1559" w:type="dxa"/>
            <w:vAlign w:val="center"/>
          </w:tcPr>
          <w:p>
            <w:pPr>
              <w:jc w:val="center"/>
              <w:rPr>
                <w:kern w:val="2"/>
                <w:sz w:val="21"/>
                <w:szCs w:val="21"/>
              </w:rPr>
            </w:pPr>
            <w:r>
              <w:rPr>
                <w:kern w:val="2"/>
                <w:sz w:val="21"/>
                <w:szCs w:val="21"/>
              </w:rPr>
              <w:t>噪声源调查方法</w:t>
            </w:r>
          </w:p>
        </w:tc>
        <w:tc>
          <w:tcPr>
            <w:tcW w:w="6190" w:type="dxa"/>
            <w:gridSpan w:val="8"/>
            <w:vAlign w:val="center"/>
          </w:tcPr>
          <w:p>
            <w:pPr>
              <w:jc w:val="center"/>
              <w:rPr>
                <w:kern w:val="2"/>
                <w:sz w:val="21"/>
                <w:szCs w:val="21"/>
              </w:rPr>
            </w:pPr>
            <w:r>
              <w:rPr>
                <w:kern w:val="2"/>
                <w:sz w:val="21"/>
                <w:szCs w:val="21"/>
              </w:rPr>
              <w:t>现场实测法□    已有资料</w:t>
            </w:r>
            <w:r>
              <w:rPr>
                <w:kern w:val="2"/>
                <w:sz w:val="21"/>
                <w:szCs w:val="21"/>
              </w:rPr>
              <w:sym w:font="Wingdings 2" w:char="0052"/>
            </w:r>
            <w:r>
              <w:rPr>
                <w:kern w:val="2"/>
                <w:sz w:val="21"/>
                <w:szCs w:val="21"/>
              </w:rPr>
              <w:t xml:space="preserve">     研究成果□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restart"/>
            <w:vAlign w:val="center"/>
          </w:tcPr>
          <w:p>
            <w:pPr>
              <w:jc w:val="center"/>
              <w:rPr>
                <w:kern w:val="2"/>
                <w:sz w:val="21"/>
                <w:szCs w:val="21"/>
              </w:rPr>
            </w:pPr>
            <w:r>
              <w:rPr>
                <w:kern w:val="2"/>
                <w:sz w:val="21"/>
                <w:szCs w:val="21"/>
              </w:rPr>
              <w:t>声环境影响预测与评价</w:t>
            </w:r>
          </w:p>
        </w:tc>
        <w:tc>
          <w:tcPr>
            <w:tcW w:w="1559" w:type="dxa"/>
            <w:vAlign w:val="center"/>
          </w:tcPr>
          <w:p>
            <w:pPr>
              <w:jc w:val="center"/>
              <w:rPr>
                <w:kern w:val="2"/>
                <w:sz w:val="21"/>
                <w:szCs w:val="21"/>
              </w:rPr>
            </w:pPr>
            <w:r>
              <w:rPr>
                <w:kern w:val="2"/>
                <w:sz w:val="21"/>
                <w:szCs w:val="21"/>
              </w:rPr>
              <w:t>预测模型</w:t>
            </w:r>
          </w:p>
        </w:tc>
        <w:tc>
          <w:tcPr>
            <w:tcW w:w="6190" w:type="dxa"/>
            <w:gridSpan w:val="8"/>
            <w:vAlign w:val="center"/>
          </w:tcPr>
          <w:p>
            <w:pPr>
              <w:jc w:val="center"/>
              <w:rPr>
                <w:kern w:val="2"/>
                <w:sz w:val="21"/>
                <w:szCs w:val="21"/>
              </w:rPr>
            </w:pPr>
            <w:r>
              <w:rPr>
                <w:kern w:val="2"/>
                <w:sz w:val="21"/>
                <w:szCs w:val="21"/>
              </w:rPr>
              <w:t>导则推荐模型</w:t>
            </w:r>
            <w:r>
              <w:rPr>
                <w:kern w:val="2"/>
                <w:sz w:val="21"/>
                <w:szCs w:val="21"/>
              </w:rPr>
              <w:sym w:font="Wingdings 2" w:char="0052"/>
            </w:r>
            <w:r>
              <w:rPr>
                <w:kern w:val="2"/>
                <w:sz w:val="21"/>
                <w:szCs w:val="21"/>
              </w:rPr>
              <w:t xml:space="preserve">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预测范围</w:t>
            </w:r>
          </w:p>
        </w:tc>
        <w:tc>
          <w:tcPr>
            <w:tcW w:w="6190" w:type="dxa"/>
            <w:gridSpan w:val="8"/>
            <w:vAlign w:val="center"/>
          </w:tcPr>
          <w:p>
            <w:pPr>
              <w:jc w:val="center"/>
              <w:rPr>
                <w:kern w:val="2"/>
                <w:sz w:val="21"/>
                <w:szCs w:val="21"/>
              </w:rPr>
            </w:pPr>
            <w:r>
              <w:rPr>
                <w:kern w:val="2"/>
                <w:sz w:val="21"/>
                <w:szCs w:val="21"/>
              </w:rPr>
              <w:t>200m</w:t>
            </w:r>
            <w:r>
              <w:rPr>
                <w:kern w:val="2"/>
                <w:sz w:val="21"/>
                <w:szCs w:val="21"/>
              </w:rPr>
              <w:sym w:font="Wingdings 2" w:char="0052"/>
            </w:r>
            <w:r>
              <w:rPr>
                <w:kern w:val="2"/>
                <w:sz w:val="21"/>
                <w:szCs w:val="21"/>
              </w:rPr>
              <w:t xml:space="preserve">            大于200m□           小于200m□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预测因子</w:t>
            </w:r>
          </w:p>
        </w:tc>
        <w:tc>
          <w:tcPr>
            <w:tcW w:w="6190" w:type="dxa"/>
            <w:gridSpan w:val="8"/>
            <w:vAlign w:val="center"/>
          </w:tcPr>
          <w:p>
            <w:pPr>
              <w:jc w:val="center"/>
              <w:rPr>
                <w:kern w:val="2"/>
                <w:sz w:val="21"/>
                <w:szCs w:val="21"/>
              </w:rPr>
            </w:pPr>
            <w:r>
              <w:rPr>
                <w:kern w:val="2"/>
                <w:sz w:val="21"/>
                <w:szCs w:val="21"/>
              </w:rPr>
              <w:t>等效连续A声级</w:t>
            </w:r>
            <w:r>
              <w:rPr>
                <w:kern w:val="2"/>
                <w:sz w:val="21"/>
                <w:szCs w:val="21"/>
              </w:rPr>
              <w:sym w:font="Wingdings 2" w:char="0052"/>
            </w:r>
            <w:r>
              <w:rPr>
                <w:kern w:val="2"/>
                <w:sz w:val="21"/>
                <w:szCs w:val="21"/>
              </w:rPr>
              <w:t xml:space="preserve">  最大A声级□ 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厂界噪声贡献值</w:t>
            </w:r>
          </w:p>
        </w:tc>
        <w:tc>
          <w:tcPr>
            <w:tcW w:w="6190" w:type="dxa"/>
            <w:gridSpan w:val="8"/>
            <w:vAlign w:val="center"/>
          </w:tcPr>
          <w:p>
            <w:pPr>
              <w:jc w:val="center"/>
              <w:rPr>
                <w:kern w:val="2"/>
                <w:sz w:val="21"/>
                <w:szCs w:val="21"/>
              </w:rPr>
            </w:pPr>
            <w:r>
              <w:rPr>
                <w:kern w:val="2"/>
                <w:sz w:val="21"/>
                <w:szCs w:val="21"/>
              </w:rPr>
              <w:t>达标</w:t>
            </w:r>
            <w:r>
              <w:rPr>
                <w:kern w:val="2"/>
                <w:sz w:val="21"/>
                <w:szCs w:val="21"/>
              </w:rPr>
              <w:sym w:font="Wingdings 2" w:char="0052"/>
            </w:r>
            <w:r>
              <w:rPr>
                <w:kern w:val="2"/>
                <w:sz w:val="21"/>
                <w:szCs w:val="21"/>
              </w:rPr>
              <w:t xml:space="preserve">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声环境保护目标处噪声值</w:t>
            </w:r>
          </w:p>
        </w:tc>
        <w:tc>
          <w:tcPr>
            <w:tcW w:w="6190" w:type="dxa"/>
            <w:gridSpan w:val="8"/>
            <w:vAlign w:val="center"/>
          </w:tcPr>
          <w:p>
            <w:pPr>
              <w:jc w:val="center"/>
              <w:rPr>
                <w:kern w:val="2"/>
                <w:sz w:val="21"/>
                <w:szCs w:val="21"/>
              </w:rPr>
            </w:pPr>
            <w:r>
              <w:rPr>
                <w:kern w:val="2"/>
                <w:sz w:val="21"/>
                <w:szCs w:val="21"/>
              </w:rPr>
              <w:t>达标□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restart"/>
            <w:vAlign w:val="center"/>
          </w:tcPr>
          <w:p>
            <w:pPr>
              <w:jc w:val="center"/>
              <w:rPr>
                <w:kern w:val="2"/>
                <w:sz w:val="21"/>
                <w:szCs w:val="21"/>
              </w:rPr>
            </w:pPr>
            <w:r>
              <w:rPr>
                <w:kern w:val="2"/>
                <w:sz w:val="21"/>
                <w:szCs w:val="21"/>
              </w:rPr>
              <w:t>环境监测计划</w:t>
            </w:r>
          </w:p>
        </w:tc>
        <w:tc>
          <w:tcPr>
            <w:tcW w:w="1559" w:type="dxa"/>
            <w:vAlign w:val="center"/>
          </w:tcPr>
          <w:p>
            <w:pPr>
              <w:jc w:val="center"/>
              <w:rPr>
                <w:kern w:val="2"/>
                <w:sz w:val="21"/>
                <w:szCs w:val="21"/>
              </w:rPr>
            </w:pPr>
            <w:r>
              <w:rPr>
                <w:kern w:val="2"/>
                <w:sz w:val="21"/>
                <w:szCs w:val="21"/>
              </w:rPr>
              <w:t>排放监测</w:t>
            </w:r>
          </w:p>
        </w:tc>
        <w:tc>
          <w:tcPr>
            <w:tcW w:w="6190" w:type="dxa"/>
            <w:gridSpan w:val="8"/>
            <w:vAlign w:val="center"/>
          </w:tcPr>
          <w:p>
            <w:pPr>
              <w:jc w:val="center"/>
              <w:rPr>
                <w:kern w:val="2"/>
                <w:sz w:val="21"/>
                <w:szCs w:val="21"/>
              </w:rPr>
            </w:pPr>
            <w:r>
              <w:rPr>
                <w:kern w:val="2"/>
                <w:sz w:val="21"/>
                <w:szCs w:val="21"/>
              </w:rPr>
              <w:t>厂界监测</w:t>
            </w:r>
            <w:r>
              <w:rPr>
                <w:kern w:val="2"/>
                <w:sz w:val="21"/>
                <w:szCs w:val="21"/>
              </w:rPr>
              <w:sym w:font="Wingdings 2" w:char="0052"/>
            </w:r>
            <w:r>
              <w:rPr>
                <w:kern w:val="2"/>
                <w:sz w:val="21"/>
                <w:szCs w:val="21"/>
              </w:rPr>
              <w:t xml:space="preserve"> 固定位置监测□ 自动监测□ 手动监测□ 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vAlign w:val="center"/>
          </w:tcPr>
          <w:p>
            <w:pPr>
              <w:jc w:val="center"/>
              <w:rPr>
                <w:kern w:val="2"/>
                <w:sz w:val="21"/>
                <w:szCs w:val="21"/>
              </w:rPr>
            </w:pPr>
          </w:p>
        </w:tc>
        <w:tc>
          <w:tcPr>
            <w:tcW w:w="1559" w:type="dxa"/>
            <w:vAlign w:val="center"/>
          </w:tcPr>
          <w:p>
            <w:pPr>
              <w:jc w:val="center"/>
              <w:rPr>
                <w:kern w:val="2"/>
                <w:sz w:val="21"/>
                <w:szCs w:val="21"/>
              </w:rPr>
            </w:pPr>
            <w:r>
              <w:rPr>
                <w:kern w:val="2"/>
                <w:sz w:val="21"/>
                <w:szCs w:val="21"/>
              </w:rPr>
              <w:t>声环境保护目标处噪声监测</w:t>
            </w:r>
          </w:p>
        </w:tc>
        <w:tc>
          <w:tcPr>
            <w:tcW w:w="1981" w:type="dxa"/>
            <w:gridSpan w:val="3"/>
            <w:vAlign w:val="center"/>
          </w:tcPr>
          <w:p>
            <w:pPr>
              <w:jc w:val="center"/>
              <w:rPr>
                <w:kern w:val="2"/>
                <w:sz w:val="21"/>
                <w:szCs w:val="21"/>
              </w:rPr>
            </w:pPr>
            <w:r>
              <w:rPr>
                <w:kern w:val="2"/>
                <w:sz w:val="21"/>
                <w:szCs w:val="21"/>
              </w:rPr>
              <w:t>监测因子（等效连续A声级）</w:t>
            </w:r>
          </w:p>
        </w:tc>
        <w:tc>
          <w:tcPr>
            <w:tcW w:w="1984" w:type="dxa"/>
            <w:gridSpan w:val="2"/>
            <w:vAlign w:val="center"/>
          </w:tcPr>
          <w:p>
            <w:pPr>
              <w:jc w:val="center"/>
              <w:rPr>
                <w:kern w:val="2"/>
                <w:sz w:val="21"/>
                <w:szCs w:val="21"/>
              </w:rPr>
            </w:pPr>
            <w:r>
              <w:rPr>
                <w:kern w:val="2"/>
                <w:sz w:val="21"/>
                <w:szCs w:val="21"/>
              </w:rPr>
              <w:t>监测点位数（4个）</w:t>
            </w:r>
          </w:p>
        </w:tc>
        <w:tc>
          <w:tcPr>
            <w:tcW w:w="2225" w:type="dxa"/>
            <w:gridSpan w:val="3"/>
            <w:vAlign w:val="center"/>
          </w:tcPr>
          <w:p>
            <w:pPr>
              <w:jc w:val="center"/>
              <w:rPr>
                <w:kern w:val="2"/>
                <w:sz w:val="21"/>
                <w:szCs w:val="21"/>
              </w:rPr>
            </w:pPr>
            <w:r>
              <w:rPr>
                <w:kern w:val="2"/>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Align w:val="center"/>
          </w:tcPr>
          <w:p>
            <w:pPr>
              <w:jc w:val="center"/>
              <w:rPr>
                <w:kern w:val="2"/>
                <w:sz w:val="21"/>
                <w:szCs w:val="21"/>
              </w:rPr>
            </w:pPr>
            <w:r>
              <w:rPr>
                <w:kern w:val="2"/>
                <w:sz w:val="21"/>
                <w:szCs w:val="21"/>
              </w:rPr>
              <w:t>评价结论</w:t>
            </w:r>
          </w:p>
        </w:tc>
        <w:tc>
          <w:tcPr>
            <w:tcW w:w="1559" w:type="dxa"/>
            <w:vAlign w:val="center"/>
          </w:tcPr>
          <w:p>
            <w:pPr>
              <w:jc w:val="center"/>
              <w:rPr>
                <w:kern w:val="2"/>
                <w:sz w:val="21"/>
                <w:szCs w:val="21"/>
              </w:rPr>
            </w:pPr>
            <w:r>
              <w:rPr>
                <w:kern w:val="2"/>
                <w:sz w:val="21"/>
                <w:szCs w:val="21"/>
              </w:rPr>
              <w:t>环境影响</w:t>
            </w:r>
          </w:p>
        </w:tc>
        <w:tc>
          <w:tcPr>
            <w:tcW w:w="6190" w:type="dxa"/>
            <w:gridSpan w:val="8"/>
            <w:vAlign w:val="center"/>
          </w:tcPr>
          <w:p>
            <w:pPr>
              <w:jc w:val="center"/>
              <w:rPr>
                <w:kern w:val="2"/>
                <w:sz w:val="21"/>
                <w:szCs w:val="21"/>
              </w:rPr>
            </w:pPr>
            <w:r>
              <w:rPr>
                <w:kern w:val="2"/>
                <w:sz w:val="21"/>
                <w:szCs w:val="21"/>
              </w:rPr>
              <w:t>可行</w:t>
            </w:r>
            <w:r>
              <w:rPr>
                <w:kern w:val="2"/>
                <w:sz w:val="21"/>
                <w:szCs w:val="21"/>
              </w:rPr>
              <w:sym w:font="Wingdings 2" w:char="0052"/>
            </w:r>
            <w:r>
              <w:rPr>
                <w:kern w:val="2"/>
                <w:sz w:val="21"/>
                <w:szCs w:val="21"/>
              </w:rPr>
              <w:t xml:space="preserve">               不可行□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8" w:type="dxa"/>
            <w:gridSpan w:val="10"/>
            <w:shd w:val="clear" w:color="auto" w:fill="auto"/>
            <w:vAlign w:val="center"/>
          </w:tcPr>
          <w:p>
            <w:pPr>
              <w:jc w:val="center"/>
              <w:rPr>
                <w:kern w:val="2"/>
                <w:sz w:val="21"/>
                <w:szCs w:val="21"/>
              </w:rPr>
            </w:pPr>
            <w:r>
              <w:rPr>
                <w:kern w:val="2"/>
                <w:sz w:val="21"/>
                <w:szCs w:val="21"/>
              </w:rPr>
              <w:t>注：“□”为勾选项，可√；“（）”为内容填写项。</w:t>
            </w:r>
          </w:p>
        </w:tc>
      </w:tr>
    </w:tbl>
    <w:p>
      <w:pPr>
        <w:pStyle w:val="499"/>
        <w:spacing w:line="460" w:lineRule="exact"/>
        <w:ind w:firstLine="480"/>
        <w:rPr>
          <w:rFonts w:ascii="Times New Roman" w:hAnsi="Times New Roman" w:cs="Times New Roman"/>
        </w:rPr>
      </w:pP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6.2.4运营期固体废物环境影响分析</w:t>
      </w:r>
    </w:p>
    <w:p>
      <w:pPr>
        <w:pStyle w:val="499"/>
        <w:spacing w:line="460" w:lineRule="exact"/>
        <w:ind w:firstLine="480"/>
        <w:rPr>
          <w:rFonts w:ascii="Times New Roman" w:hAnsi="Times New Roman" w:cs="Times New Roman"/>
        </w:rPr>
      </w:pPr>
      <w:r>
        <w:rPr>
          <w:rFonts w:ascii="Times New Roman" w:hAnsi="Times New Roman" w:cs="Times New Roman"/>
        </w:rPr>
        <w:t>本项目产生的固体废弃物主要为一般固废、危险废物、生活垃圾</w:t>
      </w:r>
      <w:r>
        <w:rPr>
          <w:rFonts w:hint="eastAsia" w:ascii="Times New Roman" w:hAnsi="Times New Roman" w:cs="Times New Roman"/>
        </w:rPr>
        <w:t>具体产生量及处置措施见表6.2-21</w:t>
      </w:r>
      <w:r>
        <w:rPr>
          <w:rFonts w:ascii="Times New Roman" w:hAnsi="Times New Roman" w:cs="Times New Roman"/>
        </w:rPr>
        <w:t>。</w:t>
      </w:r>
    </w:p>
    <w:p>
      <w:pPr>
        <w:ind w:firstLine="420" w:firstLineChars="200"/>
        <w:rPr>
          <w:rFonts w:hAnsi="黑体" w:eastAsia="黑体"/>
        </w:rPr>
      </w:pPr>
      <w:r>
        <w:rPr>
          <w:rFonts w:hint="eastAsia" w:hAnsi="黑体" w:eastAsia="黑体"/>
        </w:rPr>
        <w:t>表6.2-21</w:t>
      </w:r>
      <w:r>
        <w:rPr>
          <w:rFonts w:hAnsi="黑体" w:eastAsia="黑体"/>
        </w:rPr>
        <w:t xml:space="preserve">             </w:t>
      </w:r>
      <w:r>
        <w:rPr>
          <w:rFonts w:hint="eastAsia" w:hAnsi="黑体" w:eastAsia="黑体"/>
        </w:rPr>
        <w:t>项目固体废物及污染控制过程一览表</w:t>
      </w:r>
    </w:p>
    <w:tbl>
      <w:tblPr>
        <w:tblStyle w:val="59"/>
        <w:tblW w:w="51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209"/>
        <w:gridCol w:w="849"/>
        <w:gridCol w:w="685"/>
        <w:gridCol w:w="1109"/>
        <w:gridCol w:w="1313"/>
        <w:gridCol w:w="2123"/>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kern w:val="0"/>
                <w:szCs w:val="21"/>
              </w:rPr>
            </w:pPr>
            <w:r>
              <w:rPr>
                <w:bCs/>
                <w:szCs w:val="21"/>
              </w:rPr>
              <w:t>序号</w:t>
            </w:r>
          </w:p>
        </w:tc>
        <w:tc>
          <w:tcPr>
            <w:tcW w:w="702" w:type="pct"/>
            <w:vAlign w:val="center"/>
          </w:tcPr>
          <w:p>
            <w:pPr>
              <w:jc w:val="center"/>
              <w:rPr>
                <w:bCs/>
                <w:kern w:val="0"/>
                <w:szCs w:val="21"/>
              </w:rPr>
            </w:pPr>
            <w:r>
              <w:rPr>
                <w:bCs/>
                <w:szCs w:val="21"/>
              </w:rPr>
              <w:t>固废名称</w:t>
            </w:r>
          </w:p>
        </w:tc>
        <w:tc>
          <w:tcPr>
            <w:tcW w:w="493" w:type="pct"/>
            <w:vAlign w:val="center"/>
          </w:tcPr>
          <w:p>
            <w:pPr>
              <w:jc w:val="center"/>
              <w:rPr>
                <w:bCs/>
                <w:kern w:val="0"/>
                <w:szCs w:val="21"/>
              </w:rPr>
            </w:pPr>
            <w:r>
              <w:rPr>
                <w:bCs/>
                <w:szCs w:val="21"/>
              </w:rPr>
              <w:t>产生量(t/a)</w:t>
            </w:r>
          </w:p>
        </w:tc>
        <w:tc>
          <w:tcPr>
            <w:tcW w:w="398" w:type="pct"/>
            <w:vAlign w:val="center"/>
          </w:tcPr>
          <w:p>
            <w:pPr>
              <w:jc w:val="center"/>
              <w:rPr>
                <w:bCs/>
                <w:kern w:val="0"/>
                <w:szCs w:val="21"/>
              </w:rPr>
            </w:pPr>
            <w:r>
              <w:rPr>
                <w:bCs/>
                <w:szCs w:val="21"/>
              </w:rPr>
              <w:t>废物</w:t>
            </w:r>
            <w:r>
              <w:rPr>
                <w:rFonts w:hint="eastAsia"/>
                <w:bCs/>
                <w:szCs w:val="21"/>
              </w:rPr>
              <w:t>属性</w:t>
            </w:r>
          </w:p>
        </w:tc>
        <w:tc>
          <w:tcPr>
            <w:tcW w:w="644" w:type="pct"/>
            <w:vAlign w:val="center"/>
          </w:tcPr>
          <w:p>
            <w:pPr>
              <w:jc w:val="center"/>
              <w:rPr>
                <w:bCs/>
                <w:szCs w:val="21"/>
              </w:rPr>
            </w:pPr>
            <w:r>
              <w:rPr>
                <w:rFonts w:hint="eastAsia"/>
                <w:bCs/>
                <w:szCs w:val="21"/>
              </w:rPr>
              <w:t>废物类别</w:t>
            </w:r>
          </w:p>
        </w:tc>
        <w:tc>
          <w:tcPr>
            <w:tcW w:w="762" w:type="pct"/>
            <w:vAlign w:val="center"/>
          </w:tcPr>
          <w:p>
            <w:pPr>
              <w:jc w:val="center"/>
              <w:rPr>
                <w:bCs/>
                <w:szCs w:val="21"/>
              </w:rPr>
            </w:pPr>
            <w:r>
              <w:rPr>
                <w:rFonts w:hint="eastAsia"/>
                <w:bCs/>
                <w:szCs w:val="21"/>
              </w:rPr>
              <w:t>废物代码</w:t>
            </w:r>
          </w:p>
        </w:tc>
        <w:tc>
          <w:tcPr>
            <w:tcW w:w="1233" w:type="pct"/>
            <w:vAlign w:val="center"/>
          </w:tcPr>
          <w:p>
            <w:pPr>
              <w:jc w:val="center"/>
              <w:rPr>
                <w:bCs/>
                <w:kern w:val="0"/>
                <w:szCs w:val="21"/>
              </w:rPr>
            </w:pPr>
            <w:r>
              <w:rPr>
                <w:bCs/>
                <w:szCs w:val="21"/>
              </w:rPr>
              <w:t>处置措施</w:t>
            </w:r>
          </w:p>
        </w:tc>
        <w:tc>
          <w:tcPr>
            <w:tcW w:w="496" w:type="pct"/>
            <w:vAlign w:val="center"/>
          </w:tcPr>
          <w:p>
            <w:pPr>
              <w:jc w:val="center"/>
              <w:rPr>
                <w:bCs/>
                <w:kern w:val="0"/>
                <w:szCs w:val="21"/>
              </w:rPr>
            </w:pPr>
            <w:r>
              <w:rPr>
                <w:bCs/>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1</w:t>
            </w:r>
          </w:p>
        </w:tc>
        <w:tc>
          <w:tcPr>
            <w:tcW w:w="702" w:type="pct"/>
            <w:vAlign w:val="center"/>
          </w:tcPr>
          <w:p>
            <w:pPr>
              <w:jc w:val="center"/>
              <w:rPr>
                <w:bCs/>
                <w:kern w:val="0"/>
                <w:szCs w:val="21"/>
              </w:rPr>
            </w:pPr>
            <w:r>
              <w:rPr>
                <w:rFonts w:hint="eastAsia"/>
                <w:bCs/>
                <w:kern w:val="0"/>
                <w:szCs w:val="21"/>
              </w:rPr>
              <w:t>沉淀池泥沙</w:t>
            </w:r>
          </w:p>
        </w:tc>
        <w:tc>
          <w:tcPr>
            <w:tcW w:w="493" w:type="pct"/>
            <w:vAlign w:val="center"/>
          </w:tcPr>
          <w:p>
            <w:pPr>
              <w:jc w:val="center"/>
              <w:rPr>
                <w:bCs/>
                <w:kern w:val="0"/>
                <w:szCs w:val="21"/>
              </w:rPr>
            </w:pPr>
            <w:r>
              <w:rPr>
                <w:rFonts w:hint="eastAsia"/>
                <w:bCs/>
                <w:kern w:val="0"/>
                <w:szCs w:val="21"/>
              </w:rPr>
              <w:t>364.53</w:t>
            </w:r>
          </w:p>
        </w:tc>
        <w:tc>
          <w:tcPr>
            <w:tcW w:w="398" w:type="pct"/>
            <w:vAlign w:val="center"/>
          </w:tcPr>
          <w:p>
            <w:pPr>
              <w:jc w:val="center"/>
              <w:rPr>
                <w:bCs/>
                <w:kern w:val="0"/>
                <w:szCs w:val="21"/>
              </w:rPr>
            </w:pPr>
            <w:r>
              <w:rPr>
                <w:rFonts w:hint="eastAsia"/>
                <w:bCs/>
                <w:kern w:val="0"/>
                <w:szCs w:val="21"/>
              </w:rPr>
              <w:t>一般固废</w:t>
            </w:r>
          </w:p>
        </w:tc>
        <w:tc>
          <w:tcPr>
            <w:tcW w:w="644" w:type="pct"/>
            <w:vAlign w:val="center"/>
          </w:tcPr>
          <w:p>
            <w:pPr>
              <w:jc w:val="center"/>
              <w:rPr>
                <w:bCs/>
                <w:kern w:val="0"/>
                <w:szCs w:val="21"/>
              </w:rPr>
            </w:pPr>
            <w:r>
              <w:rPr>
                <w:rFonts w:hint="eastAsia"/>
                <w:bCs/>
                <w:kern w:val="0"/>
                <w:szCs w:val="21"/>
              </w:rPr>
              <w:t>SW07  污泥</w:t>
            </w:r>
          </w:p>
        </w:tc>
        <w:tc>
          <w:tcPr>
            <w:tcW w:w="762" w:type="pct"/>
            <w:vAlign w:val="center"/>
          </w:tcPr>
          <w:p>
            <w:pPr>
              <w:jc w:val="center"/>
              <w:rPr>
                <w:bCs/>
                <w:kern w:val="0"/>
                <w:szCs w:val="21"/>
              </w:rPr>
            </w:pPr>
            <w:r>
              <w:rPr>
                <w:rFonts w:hint="eastAsia"/>
                <w:bCs/>
                <w:kern w:val="0"/>
                <w:szCs w:val="21"/>
              </w:rPr>
              <w:t>900-099-S07</w:t>
            </w:r>
          </w:p>
        </w:tc>
        <w:tc>
          <w:tcPr>
            <w:tcW w:w="1233" w:type="pct"/>
            <w:vAlign w:val="center"/>
          </w:tcPr>
          <w:p>
            <w:pPr>
              <w:jc w:val="center"/>
              <w:rPr>
                <w:bCs/>
                <w:kern w:val="0"/>
                <w:szCs w:val="21"/>
              </w:rPr>
            </w:pPr>
            <w:r>
              <w:rPr>
                <w:rFonts w:hint="eastAsia"/>
                <w:bCs/>
                <w:kern w:val="0"/>
                <w:szCs w:val="21"/>
              </w:rPr>
              <w:t>定期清捞后送一般固废填埋场处置</w:t>
            </w:r>
          </w:p>
        </w:tc>
        <w:tc>
          <w:tcPr>
            <w:tcW w:w="496" w:type="pct"/>
            <w:vAlign w:val="center"/>
          </w:tcPr>
          <w:p>
            <w:pPr>
              <w:jc w:val="center"/>
              <w:rPr>
                <w:bCs/>
                <w:kern w:val="0"/>
                <w:szCs w:val="21"/>
              </w:rPr>
            </w:pPr>
            <w:r>
              <w:rPr>
                <w:rFonts w:hint="eastAsia"/>
                <w:bCs/>
                <w:kern w:val="0"/>
                <w:szCs w:val="21"/>
              </w:rPr>
              <w:t>364.53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2</w:t>
            </w:r>
          </w:p>
        </w:tc>
        <w:tc>
          <w:tcPr>
            <w:tcW w:w="702" w:type="pct"/>
            <w:vAlign w:val="center"/>
          </w:tcPr>
          <w:p>
            <w:pPr>
              <w:jc w:val="center"/>
              <w:rPr>
                <w:bCs/>
                <w:kern w:val="0"/>
                <w:szCs w:val="21"/>
              </w:rPr>
            </w:pPr>
            <w:r>
              <w:rPr>
                <w:rFonts w:hint="eastAsia"/>
                <w:bCs/>
                <w:kern w:val="0"/>
                <w:szCs w:val="21"/>
              </w:rPr>
              <w:t>废旧滤网</w:t>
            </w:r>
          </w:p>
        </w:tc>
        <w:tc>
          <w:tcPr>
            <w:tcW w:w="493" w:type="pct"/>
            <w:vAlign w:val="center"/>
          </w:tcPr>
          <w:p>
            <w:pPr>
              <w:jc w:val="center"/>
              <w:rPr>
                <w:bCs/>
                <w:kern w:val="0"/>
                <w:szCs w:val="21"/>
              </w:rPr>
            </w:pPr>
            <w:r>
              <w:rPr>
                <w:rFonts w:hint="eastAsia"/>
                <w:bCs/>
                <w:kern w:val="0"/>
                <w:szCs w:val="21"/>
              </w:rPr>
              <w:t>2.30</w:t>
            </w:r>
          </w:p>
        </w:tc>
        <w:tc>
          <w:tcPr>
            <w:tcW w:w="398" w:type="pct"/>
            <w:vAlign w:val="center"/>
          </w:tcPr>
          <w:p>
            <w:pPr>
              <w:jc w:val="center"/>
              <w:rPr>
                <w:bCs/>
                <w:kern w:val="0"/>
                <w:szCs w:val="21"/>
              </w:rPr>
            </w:pPr>
            <w:r>
              <w:rPr>
                <w:rFonts w:hint="eastAsia"/>
                <w:bCs/>
                <w:kern w:val="0"/>
                <w:szCs w:val="21"/>
              </w:rPr>
              <w:t>一般固废</w:t>
            </w:r>
          </w:p>
        </w:tc>
        <w:tc>
          <w:tcPr>
            <w:tcW w:w="644" w:type="pct"/>
            <w:vAlign w:val="center"/>
          </w:tcPr>
          <w:p>
            <w:pPr>
              <w:jc w:val="center"/>
              <w:rPr>
                <w:bCs/>
                <w:kern w:val="0"/>
                <w:szCs w:val="21"/>
              </w:rPr>
            </w:pPr>
            <w:r>
              <w:rPr>
                <w:bCs/>
                <w:kern w:val="0"/>
                <w:szCs w:val="21"/>
              </w:rPr>
              <w:t>SW59</w:t>
            </w:r>
          </w:p>
          <w:p>
            <w:pPr>
              <w:jc w:val="center"/>
              <w:rPr>
                <w:bCs/>
                <w:kern w:val="0"/>
                <w:szCs w:val="21"/>
              </w:rPr>
            </w:pPr>
            <w:r>
              <w:rPr>
                <w:rFonts w:hint="eastAsia"/>
                <w:bCs/>
                <w:kern w:val="0"/>
                <w:szCs w:val="21"/>
              </w:rPr>
              <w:t>其他工业固体废物</w:t>
            </w:r>
          </w:p>
        </w:tc>
        <w:tc>
          <w:tcPr>
            <w:tcW w:w="762" w:type="pct"/>
            <w:vAlign w:val="center"/>
          </w:tcPr>
          <w:p>
            <w:pPr>
              <w:jc w:val="center"/>
              <w:rPr>
                <w:bCs/>
                <w:kern w:val="0"/>
                <w:szCs w:val="21"/>
              </w:rPr>
            </w:pPr>
            <w:r>
              <w:rPr>
                <w:bCs/>
                <w:kern w:val="0"/>
                <w:szCs w:val="21"/>
              </w:rPr>
              <w:t>900-099-S59</w:t>
            </w:r>
          </w:p>
        </w:tc>
        <w:tc>
          <w:tcPr>
            <w:tcW w:w="1233" w:type="pct"/>
            <w:vAlign w:val="center"/>
          </w:tcPr>
          <w:p>
            <w:pPr>
              <w:jc w:val="center"/>
              <w:rPr>
                <w:bCs/>
                <w:kern w:val="0"/>
                <w:szCs w:val="21"/>
              </w:rPr>
            </w:pPr>
            <w:r>
              <w:rPr>
                <w:rFonts w:hint="eastAsia"/>
                <w:bCs/>
                <w:kern w:val="0"/>
                <w:szCs w:val="21"/>
              </w:rPr>
              <w:t>收集后送至固废填埋场处置</w:t>
            </w:r>
          </w:p>
        </w:tc>
        <w:tc>
          <w:tcPr>
            <w:tcW w:w="496" w:type="pct"/>
            <w:vAlign w:val="center"/>
          </w:tcPr>
          <w:p>
            <w:pPr>
              <w:jc w:val="center"/>
              <w:rPr>
                <w:bCs/>
                <w:kern w:val="0"/>
                <w:szCs w:val="21"/>
              </w:rPr>
            </w:pPr>
            <w:r>
              <w:rPr>
                <w:rFonts w:hint="eastAsia"/>
                <w:bCs/>
                <w:kern w:val="0"/>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3</w:t>
            </w:r>
          </w:p>
        </w:tc>
        <w:tc>
          <w:tcPr>
            <w:tcW w:w="702" w:type="pct"/>
            <w:vAlign w:val="center"/>
          </w:tcPr>
          <w:p>
            <w:pPr>
              <w:jc w:val="center"/>
              <w:rPr>
                <w:bCs/>
                <w:kern w:val="0"/>
                <w:szCs w:val="21"/>
              </w:rPr>
            </w:pPr>
            <w:r>
              <w:rPr>
                <w:rFonts w:hint="eastAsia"/>
                <w:bCs/>
                <w:kern w:val="0"/>
                <w:szCs w:val="21"/>
              </w:rPr>
              <w:t>滴灌带不合格品</w:t>
            </w:r>
          </w:p>
        </w:tc>
        <w:tc>
          <w:tcPr>
            <w:tcW w:w="493" w:type="pct"/>
            <w:vAlign w:val="center"/>
          </w:tcPr>
          <w:p>
            <w:pPr>
              <w:jc w:val="center"/>
              <w:rPr>
                <w:bCs/>
                <w:kern w:val="0"/>
                <w:szCs w:val="21"/>
              </w:rPr>
            </w:pPr>
            <w:r>
              <w:rPr>
                <w:rFonts w:hint="eastAsia"/>
                <w:bCs/>
                <w:kern w:val="0"/>
                <w:szCs w:val="21"/>
              </w:rPr>
              <w:t>200</w:t>
            </w:r>
          </w:p>
        </w:tc>
        <w:tc>
          <w:tcPr>
            <w:tcW w:w="398" w:type="pct"/>
            <w:vAlign w:val="center"/>
          </w:tcPr>
          <w:p>
            <w:pPr>
              <w:jc w:val="center"/>
              <w:rPr>
                <w:bCs/>
                <w:kern w:val="0"/>
                <w:szCs w:val="21"/>
              </w:rPr>
            </w:pPr>
            <w:r>
              <w:rPr>
                <w:rFonts w:hint="eastAsia"/>
                <w:bCs/>
                <w:kern w:val="0"/>
                <w:szCs w:val="21"/>
              </w:rPr>
              <w:t>一般固废</w:t>
            </w:r>
          </w:p>
        </w:tc>
        <w:tc>
          <w:tcPr>
            <w:tcW w:w="644" w:type="pct"/>
            <w:vAlign w:val="center"/>
          </w:tcPr>
          <w:p>
            <w:pPr>
              <w:jc w:val="center"/>
              <w:rPr>
                <w:bCs/>
                <w:kern w:val="0"/>
                <w:szCs w:val="21"/>
              </w:rPr>
            </w:pPr>
            <w:r>
              <w:rPr>
                <w:rFonts w:hint="eastAsia"/>
                <w:bCs/>
                <w:kern w:val="0"/>
                <w:szCs w:val="21"/>
              </w:rPr>
              <w:t>SW17  可再生类废物</w:t>
            </w:r>
          </w:p>
        </w:tc>
        <w:tc>
          <w:tcPr>
            <w:tcW w:w="762" w:type="pct"/>
            <w:vAlign w:val="center"/>
          </w:tcPr>
          <w:p>
            <w:pPr>
              <w:jc w:val="center"/>
              <w:rPr>
                <w:bCs/>
                <w:kern w:val="0"/>
                <w:szCs w:val="21"/>
              </w:rPr>
            </w:pPr>
            <w:r>
              <w:rPr>
                <w:bCs/>
                <w:kern w:val="0"/>
                <w:szCs w:val="21"/>
              </w:rPr>
              <w:t>900-003-S17</w:t>
            </w:r>
          </w:p>
        </w:tc>
        <w:tc>
          <w:tcPr>
            <w:tcW w:w="1233" w:type="pct"/>
            <w:vAlign w:val="center"/>
          </w:tcPr>
          <w:p>
            <w:pPr>
              <w:jc w:val="center"/>
              <w:rPr>
                <w:bCs/>
                <w:kern w:val="0"/>
                <w:szCs w:val="21"/>
              </w:rPr>
            </w:pPr>
            <w:r>
              <w:rPr>
                <w:rFonts w:hint="eastAsia"/>
                <w:bCs/>
                <w:kern w:val="0"/>
                <w:szCs w:val="21"/>
              </w:rPr>
              <w:t>回至废旧滴灌带破碎工序再次破碎造粒循环利用</w:t>
            </w:r>
          </w:p>
        </w:tc>
        <w:tc>
          <w:tcPr>
            <w:tcW w:w="496" w:type="pct"/>
            <w:vAlign w:val="center"/>
          </w:tcPr>
          <w:p>
            <w:pPr>
              <w:jc w:val="center"/>
              <w:rPr>
                <w:bCs/>
                <w:kern w:val="0"/>
                <w:szCs w:val="21"/>
              </w:rPr>
            </w:pPr>
            <w:r>
              <w:rPr>
                <w:rFonts w:hint="eastAsia"/>
                <w:bCs/>
                <w:kern w:val="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4</w:t>
            </w:r>
          </w:p>
        </w:tc>
        <w:tc>
          <w:tcPr>
            <w:tcW w:w="702" w:type="pct"/>
            <w:vAlign w:val="center"/>
          </w:tcPr>
          <w:p>
            <w:pPr>
              <w:jc w:val="center"/>
              <w:rPr>
                <w:bCs/>
                <w:kern w:val="0"/>
                <w:szCs w:val="21"/>
              </w:rPr>
            </w:pPr>
            <w:r>
              <w:rPr>
                <w:rFonts w:hint="eastAsia"/>
                <w:bCs/>
                <w:kern w:val="0"/>
                <w:szCs w:val="21"/>
              </w:rPr>
              <w:t>PE管不合格品</w:t>
            </w:r>
          </w:p>
        </w:tc>
        <w:tc>
          <w:tcPr>
            <w:tcW w:w="493" w:type="pct"/>
            <w:vAlign w:val="center"/>
          </w:tcPr>
          <w:p>
            <w:pPr>
              <w:jc w:val="center"/>
              <w:rPr>
                <w:bCs/>
                <w:kern w:val="0"/>
                <w:szCs w:val="21"/>
              </w:rPr>
            </w:pPr>
            <w:r>
              <w:rPr>
                <w:rFonts w:hint="eastAsia"/>
                <w:bCs/>
                <w:kern w:val="0"/>
                <w:szCs w:val="21"/>
              </w:rPr>
              <w:t>46.25</w:t>
            </w:r>
          </w:p>
        </w:tc>
        <w:tc>
          <w:tcPr>
            <w:tcW w:w="398" w:type="pct"/>
            <w:vAlign w:val="center"/>
          </w:tcPr>
          <w:p>
            <w:pPr>
              <w:jc w:val="center"/>
              <w:rPr>
                <w:bCs/>
                <w:kern w:val="0"/>
                <w:szCs w:val="21"/>
              </w:rPr>
            </w:pPr>
            <w:r>
              <w:rPr>
                <w:rFonts w:hint="eastAsia"/>
                <w:bCs/>
                <w:kern w:val="0"/>
                <w:szCs w:val="21"/>
              </w:rPr>
              <w:t>一般固废</w:t>
            </w:r>
          </w:p>
        </w:tc>
        <w:tc>
          <w:tcPr>
            <w:tcW w:w="644" w:type="pct"/>
            <w:vAlign w:val="center"/>
          </w:tcPr>
          <w:p>
            <w:pPr>
              <w:jc w:val="center"/>
              <w:rPr>
                <w:bCs/>
                <w:kern w:val="0"/>
                <w:szCs w:val="21"/>
              </w:rPr>
            </w:pPr>
            <w:r>
              <w:rPr>
                <w:rFonts w:hint="eastAsia"/>
                <w:bCs/>
                <w:kern w:val="0"/>
                <w:szCs w:val="21"/>
              </w:rPr>
              <w:t>SW17  可再生类废物</w:t>
            </w:r>
          </w:p>
        </w:tc>
        <w:tc>
          <w:tcPr>
            <w:tcW w:w="762" w:type="pct"/>
            <w:vAlign w:val="center"/>
          </w:tcPr>
          <w:p>
            <w:pPr>
              <w:jc w:val="center"/>
              <w:rPr>
                <w:bCs/>
                <w:kern w:val="0"/>
                <w:szCs w:val="21"/>
              </w:rPr>
            </w:pPr>
            <w:r>
              <w:rPr>
                <w:bCs/>
                <w:kern w:val="0"/>
                <w:szCs w:val="21"/>
              </w:rPr>
              <w:t>900-003-S17</w:t>
            </w:r>
          </w:p>
        </w:tc>
        <w:tc>
          <w:tcPr>
            <w:tcW w:w="1233" w:type="pct"/>
            <w:vAlign w:val="center"/>
          </w:tcPr>
          <w:p>
            <w:pPr>
              <w:jc w:val="center"/>
              <w:rPr>
                <w:bCs/>
                <w:kern w:val="0"/>
                <w:szCs w:val="21"/>
              </w:rPr>
            </w:pPr>
            <w:r>
              <w:rPr>
                <w:rFonts w:hint="eastAsia"/>
                <w:bCs/>
                <w:kern w:val="0"/>
                <w:szCs w:val="21"/>
              </w:rPr>
              <w:t>回至</w:t>
            </w:r>
            <w:bookmarkStart w:id="222" w:name="_Hlk165285339"/>
            <w:r>
              <w:rPr>
                <w:rFonts w:hint="eastAsia"/>
                <w:bCs/>
                <w:kern w:val="0"/>
                <w:szCs w:val="21"/>
              </w:rPr>
              <w:t>废旧滴灌带破碎工序再次破碎造粒循环利用</w:t>
            </w:r>
            <w:bookmarkEnd w:id="222"/>
          </w:p>
        </w:tc>
        <w:tc>
          <w:tcPr>
            <w:tcW w:w="496" w:type="pct"/>
            <w:vAlign w:val="center"/>
          </w:tcPr>
          <w:p>
            <w:pPr>
              <w:jc w:val="center"/>
              <w:rPr>
                <w:bCs/>
                <w:kern w:val="0"/>
                <w:szCs w:val="21"/>
              </w:rPr>
            </w:pPr>
            <w:r>
              <w:rPr>
                <w:rFonts w:hint="eastAsia"/>
                <w:bCs/>
                <w:kern w:val="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5</w:t>
            </w:r>
          </w:p>
        </w:tc>
        <w:tc>
          <w:tcPr>
            <w:tcW w:w="702" w:type="pct"/>
            <w:vAlign w:val="center"/>
          </w:tcPr>
          <w:p>
            <w:pPr>
              <w:jc w:val="center"/>
              <w:rPr>
                <w:bCs/>
                <w:kern w:val="0"/>
                <w:szCs w:val="21"/>
              </w:rPr>
            </w:pPr>
            <w:r>
              <w:rPr>
                <w:rFonts w:hint="eastAsia"/>
                <w:bCs/>
                <w:kern w:val="0"/>
                <w:szCs w:val="21"/>
              </w:rPr>
              <w:t>废活性炭</w:t>
            </w:r>
          </w:p>
        </w:tc>
        <w:tc>
          <w:tcPr>
            <w:tcW w:w="493" w:type="pct"/>
            <w:vAlign w:val="center"/>
          </w:tcPr>
          <w:p>
            <w:pPr>
              <w:jc w:val="center"/>
              <w:rPr>
                <w:bCs/>
                <w:kern w:val="0"/>
                <w:szCs w:val="21"/>
              </w:rPr>
            </w:pPr>
            <w:r>
              <w:rPr>
                <w:rFonts w:hint="eastAsia"/>
                <w:bCs/>
                <w:kern w:val="0"/>
                <w:szCs w:val="21"/>
              </w:rPr>
              <w:t>2t/3a</w:t>
            </w:r>
          </w:p>
        </w:tc>
        <w:tc>
          <w:tcPr>
            <w:tcW w:w="398" w:type="pct"/>
            <w:vAlign w:val="center"/>
          </w:tcPr>
          <w:p>
            <w:pPr>
              <w:jc w:val="center"/>
              <w:rPr>
                <w:bCs/>
                <w:kern w:val="0"/>
                <w:szCs w:val="21"/>
              </w:rPr>
            </w:pPr>
            <w:r>
              <w:rPr>
                <w:rFonts w:hint="eastAsia"/>
                <w:bCs/>
                <w:kern w:val="0"/>
                <w:szCs w:val="21"/>
              </w:rPr>
              <w:t>危险废物</w:t>
            </w:r>
          </w:p>
        </w:tc>
        <w:tc>
          <w:tcPr>
            <w:tcW w:w="644" w:type="pct"/>
            <w:vAlign w:val="center"/>
          </w:tcPr>
          <w:p>
            <w:pPr>
              <w:jc w:val="center"/>
              <w:rPr>
                <w:bCs/>
                <w:kern w:val="0"/>
                <w:szCs w:val="21"/>
              </w:rPr>
            </w:pPr>
            <w:r>
              <w:rPr>
                <w:bCs/>
                <w:kern w:val="0"/>
                <w:szCs w:val="21"/>
              </w:rPr>
              <w:t>HW49</w:t>
            </w:r>
          </w:p>
        </w:tc>
        <w:tc>
          <w:tcPr>
            <w:tcW w:w="762" w:type="pct"/>
            <w:vAlign w:val="center"/>
          </w:tcPr>
          <w:p>
            <w:pPr>
              <w:jc w:val="center"/>
              <w:rPr>
                <w:bCs/>
                <w:kern w:val="0"/>
                <w:szCs w:val="21"/>
              </w:rPr>
            </w:pPr>
            <w:r>
              <w:rPr>
                <w:bCs/>
                <w:kern w:val="0"/>
                <w:szCs w:val="21"/>
              </w:rPr>
              <w:t>900-039-49</w:t>
            </w:r>
          </w:p>
        </w:tc>
        <w:tc>
          <w:tcPr>
            <w:tcW w:w="1233" w:type="pct"/>
            <w:vAlign w:val="center"/>
          </w:tcPr>
          <w:p>
            <w:pPr>
              <w:jc w:val="center"/>
              <w:rPr>
                <w:bCs/>
                <w:kern w:val="0"/>
                <w:szCs w:val="21"/>
              </w:rPr>
            </w:pP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暂存后定期交由有资质单位处置</w:t>
            </w:r>
          </w:p>
        </w:tc>
        <w:tc>
          <w:tcPr>
            <w:tcW w:w="496" w:type="pct"/>
            <w:vAlign w:val="center"/>
          </w:tcPr>
          <w:p>
            <w:pPr>
              <w:jc w:val="center"/>
              <w:rPr>
                <w:bCs/>
                <w:kern w:val="0"/>
                <w:szCs w:val="21"/>
              </w:rPr>
            </w:pPr>
            <w:r>
              <w:rPr>
                <w:rFonts w:hint="eastAsia"/>
                <w:bCs/>
                <w:kern w:val="0"/>
                <w:szCs w:val="21"/>
              </w:rPr>
              <w:t>2t/3a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6</w:t>
            </w:r>
          </w:p>
        </w:tc>
        <w:tc>
          <w:tcPr>
            <w:tcW w:w="702" w:type="pct"/>
            <w:vAlign w:val="center"/>
          </w:tcPr>
          <w:p>
            <w:pPr>
              <w:jc w:val="center"/>
              <w:rPr>
                <w:bCs/>
                <w:kern w:val="0"/>
                <w:szCs w:val="21"/>
              </w:rPr>
            </w:pPr>
            <w:r>
              <w:rPr>
                <w:rFonts w:hint="eastAsia"/>
                <w:bCs/>
                <w:kern w:val="0"/>
                <w:szCs w:val="21"/>
              </w:rPr>
              <w:t>废催化剂</w:t>
            </w:r>
          </w:p>
        </w:tc>
        <w:tc>
          <w:tcPr>
            <w:tcW w:w="493" w:type="pct"/>
            <w:vAlign w:val="center"/>
          </w:tcPr>
          <w:p>
            <w:pPr>
              <w:jc w:val="center"/>
              <w:rPr>
                <w:bCs/>
                <w:kern w:val="0"/>
                <w:szCs w:val="21"/>
              </w:rPr>
            </w:pPr>
            <w:r>
              <w:rPr>
                <w:rFonts w:hint="eastAsia"/>
                <w:bCs/>
                <w:kern w:val="0"/>
                <w:szCs w:val="21"/>
              </w:rPr>
              <w:t>1t/3a</w:t>
            </w:r>
          </w:p>
        </w:tc>
        <w:tc>
          <w:tcPr>
            <w:tcW w:w="398" w:type="pct"/>
            <w:vAlign w:val="center"/>
          </w:tcPr>
          <w:p>
            <w:pPr>
              <w:jc w:val="center"/>
              <w:rPr>
                <w:bCs/>
                <w:kern w:val="0"/>
                <w:szCs w:val="21"/>
              </w:rPr>
            </w:pPr>
            <w:r>
              <w:rPr>
                <w:rFonts w:hint="eastAsia"/>
                <w:bCs/>
                <w:kern w:val="0"/>
                <w:szCs w:val="21"/>
              </w:rPr>
              <w:t>危险废物</w:t>
            </w:r>
          </w:p>
        </w:tc>
        <w:tc>
          <w:tcPr>
            <w:tcW w:w="644" w:type="pct"/>
            <w:vAlign w:val="center"/>
          </w:tcPr>
          <w:p>
            <w:pPr>
              <w:jc w:val="center"/>
              <w:rPr>
                <w:bCs/>
                <w:kern w:val="0"/>
                <w:szCs w:val="21"/>
              </w:rPr>
            </w:pPr>
            <w:r>
              <w:rPr>
                <w:rFonts w:hint="eastAsia"/>
                <w:bCs/>
                <w:kern w:val="0"/>
                <w:szCs w:val="21"/>
              </w:rPr>
              <w:t>HW</w:t>
            </w:r>
            <w:r>
              <w:rPr>
                <w:bCs/>
                <w:kern w:val="0"/>
                <w:szCs w:val="21"/>
              </w:rPr>
              <w:t>46</w:t>
            </w:r>
          </w:p>
        </w:tc>
        <w:tc>
          <w:tcPr>
            <w:tcW w:w="762" w:type="pct"/>
            <w:vAlign w:val="center"/>
          </w:tcPr>
          <w:p>
            <w:pPr>
              <w:jc w:val="center"/>
              <w:rPr>
                <w:bCs/>
                <w:kern w:val="0"/>
                <w:szCs w:val="21"/>
              </w:rPr>
            </w:pPr>
            <w:r>
              <w:rPr>
                <w:rFonts w:hint="eastAsia"/>
                <w:bCs/>
                <w:kern w:val="0"/>
                <w:szCs w:val="21"/>
              </w:rPr>
              <w:t>900-037-46</w:t>
            </w:r>
          </w:p>
        </w:tc>
        <w:tc>
          <w:tcPr>
            <w:tcW w:w="1233" w:type="pct"/>
            <w:vAlign w:val="center"/>
          </w:tcPr>
          <w:p>
            <w:pPr>
              <w:jc w:val="center"/>
              <w:rPr>
                <w:bCs/>
                <w:kern w:val="0"/>
                <w:szCs w:val="21"/>
              </w:rPr>
            </w:pP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暂存后定期交由有资质单位处置</w:t>
            </w:r>
          </w:p>
        </w:tc>
        <w:tc>
          <w:tcPr>
            <w:tcW w:w="496" w:type="pct"/>
            <w:vAlign w:val="center"/>
          </w:tcPr>
          <w:p>
            <w:pPr>
              <w:jc w:val="center"/>
              <w:rPr>
                <w:bCs/>
                <w:kern w:val="0"/>
                <w:szCs w:val="21"/>
              </w:rPr>
            </w:pPr>
            <w:r>
              <w:rPr>
                <w:rFonts w:hint="eastAsia"/>
                <w:bCs/>
                <w:kern w:val="0"/>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7</w:t>
            </w:r>
          </w:p>
        </w:tc>
        <w:tc>
          <w:tcPr>
            <w:tcW w:w="702" w:type="pct"/>
            <w:vAlign w:val="center"/>
          </w:tcPr>
          <w:p>
            <w:pPr>
              <w:jc w:val="center"/>
              <w:rPr>
                <w:bCs/>
                <w:kern w:val="0"/>
                <w:szCs w:val="21"/>
              </w:rPr>
            </w:pPr>
            <w:r>
              <w:rPr>
                <w:rFonts w:hint="eastAsia"/>
                <w:bCs/>
                <w:kern w:val="0"/>
                <w:szCs w:val="21"/>
              </w:rPr>
              <w:t>废润滑油及桶</w:t>
            </w:r>
          </w:p>
        </w:tc>
        <w:tc>
          <w:tcPr>
            <w:tcW w:w="493" w:type="pct"/>
            <w:vAlign w:val="center"/>
          </w:tcPr>
          <w:p>
            <w:pPr>
              <w:jc w:val="center"/>
              <w:rPr>
                <w:bCs/>
                <w:kern w:val="0"/>
                <w:szCs w:val="21"/>
              </w:rPr>
            </w:pPr>
            <w:r>
              <w:rPr>
                <w:rFonts w:hint="eastAsia"/>
                <w:bCs/>
                <w:kern w:val="0"/>
                <w:szCs w:val="21"/>
              </w:rPr>
              <w:t>0.6</w:t>
            </w:r>
          </w:p>
        </w:tc>
        <w:tc>
          <w:tcPr>
            <w:tcW w:w="398" w:type="pct"/>
            <w:vAlign w:val="center"/>
          </w:tcPr>
          <w:p>
            <w:pPr>
              <w:jc w:val="center"/>
              <w:rPr>
                <w:bCs/>
                <w:kern w:val="0"/>
                <w:szCs w:val="21"/>
              </w:rPr>
            </w:pPr>
            <w:r>
              <w:rPr>
                <w:rFonts w:hint="eastAsia"/>
                <w:bCs/>
                <w:kern w:val="0"/>
                <w:szCs w:val="21"/>
              </w:rPr>
              <w:t>危险废物</w:t>
            </w:r>
          </w:p>
        </w:tc>
        <w:tc>
          <w:tcPr>
            <w:tcW w:w="644" w:type="pct"/>
            <w:vAlign w:val="center"/>
          </w:tcPr>
          <w:p>
            <w:pPr>
              <w:jc w:val="center"/>
              <w:rPr>
                <w:bCs/>
                <w:kern w:val="0"/>
                <w:szCs w:val="21"/>
              </w:rPr>
            </w:pPr>
            <w:r>
              <w:rPr>
                <w:bCs/>
                <w:kern w:val="0"/>
                <w:szCs w:val="21"/>
              </w:rPr>
              <w:t>HW08</w:t>
            </w:r>
          </w:p>
        </w:tc>
        <w:tc>
          <w:tcPr>
            <w:tcW w:w="762" w:type="pct"/>
            <w:vAlign w:val="center"/>
          </w:tcPr>
          <w:p>
            <w:pPr>
              <w:jc w:val="center"/>
              <w:rPr>
                <w:bCs/>
                <w:kern w:val="0"/>
                <w:szCs w:val="21"/>
              </w:rPr>
            </w:pPr>
            <w:r>
              <w:rPr>
                <w:bCs/>
                <w:kern w:val="0"/>
                <w:szCs w:val="21"/>
              </w:rPr>
              <w:t>900-217-08</w:t>
            </w:r>
          </w:p>
        </w:tc>
        <w:tc>
          <w:tcPr>
            <w:tcW w:w="1233" w:type="pct"/>
            <w:vAlign w:val="center"/>
          </w:tcPr>
          <w:p>
            <w:pPr>
              <w:jc w:val="center"/>
              <w:rPr>
                <w:bCs/>
                <w:kern w:val="0"/>
                <w:szCs w:val="21"/>
              </w:rPr>
            </w:pPr>
            <w:r>
              <w:rPr>
                <w:rFonts w:hint="eastAsia"/>
                <w:bCs/>
                <w:kern w:val="0"/>
                <w:szCs w:val="21"/>
              </w:rPr>
              <w:t>采用桶装收集储存，</w:t>
            </w:r>
            <w:r>
              <w:rPr>
                <w:rFonts w:hint="eastAsia"/>
                <w:bCs/>
                <w:szCs w:val="21"/>
              </w:rPr>
              <w:t>收集后暂存于厂区</w:t>
            </w:r>
            <w:r>
              <w:rPr>
                <w:bCs/>
                <w:szCs w:val="21"/>
              </w:rPr>
              <w:t>要求设置的</w:t>
            </w:r>
            <w:r>
              <w:rPr>
                <w:rFonts w:hint="eastAsia"/>
                <w:bCs/>
                <w:szCs w:val="21"/>
              </w:rPr>
              <w:t>10</w:t>
            </w:r>
            <w:r>
              <w:rPr>
                <w:bCs/>
                <w:szCs w:val="21"/>
              </w:rPr>
              <w:t>m</w:t>
            </w:r>
            <w:r>
              <w:rPr>
                <w:bCs/>
                <w:szCs w:val="21"/>
                <w:vertAlign w:val="superscript"/>
              </w:rPr>
              <w:t>2</w:t>
            </w:r>
            <w:r>
              <w:rPr>
                <w:rFonts w:hint="eastAsia"/>
                <w:bCs/>
                <w:szCs w:val="21"/>
              </w:rPr>
              <w:t>危废暂存间</w:t>
            </w:r>
            <w:r>
              <w:rPr>
                <w:rFonts w:hint="eastAsia"/>
                <w:bCs/>
                <w:kern w:val="0"/>
                <w:szCs w:val="21"/>
              </w:rPr>
              <w:t>，定期交由有资质的单位处置</w:t>
            </w:r>
          </w:p>
        </w:tc>
        <w:tc>
          <w:tcPr>
            <w:tcW w:w="496" w:type="pct"/>
            <w:vAlign w:val="center"/>
          </w:tcPr>
          <w:p>
            <w:pPr>
              <w:jc w:val="center"/>
              <w:rPr>
                <w:bCs/>
                <w:kern w:val="0"/>
                <w:szCs w:val="21"/>
              </w:rPr>
            </w:pPr>
            <w:r>
              <w:rPr>
                <w:rFonts w:hint="eastAsia"/>
                <w:bCs/>
                <w:kern w:val="0"/>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Align w:val="center"/>
          </w:tcPr>
          <w:p>
            <w:pPr>
              <w:jc w:val="center"/>
              <w:rPr>
                <w:bCs/>
                <w:szCs w:val="21"/>
              </w:rPr>
            </w:pPr>
            <w:r>
              <w:rPr>
                <w:rFonts w:hint="eastAsia"/>
                <w:bCs/>
                <w:szCs w:val="21"/>
              </w:rPr>
              <w:t>8</w:t>
            </w:r>
          </w:p>
        </w:tc>
        <w:tc>
          <w:tcPr>
            <w:tcW w:w="702" w:type="pct"/>
            <w:vAlign w:val="center"/>
          </w:tcPr>
          <w:p>
            <w:pPr>
              <w:jc w:val="center"/>
              <w:rPr>
                <w:bCs/>
                <w:kern w:val="0"/>
                <w:szCs w:val="21"/>
              </w:rPr>
            </w:pPr>
            <w:r>
              <w:rPr>
                <w:bCs/>
                <w:kern w:val="0"/>
                <w:szCs w:val="21"/>
              </w:rPr>
              <w:t>生活垃圾</w:t>
            </w:r>
          </w:p>
        </w:tc>
        <w:tc>
          <w:tcPr>
            <w:tcW w:w="493" w:type="pct"/>
            <w:vAlign w:val="center"/>
          </w:tcPr>
          <w:p>
            <w:pPr>
              <w:jc w:val="center"/>
              <w:rPr>
                <w:bCs/>
                <w:kern w:val="0"/>
                <w:szCs w:val="21"/>
              </w:rPr>
            </w:pPr>
            <w:r>
              <w:rPr>
                <w:rFonts w:hint="eastAsia"/>
                <w:bCs/>
                <w:kern w:val="0"/>
                <w:szCs w:val="21"/>
              </w:rPr>
              <w:t>1.44</w:t>
            </w:r>
          </w:p>
        </w:tc>
        <w:tc>
          <w:tcPr>
            <w:tcW w:w="398" w:type="pct"/>
            <w:vAlign w:val="center"/>
          </w:tcPr>
          <w:p>
            <w:pPr>
              <w:jc w:val="center"/>
              <w:rPr>
                <w:bCs/>
                <w:kern w:val="0"/>
                <w:szCs w:val="21"/>
              </w:rPr>
            </w:pPr>
            <w:r>
              <w:rPr>
                <w:bCs/>
                <w:kern w:val="0"/>
                <w:szCs w:val="21"/>
              </w:rPr>
              <w:t>生活垃圾</w:t>
            </w:r>
          </w:p>
        </w:tc>
        <w:tc>
          <w:tcPr>
            <w:tcW w:w="644" w:type="pct"/>
            <w:vAlign w:val="center"/>
          </w:tcPr>
          <w:p>
            <w:pPr>
              <w:jc w:val="center"/>
              <w:rPr>
                <w:bCs/>
                <w:kern w:val="0"/>
                <w:szCs w:val="21"/>
              </w:rPr>
            </w:pPr>
            <w:r>
              <w:rPr>
                <w:rFonts w:hint="eastAsia"/>
                <w:bCs/>
                <w:kern w:val="0"/>
                <w:szCs w:val="21"/>
              </w:rPr>
              <w:t>/</w:t>
            </w:r>
          </w:p>
        </w:tc>
        <w:tc>
          <w:tcPr>
            <w:tcW w:w="762" w:type="pct"/>
            <w:vAlign w:val="center"/>
          </w:tcPr>
          <w:p>
            <w:pPr>
              <w:jc w:val="center"/>
              <w:rPr>
                <w:bCs/>
                <w:kern w:val="0"/>
                <w:szCs w:val="21"/>
              </w:rPr>
            </w:pPr>
            <w:r>
              <w:rPr>
                <w:rFonts w:hint="eastAsia"/>
                <w:bCs/>
                <w:kern w:val="0"/>
                <w:szCs w:val="21"/>
              </w:rPr>
              <w:t>/</w:t>
            </w:r>
          </w:p>
        </w:tc>
        <w:tc>
          <w:tcPr>
            <w:tcW w:w="1233" w:type="pct"/>
            <w:vAlign w:val="center"/>
          </w:tcPr>
          <w:p>
            <w:pPr>
              <w:jc w:val="center"/>
              <w:rPr>
                <w:bCs/>
                <w:kern w:val="0"/>
                <w:szCs w:val="21"/>
              </w:rPr>
            </w:pPr>
            <w:r>
              <w:rPr>
                <w:bCs/>
                <w:kern w:val="0"/>
                <w:szCs w:val="21"/>
              </w:rPr>
              <w:t>收集后委托环卫部门进行外运填埋处理</w:t>
            </w:r>
          </w:p>
        </w:tc>
        <w:tc>
          <w:tcPr>
            <w:tcW w:w="496" w:type="pct"/>
            <w:vAlign w:val="center"/>
          </w:tcPr>
          <w:p>
            <w:pPr>
              <w:jc w:val="center"/>
              <w:rPr>
                <w:bCs/>
                <w:kern w:val="0"/>
                <w:szCs w:val="21"/>
              </w:rPr>
            </w:pPr>
            <w:r>
              <w:rPr>
                <w:rFonts w:hint="eastAsia"/>
                <w:bCs/>
                <w:kern w:val="0"/>
                <w:szCs w:val="21"/>
              </w:rPr>
              <w:t>1.44</w:t>
            </w:r>
          </w:p>
        </w:tc>
      </w:tr>
    </w:tbl>
    <w:p>
      <w:pPr>
        <w:pStyle w:val="499"/>
        <w:spacing w:line="460" w:lineRule="exact"/>
        <w:ind w:firstLine="480"/>
        <w:rPr>
          <w:rFonts w:ascii="Times New Roman" w:hAnsi="Times New Roman" w:cs="Times New Roman"/>
        </w:rPr>
      </w:pPr>
    </w:p>
    <w:p>
      <w:pPr>
        <w:pStyle w:val="499"/>
        <w:spacing w:line="460" w:lineRule="exact"/>
        <w:ind w:firstLine="480"/>
        <w:rPr>
          <w:rFonts w:ascii="Times New Roman" w:hAnsi="Times New Roman" w:cs="Times New Roman"/>
        </w:rPr>
      </w:pPr>
      <w:r>
        <w:rPr>
          <w:rFonts w:hint="eastAsia" w:ascii="Times New Roman" w:hAnsi="Times New Roman" w:cs="Times New Roman"/>
        </w:rPr>
        <w:t>本项目产生的固体废弃物全部都有利用途径或处置出路。在固体废物及时处理的情况下，基本不会产生大的环境影响。</w:t>
      </w:r>
    </w:p>
    <w:p>
      <w:pPr>
        <w:pStyle w:val="499"/>
        <w:spacing w:line="460" w:lineRule="exact"/>
        <w:ind w:firstLine="480"/>
        <w:rPr>
          <w:rFonts w:ascii="Times New Roman" w:hAnsi="Times New Roman" w:cs="Times New Roman"/>
        </w:rPr>
      </w:pPr>
      <w:r>
        <w:rPr>
          <w:rFonts w:hint="eastAsia" w:ascii="Times New Roman" w:hAnsi="Times New Roman" w:cs="Times New Roman"/>
        </w:rPr>
        <w:t>若固体废物得不到及时处置或利用途径，在厂区内长时间堆存，将产生一定的环境影响，固废废物尤其是危险废物中有害物质如不采取有效控制措施，会通过释放到水体、土壤和大气而进入环境，从而对环境造成影响，影响的程度取决于释放过程中污染物的转移量及其进入环境后的浓度。本项目产生的危险废物主要为废润滑油及桶，若不妥善处置，在收集包装、储存、运输以及委托处置过程中，均有可能对土壤、水体、环境空气质量产生影响。</w:t>
      </w:r>
    </w:p>
    <w:p>
      <w:pPr>
        <w:pStyle w:val="499"/>
        <w:spacing w:line="460" w:lineRule="exact"/>
        <w:ind w:firstLine="480"/>
        <w:rPr>
          <w:rFonts w:ascii="Times New Roman" w:hAnsi="Times New Roman" w:cs="Times New Roman"/>
        </w:rPr>
      </w:pPr>
      <w:r>
        <w:rPr>
          <w:rFonts w:hint="eastAsia" w:ascii="Times New Roman" w:hAnsi="Times New Roman" w:cs="Times New Roman"/>
        </w:rPr>
        <w:t>1、对大气的影响</w:t>
      </w:r>
    </w:p>
    <w:p>
      <w:pPr>
        <w:pStyle w:val="499"/>
        <w:spacing w:line="460" w:lineRule="exact"/>
        <w:ind w:firstLine="480"/>
        <w:rPr>
          <w:rFonts w:ascii="Times New Roman" w:hAnsi="Times New Roman" w:cs="Times New Roman"/>
        </w:rPr>
      </w:pPr>
      <w:r>
        <w:rPr>
          <w:rFonts w:hint="eastAsia" w:ascii="Times New Roman" w:hAnsi="Times New Roman" w:cs="Times New Roman"/>
        </w:rPr>
        <w:t>固体废物中的微细颗粒物在长期堆存时，因表面干燥会随风引起扬尘，对周围大气环境造成危害。堆放的固体废物在长期堆放时由于其中的有机物发酵散发恶臭气体，污染大气环境。</w:t>
      </w:r>
    </w:p>
    <w:p>
      <w:pPr>
        <w:pStyle w:val="499"/>
        <w:spacing w:line="460" w:lineRule="exact"/>
        <w:ind w:firstLine="480"/>
        <w:rPr>
          <w:rFonts w:ascii="Times New Roman" w:hAnsi="Times New Roman" w:cs="Times New Roman"/>
        </w:rPr>
      </w:pPr>
      <w:r>
        <w:rPr>
          <w:rFonts w:hint="eastAsia" w:ascii="Times New Roman" w:hAnsi="Times New Roman" w:cs="Times New Roman"/>
        </w:rPr>
        <w:t>固体废物在堆放过程中，废物所含的细粒、粉末随风扬散；在废物运输及处理过程中缺少相应的防护和净化设施，释放有害气体和粉尘。本项目固废在厂区不长期堆存，产生的固废可回用的基本回用处置，不可回用的及时外运处置，不在厂区长时间堆存，因此，正常情况下本项目固体废物对大气环境的影响较小。</w:t>
      </w:r>
    </w:p>
    <w:p>
      <w:pPr>
        <w:pStyle w:val="499"/>
        <w:spacing w:line="460" w:lineRule="exact"/>
        <w:ind w:firstLine="480"/>
        <w:rPr>
          <w:rFonts w:ascii="Times New Roman" w:hAnsi="Times New Roman" w:cs="Times New Roman"/>
        </w:rPr>
      </w:pPr>
      <w:r>
        <w:rPr>
          <w:rFonts w:hint="eastAsia" w:ascii="Times New Roman" w:hAnsi="Times New Roman" w:cs="Times New Roman"/>
        </w:rPr>
        <w:t>2、对水体的影响</w:t>
      </w:r>
    </w:p>
    <w:p>
      <w:pPr>
        <w:pStyle w:val="499"/>
        <w:spacing w:line="460" w:lineRule="exact"/>
        <w:ind w:firstLine="480"/>
        <w:rPr>
          <w:rFonts w:ascii="Times New Roman" w:hAnsi="Times New Roman" w:cs="Times New Roman"/>
        </w:rPr>
      </w:pPr>
      <w:r>
        <w:rPr>
          <w:rFonts w:hint="eastAsia" w:ascii="Times New Roman" w:hAnsi="Times New Roman" w:cs="Times New Roman"/>
        </w:rPr>
        <w:t>若不重视监管，将固体废物直接排入自然水体、或是露天堆放的固体废物被地表径流携带进入水体、或是堆放过程飘入空中的废物细小颗粒，通过降雨的冲洗沉积、凝雨沉积以及重力沉降和干沉积而落入地表水系，水体都可溶入有害成分，毒害水生生物，或造成水体富营养化，导致生物死亡等。本项目产生的一般固废及时清运，不在厂区长时间堆存，危险废物暂存间用于储存项目所产生的各类危险废物，项目所产生危险废物及严格按《危险废物贮存污染控制标准》（GB 18597-2023）有关危险废物转移的管理办法进行管理和转移运输，一般固废暂存及危险废物暂存均设专人管理，因此，固体废物直接排入自然水体、或是露天堆放的可能性很小。因此固废对地表水的影响很小。</w:t>
      </w:r>
    </w:p>
    <w:p>
      <w:pPr>
        <w:pStyle w:val="499"/>
        <w:spacing w:line="460" w:lineRule="exact"/>
        <w:ind w:firstLine="480"/>
        <w:rPr>
          <w:rFonts w:ascii="Times New Roman" w:hAnsi="Times New Roman" w:cs="Times New Roman"/>
        </w:rPr>
      </w:pPr>
      <w:r>
        <w:rPr>
          <w:rFonts w:hint="eastAsia" w:ascii="Times New Roman" w:hAnsi="Times New Roman" w:cs="Times New Roman"/>
        </w:rPr>
        <w:t>3、对地下水、土壤的影响</w:t>
      </w:r>
    </w:p>
    <w:p>
      <w:pPr>
        <w:pStyle w:val="499"/>
        <w:spacing w:line="460" w:lineRule="exact"/>
        <w:ind w:firstLine="480"/>
        <w:rPr>
          <w:rFonts w:ascii="Times New Roman" w:hAnsi="Times New Roman" w:cs="Times New Roman"/>
        </w:rPr>
      </w:pPr>
      <w:r>
        <w:rPr>
          <w:rFonts w:hint="eastAsia" w:ascii="Times New Roman" w:hAnsi="Times New Roman" w:cs="Times New Roman"/>
        </w:rPr>
        <w:t>固体废物的长期露天堆放，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项目产生的一般固废及时清运，不在厂区长时间堆存，危险废物暂存间用于储存项目所产生的各类危险废物，及时清运处置，正常情况下项目产生固废不在厂区长时间贮存，因此，固体废物特别是危险废物的有害成分进入土壤环境的可能性较小，对周边土壤环境的影响较小。</w:t>
      </w:r>
    </w:p>
    <w:p>
      <w:pPr>
        <w:pStyle w:val="499"/>
        <w:spacing w:line="460" w:lineRule="exact"/>
        <w:ind w:firstLine="480"/>
        <w:rPr>
          <w:rFonts w:ascii="Times New Roman" w:hAnsi="Times New Roman" w:cs="Times New Roman"/>
        </w:rPr>
      </w:pPr>
      <w:r>
        <w:rPr>
          <w:rFonts w:hint="eastAsia" w:ascii="Times New Roman" w:hAnsi="Times New Roman" w:cs="Times New Roman"/>
        </w:rPr>
        <w:t>本项目固体废物主要为一般工业固物及危险废物，一般工业固废产生后及时清运，不在厂区长时间堆存；项目危险废物设置危废暂存间，暂存间严格按照《危险废物贮存污染控制标准》（GB 18597-2023）建设，项目所产生的危险废物全部在库内分区贮存，并且及时外运处置，禁止长时间贮存危废。</w:t>
      </w:r>
    </w:p>
    <w:p>
      <w:pPr>
        <w:pStyle w:val="499"/>
        <w:spacing w:line="460" w:lineRule="exact"/>
        <w:ind w:firstLine="480"/>
        <w:rPr>
          <w:rFonts w:ascii="Times New Roman" w:hAnsi="Times New Roman" w:cs="Times New Roman"/>
        </w:rPr>
      </w:pPr>
      <w:r>
        <w:rPr>
          <w:rFonts w:hint="eastAsia" w:ascii="Times New Roman" w:hAnsi="Times New Roman" w:cs="Times New Roman"/>
        </w:rPr>
        <w:t>通过以上措施可有效防止本项目产生的固体废物对环境造成二次污染影响。</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6.2.5土壤环境影响分析与评价</w:t>
      </w:r>
    </w:p>
    <w:p>
      <w:pPr>
        <w:pStyle w:val="499"/>
        <w:spacing w:line="460" w:lineRule="exact"/>
        <w:ind w:firstLine="480"/>
        <w:rPr>
          <w:rFonts w:ascii="Times New Roman" w:hAnsi="Times New Roman" w:cs="Times New Roman"/>
        </w:rPr>
      </w:pPr>
      <w:r>
        <w:rPr>
          <w:rFonts w:hint="eastAsia" w:ascii="Times New Roman" w:hAnsi="Times New Roman" w:cs="Times New Roman"/>
        </w:rPr>
        <w:t>根据《环境影响评价技术导则 土壤环境（试行）》（HJ964-2018），项目类别属于Ⅲ类，土壤环境敏感程度属于敏感，占地属于小型规模，确定项目土壤环境评价工作等级为三级，采用定性描述进行土壤影响分析。</w:t>
      </w:r>
    </w:p>
    <w:p>
      <w:pPr>
        <w:pStyle w:val="499"/>
        <w:spacing w:line="460" w:lineRule="exact"/>
        <w:ind w:firstLine="480"/>
        <w:rPr>
          <w:rFonts w:ascii="Times New Roman" w:hAnsi="Times New Roman" w:cs="Times New Roman"/>
        </w:rPr>
      </w:pPr>
      <w:r>
        <w:rPr>
          <w:rFonts w:hint="eastAsia" w:ascii="Times New Roman" w:hAnsi="Times New Roman" w:cs="Times New Roman"/>
        </w:rPr>
        <w:t>本次评价对可能产生污染的土壤进行了取样监测，通过现状土壤环境质量监测结果可以看出，项目所在地土壤环境质量均满足相应的环境质量标准，说明本项目区土壤环境质量较好。</w:t>
      </w:r>
    </w:p>
    <w:p>
      <w:pPr>
        <w:pStyle w:val="499"/>
        <w:spacing w:line="460" w:lineRule="exact"/>
        <w:ind w:firstLine="480"/>
        <w:rPr>
          <w:rFonts w:ascii="Times New Roman" w:hAnsi="Times New Roman" w:cs="Times New Roman"/>
        </w:rPr>
      </w:pPr>
      <w:r>
        <w:rPr>
          <w:rFonts w:hint="eastAsia" w:ascii="Times New Roman" w:hAnsi="Times New Roman" w:cs="Times New Roman"/>
        </w:rPr>
        <w:t>本项目运营期产生的废气主要是非甲烷总烃，非甲烷总烃属于气态物质，不会对土壤产生影响，项目对土壤可能产生影响的途径主要为污水的入渗和固体废物淋溶液入渗，可能会有部分污染物进入土壤。本项目各功能区采取“源头控制”、“分区防控”的防渗措施，可以防止污染物进入土壤造成土壤污染。项目产生的固体废物的堆放，满足“防风、防雨、防晒”的要求，经收集后均进行妥善处理，不直接排入土壤环境。本项目危险废物贮存库须按《危险废物贮存污染控制标准》（GB18597-2023）相关要求进行设计建造。危险废物分类收集后，委托有资质的危险废物处置单位处置。整个过程基本可以杜绝危险废物接触土壤，不会对土壤环境造成影响。</w:t>
      </w:r>
    </w:p>
    <w:p>
      <w:pPr>
        <w:pStyle w:val="499"/>
        <w:spacing w:line="460" w:lineRule="exact"/>
        <w:ind w:firstLine="480"/>
        <w:rPr>
          <w:rFonts w:ascii="Times New Roman" w:hAnsi="Times New Roman" w:cs="Times New Roman"/>
        </w:rPr>
      </w:pPr>
      <w:r>
        <w:rPr>
          <w:rFonts w:hint="eastAsia" w:ascii="Times New Roman" w:hAnsi="Times New Roman" w:cs="Times New Roman"/>
        </w:rPr>
        <w:t>由于项目厂区四周均紧邻耕地，为了确保本项目生产不对周围耕地产生影响，项目在运营过程中要加强管理，确保各类污染防治设施稳定运行，定期对三级沉淀池、化粪池等可能发生泄漏的设施进行巡检，严禁跑、冒、滴、漏等可能污染周边耕地的情况发生。</w:t>
      </w:r>
    </w:p>
    <w:p>
      <w:pPr>
        <w:pStyle w:val="499"/>
        <w:spacing w:line="460" w:lineRule="exact"/>
        <w:ind w:firstLine="480"/>
        <w:rPr>
          <w:rFonts w:ascii="Times New Roman" w:hAnsi="Times New Roman" w:cs="Times New Roman"/>
        </w:rPr>
      </w:pPr>
      <w:r>
        <w:rPr>
          <w:rFonts w:hint="eastAsia" w:ascii="Times New Roman" w:hAnsi="Times New Roman" w:cs="Times New Roman"/>
        </w:rPr>
        <w:t>本项目土壤环境自查表见表 6.2-22。</w:t>
      </w:r>
    </w:p>
    <w:p>
      <w:pPr>
        <w:autoSpaceDE w:val="0"/>
        <w:autoSpaceDN w:val="0"/>
        <w:ind w:firstLine="420" w:firstLineChars="200"/>
        <w:rPr>
          <w:rFonts w:eastAsia="黑体"/>
          <w:szCs w:val="21"/>
        </w:rPr>
      </w:pPr>
      <w:r>
        <w:rPr>
          <w:rFonts w:eastAsia="黑体"/>
          <w:szCs w:val="21"/>
        </w:rPr>
        <w:t>表</w:t>
      </w:r>
      <w:r>
        <w:rPr>
          <w:rFonts w:hint="eastAsia" w:eastAsia="黑体"/>
          <w:szCs w:val="21"/>
        </w:rPr>
        <w:t>6.2-22</w:t>
      </w:r>
      <w:r>
        <w:rPr>
          <w:rFonts w:eastAsia="黑体"/>
          <w:szCs w:val="21"/>
        </w:rPr>
        <w:t xml:space="preserve">            </w:t>
      </w:r>
      <w:r>
        <w:rPr>
          <w:rFonts w:hint="eastAsia" w:eastAsia="黑体"/>
          <w:szCs w:val="21"/>
        </w:rPr>
        <w:t xml:space="preserve">   </w:t>
      </w:r>
      <w:r>
        <w:rPr>
          <w:rFonts w:eastAsia="黑体"/>
          <w:szCs w:val="21"/>
        </w:rPr>
        <w:t xml:space="preserve"> 土壤环境影响评价自查表</w:t>
      </w:r>
    </w:p>
    <w:tbl>
      <w:tblPr>
        <w:tblStyle w:val="59"/>
        <w:tblW w:w="84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1522"/>
        <w:gridCol w:w="1286"/>
        <w:gridCol w:w="1393"/>
        <w:gridCol w:w="983"/>
        <w:gridCol w:w="409"/>
        <w:gridCol w:w="1494"/>
        <w:gridCol w:w="9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1" w:type="dxa"/>
            <w:gridSpan w:val="2"/>
            <w:vAlign w:val="center"/>
          </w:tcPr>
          <w:p>
            <w:pPr>
              <w:pStyle w:val="673"/>
              <w:rPr>
                <w:rFonts w:ascii="Times New Roman" w:hAnsi="Times New Roman" w:eastAsia="宋体" w:cs="Times New Roman"/>
              </w:rPr>
            </w:pPr>
            <w:r>
              <w:rPr>
                <w:rFonts w:ascii="Times New Roman" w:hAnsi="Times New Roman" w:eastAsia="宋体" w:cs="Times New Roman"/>
              </w:rPr>
              <w:t>工作内容</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完成情况</w:t>
            </w:r>
          </w:p>
        </w:tc>
        <w:tc>
          <w:tcPr>
            <w:tcW w:w="954" w:type="dxa"/>
            <w:vAlign w:val="center"/>
          </w:tcPr>
          <w:p>
            <w:pPr>
              <w:pStyle w:val="673"/>
              <w:rPr>
                <w:rFonts w:ascii="Times New Roman" w:hAnsi="Times New Roman" w:eastAsia="宋体" w:cs="Times New Roman"/>
              </w:rPr>
            </w:pPr>
            <w:r>
              <w:rPr>
                <w:rFonts w:ascii="Times New Roman" w:hAnsi="Times New Roman" w:eastAsia="宋体" w:cs="Times New Roma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影 响 识 别</w:t>
            </w: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影响类型</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污染影响型</w:t>
            </w:r>
            <w:r>
              <w:rPr>
                <w:rFonts w:ascii="Segoe UI Symbol" w:hAnsi="Segoe UI Symbol" w:eastAsia="宋体" w:cs="Segoe UI Symbol"/>
              </w:rPr>
              <w:t>☑</w:t>
            </w:r>
            <w:r>
              <w:rPr>
                <w:rFonts w:ascii="Times New Roman" w:hAnsi="Times New Roman" w:eastAsia="宋体" w:cs="Times New Roman"/>
              </w:rPr>
              <w:t>；生态影响型□；两种兼有□</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土地利用类型</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建设用地</w:t>
            </w:r>
            <w:r>
              <w:rPr>
                <w:rFonts w:ascii="Segoe UI Symbol" w:hAnsi="Segoe UI Symbol" w:eastAsia="宋体" w:cs="Segoe UI Symbol"/>
              </w:rPr>
              <w:t>☑</w:t>
            </w:r>
            <w:r>
              <w:rPr>
                <w:rFonts w:ascii="Times New Roman" w:hAnsi="Times New Roman" w:eastAsia="宋体" w:cs="Times New Roman"/>
              </w:rPr>
              <w:t>；农用地□；未利用地□</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占地规模</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1.8696</w:t>
            </w:r>
            <w:r>
              <w:rPr>
                <w:rFonts w:ascii="Times New Roman" w:hAnsi="Times New Roman" w:eastAsia="宋体" w:cs="Times New Roman"/>
              </w:rPr>
              <w:t>）hm</w:t>
            </w:r>
            <w:r>
              <w:rPr>
                <w:rFonts w:ascii="Times New Roman" w:hAnsi="Times New Roman" w:eastAsia="宋体" w:cs="Times New Roman"/>
                <w:position w:val="6"/>
              </w:rPr>
              <w:t>2</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敏感目标信息</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敏感目标（</w:t>
            </w:r>
            <w:r>
              <w:rPr>
                <w:rFonts w:hint="eastAsia" w:ascii="Times New Roman" w:hAnsi="Times New Roman" w:eastAsia="宋体" w:cs="Times New Roman"/>
              </w:rPr>
              <w:t>耕地</w:t>
            </w:r>
            <w:r>
              <w:rPr>
                <w:rFonts w:ascii="Times New Roman" w:hAnsi="Times New Roman" w:eastAsia="宋体" w:cs="Times New Roman"/>
              </w:rPr>
              <w:t>）</w:t>
            </w:r>
            <w:r>
              <w:rPr>
                <w:rFonts w:hint="eastAsia" w:ascii="Times New Roman" w:hAnsi="Times New Roman" w:eastAsia="宋体" w:cs="Times New Roman"/>
              </w:rPr>
              <w:t>方位（四周）距离（紧邻）</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影响途径</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大气沉降□；地面漫流□；垂直入渗</w:t>
            </w:r>
            <w:r>
              <w:rPr>
                <w:rFonts w:ascii="Segoe UI Symbol" w:hAnsi="Segoe UI Symbol" w:eastAsia="宋体" w:cs="Segoe UI Symbol"/>
              </w:rPr>
              <w:t>☑</w:t>
            </w:r>
            <w:r>
              <w:rPr>
                <w:rFonts w:ascii="Times New Roman" w:hAnsi="Times New Roman" w:eastAsia="宋体" w:cs="Times New Roman"/>
              </w:rPr>
              <w:t>；地下水位□；其他（）</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全部污染物</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氨氮、</w:t>
            </w:r>
            <w:r>
              <w:rPr>
                <w:rFonts w:hint="eastAsia" w:ascii="Times New Roman" w:hAnsi="Times New Roman" w:eastAsia="宋体" w:cs="Times New Roman"/>
              </w:rPr>
              <w:t>COD、BOD、SS</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特征因子</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氨氮、</w:t>
            </w:r>
            <w:r>
              <w:rPr>
                <w:rFonts w:hint="eastAsia" w:ascii="Times New Roman" w:hAnsi="Times New Roman" w:eastAsia="宋体" w:cs="Times New Roman"/>
              </w:rPr>
              <w:t>COD</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所属土壤环境影响评价项目类别</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Ⅰ类□；Ⅱ类□；Ⅲ类</w:t>
            </w:r>
            <w:r>
              <w:rPr>
                <w:rFonts w:ascii="Segoe UI Symbol" w:hAnsi="Segoe UI Symbol" w:eastAsia="宋体" w:cs="Segoe UI Symbol"/>
              </w:rPr>
              <w:t>☑</w:t>
            </w:r>
            <w:r>
              <w:rPr>
                <w:rFonts w:ascii="Times New Roman" w:hAnsi="Times New Roman" w:eastAsia="宋体" w:cs="Times New Roman"/>
              </w:rPr>
              <w:t>；Ⅳ类□</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敏感程度</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敏感</w:t>
            </w:r>
            <w:r>
              <w:rPr>
                <w:rFonts w:ascii="Segoe UI Symbol" w:hAnsi="Segoe UI Symbol" w:eastAsia="宋体" w:cs="Segoe UI Symbol"/>
              </w:rPr>
              <w:t>☑</w:t>
            </w:r>
            <w:r>
              <w:rPr>
                <w:rFonts w:ascii="Times New Roman" w:hAnsi="Times New Roman" w:eastAsia="宋体" w:cs="Times New Roman"/>
              </w:rPr>
              <w:t>；较敏感□；不敏感□</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1" w:type="dxa"/>
            <w:gridSpan w:val="2"/>
            <w:vAlign w:val="center"/>
          </w:tcPr>
          <w:p>
            <w:pPr>
              <w:pStyle w:val="673"/>
              <w:rPr>
                <w:rFonts w:ascii="Times New Roman" w:hAnsi="Times New Roman" w:eastAsia="宋体" w:cs="Times New Roman"/>
              </w:rPr>
            </w:pPr>
            <w:r>
              <w:rPr>
                <w:rFonts w:ascii="Times New Roman" w:hAnsi="Times New Roman" w:eastAsia="宋体" w:cs="Times New Roman"/>
              </w:rPr>
              <w:t>评价工作等级</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一级□；二级□；三级</w:t>
            </w:r>
            <w:r>
              <w:rPr>
                <w:rFonts w:ascii="Segoe UI Symbol" w:hAnsi="Segoe UI Symbol" w:eastAsia="宋体" w:cs="Segoe UI Symbol"/>
              </w:rPr>
              <w:t>☑</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现状调查内容</w:t>
            </w: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资料收集</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a）□；b）□；c）□；d）□</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理化特性</w:t>
            </w:r>
          </w:p>
        </w:tc>
        <w:tc>
          <w:tcPr>
            <w:tcW w:w="5565" w:type="dxa"/>
            <w:gridSpan w:val="5"/>
            <w:vAlign w:val="center"/>
          </w:tcPr>
          <w:p>
            <w:pPr>
              <w:pStyle w:val="673"/>
              <w:rPr>
                <w:rFonts w:ascii="Times New Roman" w:hAnsi="Times New Roman" w:eastAsia="宋体" w:cs="Times New Roman"/>
              </w:rPr>
            </w:pPr>
            <w:r>
              <w:rPr>
                <w:rFonts w:hint="eastAsia" w:ascii="Times New Roman" w:hAnsi="Times New Roman" w:eastAsia="宋体" w:cs="Times New Roman"/>
              </w:rPr>
              <w:t>见表5.3-15</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现状监测点位</w:t>
            </w:r>
          </w:p>
        </w:tc>
        <w:tc>
          <w:tcPr>
            <w:tcW w:w="1286" w:type="dxa"/>
            <w:vAlign w:val="center"/>
          </w:tcPr>
          <w:p>
            <w:pPr>
              <w:pStyle w:val="673"/>
              <w:rPr>
                <w:rFonts w:ascii="Times New Roman" w:hAnsi="Times New Roman" w:eastAsia="宋体" w:cs="Times New Roman"/>
              </w:rPr>
            </w:pPr>
          </w:p>
        </w:tc>
        <w:tc>
          <w:tcPr>
            <w:tcW w:w="1393" w:type="dxa"/>
            <w:vAlign w:val="center"/>
          </w:tcPr>
          <w:p>
            <w:pPr>
              <w:pStyle w:val="673"/>
              <w:rPr>
                <w:rFonts w:ascii="Times New Roman" w:hAnsi="Times New Roman" w:eastAsia="宋体" w:cs="Times New Roman"/>
              </w:rPr>
            </w:pPr>
            <w:r>
              <w:rPr>
                <w:rFonts w:ascii="Times New Roman" w:hAnsi="Times New Roman" w:eastAsia="宋体" w:cs="Times New Roman"/>
              </w:rPr>
              <w:t>占地范围内</w:t>
            </w:r>
          </w:p>
        </w:tc>
        <w:tc>
          <w:tcPr>
            <w:tcW w:w="1392" w:type="dxa"/>
            <w:gridSpan w:val="2"/>
            <w:vAlign w:val="center"/>
          </w:tcPr>
          <w:p>
            <w:pPr>
              <w:pStyle w:val="673"/>
              <w:rPr>
                <w:rFonts w:ascii="Times New Roman" w:hAnsi="Times New Roman" w:eastAsia="宋体" w:cs="Times New Roman"/>
              </w:rPr>
            </w:pPr>
            <w:r>
              <w:rPr>
                <w:rFonts w:ascii="Times New Roman" w:hAnsi="Times New Roman" w:eastAsia="宋体" w:cs="Times New Roman"/>
              </w:rPr>
              <w:t>占地范围外</w:t>
            </w:r>
          </w:p>
        </w:tc>
        <w:tc>
          <w:tcPr>
            <w:tcW w:w="1494" w:type="dxa"/>
            <w:vAlign w:val="center"/>
          </w:tcPr>
          <w:p>
            <w:pPr>
              <w:pStyle w:val="673"/>
              <w:rPr>
                <w:rFonts w:ascii="Times New Roman" w:hAnsi="Times New Roman" w:eastAsia="宋体" w:cs="Times New Roman"/>
              </w:rPr>
            </w:pPr>
            <w:r>
              <w:rPr>
                <w:rFonts w:ascii="Times New Roman" w:hAnsi="Times New Roman" w:eastAsia="宋体" w:cs="Times New Roman"/>
              </w:rPr>
              <w:t>深度</w:t>
            </w:r>
          </w:p>
        </w:tc>
        <w:tc>
          <w:tcPr>
            <w:tcW w:w="954"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点位布置图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Merge w:val="continue"/>
            <w:vAlign w:val="center"/>
          </w:tcPr>
          <w:p>
            <w:pPr>
              <w:pStyle w:val="673"/>
              <w:rPr>
                <w:rFonts w:ascii="Times New Roman" w:hAnsi="Times New Roman" w:eastAsia="宋体" w:cs="Times New Roman"/>
              </w:rPr>
            </w:pPr>
          </w:p>
        </w:tc>
        <w:tc>
          <w:tcPr>
            <w:tcW w:w="1286" w:type="dxa"/>
            <w:vAlign w:val="center"/>
          </w:tcPr>
          <w:p>
            <w:pPr>
              <w:pStyle w:val="673"/>
              <w:rPr>
                <w:rFonts w:ascii="Times New Roman" w:hAnsi="Times New Roman" w:eastAsia="宋体" w:cs="Times New Roman"/>
              </w:rPr>
            </w:pPr>
            <w:r>
              <w:rPr>
                <w:rFonts w:ascii="Times New Roman" w:hAnsi="Times New Roman" w:eastAsia="宋体" w:cs="Times New Roman"/>
              </w:rPr>
              <w:t>表层样点数</w:t>
            </w:r>
          </w:p>
        </w:tc>
        <w:tc>
          <w:tcPr>
            <w:tcW w:w="1393" w:type="dxa"/>
            <w:vAlign w:val="center"/>
          </w:tcPr>
          <w:p>
            <w:pPr>
              <w:pStyle w:val="673"/>
              <w:rPr>
                <w:rFonts w:ascii="Times New Roman" w:hAnsi="Times New Roman" w:eastAsia="宋体" w:cs="Times New Roman"/>
              </w:rPr>
            </w:pPr>
            <w:r>
              <w:rPr>
                <w:rFonts w:hint="eastAsia" w:ascii="Times New Roman" w:hAnsi="Times New Roman" w:eastAsia="宋体" w:cs="Times New Roman"/>
              </w:rPr>
              <w:t>3</w:t>
            </w:r>
          </w:p>
        </w:tc>
        <w:tc>
          <w:tcPr>
            <w:tcW w:w="1392" w:type="dxa"/>
            <w:gridSpan w:val="2"/>
            <w:vAlign w:val="center"/>
          </w:tcPr>
          <w:p>
            <w:pPr>
              <w:pStyle w:val="673"/>
              <w:rPr>
                <w:rFonts w:ascii="Times New Roman" w:hAnsi="Times New Roman" w:eastAsia="宋体" w:cs="Times New Roman"/>
              </w:rPr>
            </w:pPr>
            <w:r>
              <w:rPr>
                <w:rFonts w:hint="eastAsia" w:ascii="Times New Roman" w:hAnsi="Times New Roman" w:eastAsia="宋体" w:cs="Times New Roman"/>
              </w:rPr>
              <w:t>0</w:t>
            </w:r>
          </w:p>
        </w:tc>
        <w:tc>
          <w:tcPr>
            <w:tcW w:w="1494" w:type="dxa"/>
            <w:vAlign w:val="center"/>
          </w:tcPr>
          <w:p>
            <w:pPr>
              <w:pStyle w:val="673"/>
              <w:rPr>
                <w:rFonts w:ascii="Times New Roman" w:hAnsi="Times New Roman" w:eastAsia="宋体" w:cs="Times New Roman"/>
              </w:rPr>
            </w:pPr>
            <w:r>
              <w:rPr>
                <w:rFonts w:ascii="Times New Roman" w:hAnsi="Times New Roman" w:eastAsia="宋体" w:cs="Times New Roman"/>
              </w:rPr>
              <w:t>0.2m</w:t>
            </w:r>
          </w:p>
        </w:tc>
        <w:tc>
          <w:tcPr>
            <w:tcW w:w="954" w:type="dxa"/>
            <w:vMerge w:val="continue"/>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Merge w:val="continue"/>
            <w:vAlign w:val="center"/>
          </w:tcPr>
          <w:p>
            <w:pPr>
              <w:pStyle w:val="673"/>
              <w:rPr>
                <w:rFonts w:ascii="Times New Roman" w:hAnsi="Times New Roman" w:eastAsia="宋体" w:cs="Times New Roman"/>
              </w:rPr>
            </w:pPr>
          </w:p>
        </w:tc>
        <w:tc>
          <w:tcPr>
            <w:tcW w:w="1286" w:type="dxa"/>
            <w:vAlign w:val="center"/>
          </w:tcPr>
          <w:p>
            <w:pPr>
              <w:pStyle w:val="673"/>
              <w:rPr>
                <w:rFonts w:ascii="Times New Roman" w:hAnsi="Times New Roman" w:eastAsia="宋体" w:cs="Times New Roman"/>
              </w:rPr>
            </w:pPr>
            <w:r>
              <w:rPr>
                <w:rFonts w:ascii="Times New Roman" w:hAnsi="Times New Roman" w:eastAsia="宋体" w:cs="Times New Roman"/>
              </w:rPr>
              <w:t>柱状样点数</w:t>
            </w:r>
          </w:p>
        </w:tc>
        <w:tc>
          <w:tcPr>
            <w:tcW w:w="1393" w:type="dxa"/>
            <w:vAlign w:val="center"/>
          </w:tcPr>
          <w:p>
            <w:pPr>
              <w:pStyle w:val="673"/>
              <w:rPr>
                <w:rFonts w:ascii="Times New Roman" w:hAnsi="Times New Roman" w:eastAsia="宋体" w:cs="Times New Roman"/>
              </w:rPr>
            </w:pPr>
            <w:r>
              <w:rPr>
                <w:rFonts w:hint="eastAsia" w:ascii="Times New Roman" w:hAnsi="Times New Roman" w:eastAsia="宋体" w:cs="Times New Roman"/>
              </w:rPr>
              <w:t>0</w:t>
            </w:r>
          </w:p>
        </w:tc>
        <w:tc>
          <w:tcPr>
            <w:tcW w:w="1392" w:type="dxa"/>
            <w:gridSpan w:val="2"/>
            <w:vAlign w:val="center"/>
          </w:tcPr>
          <w:p>
            <w:pPr>
              <w:pStyle w:val="673"/>
              <w:rPr>
                <w:rFonts w:ascii="Times New Roman" w:hAnsi="Times New Roman" w:eastAsia="宋体" w:cs="Times New Roman"/>
              </w:rPr>
            </w:pPr>
            <w:r>
              <w:rPr>
                <w:rFonts w:ascii="Times New Roman" w:hAnsi="Times New Roman" w:eastAsia="宋体" w:cs="Times New Roman"/>
              </w:rPr>
              <w:t>0</w:t>
            </w:r>
          </w:p>
        </w:tc>
        <w:tc>
          <w:tcPr>
            <w:tcW w:w="1494" w:type="dxa"/>
            <w:vAlign w:val="center"/>
          </w:tcPr>
          <w:p>
            <w:pPr>
              <w:pStyle w:val="673"/>
              <w:rPr>
                <w:rFonts w:ascii="Times New Roman" w:hAnsi="Times New Roman" w:eastAsia="宋体" w:cs="Times New Roman"/>
              </w:rPr>
            </w:pPr>
            <w:r>
              <w:rPr>
                <w:rFonts w:hint="eastAsia" w:ascii="Times New Roman" w:hAnsi="Times New Roman" w:eastAsia="宋体" w:cs="Times New Roman"/>
              </w:rPr>
              <w:t>/</w:t>
            </w:r>
          </w:p>
        </w:tc>
        <w:tc>
          <w:tcPr>
            <w:tcW w:w="954" w:type="dxa"/>
            <w:vMerge w:val="continue"/>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现状监测因子</w:t>
            </w:r>
          </w:p>
        </w:tc>
        <w:tc>
          <w:tcPr>
            <w:tcW w:w="5565" w:type="dxa"/>
            <w:gridSpan w:val="5"/>
            <w:vAlign w:val="center"/>
          </w:tcPr>
          <w:p>
            <w:pPr>
              <w:pStyle w:val="673"/>
              <w:rPr>
                <w:rFonts w:ascii="Times New Roman" w:hAnsi="Times New Roman" w:eastAsia="宋体" w:cs="Times New Roman"/>
              </w:rPr>
            </w:pPr>
            <w:r>
              <w:rPr>
                <w:rFonts w:hint="eastAsia" w:ascii="Times New Roman" w:hAnsi="Times New Roman" w:eastAsia="宋体" w:cs="Times New Roman"/>
              </w:rPr>
              <w:t>pH、</w:t>
            </w:r>
            <w:r>
              <w:rPr>
                <w:rFonts w:ascii="Times New Roman" w:hAnsi="Times New Roman" w:eastAsia="宋体" w:cs="Times New Roman"/>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现 状 评 价</w:t>
            </w: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评价因子</w:t>
            </w:r>
          </w:p>
        </w:tc>
        <w:tc>
          <w:tcPr>
            <w:tcW w:w="5565" w:type="dxa"/>
            <w:gridSpan w:val="5"/>
            <w:vAlign w:val="center"/>
          </w:tcPr>
          <w:p>
            <w:pPr>
              <w:pStyle w:val="673"/>
              <w:rPr>
                <w:rFonts w:ascii="Times New Roman" w:hAnsi="Times New Roman" w:eastAsia="宋体" w:cs="Times New Roman"/>
              </w:rPr>
            </w:pPr>
            <w:r>
              <w:rPr>
                <w:rFonts w:hint="eastAsia" w:ascii="Times New Roman" w:hAnsi="Times New Roman" w:eastAsia="宋体" w:cs="Times New Roman"/>
              </w:rPr>
              <w:t>pH、</w:t>
            </w:r>
            <w:r>
              <w:rPr>
                <w:rFonts w:ascii="Times New Roman" w:hAnsi="Times New Roman" w:eastAsia="宋体" w:cs="Times New Roman"/>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评价标准</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GB</w:t>
            </w:r>
            <w:r>
              <w:rPr>
                <w:rFonts w:ascii="Times New Roman" w:hAnsi="Times New Roman" w:eastAsia="宋体" w:cs="Times New Roman"/>
                <w:spacing w:val="-3"/>
              </w:rPr>
              <w:t xml:space="preserve"> </w:t>
            </w:r>
            <w:r>
              <w:rPr>
                <w:rFonts w:ascii="Times New Roman" w:hAnsi="Times New Roman" w:eastAsia="宋体" w:cs="Times New Roman"/>
              </w:rPr>
              <w:t>15618□；GB</w:t>
            </w:r>
            <w:r>
              <w:rPr>
                <w:rFonts w:ascii="Times New Roman" w:hAnsi="Times New Roman" w:eastAsia="宋体" w:cs="Times New Roman"/>
                <w:spacing w:val="-3"/>
              </w:rPr>
              <w:t xml:space="preserve"> </w:t>
            </w:r>
            <w:r>
              <w:rPr>
                <w:rFonts w:ascii="Times New Roman" w:hAnsi="Times New Roman" w:eastAsia="宋体" w:cs="Times New Roman"/>
              </w:rPr>
              <w:t>36600</w:t>
            </w:r>
            <w:r>
              <w:rPr>
                <w:rFonts w:ascii="Segoe UI Symbol" w:hAnsi="Segoe UI Symbol" w:eastAsia="宋体" w:cs="Segoe UI Symbol"/>
              </w:rPr>
              <w:t>☑</w:t>
            </w:r>
            <w:r>
              <w:rPr>
                <w:rFonts w:ascii="Times New Roman" w:hAnsi="Times New Roman" w:eastAsia="宋体" w:cs="Times New Roman"/>
              </w:rPr>
              <w:t>；表</w:t>
            </w:r>
            <w:r>
              <w:rPr>
                <w:rFonts w:ascii="Times New Roman" w:hAnsi="Times New Roman" w:eastAsia="宋体" w:cs="Times New Roman"/>
                <w:spacing w:val="-50"/>
              </w:rPr>
              <w:t xml:space="preserve"> </w:t>
            </w:r>
            <w:r>
              <w:rPr>
                <w:rFonts w:ascii="Times New Roman" w:hAnsi="Times New Roman" w:eastAsia="宋体" w:cs="Times New Roman"/>
              </w:rPr>
              <w:t>D.1□；表</w:t>
            </w:r>
            <w:r>
              <w:rPr>
                <w:rFonts w:ascii="Times New Roman" w:hAnsi="Times New Roman" w:eastAsia="宋体" w:cs="Times New Roman"/>
                <w:spacing w:val="-48"/>
              </w:rPr>
              <w:t xml:space="preserve"> </w:t>
            </w:r>
            <w:r>
              <w:rPr>
                <w:rFonts w:ascii="Times New Roman" w:hAnsi="Times New Roman" w:eastAsia="宋体" w:cs="Times New Roman"/>
              </w:rPr>
              <w:t>D.2□；其他（）</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现状评价结论</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项目区各监测点监测因子均满足《土壤环境质量 建设用地土壤污染风险管控标准（试行）》（GB36600-2018）表1中第二类用地筛选值要求</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影响预测</w:t>
            </w: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预测因子</w:t>
            </w:r>
          </w:p>
        </w:tc>
        <w:tc>
          <w:tcPr>
            <w:tcW w:w="5565" w:type="dxa"/>
            <w:gridSpan w:val="5"/>
            <w:vAlign w:val="center"/>
          </w:tcPr>
          <w:p>
            <w:pPr>
              <w:pStyle w:val="673"/>
              <w:rPr>
                <w:rFonts w:ascii="Times New Roman" w:hAnsi="Times New Roman" w:eastAsia="宋体" w:cs="Times New Roman"/>
              </w:rPr>
            </w:pPr>
            <w:r>
              <w:rPr>
                <w:rFonts w:hint="eastAsia" w:ascii="Times New Roman" w:hAnsi="Times New Roman" w:eastAsia="宋体" w:cs="Times New Roman"/>
              </w:rPr>
              <w:t>/</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预测方法</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附录</w:t>
            </w:r>
            <w:r>
              <w:rPr>
                <w:rFonts w:ascii="Times New Roman" w:hAnsi="Times New Roman" w:eastAsia="宋体" w:cs="Times New Roman"/>
                <w:spacing w:val="-47"/>
              </w:rPr>
              <w:t xml:space="preserve"> </w:t>
            </w:r>
            <w:r>
              <w:rPr>
                <w:rFonts w:ascii="Times New Roman" w:hAnsi="Times New Roman" w:eastAsia="宋体" w:cs="Times New Roman"/>
              </w:rPr>
              <w:t>E□；附录</w:t>
            </w:r>
            <w:r>
              <w:rPr>
                <w:rFonts w:ascii="Times New Roman" w:hAnsi="Times New Roman" w:eastAsia="宋体" w:cs="Times New Roman"/>
                <w:spacing w:val="-47"/>
              </w:rPr>
              <w:t xml:space="preserve"> </w:t>
            </w:r>
            <w:r>
              <w:rPr>
                <w:rFonts w:ascii="Times New Roman" w:hAnsi="Times New Roman" w:eastAsia="宋体" w:cs="Times New Roman"/>
              </w:rPr>
              <w:t>F□；其他（类比法）</w:t>
            </w:r>
            <w:r>
              <w:rPr>
                <w:rFonts w:ascii="Segoe UI Symbol" w:hAnsi="Segoe UI Symbol" w:eastAsia="宋体" w:cs="Segoe UI Symbol"/>
              </w:rPr>
              <w:t>☑</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预测分析内容</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影响范围（</w:t>
            </w:r>
            <w:r>
              <w:rPr>
                <w:rFonts w:ascii="Times New Roman" w:hAnsi="Times New Roman" w:eastAsia="宋体" w:cs="Times New Roman"/>
                <w:kern w:val="0"/>
              </w:rPr>
              <w:t>厂界外</w:t>
            </w:r>
            <w:r>
              <w:rPr>
                <w:rFonts w:hint="eastAsia" w:ascii="Times New Roman" w:hAnsi="Times New Roman" w:eastAsia="宋体" w:cs="Times New Roman"/>
                <w:kern w:val="0"/>
              </w:rPr>
              <w:t>50</w:t>
            </w:r>
            <w:r>
              <w:rPr>
                <w:rFonts w:ascii="Times New Roman" w:hAnsi="Times New Roman" w:eastAsia="宋体" w:cs="Times New Roman"/>
                <w:kern w:val="0"/>
              </w:rPr>
              <w:t>m</w:t>
            </w:r>
            <w:r>
              <w:rPr>
                <w:rFonts w:ascii="Times New Roman" w:hAnsi="Times New Roman" w:eastAsia="宋体" w:cs="Times New Roman"/>
              </w:rPr>
              <w:t>）；影响程度（较小</w:t>
            </w:r>
            <w:r>
              <w:rPr>
                <w:rFonts w:ascii="Times New Roman" w:hAnsi="Times New Roman" w:eastAsia="宋体" w:cs="Times New Roman"/>
              </w:rPr>
              <w:tab/>
            </w:r>
            <w:r>
              <w:rPr>
                <w:rFonts w:ascii="Times New Roman" w:hAnsi="Times New Roman" w:eastAsia="宋体" w:cs="Times New Roman"/>
              </w:rPr>
              <w:t>）</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预测结论</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达标结论：a）</w:t>
            </w:r>
            <w:r>
              <w:rPr>
                <w:rFonts w:ascii="Segoe UI Symbol" w:hAnsi="Segoe UI Symbol" w:eastAsia="宋体" w:cs="Segoe UI Symbol"/>
              </w:rPr>
              <w:t>☑</w:t>
            </w:r>
            <w:r>
              <w:rPr>
                <w:rFonts w:ascii="Times New Roman" w:hAnsi="Times New Roman" w:eastAsia="宋体" w:cs="Times New Roman"/>
              </w:rPr>
              <w:t>；b）□；c）□ 不达标结论：a）□；b）□</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防治措施</w:t>
            </w: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防控措施</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土壤环境质量现状保障□；源头控制</w:t>
            </w:r>
            <w:r>
              <w:rPr>
                <w:rFonts w:ascii="Segoe UI Symbol" w:hAnsi="Segoe UI Symbol" w:eastAsia="宋体" w:cs="Segoe UI Symbol"/>
              </w:rPr>
              <w:t>☑</w:t>
            </w:r>
            <w:r>
              <w:rPr>
                <w:rFonts w:ascii="Times New Roman" w:hAnsi="Times New Roman" w:eastAsia="宋体" w:cs="Times New Roman"/>
              </w:rPr>
              <w:t>；过程防控</w:t>
            </w:r>
            <w:r>
              <w:rPr>
                <w:rFonts w:ascii="Segoe UI Symbol" w:hAnsi="Segoe UI Symbol" w:eastAsia="宋体" w:cs="Segoe UI Symbol"/>
              </w:rPr>
              <w:t>☑</w:t>
            </w:r>
            <w:r>
              <w:rPr>
                <w:rFonts w:ascii="Times New Roman" w:hAnsi="Times New Roman" w:eastAsia="宋体" w:cs="Times New Roman"/>
              </w:rPr>
              <w:t>；其他（）</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Merge w:val="restart"/>
            <w:vAlign w:val="center"/>
          </w:tcPr>
          <w:p>
            <w:pPr>
              <w:pStyle w:val="673"/>
              <w:rPr>
                <w:rFonts w:ascii="Times New Roman" w:hAnsi="Times New Roman" w:eastAsia="宋体" w:cs="Times New Roman"/>
              </w:rPr>
            </w:pPr>
            <w:r>
              <w:rPr>
                <w:rFonts w:ascii="Times New Roman" w:hAnsi="Times New Roman" w:eastAsia="宋体" w:cs="Times New Roman"/>
              </w:rPr>
              <w:t>跟踪监测</w:t>
            </w:r>
          </w:p>
        </w:tc>
        <w:tc>
          <w:tcPr>
            <w:tcW w:w="1286" w:type="dxa"/>
            <w:vAlign w:val="center"/>
          </w:tcPr>
          <w:p>
            <w:pPr>
              <w:pStyle w:val="673"/>
              <w:rPr>
                <w:rFonts w:ascii="Times New Roman" w:hAnsi="Times New Roman" w:eastAsia="宋体" w:cs="Times New Roman"/>
              </w:rPr>
            </w:pPr>
            <w:r>
              <w:rPr>
                <w:rFonts w:ascii="Times New Roman" w:hAnsi="Times New Roman" w:eastAsia="宋体" w:cs="Times New Roman"/>
              </w:rPr>
              <w:t>监测点数</w:t>
            </w:r>
          </w:p>
        </w:tc>
        <w:tc>
          <w:tcPr>
            <w:tcW w:w="2376" w:type="dxa"/>
            <w:gridSpan w:val="2"/>
            <w:vAlign w:val="center"/>
          </w:tcPr>
          <w:p>
            <w:pPr>
              <w:pStyle w:val="673"/>
              <w:rPr>
                <w:rFonts w:ascii="Times New Roman" w:hAnsi="Times New Roman" w:eastAsia="宋体" w:cs="Times New Roman"/>
              </w:rPr>
            </w:pPr>
            <w:r>
              <w:rPr>
                <w:rFonts w:ascii="Times New Roman" w:hAnsi="Times New Roman" w:eastAsia="宋体" w:cs="Times New Roman"/>
              </w:rPr>
              <w:t>监测指标</w:t>
            </w:r>
          </w:p>
        </w:tc>
        <w:tc>
          <w:tcPr>
            <w:tcW w:w="1903" w:type="dxa"/>
            <w:gridSpan w:val="2"/>
            <w:vAlign w:val="center"/>
          </w:tcPr>
          <w:p>
            <w:pPr>
              <w:pStyle w:val="673"/>
              <w:rPr>
                <w:rFonts w:ascii="Times New Roman" w:hAnsi="Times New Roman" w:eastAsia="宋体" w:cs="Times New Roman"/>
              </w:rPr>
            </w:pPr>
            <w:r>
              <w:rPr>
                <w:rFonts w:ascii="Times New Roman" w:hAnsi="Times New Roman" w:eastAsia="宋体" w:cs="Times New Roman"/>
              </w:rPr>
              <w:t>监测频次</w:t>
            </w:r>
          </w:p>
        </w:tc>
        <w:tc>
          <w:tcPr>
            <w:tcW w:w="954" w:type="dxa"/>
            <w:vMerge w:val="restart"/>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Merge w:val="continue"/>
            <w:vAlign w:val="center"/>
          </w:tcPr>
          <w:p>
            <w:pPr>
              <w:pStyle w:val="673"/>
              <w:rPr>
                <w:rFonts w:ascii="Times New Roman" w:hAnsi="Times New Roman" w:eastAsia="宋体" w:cs="Times New Roman"/>
              </w:rPr>
            </w:pPr>
          </w:p>
        </w:tc>
        <w:tc>
          <w:tcPr>
            <w:tcW w:w="1286" w:type="dxa"/>
            <w:vAlign w:val="center"/>
          </w:tcPr>
          <w:p>
            <w:pPr>
              <w:pStyle w:val="673"/>
              <w:rPr>
                <w:rFonts w:ascii="Times New Roman" w:hAnsi="Times New Roman" w:eastAsia="宋体" w:cs="Times New Roman"/>
              </w:rPr>
            </w:pPr>
            <w:r>
              <w:rPr>
                <w:rFonts w:hint="eastAsia" w:ascii="Times New Roman" w:hAnsi="Times New Roman" w:eastAsia="宋体" w:cs="Times New Roman"/>
              </w:rPr>
              <w:t>/</w:t>
            </w:r>
          </w:p>
        </w:tc>
        <w:tc>
          <w:tcPr>
            <w:tcW w:w="2376" w:type="dxa"/>
            <w:gridSpan w:val="2"/>
            <w:vAlign w:val="center"/>
          </w:tcPr>
          <w:p>
            <w:pPr>
              <w:pStyle w:val="673"/>
              <w:rPr>
                <w:rFonts w:ascii="Times New Roman" w:hAnsi="Times New Roman" w:eastAsia="宋体" w:cs="Times New Roman"/>
              </w:rPr>
            </w:pPr>
            <w:r>
              <w:rPr>
                <w:rFonts w:hint="eastAsia" w:ascii="Times New Roman" w:hAnsi="Times New Roman" w:eastAsia="宋体" w:cs="Times New Roman"/>
              </w:rPr>
              <w:t>/</w:t>
            </w:r>
          </w:p>
        </w:tc>
        <w:tc>
          <w:tcPr>
            <w:tcW w:w="1903" w:type="dxa"/>
            <w:gridSpan w:val="2"/>
            <w:vAlign w:val="center"/>
          </w:tcPr>
          <w:p>
            <w:pPr>
              <w:pStyle w:val="673"/>
              <w:rPr>
                <w:rFonts w:ascii="Times New Roman" w:hAnsi="Times New Roman" w:eastAsia="宋体" w:cs="Times New Roman"/>
              </w:rPr>
            </w:pPr>
            <w:r>
              <w:rPr>
                <w:rFonts w:hint="eastAsia" w:ascii="Times New Roman" w:hAnsi="Times New Roman" w:eastAsia="宋体" w:cs="Times New Roman"/>
              </w:rPr>
              <w:t>/</w:t>
            </w:r>
          </w:p>
        </w:tc>
        <w:tc>
          <w:tcPr>
            <w:tcW w:w="954" w:type="dxa"/>
            <w:vMerge w:val="continue"/>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dxa"/>
            <w:vMerge w:val="continue"/>
            <w:vAlign w:val="center"/>
          </w:tcPr>
          <w:p>
            <w:pPr>
              <w:pStyle w:val="673"/>
              <w:rPr>
                <w:rFonts w:ascii="Times New Roman" w:hAnsi="Times New Roman" w:eastAsia="宋体" w:cs="Times New Roman"/>
              </w:rPr>
            </w:pPr>
          </w:p>
        </w:tc>
        <w:tc>
          <w:tcPr>
            <w:tcW w:w="1522" w:type="dxa"/>
            <w:vAlign w:val="center"/>
          </w:tcPr>
          <w:p>
            <w:pPr>
              <w:pStyle w:val="673"/>
              <w:rPr>
                <w:rFonts w:ascii="Times New Roman" w:hAnsi="Times New Roman" w:eastAsia="宋体" w:cs="Times New Roman"/>
              </w:rPr>
            </w:pPr>
            <w:r>
              <w:rPr>
                <w:rFonts w:ascii="Times New Roman" w:hAnsi="Times New Roman" w:eastAsia="宋体" w:cs="Times New Roman"/>
              </w:rPr>
              <w:t>信息公开指标</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rPr>
              <w:t>/</w:t>
            </w:r>
          </w:p>
        </w:tc>
        <w:tc>
          <w:tcPr>
            <w:tcW w:w="954" w:type="dxa"/>
            <w:vMerge w:val="continue"/>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11" w:type="dxa"/>
            <w:gridSpan w:val="2"/>
            <w:vAlign w:val="center"/>
          </w:tcPr>
          <w:p>
            <w:pPr>
              <w:pStyle w:val="673"/>
              <w:rPr>
                <w:rFonts w:ascii="Times New Roman" w:hAnsi="Times New Roman" w:eastAsia="宋体" w:cs="Times New Roman"/>
              </w:rPr>
            </w:pPr>
            <w:r>
              <w:rPr>
                <w:rFonts w:ascii="Times New Roman" w:hAnsi="Times New Roman" w:eastAsia="宋体" w:cs="Times New Roman"/>
              </w:rPr>
              <w:t>评价结论</w:t>
            </w:r>
          </w:p>
        </w:tc>
        <w:tc>
          <w:tcPr>
            <w:tcW w:w="5565" w:type="dxa"/>
            <w:gridSpan w:val="5"/>
            <w:vAlign w:val="center"/>
          </w:tcPr>
          <w:p>
            <w:pPr>
              <w:pStyle w:val="673"/>
              <w:rPr>
                <w:rFonts w:ascii="Times New Roman" w:hAnsi="Times New Roman" w:eastAsia="宋体" w:cs="Times New Roman"/>
              </w:rPr>
            </w:pPr>
            <w:r>
              <w:rPr>
                <w:rFonts w:ascii="Times New Roman" w:hAnsi="Times New Roman" w:eastAsia="宋体" w:cs="Times New Roman"/>
                <w:kern w:val="0"/>
              </w:rPr>
              <w:t>项目建设对土壤环境影响可接受</w:t>
            </w:r>
          </w:p>
        </w:tc>
        <w:tc>
          <w:tcPr>
            <w:tcW w:w="954" w:type="dxa"/>
            <w:vAlign w:val="center"/>
          </w:tcPr>
          <w:p>
            <w:pPr>
              <w:pStyle w:val="673"/>
              <w:rPr>
                <w:rFonts w:ascii="Times New Roman" w:hAnsi="Times New Roman" w:eastAsia="宋体" w:cs="Times New Roma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30" w:type="dxa"/>
            <w:gridSpan w:val="8"/>
            <w:vAlign w:val="center"/>
          </w:tcPr>
          <w:p>
            <w:pPr>
              <w:pStyle w:val="673"/>
              <w:rPr>
                <w:rFonts w:ascii="Times New Roman" w:hAnsi="Times New Roman" w:eastAsia="宋体" w:cs="Times New Roman"/>
              </w:rPr>
            </w:pPr>
            <w:r>
              <w:rPr>
                <w:rFonts w:ascii="Times New Roman" w:hAnsi="Times New Roman" w:eastAsia="宋体" w:cs="Times New Roman"/>
              </w:rPr>
              <w:t>注 1：“□”为勾选项，可√；“（</w:t>
            </w:r>
            <w:r>
              <w:rPr>
                <w:rFonts w:ascii="Times New Roman" w:hAnsi="Times New Roman" w:eastAsia="宋体" w:cs="Times New Roman"/>
                <w:spacing w:val="-46"/>
              </w:rPr>
              <w:t xml:space="preserve"> </w:t>
            </w:r>
            <w:r>
              <w:rPr>
                <w:rFonts w:ascii="Times New Roman" w:hAnsi="Times New Roman" w:eastAsia="宋体" w:cs="Times New Roman"/>
              </w:rPr>
              <w:t>）”为内容填写项；“备注”为其他补充内容。 注</w:t>
            </w:r>
            <w:r>
              <w:rPr>
                <w:rFonts w:ascii="Times New Roman" w:hAnsi="Times New Roman" w:eastAsia="宋体" w:cs="Times New Roman"/>
                <w:spacing w:val="-47"/>
              </w:rPr>
              <w:t xml:space="preserve"> </w:t>
            </w:r>
            <w:r>
              <w:rPr>
                <w:rFonts w:ascii="Times New Roman" w:hAnsi="Times New Roman" w:eastAsia="宋体" w:cs="Times New Roman"/>
              </w:rPr>
              <w:t>2：需要分别开展土壤环境影响评级工作的，分别填写自查表。</w:t>
            </w:r>
          </w:p>
        </w:tc>
      </w:tr>
    </w:tbl>
    <w:p>
      <w:pPr>
        <w:pStyle w:val="499"/>
        <w:spacing w:line="460" w:lineRule="exact"/>
        <w:ind w:firstLine="480"/>
        <w:rPr>
          <w:rFonts w:ascii="Times New Roman" w:hAnsi="Times New Roman" w:cs="Times New Roman"/>
        </w:rPr>
      </w:pP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6.2.6运营期</w:t>
      </w:r>
      <w:r>
        <w:rPr>
          <w:rFonts w:ascii="Times New Roman"/>
          <w:szCs w:val="24"/>
        </w:rPr>
        <w:t>生态环境影响分析与</w:t>
      </w:r>
      <w:r>
        <w:rPr>
          <w:rFonts w:hint="eastAsia" w:ascii="Times New Roman"/>
          <w:szCs w:val="24"/>
        </w:rPr>
        <w:t>评价</w:t>
      </w:r>
    </w:p>
    <w:p>
      <w:pPr>
        <w:pStyle w:val="499"/>
        <w:spacing w:line="460" w:lineRule="exact"/>
        <w:ind w:firstLine="480"/>
        <w:rPr>
          <w:rFonts w:ascii="Times New Roman" w:hAnsi="Times New Roman" w:cs="Times New Roman"/>
        </w:rPr>
      </w:pPr>
      <w:r>
        <w:rPr>
          <w:rFonts w:hint="eastAsia" w:ascii="Times New Roman" w:hAnsi="Times New Roman" w:cs="Times New Roman"/>
        </w:rPr>
        <w:t>1、对土地影响分析</w:t>
      </w:r>
    </w:p>
    <w:p>
      <w:pPr>
        <w:pStyle w:val="499"/>
        <w:spacing w:line="460" w:lineRule="exact"/>
        <w:ind w:firstLine="480"/>
        <w:rPr>
          <w:rFonts w:ascii="Times New Roman" w:hAnsi="Times New Roman" w:cs="Times New Roman"/>
        </w:rPr>
      </w:pPr>
      <w:r>
        <w:rPr>
          <w:rFonts w:hint="eastAsia" w:ascii="Times New Roman" w:hAnsi="Times New Roman" w:cs="Times New Roman"/>
        </w:rPr>
        <w:t>本项目建设位于厂区预留用地内，项目用地属于工业用地，本项目建成后将进行相应的绿化和地面硬化措施，因此项目土地利用类型变化不会导致项目区生态环境质量降低。</w:t>
      </w:r>
    </w:p>
    <w:p>
      <w:pPr>
        <w:pStyle w:val="499"/>
        <w:spacing w:line="460" w:lineRule="exact"/>
        <w:ind w:firstLine="480"/>
        <w:rPr>
          <w:rFonts w:ascii="Times New Roman" w:hAnsi="Times New Roman" w:cs="Times New Roman"/>
        </w:rPr>
      </w:pPr>
      <w:r>
        <w:rPr>
          <w:rFonts w:hint="eastAsia" w:ascii="Times New Roman" w:hAnsi="Times New Roman" w:cs="Times New Roman"/>
        </w:rPr>
        <w:t>2、植物资源影响分析</w:t>
      </w:r>
    </w:p>
    <w:p>
      <w:pPr>
        <w:pStyle w:val="499"/>
        <w:spacing w:line="460" w:lineRule="exact"/>
        <w:ind w:firstLine="480"/>
        <w:rPr>
          <w:rFonts w:ascii="Times New Roman" w:hAnsi="Times New Roman" w:cs="Times New Roman"/>
        </w:rPr>
      </w:pPr>
      <w:r>
        <w:rPr>
          <w:rFonts w:hint="eastAsia" w:ascii="Times New Roman" w:hAnsi="Times New Roman" w:cs="Times New Roman"/>
        </w:rPr>
        <w:t>项目建成后，将对厂区及周围环境进一步绿化，生产过程不存在破坏植被工业活动，项目运营过程排放的粉尘自然沉降后会对周围植被造成一定影响，粉尘降落在植被叶片影响植被生长等，但根据分析，本项目产生的粉尘在采取相应治理措施后，排放量较小，对周围环境影响不大。</w:t>
      </w:r>
    </w:p>
    <w:p>
      <w:pPr>
        <w:pStyle w:val="499"/>
        <w:spacing w:line="460" w:lineRule="exact"/>
        <w:ind w:firstLine="480"/>
        <w:rPr>
          <w:rFonts w:ascii="Times New Roman" w:hAnsi="Times New Roman" w:cs="Times New Roman"/>
        </w:rPr>
      </w:pPr>
      <w:r>
        <w:rPr>
          <w:rFonts w:hint="eastAsia" w:ascii="Times New Roman" w:hAnsi="Times New Roman" w:cs="Times New Roman"/>
        </w:rPr>
        <w:t>3、动物影响分析分析</w:t>
      </w:r>
    </w:p>
    <w:p>
      <w:pPr>
        <w:pStyle w:val="499"/>
        <w:spacing w:line="460" w:lineRule="exact"/>
        <w:ind w:firstLine="480"/>
        <w:rPr>
          <w:rFonts w:ascii="Times New Roman" w:hAnsi="Times New Roman" w:cs="Times New Roman"/>
        </w:rPr>
      </w:pPr>
      <w:r>
        <w:rPr>
          <w:rFonts w:hint="eastAsia" w:ascii="Times New Roman" w:hAnsi="Times New Roman" w:cs="Times New Roman"/>
        </w:rPr>
        <w:t>对于大多数野生动物来讲，最大的威胁来自其生境的分割、缩小、破坏和退化。本项目位于已建厂区预留用地，项目区存在其他人为活动，厂址附近无野生动物出没，因此项目建成后，正常生产不会对野生动物的栖息地造成干扰和影响，因此项目运营期对野生动物的影响较小。</w:t>
      </w:r>
    </w:p>
    <w:p>
      <w:pPr>
        <w:pStyle w:val="499"/>
        <w:spacing w:line="460" w:lineRule="exact"/>
        <w:ind w:firstLine="480"/>
        <w:rPr>
          <w:rFonts w:ascii="Times New Roman" w:hAnsi="Times New Roman" w:cs="Times New Roman"/>
        </w:rPr>
      </w:pPr>
      <w:r>
        <w:rPr>
          <w:rFonts w:hint="eastAsia" w:ascii="Times New Roman" w:hAnsi="Times New Roman" w:cs="Times New Roman"/>
        </w:rPr>
        <w:t>4、生态环境影响评价结论</w:t>
      </w:r>
    </w:p>
    <w:p>
      <w:pPr>
        <w:pStyle w:val="499"/>
        <w:spacing w:line="460" w:lineRule="exact"/>
        <w:ind w:firstLine="480"/>
        <w:rPr>
          <w:rFonts w:ascii="Times New Roman" w:hAnsi="Times New Roman" w:cs="Times New Roman"/>
        </w:rPr>
      </w:pPr>
      <w:r>
        <w:rPr>
          <w:rFonts w:hint="eastAsia" w:ascii="Times New Roman" w:hAnsi="Times New Roman" w:cs="Times New Roman"/>
        </w:rPr>
        <w:t>项目实施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p>
      <w:pPr>
        <w:pStyle w:val="499"/>
        <w:spacing w:line="460" w:lineRule="exact"/>
        <w:ind w:firstLine="480"/>
        <w:rPr>
          <w:rFonts w:ascii="Times New Roman" w:hAnsi="Times New Roman" w:cs="Times New Roman"/>
        </w:rPr>
      </w:pPr>
      <w:r>
        <w:rPr>
          <w:rFonts w:hint="eastAsia" w:ascii="Times New Roman" w:hAnsi="Times New Roman" w:cs="Times New Roman"/>
        </w:rPr>
        <w:t>生态环境影响评价自查表见表6.2-23。</w:t>
      </w:r>
    </w:p>
    <w:p>
      <w:pPr>
        <w:autoSpaceDE w:val="0"/>
        <w:autoSpaceDN w:val="0"/>
        <w:ind w:firstLine="420" w:firstLineChars="200"/>
        <w:rPr>
          <w:rFonts w:eastAsia="黑体"/>
          <w:szCs w:val="21"/>
        </w:rPr>
      </w:pPr>
      <w:r>
        <w:rPr>
          <w:rFonts w:hint="eastAsia" w:eastAsia="黑体"/>
          <w:szCs w:val="21"/>
        </w:rPr>
        <w:t>表6.2-23               生态环境影响自查表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5"/>
        <w:gridCol w:w="6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gridSpan w:val="2"/>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工作内容</w:t>
            </w:r>
          </w:p>
        </w:tc>
        <w:tc>
          <w:tcPr>
            <w:tcW w:w="6060"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生态影响识别</w:t>
            </w:r>
          </w:p>
        </w:tc>
        <w:tc>
          <w:tcPr>
            <w:tcW w:w="1275"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生态保护目标</w:t>
            </w:r>
          </w:p>
        </w:tc>
        <w:tc>
          <w:tcPr>
            <w:tcW w:w="6060" w:type="dxa"/>
            <w:vAlign w:val="center"/>
          </w:tcPr>
          <w:p>
            <w:pPr>
              <w:pStyle w:val="673"/>
              <w:rPr>
                <w:rFonts w:ascii="Segoe UI Symbol" w:hAnsi="Segoe UI Symbol" w:cs="Times New Roman"/>
                <w:kern w:val="0"/>
                <w:sz w:val="21"/>
              </w:rPr>
            </w:pPr>
            <w:r>
              <w:rPr>
                <w:rFonts w:hint="eastAsia" w:ascii="Times New Roman" w:hAnsi="Times New Roman" w:eastAsia="宋体" w:cs="Times New Roman"/>
                <w:kern w:val="0"/>
                <w:sz w:val="21"/>
              </w:rPr>
              <w:t>重要物种□；国家公园□；自然保护区□；自然公园□；世界自然遗产□；生态保护红线□；重要生境□；其他具有重要生态功能、对保护生物多样性具有重要意义的区域□；其他</w:t>
            </w:r>
            <w:r>
              <w:rPr>
                <w:rFonts w:hint="eastAsia" w:ascii="Segoe UI Symbol" w:hAnsi="Segoe UI Symbol" w:eastAsia="Segoe UI Symbol"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0"/>
                <w:sz w:val="21"/>
              </w:rPr>
            </w:pPr>
          </w:p>
        </w:tc>
        <w:tc>
          <w:tcPr>
            <w:tcW w:w="1275"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影响方式</w:t>
            </w:r>
          </w:p>
        </w:tc>
        <w:tc>
          <w:tcPr>
            <w:tcW w:w="6060" w:type="dxa"/>
            <w:vAlign w:val="center"/>
          </w:tcPr>
          <w:p>
            <w:pPr>
              <w:pStyle w:val="673"/>
              <w:rPr>
                <w:rFonts w:ascii="Segoe UI Symbol" w:hAnsi="Segoe UI Symbol" w:cs="Times New Roman"/>
                <w:kern w:val="0"/>
                <w:sz w:val="21"/>
              </w:rPr>
            </w:pPr>
            <w:r>
              <w:rPr>
                <w:rFonts w:hint="eastAsia" w:ascii="Times New Roman" w:hAnsi="Times New Roman" w:eastAsia="宋体" w:cs="Times New Roman"/>
                <w:kern w:val="0"/>
                <w:sz w:val="21"/>
              </w:rPr>
              <w:t>工程占用□；施工活动干扰□；改变环境条件□；其他</w:t>
            </w:r>
            <w:r>
              <w:rPr>
                <w:rFonts w:hint="eastAsia" w:ascii="Segoe UI Symbol" w:hAnsi="Segoe UI Symbol" w:eastAsia="Segoe UI Symbol"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0"/>
                <w:sz w:val="21"/>
              </w:rPr>
            </w:pPr>
          </w:p>
        </w:tc>
        <w:tc>
          <w:tcPr>
            <w:tcW w:w="1275"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评价因子</w:t>
            </w:r>
          </w:p>
        </w:tc>
        <w:tc>
          <w:tcPr>
            <w:tcW w:w="6060" w:type="dxa"/>
            <w:vAlign w:val="center"/>
          </w:tcPr>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物种□（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生境□（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生物群落□（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生态系统□（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生物多样性□（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生态敏感区□（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自然景观□（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自然遗迹□（                      ） </w:t>
            </w:r>
          </w:p>
          <w:p>
            <w:pPr>
              <w:pStyle w:val="673"/>
              <w:jc w:val="left"/>
              <w:rPr>
                <w:rFonts w:ascii="Times New Roman" w:hAnsi="Times New Roman" w:eastAsia="宋体" w:cs="Times New Roman"/>
                <w:kern w:val="0"/>
                <w:sz w:val="21"/>
              </w:rPr>
            </w:pPr>
            <w:r>
              <w:rPr>
                <w:rFonts w:hint="eastAsia" w:ascii="Times New Roman" w:hAnsi="Times New Roman" w:eastAsia="宋体" w:cs="Times New Roman"/>
                <w:kern w:val="0"/>
                <w:sz w:val="21"/>
              </w:rPr>
              <w:t>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gridSpan w:val="2"/>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评价等级</w:t>
            </w:r>
          </w:p>
        </w:tc>
        <w:tc>
          <w:tcPr>
            <w:tcW w:w="6060" w:type="dxa"/>
            <w:vAlign w:val="center"/>
          </w:tcPr>
          <w:p>
            <w:pPr>
              <w:pStyle w:val="673"/>
              <w:rPr>
                <w:rFonts w:ascii="Segoe UI Symbol" w:hAnsi="Segoe UI Symbol" w:cs="Times New Roman"/>
                <w:kern w:val="0"/>
                <w:sz w:val="21"/>
              </w:rPr>
            </w:pPr>
            <w:r>
              <w:rPr>
                <w:rFonts w:hint="eastAsia" w:ascii="Times New Roman" w:hAnsi="Times New Roman" w:eastAsia="宋体" w:cs="Times New Roman"/>
                <w:kern w:val="0"/>
                <w:sz w:val="21"/>
              </w:rPr>
              <w:t>一级□    二级□    三级□    生态影响简单分析</w:t>
            </w:r>
            <w:r>
              <w:rPr>
                <w:rFonts w:hint="eastAsia" w:ascii="Segoe UI Symbol" w:hAnsi="Segoe UI Symbol" w:eastAsia="Segoe UI Symbol"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6" w:type="dxa"/>
            <w:gridSpan w:val="2"/>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评价范围</w:t>
            </w:r>
          </w:p>
        </w:tc>
        <w:tc>
          <w:tcPr>
            <w:tcW w:w="6060"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陆域面积：（ 0.018696）km</w:t>
            </w:r>
            <w:r>
              <w:rPr>
                <w:rFonts w:hint="eastAsia" w:ascii="Times New Roman" w:hAnsi="Times New Roman" w:eastAsia="宋体" w:cs="Times New Roman"/>
                <w:kern w:val="0"/>
                <w:sz w:val="21"/>
                <w:vertAlign w:val="superscript"/>
              </w:rPr>
              <w:t>2</w:t>
            </w:r>
            <w:r>
              <w:rPr>
                <w:rFonts w:hint="eastAsia" w:ascii="Times New Roman" w:hAnsi="Times New Roman" w:eastAsia="宋体" w:cs="Times New Roman"/>
                <w:kern w:val="0"/>
                <w:sz w:val="21"/>
              </w:rPr>
              <w:t>；水域面积：（          ）km</w:t>
            </w:r>
            <w:r>
              <w:rPr>
                <w:rFonts w:hint="eastAsia" w:ascii="Times New Roman" w:hAnsi="Times New Roman" w:eastAsia="宋体" w:cs="Times New Roman"/>
                <w:kern w:val="0"/>
                <w:sz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态现状调查与评价</w:t>
            </w:r>
          </w:p>
        </w:tc>
        <w:tc>
          <w:tcPr>
            <w:tcW w:w="1275"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调查方法</w:t>
            </w:r>
          </w:p>
        </w:tc>
        <w:tc>
          <w:tcPr>
            <w:tcW w:w="6060"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资料收集</w:t>
            </w:r>
            <w:r>
              <w:rPr>
                <w:rFonts w:hint="eastAsia" w:ascii="Segoe UI Symbol" w:hAnsi="Segoe UI Symbol" w:eastAsia="Segoe UI Symbol" w:cs="Times New Roman"/>
                <w:kern w:val="0"/>
                <w:sz w:val="21"/>
              </w:rPr>
              <w:t>☑</w:t>
            </w:r>
            <w:r>
              <w:rPr>
                <w:rFonts w:hint="eastAsia" w:ascii="Times New Roman" w:hAnsi="Times New Roman" w:eastAsia="宋体" w:cs="Times New Roman"/>
                <w:kern w:val="0"/>
                <w:sz w:val="21"/>
              </w:rPr>
              <w:t>；遥感调查□；调查样方、样线□；调查点位、断面□；专家和公众咨询法□；其他□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1" w:type="dxa"/>
            <w:vMerge w:val="continue"/>
            <w:vAlign w:val="center"/>
          </w:tcPr>
          <w:p>
            <w:pPr>
              <w:pStyle w:val="673"/>
              <w:rPr>
                <w:rFonts w:ascii="Times New Roman" w:hAnsi="Times New Roman" w:eastAsia="宋体" w:cs="Times New Roman"/>
                <w:kern w:val="0"/>
                <w:sz w:val="21"/>
              </w:rPr>
            </w:pPr>
          </w:p>
        </w:tc>
        <w:tc>
          <w:tcPr>
            <w:tcW w:w="1275"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调查时间</w:t>
            </w:r>
          </w:p>
        </w:tc>
        <w:tc>
          <w:tcPr>
            <w:tcW w:w="6060" w:type="dxa"/>
            <w:vAlign w:val="center"/>
          </w:tcPr>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春季</w:t>
            </w:r>
            <w:r>
              <w:rPr>
                <w:rFonts w:hint="eastAsia" w:ascii="Segoe UI Symbol" w:hAnsi="Segoe UI Symbol" w:eastAsia="Segoe UI Symbol" w:cs="Times New Roman"/>
                <w:kern w:val="0"/>
                <w:sz w:val="21"/>
              </w:rPr>
              <w:t>☑</w:t>
            </w:r>
            <w:r>
              <w:rPr>
                <w:rFonts w:hint="eastAsia" w:ascii="Times New Roman" w:hAnsi="Times New Roman" w:eastAsia="宋体" w:cs="Times New Roman"/>
                <w:kern w:val="0"/>
                <w:sz w:val="21"/>
              </w:rPr>
              <w:t xml:space="preserve">；夏季□；秋季□；冬季□ </w:t>
            </w:r>
          </w:p>
          <w:p>
            <w:pPr>
              <w:pStyle w:val="673"/>
              <w:rPr>
                <w:rFonts w:ascii="Times New Roman" w:hAnsi="Times New Roman" w:eastAsia="宋体" w:cs="Times New Roman"/>
                <w:kern w:val="0"/>
                <w:sz w:val="21"/>
              </w:rPr>
            </w:pPr>
            <w:r>
              <w:rPr>
                <w:rFonts w:hint="eastAsia" w:ascii="Times New Roman" w:hAnsi="Times New Roman" w:eastAsia="宋体" w:cs="Times New Roman"/>
                <w:kern w:val="0"/>
                <w:sz w:val="21"/>
              </w:rPr>
              <w:t>丰水期□；枯水期□；平水期□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2"/>
                <w:sz w:val="21"/>
              </w:rPr>
            </w:pP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所在区域生态问题</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水土流失□；沙漠化□；石漠化□；盐渍化□；生物入侵□；污染危害□；其他</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2"/>
                <w:sz w:val="21"/>
              </w:rPr>
            </w:pP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评价内容</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植被/植物群落□；土地利用□；生态系统□；生物多样性□；重要物种□；生态敏感区□；其他</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生态影响预测与评价</w:t>
            </w: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评价方法</w:t>
            </w:r>
          </w:p>
        </w:tc>
        <w:tc>
          <w:tcPr>
            <w:tcW w:w="6060"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定性</w:t>
            </w:r>
            <w:r>
              <w:rPr>
                <w:rFonts w:hint="eastAsia" w:ascii="Segoe UI Symbol" w:hAnsi="Segoe UI Symbol" w:eastAsia="Segoe UI Symbol" w:cs="Times New Roman"/>
                <w:kern w:val="2"/>
                <w:sz w:val="21"/>
              </w:rPr>
              <w:t>☑</w:t>
            </w:r>
            <w:r>
              <w:rPr>
                <w:rFonts w:hint="eastAsia" w:ascii="Times New Roman" w:hAnsi="Times New Roman" w:eastAsia="宋体" w:cs="Times New Roman"/>
                <w:kern w:val="2"/>
                <w:sz w:val="21"/>
              </w:rPr>
              <w:t>；定性和定量□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2"/>
                <w:sz w:val="21"/>
              </w:rPr>
            </w:pP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评价内容</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植被/植物群落□；土地利用</w:t>
            </w:r>
            <w:r>
              <w:rPr>
                <w:rFonts w:hint="eastAsia" w:ascii="Segoe UI Symbol" w:hAnsi="Segoe UI Symbol" w:eastAsia="Segoe UI Symbol" w:cs="Times New Roman"/>
                <w:kern w:val="2"/>
                <w:sz w:val="21"/>
              </w:rPr>
              <w:t>☑</w:t>
            </w:r>
            <w:r>
              <w:rPr>
                <w:rFonts w:hint="eastAsia" w:ascii="Times New Roman" w:hAnsi="Times New Roman" w:eastAsia="宋体" w:cs="Times New Roman"/>
                <w:kern w:val="2"/>
                <w:sz w:val="21"/>
              </w:rPr>
              <w:t>；生态系统□；生物多样性</w:t>
            </w:r>
            <w:r>
              <w:rPr>
                <w:rFonts w:hint="eastAsia" w:ascii="Segoe UI Symbol" w:hAnsi="Segoe UI Symbol" w:eastAsia="Segoe UI Symbol" w:cs="Times New Roman"/>
                <w:kern w:val="2"/>
                <w:sz w:val="21"/>
              </w:rPr>
              <w:t>☑</w:t>
            </w:r>
            <w:r>
              <w:rPr>
                <w:rFonts w:hint="eastAsia" w:ascii="Times New Roman" w:hAnsi="Times New Roman" w:eastAsia="宋体" w:cs="Times New Roman"/>
                <w:kern w:val="2"/>
                <w:sz w:val="21"/>
              </w:rPr>
              <w:t>；重要物种□；生态敏感区□；生物入侵风险□；其他</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生态保护对策措施</w:t>
            </w: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对策措施</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避让□；减缓□；生态修复□；生态补偿□；科研□；其他</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2"/>
                <w:sz w:val="21"/>
              </w:rPr>
            </w:pP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生态监测计划</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全生命周期□；长期跟踪□；常规□；无</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pPr>
              <w:pStyle w:val="673"/>
              <w:rPr>
                <w:rFonts w:ascii="Times New Roman" w:hAnsi="Times New Roman" w:eastAsia="宋体" w:cs="Times New Roman"/>
                <w:kern w:val="2"/>
                <w:sz w:val="21"/>
              </w:rPr>
            </w:pP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环境管理</w:t>
            </w:r>
          </w:p>
        </w:tc>
        <w:tc>
          <w:tcPr>
            <w:tcW w:w="6060" w:type="dxa"/>
            <w:vAlign w:val="center"/>
          </w:tcPr>
          <w:p>
            <w:pPr>
              <w:pStyle w:val="673"/>
              <w:rPr>
                <w:rFonts w:ascii="Segoe UI Symbol" w:hAnsi="Segoe UI Symbol" w:cs="Times New Roman"/>
                <w:kern w:val="2"/>
                <w:sz w:val="21"/>
              </w:rPr>
            </w:pPr>
            <w:r>
              <w:rPr>
                <w:rFonts w:hint="eastAsia" w:ascii="Times New Roman" w:hAnsi="Times New Roman" w:eastAsia="宋体" w:cs="Times New Roman"/>
                <w:kern w:val="2"/>
                <w:sz w:val="21"/>
              </w:rPr>
              <w:t>环境监理□；环境影响后评价□；其他</w:t>
            </w:r>
            <w:r>
              <w:rPr>
                <w:rFonts w:hint="eastAsia" w:ascii="Segoe UI Symbol" w:hAnsi="Segoe UI Symbol" w:eastAsia="Segoe UI Symbol"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评价结论</w:t>
            </w:r>
          </w:p>
        </w:tc>
        <w:tc>
          <w:tcPr>
            <w:tcW w:w="1275"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生态影响</w:t>
            </w:r>
          </w:p>
        </w:tc>
        <w:tc>
          <w:tcPr>
            <w:tcW w:w="6060" w:type="dxa"/>
            <w:vAlign w:val="center"/>
          </w:tcPr>
          <w:p>
            <w:pPr>
              <w:pStyle w:val="673"/>
              <w:rPr>
                <w:rFonts w:ascii="Times New Roman" w:hAnsi="Times New Roman" w:eastAsia="宋体" w:cs="Times New Roman"/>
                <w:kern w:val="2"/>
                <w:sz w:val="21"/>
              </w:rPr>
            </w:pPr>
            <w:r>
              <w:rPr>
                <w:rFonts w:hint="eastAsia" w:ascii="Times New Roman" w:hAnsi="Times New Roman" w:eastAsia="宋体" w:cs="Times New Roman"/>
                <w:kern w:val="2"/>
                <w:sz w:val="21"/>
              </w:rPr>
              <w:t>可行</w:t>
            </w:r>
            <w:r>
              <w:rPr>
                <w:rFonts w:hint="eastAsia" w:ascii="Segoe UI Symbol" w:hAnsi="Segoe UI Symbol" w:eastAsia="Segoe UI Symbol" w:cs="Times New Roman"/>
                <w:kern w:val="2"/>
                <w:sz w:val="21"/>
              </w:rPr>
              <w:t>☑</w:t>
            </w:r>
            <w:r>
              <w:rPr>
                <w:rFonts w:hint="eastAsia" w:ascii="Times New Roman" w:hAnsi="Times New Roman" w:eastAsia="宋体" w:cs="Times New Roman"/>
                <w:kern w:val="2"/>
                <w:sz w:val="21"/>
              </w:rPr>
              <w:t>；不可行□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3"/>
            <w:vAlign w:val="center"/>
          </w:tcPr>
          <w:p>
            <w:pPr>
              <w:pStyle w:val="673"/>
              <w:rPr>
                <w:rFonts w:ascii="Times New Roman" w:hAnsi="Times New Roman" w:eastAsia="宋体" w:cs="Times New Roman"/>
                <w:kern w:val="0"/>
                <w:sz w:val="21"/>
                <w:szCs w:val="22"/>
              </w:rPr>
            </w:pPr>
            <w:r>
              <w:rPr>
                <w:rFonts w:hint="eastAsia" w:ascii="Times New Roman" w:hAnsi="Times New Roman" w:eastAsia="宋体" w:cs="Times New Roman"/>
                <w:kern w:val="0"/>
                <w:sz w:val="21"/>
                <w:szCs w:val="22"/>
              </w:rPr>
              <w:t>注：  “□”  为勾选项  ，可√  ；“（    ）”  为内容填写项。</w:t>
            </w:r>
          </w:p>
        </w:tc>
      </w:tr>
    </w:tbl>
    <w:p>
      <w:pPr>
        <w:pStyle w:val="499"/>
        <w:spacing w:line="460" w:lineRule="exact"/>
        <w:ind w:firstLine="480"/>
        <w:rPr>
          <w:rFonts w:ascii="Times New Roman" w:hAnsi="Times New Roman" w:cs="Times New Roman"/>
        </w:rPr>
      </w:pPr>
    </w:p>
    <w:p>
      <w:pPr>
        <w:pStyle w:val="4"/>
        <w:adjustRightInd w:val="0"/>
        <w:spacing w:before="120" w:after="120" w:line="460" w:lineRule="exact"/>
        <w:textAlignment w:val="baseline"/>
        <w:rPr>
          <w:rFonts w:ascii="Times New Roman" w:hAnsi="Times New Roman"/>
          <w:b w:val="0"/>
          <w:bCs w:val="0"/>
          <w:szCs w:val="28"/>
        </w:rPr>
      </w:pPr>
      <w:bookmarkStart w:id="223" w:name="_Toc165386236"/>
      <w:bookmarkStart w:id="224" w:name="_Toc454899373"/>
      <w:bookmarkStart w:id="225" w:name="_Toc395138419"/>
      <w:bookmarkStart w:id="226" w:name="_Toc245882761"/>
      <w:r>
        <w:rPr>
          <w:rFonts w:hint="eastAsia" w:ascii="Times New Roman" w:hAnsi="Times New Roman"/>
          <w:b w:val="0"/>
          <w:bCs w:val="0"/>
          <w:szCs w:val="28"/>
        </w:rPr>
        <w:t xml:space="preserve">6.3 </w:t>
      </w:r>
      <w:r>
        <w:rPr>
          <w:rFonts w:ascii="Times New Roman" w:hAnsi="Times New Roman"/>
          <w:b w:val="0"/>
          <w:bCs w:val="0"/>
          <w:szCs w:val="28"/>
        </w:rPr>
        <w:t>环境风险分析</w:t>
      </w:r>
      <w:bookmarkEnd w:id="223"/>
    </w:p>
    <w:p>
      <w:pPr>
        <w:pStyle w:val="5"/>
        <w:numPr>
          <w:ilvl w:val="0"/>
          <w:numId w:val="0"/>
        </w:numPr>
        <w:adjustRightInd w:val="0"/>
        <w:spacing w:before="0" w:line="460" w:lineRule="exact"/>
        <w:ind w:left="113"/>
        <w:textAlignment w:val="baseline"/>
        <w:rPr>
          <w:rFonts w:ascii="Times New Roman"/>
          <w:szCs w:val="24"/>
        </w:rPr>
      </w:pPr>
      <w:bookmarkStart w:id="227" w:name="_Toc390713439"/>
      <w:r>
        <w:rPr>
          <w:rFonts w:hint="eastAsia" w:ascii="Times New Roman"/>
          <w:szCs w:val="24"/>
        </w:rPr>
        <w:t>6.3</w:t>
      </w:r>
      <w:r>
        <w:rPr>
          <w:rFonts w:ascii="Times New Roman"/>
          <w:szCs w:val="24"/>
        </w:rPr>
        <w:t>.1</w:t>
      </w:r>
      <w:r>
        <w:rPr>
          <w:rFonts w:hint="eastAsia" w:ascii="Times New Roman"/>
          <w:szCs w:val="24"/>
        </w:rPr>
        <w:t>概述</w:t>
      </w:r>
    </w:p>
    <w:bookmarkEnd w:id="227"/>
    <w:p>
      <w:pPr>
        <w:pStyle w:val="499"/>
        <w:ind w:firstLine="480"/>
      </w:pPr>
      <w:bookmarkStart w:id="228" w:name="_Toc32513"/>
      <w:bookmarkStart w:id="229" w:name="_Toc20167"/>
      <w:bookmarkStart w:id="230" w:name="_Toc8930"/>
      <w:bookmarkStart w:id="231" w:name="_Toc477542422"/>
      <w:bookmarkStart w:id="232" w:name="_Toc3567"/>
      <w:bookmarkStart w:id="233" w:name="_Toc653"/>
      <w:bookmarkStart w:id="234" w:name="_Toc448920648"/>
      <w:bookmarkStart w:id="235" w:name="_Toc668"/>
      <w:bookmarkStart w:id="236" w:name="_Toc433814562"/>
      <w:bookmarkStart w:id="237" w:name="_Toc485196113"/>
      <w:bookmarkStart w:id="238" w:name="_Toc398849230"/>
      <w:bookmarkStart w:id="239" w:name="_Toc483733168"/>
      <w:r>
        <w:rPr>
          <w:rFonts w:hint="eastAsia"/>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pStyle w:val="499"/>
        <w:spacing w:line="460" w:lineRule="exact"/>
        <w:ind w:firstLine="480"/>
        <w:rPr>
          <w:rFonts w:ascii="Times New Roman" w:hAnsi="Times New Roman" w:cs="Times New Roman"/>
        </w:rPr>
      </w:pPr>
      <w:r>
        <w:rPr>
          <w:rFonts w:hint="eastAsia" w:ascii="Times New Roman" w:hAnsi="Times New Roman" w:cs="Times New Roman"/>
        </w:rPr>
        <w:t>本次风险评价以《建设项目环境风险评价技术导则》（</w:t>
      </w:r>
      <w:r>
        <w:rPr>
          <w:rFonts w:ascii="Times New Roman" w:hAnsi="Times New Roman" w:cs="Times New Roman"/>
        </w:rPr>
        <w:t>HJ169-2018</w:t>
      </w:r>
      <w:r>
        <w:rPr>
          <w:rFonts w:hint="eastAsia" w:ascii="Times New Roman" w:hAnsi="Times New Roman" w:cs="Times New Roman"/>
        </w:rPr>
        <w:t>）为指导，按照《关于进一步加强环境影响评价管理防范环境风险的通知》环发</w:t>
      </w:r>
      <w:r>
        <w:rPr>
          <w:rFonts w:ascii="Times New Roman" w:hAnsi="Times New Roman" w:cs="Times New Roman"/>
        </w:rPr>
        <w:t>[2012]77</w:t>
      </w:r>
      <w:r>
        <w:rPr>
          <w:rFonts w:hint="eastAsia" w:ascii="Times New Roman" w:hAnsi="Times New Roman" w:cs="Times New Roman"/>
        </w:rPr>
        <w:t>号的原则，对本项目进行风险识别、源项分析和风险影响分析，从环境风险源、扩散途径、保护目标三方面识别环境风险，提出风险防范措施，为环境管理提供资料和依据，达到降低危险的目的。</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w:t>
      </w:r>
      <w:r>
        <w:rPr>
          <w:rFonts w:ascii="Times New Roman"/>
          <w:szCs w:val="24"/>
        </w:rPr>
        <w:t>.2风险</w:t>
      </w:r>
      <w:bookmarkEnd w:id="228"/>
      <w:bookmarkEnd w:id="229"/>
      <w:bookmarkEnd w:id="230"/>
      <w:bookmarkEnd w:id="231"/>
      <w:bookmarkEnd w:id="232"/>
      <w:bookmarkEnd w:id="233"/>
      <w:bookmarkEnd w:id="234"/>
      <w:bookmarkEnd w:id="235"/>
      <w:bookmarkEnd w:id="236"/>
      <w:bookmarkEnd w:id="237"/>
      <w:bookmarkEnd w:id="238"/>
      <w:bookmarkEnd w:id="239"/>
      <w:r>
        <w:rPr>
          <w:rFonts w:hint="eastAsia" w:ascii="Times New Roman"/>
          <w:szCs w:val="24"/>
        </w:rPr>
        <w:t>调查及评价等级</w:t>
      </w:r>
    </w:p>
    <w:p>
      <w:pPr>
        <w:spacing w:line="460" w:lineRule="exact"/>
        <w:ind w:firstLine="480" w:firstLineChars="200"/>
        <w:rPr>
          <w:rFonts w:eastAsiaTheme="minorEastAsia"/>
          <w:sz w:val="24"/>
        </w:rPr>
      </w:pPr>
      <w:r>
        <w:rPr>
          <w:rFonts w:hint="eastAsia" w:eastAsiaTheme="minorEastAsia"/>
          <w:sz w:val="24"/>
        </w:rPr>
        <w:t>1、建设项目风险源调查</w:t>
      </w:r>
    </w:p>
    <w:p>
      <w:pPr>
        <w:overflowPunct w:val="0"/>
        <w:spacing w:line="460" w:lineRule="exact"/>
        <w:ind w:firstLine="480" w:firstLineChars="200"/>
        <w:rPr>
          <w:rFonts w:eastAsiaTheme="minorEastAsia"/>
          <w:sz w:val="24"/>
        </w:rPr>
      </w:pPr>
      <w:r>
        <w:rPr>
          <w:rFonts w:hint="eastAsia" w:eastAsiaTheme="minorEastAsia"/>
          <w:sz w:val="24"/>
        </w:rPr>
        <w:t>本项目利用废旧塑料为原料，再生造粒为再生塑料颗粒，利用再生塑料颗粒及新购塑料颗粒等生产所需产品滴灌带及PE管，项目生产过程不添加其他化学试剂，项目生产不涉及危险化学品的危险物质，项目主要事故风险为火灾引发的次生污染，主要是塑料火灾燃烧产生的有机物排放以及危废暂存间储存的废润滑油及桶等。</w:t>
      </w:r>
    </w:p>
    <w:p>
      <w:pPr>
        <w:spacing w:line="460" w:lineRule="exact"/>
        <w:ind w:firstLine="480" w:firstLineChars="200"/>
        <w:rPr>
          <w:rFonts w:eastAsiaTheme="minorEastAsia"/>
          <w:sz w:val="24"/>
        </w:rPr>
      </w:pPr>
      <w:r>
        <w:rPr>
          <w:rFonts w:hint="eastAsia" w:eastAsiaTheme="minorEastAsia"/>
          <w:sz w:val="24"/>
        </w:rPr>
        <w:t>2、环境敏感目标调查</w:t>
      </w:r>
    </w:p>
    <w:p>
      <w:pPr>
        <w:spacing w:line="460" w:lineRule="exact"/>
        <w:ind w:firstLine="480" w:firstLineChars="200"/>
        <w:rPr>
          <w:rFonts w:eastAsiaTheme="minorEastAsia"/>
          <w:sz w:val="24"/>
        </w:rPr>
      </w:pPr>
      <w:r>
        <w:rPr>
          <w:rFonts w:eastAsiaTheme="minorEastAsia"/>
          <w:sz w:val="24"/>
        </w:rPr>
        <w:t>依据本项目确定的环境风险评价等级和评价范围，对建设区域3km范围内的环境敏感点的情况统计详见表</w:t>
      </w:r>
      <w:r>
        <w:rPr>
          <w:rFonts w:hint="eastAsia" w:eastAsiaTheme="minorEastAsia"/>
          <w:sz w:val="24"/>
        </w:rPr>
        <w:t>6.3</w:t>
      </w:r>
      <w:r>
        <w:rPr>
          <w:rFonts w:eastAsiaTheme="minorEastAsia"/>
          <w:sz w:val="24"/>
        </w:rPr>
        <w:t>-1。</w:t>
      </w:r>
    </w:p>
    <w:p>
      <w:pPr>
        <w:pStyle w:val="632"/>
        <w:spacing w:line="240" w:lineRule="auto"/>
        <w:ind w:firstLine="420"/>
        <w:rPr>
          <w:rFonts w:eastAsia="黑体"/>
        </w:rPr>
      </w:pPr>
      <w:r>
        <w:rPr>
          <w:rFonts w:hint="eastAsia" w:eastAsia="黑体"/>
        </w:rPr>
        <w:t xml:space="preserve">表6.3-1             </w:t>
      </w:r>
      <w:r>
        <w:rPr>
          <w:rFonts w:eastAsia="黑体"/>
        </w:rPr>
        <w:t>区域社会关注区分布情况统计表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8"/>
        <w:gridCol w:w="3402"/>
        <w:gridCol w:w="2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序号</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名称</w:t>
            </w:r>
          </w:p>
        </w:tc>
        <w:tc>
          <w:tcPr>
            <w:tcW w:w="340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保护对象</w:t>
            </w:r>
          </w:p>
        </w:tc>
        <w:tc>
          <w:tcPr>
            <w:tcW w:w="2799"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1</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环境空气</w:t>
            </w:r>
          </w:p>
        </w:tc>
        <w:tc>
          <w:tcPr>
            <w:tcW w:w="340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边长为5km的矩形区域</w:t>
            </w:r>
          </w:p>
        </w:tc>
        <w:tc>
          <w:tcPr>
            <w:tcW w:w="2799" w:type="dxa"/>
            <w:vAlign w:val="center"/>
          </w:tcPr>
          <w:p>
            <w:pPr>
              <w:pStyle w:val="293"/>
              <w:adjustRightInd w:val="0"/>
              <w:snapToGrid w:val="0"/>
              <w:spacing w:before="0" w:after="0"/>
              <w:ind w:left="0" w:right="0"/>
              <w:rPr>
                <w:color w:val="auto"/>
                <w:kern w:val="0"/>
                <w:sz w:val="21"/>
                <w:szCs w:val="21"/>
              </w:rPr>
            </w:pPr>
            <w:r>
              <w:rPr>
                <w:color w:val="auto"/>
                <w:kern w:val="0"/>
                <w:sz w:val="21"/>
                <w:szCs w:val="21"/>
              </w:rPr>
              <w:t>《环境空气质量标准》二级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2</w:t>
            </w:r>
          </w:p>
        </w:tc>
        <w:tc>
          <w:tcPr>
            <w:tcW w:w="141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地下水环境</w:t>
            </w:r>
          </w:p>
        </w:tc>
        <w:tc>
          <w:tcPr>
            <w:tcW w:w="3402"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项目区区域地下水</w:t>
            </w:r>
          </w:p>
        </w:tc>
        <w:tc>
          <w:tcPr>
            <w:tcW w:w="2799" w:type="dxa"/>
            <w:vAlign w:val="center"/>
          </w:tcPr>
          <w:p>
            <w:pPr>
              <w:pStyle w:val="293"/>
              <w:adjustRightInd w:val="0"/>
              <w:snapToGrid w:val="0"/>
              <w:spacing w:before="0" w:after="0"/>
              <w:ind w:left="0" w:right="0"/>
              <w:rPr>
                <w:color w:val="auto"/>
                <w:kern w:val="0"/>
                <w:sz w:val="21"/>
                <w:szCs w:val="21"/>
              </w:rPr>
            </w:pPr>
            <w:r>
              <w:rPr>
                <w:color w:val="auto"/>
                <w:kern w:val="0"/>
                <w:sz w:val="21"/>
                <w:szCs w:val="21"/>
              </w:rPr>
              <w:t>《地下水质量标准》III类</w:t>
            </w:r>
          </w:p>
        </w:tc>
      </w:tr>
    </w:tbl>
    <w:p>
      <w:pPr>
        <w:spacing w:line="460" w:lineRule="exact"/>
        <w:ind w:firstLine="480" w:firstLineChars="200"/>
        <w:rPr>
          <w:rFonts w:eastAsiaTheme="minorEastAsia"/>
          <w:sz w:val="24"/>
        </w:rPr>
      </w:pPr>
      <w:r>
        <w:rPr>
          <w:rFonts w:hint="eastAsia" w:eastAsiaTheme="minorEastAsia"/>
          <w:sz w:val="24"/>
        </w:rPr>
        <w:t>3、环境风险潜势初判</w:t>
      </w:r>
    </w:p>
    <w:p>
      <w:pPr>
        <w:spacing w:line="460" w:lineRule="exact"/>
        <w:ind w:firstLine="480" w:firstLineChars="200"/>
        <w:rPr>
          <w:rFonts w:eastAsiaTheme="minorEastAsia"/>
          <w:sz w:val="24"/>
        </w:rPr>
      </w:pPr>
      <w:r>
        <w:rPr>
          <w:rFonts w:hint="eastAsia" w:eastAsiaTheme="minorEastAsia"/>
          <w:sz w:val="24"/>
        </w:rPr>
        <w:t>（1）危险物质数量与临界量比值（Q）</w:t>
      </w:r>
    </w:p>
    <w:p>
      <w:pPr>
        <w:spacing w:line="460" w:lineRule="exact"/>
        <w:ind w:firstLine="480" w:firstLineChars="200"/>
        <w:rPr>
          <w:rFonts w:eastAsiaTheme="minorEastAsia"/>
          <w:sz w:val="24"/>
        </w:rPr>
      </w:pPr>
      <w:r>
        <w:rPr>
          <w:rFonts w:hint="eastAsia" w:eastAsiaTheme="minorEastAsia"/>
          <w:sz w:val="24"/>
        </w:rPr>
        <w:t>根据《建设项目环境风险评价技术导则》（</w:t>
      </w:r>
      <w:r>
        <w:rPr>
          <w:rFonts w:eastAsiaTheme="minorEastAsia"/>
          <w:sz w:val="24"/>
        </w:rPr>
        <w:t>HJ169-2018</w:t>
      </w:r>
      <w:r>
        <w:rPr>
          <w:rFonts w:hint="eastAsia" w:eastAsiaTheme="minorEastAsia"/>
          <w:sz w:val="24"/>
        </w:rPr>
        <w:t>）和《危险化学品重大危险源辨识》（</w:t>
      </w:r>
      <w:r>
        <w:rPr>
          <w:rFonts w:eastAsiaTheme="minorEastAsia"/>
          <w:sz w:val="24"/>
        </w:rPr>
        <w:t>GB18218-2018</w:t>
      </w:r>
      <w:r>
        <w:rPr>
          <w:rFonts w:hint="eastAsia" w:eastAsiaTheme="minorEastAsia"/>
          <w:sz w:val="24"/>
        </w:rPr>
        <w:t>），危险化学品重大危险源是指“长期地或临时地生产、加工、搬运、使用或储存危险化学品，且危险化学品的数量等于或超过临界量的单元”。计算所涉及的每种危险物质在厂界内的最大存在总量与其在附录</w:t>
      </w:r>
      <w:r>
        <w:rPr>
          <w:rFonts w:eastAsiaTheme="minorEastAsia"/>
          <w:sz w:val="24"/>
        </w:rPr>
        <w:t>B</w:t>
      </w:r>
      <w:r>
        <w:rPr>
          <w:rFonts w:hint="eastAsia" w:eastAsiaTheme="minorEastAsia"/>
          <w:sz w:val="24"/>
        </w:rPr>
        <w:t>中对应临界量的比值</w:t>
      </w:r>
      <w:r>
        <w:rPr>
          <w:rFonts w:eastAsiaTheme="minorEastAsia"/>
          <w:i/>
          <w:iCs/>
          <w:sz w:val="24"/>
        </w:rPr>
        <w:t>Q</w:t>
      </w:r>
      <w:r>
        <w:rPr>
          <w:rFonts w:hint="eastAsia" w:eastAsiaTheme="minorEastAsia"/>
          <w:sz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pPr>
        <w:spacing w:line="460" w:lineRule="exact"/>
        <w:ind w:firstLine="480" w:firstLineChars="200"/>
        <w:rPr>
          <w:rFonts w:eastAsiaTheme="minorEastAsia"/>
          <w:sz w:val="24"/>
        </w:rPr>
      </w:pPr>
      <w:r>
        <w:rPr>
          <w:rFonts w:hint="eastAsia" w:eastAsiaTheme="minorEastAsia"/>
          <w:sz w:val="24"/>
        </w:rPr>
        <w:t>①当只涉及一种危险物质时，计算该物质的总量与其临界量比值，即为</w:t>
      </w:r>
      <w:r>
        <w:rPr>
          <w:rFonts w:eastAsiaTheme="minorEastAsia"/>
          <w:i/>
          <w:iCs/>
          <w:sz w:val="24"/>
        </w:rPr>
        <w:t>Q</w:t>
      </w:r>
      <w:r>
        <w:rPr>
          <w:rFonts w:hint="eastAsia" w:eastAsiaTheme="minorEastAsia"/>
          <w:sz w:val="24"/>
        </w:rPr>
        <w:t>；</w:t>
      </w:r>
    </w:p>
    <w:p>
      <w:pPr>
        <w:spacing w:line="460" w:lineRule="exact"/>
        <w:ind w:firstLine="480" w:firstLineChars="200"/>
        <w:rPr>
          <w:rFonts w:eastAsiaTheme="minorEastAsia"/>
          <w:sz w:val="24"/>
        </w:rPr>
      </w:pPr>
      <w:r>
        <w:rPr>
          <w:rFonts w:hint="eastAsia" w:eastAsiaTheme="minorEastAsia"/>
          <w:sz w:val="24"/>
        </w:rPr>
        <w:t>②当存在多种危险物质时，则按下式计算物质总量与其临界量比值（</w:t>
      </w:r>
      <w:r>
        <w:rPr>
          <w:rFonts w:eastAsiaTheme="minorEastAsia"/>
          <w:i/>
          <w:iCs/>
          <w:sz w:val="24"/>
        </w:rPr>
        <w:t>Q</w:t>
      </w:r>
      <w:r>
        <w:rPr>
          <w:rFonts w:hint="eastAsia" w:eastAsiaTheme="minorEastAsia"/>
          <w:sz w:val="24"/>
        </w:rPr>
        <w:t>）：</w:t>
      </w:r>
    </w:p>
    <w:p>
      <w:pPr>
        <w:ind w:firstLine="480" w:firstLineChars="200"/>
        <w:rPr>
          <w:rFonts w:eastAsiaTheme="minorEastAsia"/>
          <w:i/>
          <w:sz w:val="24"/>
        </w:rPr>
      </w:pPr>
      <m:oMathPara>
        <m:oMath>
          <m:r>
            <m:rPr/>
            <w:rPr>
              <w:rFonts w:ascii="Cambria Math" w:hAnsi="Cambria Math" w:eastAsiaTheme="minorEastAsia"/>
              <w:sz w:val="24"/>
            </w:rPr>
            <m:t>Q=</m:t>
          </m:r>
          <m:f>
            <m:fPr>
              <m:ctrlPr>
                <w:rPr>
                  <w:rFonts w:ascii="Cambria Math" w:hAnsi="Cambria Math" w:eastAsiaTheme="minorEastAsia"/>
                  <w:i/>
                  <w:sz w:val="24"/>
                </w:rPr>
              </m:ctrlPr>
            </m:fPr>
            <m:num>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ctrlPr>
                <w:rPr>
                  <w:rFonts w:ascii="Cambria Math" w:hAnsi="Cambria Math" w:eastAsiaTheme="minorEastAsia"/>
                  <w:i/>
                  <w:sz w:val="24"/>
                </w:rPr>
              </m:ctrlPr>
            </m:num>
            <m:den>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ctrlPr>
                <w:rPr>
                  <w:rFonts w:ascii="Cambria Math" w:hAnsi="Cambria Math" w:eastAsiaTheme="minorEastAsia"/>
                  <w:i/>
                  <w:sz w:val="24"/>
                </w:rPr>
              </m:ctrlPr>
            </m:den>
          </m:f>
          <m:r>
            <m:rPr/>
            <w:rPr>
              <w:rFonts w:ascii="Cambria Math" w:hAnsi="Cambria Math" w:eastAsiaTheme="minorEastAsia"/>
              <w:sz w:val="24"/>
            </w:rPr>
            <m:t>+</m:t>
          </m:r>
          <m:f>
            <m:fPr>
              <m:ctrlPr>
                <w:rPr>
                  <w:rFonts w:ascii="Cambria Math" w:hAnsi="Cambria Math" w:eastAsiaTheme="minorEastAsia"/>
                  <w:i/>
                  <w:sz w:val="24"/>
                </w:rPr>
              </m:ctrlPr>
            </m:fPr>
            <m:num>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2</m:t>
                  </m:r>
                  <m:ctrlPr>
                    <w:rPr>
                      <w:rFonts w:ascii="Cambria Math" w:hAnsi="Cambria Math" w:eastAsiaTheme="minorEastAsia"/>
                      <w:i/>
                      <w:sz w:val="24"/>
                    </w:rPr>
                  </m:ctrlPr>
                </m:sub>
              </m:sSub>
              <m:ctrlPr>
                <w:rPr>
                  <w:rFonts w:ascii="Cambria Math" w:hAnsi="Cambria Math" w:eastAsiaTheme="minorEastAsia"/>
                  <w:i/>
                  <w:sz w:val="24"/>
                </w:rPr>
              </m:ctrlPr>
            </m:num>
            <m:den>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2</m:t>
                  </m:r>
                  <m:ctrlPr>
                    <w:rPr>
                      <w:rFonts w:ascii="Cambria Math" w:hAnsi="Cambria Math" w:eastAsiaTheme="minorEastAsia"/>
                      <w:i/>
                      <w:sz w:val="24"/>
                    </w:rPr>
                  </m:ctrlPr>
                </m:sub>
              </m:sSub>
              <m:ctrlPr>
                <w:rPr>
                  <w:rFonts w:ascii="Cambria Math" w:hAnsi="Cambria Math" w:eastAsiaTheme="minorEastAsia"/>
                  <w:i/>
                  <w:sz w:val="24"/>
                </w:rPr>
              </m:ctrlPr>
            </m:den>
          </m:f>
          <m:r>
            <m:rPr/>
            <w:rPr>
              <w:rFonts w:ascii="Cambria Math" w:hAnsi="Cambria Math" w:eastAsiaTheme="minorEastAsia"/>
              <w:sz w:val="24"/>
            </w:rPr>
            <m:t>+⋯+</m:t>
          </m:r>
          <m:f>
            <m:fPr>
              <m:ctrlPr>
                <w:rPr>
                  <w:rFonts w:ascii="Cambria Math" w:hAnsi="Cambria Math" w:eastAsiaTheme="minorEastAsia"/>
                  <w:i/>
                  <w:sz w:val="24"/>
                </w:rPr>
              </m:ctrlPr>
            </m:fPr>
            <m:num>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n</m:t>
                  </m:r>
                  <m:ctrlPr>
                    <w:rPr>
                      <w:rFonts w:ascii="Cambria Math" w:hAnsi="Cambria Math" w:eastAsiaTheme="minorEastAsia"/>
                      <w:i/>
                      <w:sz w:val="24"/>
                    </w:rPr>
                  </m:ctrlPr>
                </m:sub>
              </m:sSub>
              <m:ctrlPr>
                <w:rPr>
                  <w:rFonts w:ascii="Cambria Math" w:hAnsi="Cambria Math" w:eastAsiaTheme="minorEastAsia"/>
                  <w:i/>
                  <w:sz w:val="24"/>
                </w:rPr>
              </m:ctrlPr>
            </m:num>
            <m:den>
              <m:sSub>
                <m:sSubPr>
                  <m:ctrlPr>
                    <w:rPr>
                      <w:rFonts w:ascii="Cambria Math" w:hAnsi="Cambria Math" w:eastAsiaTheme="minorEastAsia"/>
                      <w:i/>
                      <w:sz w:val="24"/>
                    </w:rPr>
                  </m:ctrlPr>
                </m:sSubPr>
                <m:e>
                  <m:r>
                    <m:rPr/>
                    <w:rPr>
                      <w:rFonts w:ascii="Cambria Math" w:hAnsi="Cambria Math" w:eastAsiaTheme="minorEastAsia"/>
                      <w:sz w:val="24"/>
                    </w:rPr>
                    <m:t>Q</m:t>
                  </m:r>
                  <m:ctrlPr>
                    <w:rPr>
                      <w:rFonts w:ascii="Cambria Math" w:hAnsi="Cambria Math" w:eastAsiaTheme="minorEastAsia"/>
                      <w:i/>
                      <w:sz w:val="24"/>
                    </w:rPr>
                  </m:ctrlPr>
                </m:e>
                <m:sub>
                  <m:r>
                    <m:rPr/>
                    <w:rPr>
                      <w:rFonts w:ascii="Cambria Math" w:hAnsi="Cambria Math" w:eastAsiaTheme="minorEastAsia"/>
                      <w:sz w:val="24"/>
                    </w:rPr>
                    <m:t>n</m:t>
                  </m:r>
                  <m:ctrlPr>
                    <w:rPr>
                      <w:rFonts w:ascii="Cambria Math" w:hAnsi="Cambria Math" w:eastAsiaTheme="minorEastAsia"/>
                      <w:i/>
                      <w:sz w:val="24"/>
                    </w:rPr>
                  </m:ctrlPr>
                </m:sub>
              </m:sSub>
              <m:ctrlPr>
                <w:rPr>
                  <w:rFonts w:ascii="Cambria Math" w:hAnsi="Cambria Math" w:eastAsiaTheme="minorEastAsia"/>
                  <w:i/>
                  <w:sz w:val="24"/>
                </w:rPr>
              </m:ctrlPr>
            </m:den>
          </m:f>
        </m:oMath>
      </m:oMathPara>
    </w:p>
    <w:p>
      <w:pPr>
        <w:spacing w:line="460" w:lineRule="exact"/>
        <w:ind w:firstLine="480" w:firstLineChars="200"/>
        <w:rPr>
          <w:rFonts w:eastAsiaTheme="minorEastAsia"/>
          <w:sz w:val="24"/>
        </w:rPr>
      </w:pPr>
      <w:r>
        <w:rPr>
          <w:rFonts w:hint="eastAsia" w:eastAsiaTheme="minorEastAsia"/>
          <w:sz w:val="24"/>
        </w:rPr>
        <w:t>式中：</w:t>
      </w:r>
      <w:r>
        <w:rPr>
          <w:rFonts w:eastAsiaTheme="minorEastAsia"/>
          <w:i/>
          <w:iCs/>
          <w:sz w:val="24"/>
        </w:rPr>
        <w:t>q</w:t>
      </w:r>
      <w:r>
        <w:rPr>
          <w:rFonts w:eastAsiaTheme="minorEastAsia"/>
          <w:i/>
          <w:iCs/>
          <w:sz w:val="24"/>
          <w:vertAlign w:val="subscript"/>
        </w:rPr>
        <w:t>1</w:t>
      </w:r>
      <w:r>
        <w:rPr>
          <w:rFonts w:hint="eastAsia" w:eastAsiaTheme="minorEastAsia"/>
          <w:sz w:val="24"/>
        </w:rPr>
        <w:t>，</w:t>
      </w:r>
      <w:r>
        <w:rPr>
          <w:rFonts w:eastAsiaTheme="minorEastAsia"/>
          <w:i/>
          <w:iCs/>
          <w:sz w:val="24"/>
        </w:rPr>
        <w:t>q</w:t>
      </w:r>
      <w:r>
        <w:rPr>
          <w:rFonts w:eastAsiaTheme="minorEastAsia"/>
          <w:i/>
          <w:iCs/>
          <w:sz w:val="24"/>
          <w:vertAlign w:val="subscript"/>
        </w:rPr>
        <w:t>2</w:t>
      </w:r>
      <w:r>
        <w:rPr>
          <w:rFonts w:hint="eastAsia" w:eastAsiaTheme="minorEastAsia"/>
          <w:sz w:val="24"/>
        </w:rPr>
        <w:t>，</w:t>
      </w:r>
      <w:r>
        <w:rPr>
          <w:rFonts w:eastAsiaTheme="minorEastAsia"/>
          <w:sz w:val="24"/>
        </w:rPr>
        <w:t>...</w:t>
      </w:r>
      <w:r>
        <w:rPr>
          <w:rFonts w:hint="eastAsia" w:eastAsiaTheme="minorEastAsia"/>
          <w:sz w:val="24"/>
        </w:rPr>
        <w:t>，</w:t>
      </w:r>
      <w:r>
        <w:rPr>
          <w:rFonts w:eastAsiaTheme="minorEastAsia"/>
          <w:i/>
          <w:iCs/>
          <w:sz w:val="24"/>
        </w:rPr>
        <w:t>q</w:t>
      </w:r>
      <w:r>
        <w:rPr>
          <w:rFonts w:eastAsiaTheme="minorEastAsia"/>
          <w:i/>
          <w:iCs/>
          <w:sz w:val="24"/>
          <w:vertAlign w:val="subscript"/>
        </w:rPr>
        <w:t>n</w:t>
      </w:r>
      <w:r>
        <w:rPr>
          <w:rFonts w:hint="eastAsia" w:eastAsiaTheme="minorEastAsia"/>
          <w:sz w:val="24"/>
        </w:rPr>
        <w:t>——每种危险物质的最大总存在量，</w:t>
      </w:r>
      <w:r>
        <w:rPr>
          <w:rFonts w:eastAsiaTheme="minorEastAsia"/>
          <w:sz w:val="24"/>
        </w:rPr>
        <w:t>t</w:t>
      </w:r>
      <w:r>
        <w:rPr>
          <w:rFonts w:hint="eastAsia" w:eastAsiaTheme="minorEastAsia"/>
          <w:sz w:val="24"/>
        </w:rPr>
        <w:t>；</w:t>
      </w:r>
    </w:p>
    <w:p>
      <w:pPr>
        <w:spacing w:line="460" w:lineRule="exact"/>
        <w:ind w:firstLine="480" w:firstLineChars="200"/>
        <w:rPr>
          <w:rFonts w:eastAsiaTheme="minorEastAsia"/>
          <w:sz w:val="24"/>
        </w:rPr>
      </w:pPr>
      <w:r>
        <w:rPr>
          <w:rFonts w:hint="eastAsia" w:eastAsiaTheme="minorEastAsia"/>
          <w:i/>
          <w:iCs/>
          <w:sz w:val="24"/>
        </w:rPr>
        <w:t xml:space="preserve">      </w:t>
      </w:r>
      <w:r>
        <w:rPr>
          <w:rFonts w:eastAsiaTheme="minorEastAsia"/>
          <w:i/>
          <w:iCs/>
          <w:sz w:val="24"/>
        </w:rPr>
        <w:t>Q</w:t>
      </w:r>
      <w:r>
        <w:rPr>
          <w:rFonts w:eastAsiaTheme="minorEastAsia"/>
          <w:i/>
          <w:iCs/>
          <w:sz w:val="24"/>
          <w:vertAlign w:val="subscript"/>
        </w:rPr>
        <w:t>1</w:t>
      </w:r>
      <w:r>
        <w:rPr>
          <w:rFonts w:hint="eastAsia" w:eastAsiaTheme="minorEastAsia"/>
          <w:sz w:val="24"/>
        </w:rPr>
        <w:t>，</w:t>
      </w:r>
      <w:r>
        <w:rPr>
          <w:rFonts w:eastAsiaTheme="minorEastAsia"/>
          <w:i/>
          <w:iCs/>
          <w:sz w:val="24"/>
        </w:rPr>
        <w:t>Q</w:t>
      </w:r>
      <w:r>
        <w:rPr>
          <w:rFonts w:eastAsiaTheme="minorEastAsia"/>
          <w:i/>
          <w:iCs/>
          <w:sz w:val="24"/>
          <w:vertAlign w:val="subscript"/>
        </w:rPr>
        <w:t>2</w:t>
      </w:r>
      <w:r>
        <w:rPr>
          <w:rFonts w:hint="eastAsia" w:eastAsiaTheme="minorEastAsia"/>
          <w:sz w:val="24"/>
        </w:rPr>
        <w:t>，</w:t>
      </w:r>
      <w:r>
        <w:rPr>
          <w:rFonts w:eastAsiaTheme="minorEastAsia"/>
          <w:sz w:val="24"/>
        </w:rPr>
        <w:t>...</w:t>
      </w:r>
      <w:r>
        <w:rPr>
          <w:rFonts w:hint="eastAsia" w:eastAsiaTheme="minorEastAsia"/>
          <w:sz w:val="24"/>
        </w:rPr>
        <w:t>，</w:t>
      </w:r>
      <w:r>
        <w:rPr>
          <w:rFonts w:eastAsiaTheme="minorEastAsia"/>
          <w:i/>
          <w:iCs/>
          <w:sz w:val="24"/>
        </w:rPr>
        <w:t>Q</w:t>
      </w:r>
      <w:r>
        <w:rPr>
          <w:rFonts w:eastAsiaTheme="minorEastAsia"/>
          <w:i/>
          <w:iCs/>
          <w:sz w:val="24"/>
          <w:vertAlign w:val="subscript"/>
        </w:rPr>
        <w:t>n</w:t>
      </w:r>
      <w:r>
        <w:rPr>
          <w:rFonts w:hint="eastAsia" w:eastAsiaTheme="minorEastAsia"/>
          <w:sz w:val="24"/>
        </w:rPr>
        <w:t>——每种危险物质的临界量，</w:t>
      </w:r>
      <w:r>
        <w:rPr>
          <w:rFonts w:eastAsiaTheme="minorEastAsia"/>
          <w:sz w:val="24"/>
        </w:rPr>
        <w:t>t</w:t>
      </w:r>
      <w:r>
        <w:rPr>
          <w:rFonts w:hint="eastAsia" w:eastAsiaTheme="minorEastAsia"/>
          <w:sz w:val="24"/>
        </w:rPr>
        <w:t>；</w:t>
      </w:r>
    </w:p>
    <w:p>
      <w:pPr>
        <w:spacing w:line="460" w:lineRule="exact"/>
        <w:ind w:firstLine="480" w:firstLineChars="200"/>
        <w:rPr>
          <w:rFonts w:eastAsiaTheme="minorEastAsia"/>
          <w:sz w:val="24"/>
        </w:rPr>
      </w:pPr>
      <w:r>
        <w:rPr>
          <w:rFonts w:hint="eastAsia" w:eastAsiaTheme="minorEastAsia"/>
          <w:sz w:val="24"/>
        </w:rPr>
        <w:t xml:space="preserve">     当</w:t>
      </w:r>
      <w:r>
        <w:rPr>
          <w:rFonts w:eastAsiaTheme="minorEastAsia"/>
          <w:i/>
          <w:iCs/>
          <w:sz w:val="24"/>
        </w:rPr>
        <w:t>Q</w:t>
      </w:r>
      <w:r>
        <w:rPr>
          <w:rFonts w:hint="eastAsia" w:eastAsiaTheme="minorEastAsia"/>
          <w:sz w:val="24"/>
        </w:rPr>
        <w:t>＜</w:t>
      </w:r>
      <w:r>
        <w:rPr>
          <w:rFonts w:eastAsiaTheme="minorEastAsia"/>
          <w:sz w:val="24"/>
        </w:rPr>
        <w:t>1</w:t>
      </w:r>
      <w:r>
        <w:rPr>
          <w:rFonts w:hint="eastAsia" w:eastAsiaTheme="minorEastAsia"/>
          <w:sz w:val="24"/>
        </w:rPr>
        <w:t>时，该项目环境风险潜势为Ⅰ；</w:t>
      </w:r>
    </w:p>
    <w:p>
      <w:pPr>
        <w:spacing w:line="460" w:lineRule="exact"/>
        <w:ind w:firstLine="480" w:firstLineChars="200"/>
        <w:rPr>
          <w:rFonts w:eastAsiaTheme="minorEastAsia"/>
          <w:sz w:val="24"/>
        </w:rPr>
      </w:pPr>
      <w:r>
        <w:rPr>
          <w:rFonts w:hint="eastAsia" w:eastAsiaTheme="minorEastAsia"/>
          <w:sz w:val="24"/>
        </w:rPr>
        <w:t xml:space="preserve">     当</w:t>
      </w:r>
      <w:r>
        <w:rPr>
          <w:rFonts w:eastAsiaTheme="minorEastAsia"/>
          <w:i/>
          <w:iCs/>
          <w:sz w:val="24"/>
        </w:rPr>
        <w:t>Q</w:t>
      </w:r>
      <w:r>
        <w:rPr>
          <w:rFonts w:hint="eastAsia" w:eastAsiaTheme="minorEastAsia"/>
          <w:sz w:val="24"/>
        </w:rPr>
        <w:t>≥</w:t>
      </w:r>
      <w:r>
        <w:rPr>
          <w:rFonts w:eastAsiaTheme="minorEastAsia"/>
          <w:sz w:val="24"/>
        </w:rPr>
        <w:t>1</w:t>
      </w:r>
      <w:r>
        <w:rPr>
          <w:rFonts w:hint="eastAsia" w:eastAsiaTheme="minorEastAsia"/>
          <w:sz w:val="24"/>
        </w:rPr>
        <w:t>时，将</w:t>
      </w:r>
      <w:r>
        <w:rPr>
          <w:rFonts w:eastAsiaTheme="minorEastAsia"/>
          <w:i/>
          <w:iCs/>
          <w:sz w:val="24"/>
        </w:rPr>
        <w:t>Q</w:t>
      </w:r>
      <w:r>
        <w:rPr>
          <w:rFonts w:eastAsiaTheme="minorEastAsia"/>
          <w:sz w:val="24"/>
        </w:rPr>
        <w:t xml:space="preserve"> </w:t>
      </w:r>
      <w:r>
        <w:rPr>
          <w:rFonts w:hint="eastAsia" w:eastAsiaTheme="minorEastAsia"/>
          <w:sz w:val="24"/>
        </w:rPr>
        <w:t>值划分为：（</w:t>
      </w:r>
      <w:r>
        <w:rPr>
          <w:rFonts w:eastAsiaTheme="minorEastAsia"/>
          <w:sz w:val="24"/>
        </w:rPr>
        <w:t>1</w:t>
      </w:r>
      <w:r>
        <w:rPr>
          <w:rFonts w:hint="eastAsia" w:eastAsiaTheme="minorEastAsia"/>
          <w:sz w:val="24"/>
        </w:rPr>
        <w:t>）</w:t>
      </w:r>
      <w:r>
        <w:rPr>
          <w:rFonts w:eastAsiaTheme="minorEastAsia"/>
          <w:sz w:val="24"/>
        </w:rPr>
        <w:t>1</w:t>
      </w:r>
      <w:r>
        <w:rPr>
          <w:rFonts w:hint="eastAsia" w:eastAsiaTheme="minorEastAsia"/>
          <w:sz w:val="24"/>
        </w:rPr>
        <w:t>≤</w:t>
      </w:r>
      <w:r>
        <w:rPr>
          <w:rFonts w:eastAsiaTheme="minorEastAsia"/>
          <w:sz w:val="24"/>
        </w:rPr>
        <w:t>Q</w:t>
      </w:r>
      <w:r>
        <w:rPr>
          <w:rFonts w:hint="eastAsia" w:eastAsiaTheme="minorEastAsia"/>
          <w:sz w:val="24"/>
        </w:rPr>
        <w:t>＜</w:t>
      </w:r>
      <w:r>
        <w:rPr>
          <w:rFonts w:eastAsiaTheme="minorEastAsia"/>
          <w:sz w:val="24"/>
        </w:rPr>
        <w:t>10</w:t>
      </w:r>
      <w:r>
        <w:rPr>
          <w:rFonts w:hint="eastAsia" w:eastAsiaTheme="minorEastAsia"/>
          <w:sz w:val="24"/>
        </w:rPr>
        <w:t>；（</w:t>
      </w:r>
      <w:r>
        <w:rPr>
          <w:rFonts w:eastAsiaTheme="minorEastAsia"/>
          <w:sz w:val="24"/>
        </w:rPr>
        <w:t>2</w:t>
      </w:r>
      <w:r>
        <w:rPr>
          <w:rFonts w:hint="eastAsia" w:eastAsiaTheme="minorEastAsia"/>
          <w:sz w:val="24"/>
        </w:rPr>
        <w:t>）</w:t>
      </w:r>
      <w:r>
        <w:rPr>
          <w:rFonts w:eastAsiaTheme="minorEastAsia"/>
          <w:sz w:val="24"/>
        </w:rPr>
        <w:t>10</w:t>
      </w:r>
      <w:r>
        <w:rPr>
          <w:rFonts w:hint="eastAsia" w:eastAsiaTheme="minorEastAsia"/>
          <w:sz w:val="24"/>
        </w:rPr>
        <w:t>≤</w:t>
      </w:r>
      <w:r>
        <w:rPr>
          <w:rFonts w:eastAsiaTheme="minorEastAsia"/>
          <w:sz w:val="24"/>
        </w:rPr>
        <w:t>Q</w:t>
      </w:r>
      <w:r>
        <w:rPr>
          <w:rFonts w:hint="eastAsia" w:eastAsiaTheme="minorEastAsia"/>
          <w:sz w:val="24"/>
        </w:rPr>
        <w:t>＜</w:t>
      </w:r>
      <w:r>
        <w:rPr>
          <w:rFonts w:eastAsiaTheme="minorEastAsia"/>
          <w:sz w:val="24"/>
        </w:rPr>
        <w:t>100</w:t>
      </w:r>
      <w:r>
        <w:rPr>
          <w:rFonts w:hint="eastAsia" w:eastAsiaTheme="minorEastAsia"/>
          <w:sz w:val="24"/>
        </w:rPr>
        <w:t>；（</w:t>
      </w:r>
      <w:r>
        <w:rPr>
          <w:rFonts w:eastAsiaTheme="minorEastAsia"/>
          <w:sz w:val="24"/>
        </w:rPr>
        <w:t>3</w:t>
      </w:r>
      <w:r>
        <w:rPr>
          <w:rFonts w:hint="eastAsia" w:eastAsiaTheme="minorEastAsia"/>
          <w:sz w:val="24"/>
        </w:rPr>
        <w:t>）</w:t>
      </w:r>
      <w:r>
        <w:rPr>
          <w:rFonts w:eastAsiaTheme="minorEastAsia"/>
          <w:i/>
          <w:iCs/>
          <w:sz w:val="24"/>
        </w:rPr>
        <w:t>Q</w:t>
      </w:r>
      <w:r>
        <w:rPr>
          <w:rFonts w:hint="eastAsia" w:eastAsiaTheme="minorEastAsia"/>
          <w:sz w:val="24"/>
        </w:rPr>
        <w:t>≥</w:t>
      </w:r>
      <w:r>
        <w:rPr>
          <w:rFonts w:eastAsiaTheme="minorEastAsia"/>
          <w:sz w:val="24"/>
        </w:rPr>
        <w:t>100</w:t>
      </w:r>
      <w:r>
        <w:rPr>
          <w:rFonts w:hint="eastAsia" w:eastAsiaTheme="minorEastAsia"/>
          <w:sz w:val="24"/>
        </w:rPr>
        <w:t>。</w:t>
      </w:r>
    </w:p>
    <w:p>
      <w:pPr>
        <w:spacing w:line="460" w:lineRule="exact"/>
        <w:ind w:firstLine="480" w:firstLineChars="200"/>
        <w:rPr>
          <w:rFonts w:eastAsiaTheme="minorEastAsia"/>
          <w:sz w:val="24"/>
        </w:rPr>
      </w:pPr>
      <w:r>
        <w:rPr>
          <w:rFonts w:hint="eastAsia" w:eastAsiaTheme="minorEastAsia"/>
          <w:bCs/>
          <w:sz w:val="24"/>
        </w:rPr>
        <w:t>本项目原辅材料主要为废旧塑料等，中间产品为再生聚已烯颗粒料，产品均为塑料制品，项目生产过程不涉及《建设项目环境风险评价技术导则》（</w:t>
      </w:r>
      <w:r>
        <w:rPr>
          <w:rFonts w:eastAsiaTheme="minorEastAsia"/>
          <w:bCs/>
          <w:sz w:val="24"/>
        </w:rPr>
        <w:t>HJ169-2018</w:t>
      </w:r>
      <w:r>
        <w:rPr>
          <w:rFonts w:hint="eastAsia" w:eastAsiaTheme="minorEastAsia"/>
          <w:bCs/>
          <w:sz w:val="24"/>
        </w:rPr>
        <w:t>）附录</w:t>
      </w:r>
      <w:r>
        <w:rPr>
          <w:rFonts w:eastAsiaTheme="minorEastAsia"/>
          <w:bCs/>
          <w:sz w:val="24"/>
        </w:rPr>
        <w:t>B</w:t>
      </w:r>
      <w:r>
        <w:rPr>
          <w:rFonts w:hint="eastAsia" w:eastAsiaTheme="minorEastAsia"/>
          <w:bCs/>
          <w:sz w:val="24"/>
        </w:rPr>
        <w:t>中的危险物质。主要危险物质为废润滑油，危险物质储存量与临界量比值见表6.3</w:t>
      </w:r>
      <w:r>
        <w:rPr>
          <w:rFonts w:eastAsiaTheme="minorEastAsia"/>
          <w:bCs/>
          <w:sz w:val="24"/>
        </w:rPr>
        <w:t>-2</w:t>
      </w:r>
      <w:r>
        <w:rPr>
          <w:rFonts w:hint="eastAsia" w:eastAsiaTheme="minorEastAsia"/>
          <w:bCs/>
          <w:sz w:val="24"/>
        </w:rPr>
        <w:t>。</w:t>
      </w:r>
    </w:p>
    <w:p>
      <w:pPr>
        <w:pStyle w:val="632"/>
        <w:spacing w:line="240" w:lineRule="auto"/>
        <w:ind w:firstLine="420"/>
        <w:rPr>
          <w:rFonts w:eastAsia="黑体"/>
        </w:rPr>
      </w:pPr>
      <w:r>
        <w:rPr>
          <w:rFonts w:hint="eastAsia" w:eastAsia="黑体"/>
        </w:rPr>
        <w:t>表6.3</w:t>
      </w:r>
      <w:r>
        <w:rPr>
          <w:rFonts w:eastAsia="黑体"/>
        </w:rPr>
        <w:t xml:space="preserve">-2         </w:t>
      </w:r>
      <w:r>
        <w:rPr>
          <w:rFonts w:hint="eastAsia" w:eastAsia="黑体"/>
        </w:rPr>
        <w:t xml:space="preserve"> 本项目危险物质存在量与临界量比值一览表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0" w:type="dxa"/>
          <w:bottom w:w="0" w:type="dxa"/>
          <w:right w:w="0" w:type="dxa"/>
        </w:tblCellMar>
      </w:tblPr>
      <w:tblGrid>
        <w:gridCol w:w="1693"/>
        <w:gridCol w:w="1736"/>
        <w:gridCol w:w="1562"/>
        <w:gridCol w:w="1552"/>
        <w:gridCol w:w="1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030" w:type="pct"/>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物质名称</w:t>
            </w:r>
          </w:p>
        </w:tc>
        <w:tc>
          <w:tcPr>
            <w:tcW w:w="1056" w:type="pct"/>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临界量（</w:t>
            </w:r>
            <w:r>
              <w:rPr>
                <w:color w:val="auto"/>
                <w:sz w:val="21"/>
                <w:szCs w:val="21"/>
              </w:rPr>
              <w:t>Qi</w:t>
            </w:r>
            <w:r>
              <w:rPr>
                <w:rFonts w:hint="eastAsia"/>
                <w:color w:val="auto"/>
                <w:sz w:val="21"/>
                <w:szCs w:val="21"/>
              </w:rPr>
              <w:t>）</w:t>
            </w:r>
            <w:r>
              <w:rPr>
                <w:color w:val="auto"/>
                <w:sz w:val="21"/>
                <w:szCs w:val="21"/>
              </w:rPr>
              <w:t xml:space="preserve"> </w:t>
            </w:r>
          </w:p>
        </w:tc>
        <w:tc>
          <w:tcPr>
            <w:tcW w:w="950" w:type="pct"/>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存在量（</w:t>
            </w:r>
            <w:r>
              <w:rPr>
                <w:color w:val="auto"/>
                <w:sz w:val="21"/>
                <w:szCs w:val="21"/>
              </w:rPr>
              <w:t>qi</w:t>
            </w:r>
            <w:r>
              <w:rPr>
                <w:rFonts w:hint="eastAsia"/>
                <w:color w:val="auto"/>
                <w:sz w:val="21"/>
                <w:szCs w:val="21"/>
              </w:rPr>
              <w:t>）</w:t>
            </w:r>
          </w:p>
        </w:tc>
        <w:tc>
          <w:tcPr>
            <w:tcW w:w="944" w:type="pct"/>
            <w:vAlign w:val="center"/>
          </w:tcPr>
          <w:p>
            <w:pPr>
              <w:pStyle w:val="293"/>
              <w:adjustRightInd w:val="0"/>
              <w:snapToGrid w:val="0"/>
              <w:spacing w:before="0" w:after="0"/>
              <w:ind w:left="0" w:right="0"/>
              <w:rPr>
                <w:color w:val="auto"/>
                <w:kern w:val="0"/>
                <w:sz w:val="21"/>
                <w:szCs w:val="21"/>
              </w:rPr>
            </w:pPr>
            <w:r>
              <w:rPr>
                <w:color w:val="auto"/>
                <w:sz w:val="21"/>
                <w:szCs w:val="21"/>
              </w:rPr>
              <w:t>qi/Qi</w:t>
            </w:r>
          </w:p>
        </w:tc>
        <w:tc>
          <w:tcPr>
            <w:tcW w:w="1020" w:type="pct"/>
            <w:vAlign w:val="center"/>
          </w:tcPr>
          <w:p>
            <w:pPr>
              <w:pStyle w:val="293"/>
              <w:adjustRightInd w:val="0"/>
              <w:snapToGrid w:val="0"/>
              <w:spacing w:before="0" w:after="0"/>
              <w:ind w:left="0" w:right="0"/>
              <w:rPr>
                <w:color w:val="auto"/>
                <w:sz w:val="21"/>
                <w:szCs w:val="21"/>
              </w:rPr>
            </w:pPr>
            <w:r>
              <w:rPr>
                <w:rFonts w:hint="eastAsia"/>
                <w:color w:val="auto"/>
                <w:sz w:val="21"/>
                <w:szCs w:val="21"/>
              </w:rPr>
              <w:t>是否构成重</w:t>
            </w:r>
          </w:p>
          <w:p>
            <w:pPr>
              <w:pStyle w:val="293"/>
              <w:adjustRightInd w:val="0"/>
              <w:snapToGrid w:val="0"/>
              <w:spacing w:before="0" w:after="0"/>
              <w:ind w:left="0" w:right="0"/>
              <w:rPr>
                <w:color w:val="auto"/>
                <w:kern w:val="0"/>
                <w:sz w:val="21"/>
                <w:szCs w:val="21"/>
              </w:rPr>
            </w:pPr>
            <w:r>
              <w:rPr>
                <w:rFonts w:hint="eastAsia"/>
                <w:color w:val="auto"/>
                <w:sz w:val="21"/>
                <w:szCs w:val="21"/>
              </w:rPr>
              <w:t>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030" w:type="pct"/>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废润滑油</w:t>
            </w:r>
          </w:p>
        </w:tc>
        <w:tc>
          <w:tcPr>
            <w:tcW w:w="1056" w:type="pct"/>
            <w:vAlign w:val="center"/>
          </w:tcPr>
          <w:p>
            <w:pPr>
              <w:pStyle w:val="293"/>
              <w:adjustRightInd w:val="0"/>
              <w:snapToGrid w:val="0"/>
              <w:spacing w:before="0" w:after="0"/>
              <w:ind w:left="0" w:right="0"/>
              <w:rPr>
                <w:color w:val="auto"/>
                <w:kern w:val="0"/>
                <w:sz w:val="21"/>
                <w:szCs w:val="21"/>
              </w:rPr>
            </w:pPr>
            <w:r>
              <w:rPr>
                <w:color w:val="auto"/>
                <w:sz w:val="21"/>
                <w:szCs w:val="21"/>
              </w:rPr>
              <w:t>2500t</w:t>
            </w:r>
          </w:p>
        </w:tc>
        <w:tc>
          <w:tcPr>
            <w:tcW w:w="950" w:type="pct"/>
            <w:vAlign w:val="center"/>
          </w:tcPr>
          <w:p>
            <w:pPr>
              <w:pStyle w:val="293"/>
              <w:adjustRightInd w:val="0"/>
              <w:snapToGrid w:val="0"/>
              <w:spacing w:before="0" w:after="0"/>
              <w:ind w:left="0" w:right="0"/>
              <w:rPr>
                <w:color w:val="auto"/>
                <w:kern w:val="0"/>
                <w:sz w:val="21"/>
                <w:szCs w:val="21"/>
              </w:rPr>
            </w:pPr>
            <w:r>
              <w:rPr>
                <w:color w:val="auto"/>
                <w:sz w:val="21"/>
                <w:szCs w:val="21"/>
              </w:rPr>
              <w:t>0.6t</w:t>
            </w:r>
          </w:p>
        </w:tc>
        <w:tc>
          <w:tcPr>
            <w:tcW w:w="944" w:type="pct"/>
            <w:vAlign w:val="center"/>
          </w:tcPr>
          <w:p>
            <w:pPr>
              <w:pStyle w:val="293"/>
              <w:adjustRightInd w:val="0"/>
              <w:snapToGrid w:val="0"/>
              <w:spacing w:before="0" w:after="0"/>
              <w:ind w:left="0" w:right="0"/>
              <w:rPr>
                <w:color w:val="auto"/>
                <w:kern w:val="0"/>
                <w:sz w:val="21"/>
                <w:szCs w:val="21"/>
              </w:rPr>
            </w:pPr>
            <w:r>
              <w:rPr>
                <w:color w:val="auto"/>
                <w:sz w:val="21"/>
                <w:szCs w:val="21"/>
              </w:rPr>
              <w:t>0.00024</w:t>
            </w:r>
          </w:p>
        </w:tc>
        <w:tc>
          <w:tcPr>
            <w:tcW w:w="1020" w:type="pct"/>
            <w:vMerge w:val="restart"/>
            <w:vAlign w:val="center"/>
          </w:tcPr>
          <w:p>
            <w:pPr>
              <w:pStyle w:val="293"/>
              <w:adjustRightInd w:val="0"/>
              <w:snapToGrid w:val="0"/>
              <w:spacing w:before="0" w:after="0"/>
              <w:ind w:left="0" w:right="0"/>
              <w:rPr>
                <w:color w:val="auto"/>
                <w:kern w:val="0"/>
                <w:sz w:val="21"/>
                <w:szCs w:val="21"/>
              </w:rPr>
            </w:pPr>
            <w:r>
              <w:rPr>
                <w:rFonts w:hint="eastAsia"/>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030" w:type="pct"/>
            <w:vAlign w:val="center"/>
          </w:tcPr>
          <w:p>
            <w:pPr>
              <w:pStyle w:val="293"/>
              <w:adjustRightInd w:val="0"/>
              <w:snapToGrid w:val="0"/>
              <w:spacing w:before="0" w:after="0"/>
              <w:ind w:left="0" w:right="0"/>
              <w:rPr>
                <w:color w:val="auto"/>
                <w:kern w:val="0"/>
                <w:sz w:val="21"/>
                <w:szCs w:val="21"/>
              </w:rPr>
            </w:pPr>
            <w:r>
              <w:rPr>
                <w:color w:val="auto"/>
                <w:sz w:val="21"/>
                <w:szCs w:val="21"/>
              </w:rPr>
              <w:t>∑</w:t>
            </w:r>
            <w:r>
              <w:rPr>
                <w:rFonts w:hint="eastAsia"/>
                <w:color w:val="auto"/>
                <w:sz w:val="21"/>
                <w:szCs w:val="21"/>
              </w:rPr>
              <w:t>（</w:t>
            </w:r>
            <w:r>
              <w:rPr>
                <w:color w:val="auto"/>
                <w:sz w:val="21"/>
                <w:szCs w:val="21"/>
              </w:rPr>
              <w:t>qi/Qi</w:t>
            </w:r>
            <w:r>
              <w:rPr>
                <w:rFonts w:hint="eastAsia"/>
                <w:color w:val="auto"/>
                <w:sz w:val="21"/>
                <w:szCs w:val="21"/>
              </w:rPr>
              <w:t>）</w:t>
            </w:r>
          </w:p>
        </w:tc>
        <w:tc>
          <w:tcPr>
            <w:tcW w:w="1056" w:type="pct"/>
            <w:vAlign w:val="center"/>
          </w:tcPr>
          <w:p>
            <w:pPr>
              <w:pStyle w:val="293"/>
              <w:adjustRightInd w:val="0"/>
              <w:snapToGrid w:val="0"/>
              <w:spacing w:before="0" w:after="0"/>
              <w:ind w:left="0" w:right="0"/>
              <w:rPr>
                <w:color w:val="auto"/>
                <w:kern w:val="0"/>
                <w:sz w:val="21"/>
                <w:szCs w:val="21"/>
              </w:rPr>
            </w:pPr>
            <w:r>
              <w:rPr>
                <w:color w:val="auto"/>
                <w:sz w:val="21"/>
                <w:szCs w:val="21"/>
              </w:rPr>
              <w:t>/</w:t>
            </w:r>
          </w:p>
        </w:tc>
        <w:tc>
          <w:tcPr>
            <w:tcW w:w="950" w:type="pct"/>
            <w:vAlign w:val="center"/>
          </w:tcPr>
          <w:p>
            <w:pPr>
              <w:pStyle w:val="293"/>
              <w:adjustRightInd w:val="0"/>
              <w:snapToGrid w:val="0"/>
              <w:spacing w:before="0" w:after="0"/>
              <w:ind w:left="0" w:right="0"/>
              <w:rPr>
                <w:color w:val="auto"/>
                <w:kern w:val="0"/>
                <w:sz w:val="21"/>
                <w:szCs w:val="21"/>
              </w:rPr>
            </w:pPr>
            <w:r>
              <w:rPr>
                <w:color w:val="auto"/>
                <w:sz w:val="21"/>
                <w:szCs w:val="21"/>
              </w:rPr>
              <w:t>/</w:t>
            </w:r>
          </w:p>
        </w:tc>
        <w:tc>
          <w:tcPr>
            <w:tcW w:w="944" w:type="pct"/>
            <w:vAlign w:val="center"/>
          </w:tcPr>
          <w:p>
            <w:pPr>
              <w:pStyle w:val="293"/>
              <w:adjustRightInd w:val="0"/>
              <w:snapToGrid w:val="0"/>
              <w:spacing w:before="0" w:after="0"/>
              <w:ind w:left="0" w:right="0"/>
              <w:rPr>
                <w:color w:val="auto"/>
                <w:kern w:val="0"/>
                <w:sz w:val="21"/>
                <w:szCs w:val="21"/>
              </w:rPr>
            </w:pPr>
            <w:r>
              <w:rPr>
                <w:color w:val="auto"/>
                <w:sz w:val="21"/>
                <w:szCs w:val="21"/>
              </w:rPr>
              <w:t>0.00024</w:t>
            </w:r>
          </w:p>
        </w:tc>
        <w:tc>
          <w:tcPr>
            <w:tcW w:w="0" w:type="auto"/>
            <w:vMerge w:val="continue"/>
            <w:vAlign w:val="center"/>
          </w:tcPr>
          <w:p>
            <w:pPr>
              <w:widowControl/>
              <w:jc w:val="left"/>
              <w:rPr>
                <w:kern w:val="0"/>
                <w:szCs w:val="21"/>
              </w:rPr>
            </w:pPr>
          </w:p>
        </w:tc>
      </w:tr>
    </w:tbl>
    <w:p>
      <w:pPr>
        <w:spacing w:line="460" w:lineRule="exact"/>
        <w:ind w:firstLine="480" w:firstLineChars="200"/>
        <w:rPr>
          <w:rFonts w:eastAsiaTheme="minorEastAsia"/>
          <w:sz w:val="24"/>
        </w:rPr>
      </w:pPr>
      <w:r>
        <w:rPr>
          <w:rFonts w:hint="eastAsia" w:eastAsiaTheme="minorEastAsia"/>
          <w:sz w:val="24"/>
        </w:rPr>
        <w:t>4、环境风险评价等级</w:t>
      </w:r>
    </w:p>
    <w:p>
      <w:pPr>
        <w:spacing w:line="460" w:lineRule="exact"/>
        <w:ind w:firstLine="480" w:firstLineChars="200"/>
        <w:rPr>
          <w:rFonts w:eastAsiaTheme="minorEastAsia"/>
          <w:sz w:val="24"/>
        </w:rPr>
      </w:pPr>
      <w:r>
        <w:rPr>
          <w:rFonts w:eastAsiaTheme="minorEastAsia"/>
          <w:sz w:val="24"/>
        </w:rPr>
        <w:t>根据《建设项目环境风险评价技术导则》（HJ169-2018），本项目环境风险评价工作等级为简单分析，评价深度以定性说明为主，划分依据见表</w:t>
      </w:r>
      <w:r>
        <w:rPr>
          <w:rFonts w:hint="eastAsia" w:eastAsiaTheme="minorEastAsia"/>
          <w:sz w:val="24"/>
        </w:rPr>
        <w:t>6.3-3</w:t>
      </w:r>
      <w:r>
        <w:rPr>
          <w:rFonts w:eastAsiaTheme="minorEastAsia"/>
          <w:sz w:val="24"/>
        </w:rPr>
        <w:t>。</w:t>
      </w: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p>
    <w:p>
      <w:pPr>
        <w:pStyle w:val="632"/>
        <w:spacing w:line="240" w:lineRule="auto"/>
        <w:ind w:firstLine="420"/>
        <w:rPr>
          <w:rFonts w:eastAsia="黑体"/>
        </w:rPr>
      </w:pPr>
      <w:r>
        <w:rPr>
          <w:rFonts w:hint="eastAsia" w:eastAsia="黑体"/>
        </w:rPr>
        <w:t>表6.3-3                  评价工作等级划分表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7"/>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环境风险潜势</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Ⅳ、Ⅳ+</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Ⅲ</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Ⅱ</w:t>
            </w:r>
          </w:p>
        </w:tc>
        <w:tc>
          <w:tcPr>
            <w:tcW w:w="1688"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评价工作等级</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一</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二</w:t>
            </w:r>
          </w:p>
        </w:tc>
        <w:tc>
          <w:tcPr>
            <w:tcW w:w="1687" w:type="dxa"/>
            <w:vAlign w:val="center"/>
          </w:tcPr>
          <w:p>
            <w:pPr>
              <w:pStyle w:val="293"/>
              <w:adjustRightInd w:val="0"/>
              <w:snapToGrid w:val="0"/>
              <w:spacing w:before="0" w:after="0"/>
              <w:ind w:left="0" w:right="0"/>
              <w:rPr>
                <w:color w:val="auto"/>
                <w:kern w:val="0"/>
                <w:sz w:val="21"/>
                <w:szCs w:val="21"/>
              </w:rPr>
            </w:pPr>
            <w:r>
              <w:rPr>
                <w:rFonts w:hint="eastAsia"/>
                <w:color w:val="auto"/>
                <w:kern w:val="0"/>
                <w:sz w:val="21"/>
                <w:szCs w:val="21"/>
              </w:rPr>
              <w:t>三</w:t>
            </w:r>
          </w:p>
        </w:tc>
        <w:tc>
          <w:tcPr>
            <w:tcW w:w="1688" w:type="dxa"/>
            <w:vAlign w:val="center"/>
          </w:tcPr>
          <w:p>
            <w:pPr>
              <w:pStyle w:val="293"/>
              <w:adjustRightInd w:val="0"/>
              <w:snapToGrid w:val="0"/>
              <w:spacing w:before="0" w:after="0"/>
              <w:ind w:left="0" w:right="0"/>
              <w:rPr>
                <w:color w:val="auto"/>
                <w:kern w:val="0"/>
                <w:sz w:val="21"/>
                <w:szCs w:val="21"/>
                <w:vertAlign w:val="superscript"/>
              </w:rPr>
            </w:pPr>
            <w:r>
              <w:rPr>
                <w:rFonts w:hint="eastAsia"/>
                <w:color w:val="auto"/>
                <w:kern w:val="0"/>
                <w:sz w:val="21"/>
                <w:szCs w:val="21"/>
              </w:rPr>
              <w:t>简单分析</w:t>
            </w:r>
            <w:r>
              <w:rPr>
                <w:rFonts w:hint="eastAsia"/>
                <w:color w:val="auto"/>
                <w:kern w:val="0"/>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5"/>
            <w:vAlign w:val="center"/>
          </w:tcPr>
          <w:p>
            <w:pPr>
              <w:pStyle w:val="293"/>
              <w:adjustRightInd w:val="0"/>
              <w:snapToGrid w:val="0"/>
              <w:spacing w:before="0" w:after="0"/>
              <w:ind w:left="0" w:right="0"/>
              <w:rPr>
                <w:color w:val="auto"/>
                <w:kern w:val="0"/>
                <w:sz w:val="21"/>
                <w:szCs w:val="21"/>
              </w:rPr>
            </w:pPr>
            <w:r>
              <w:rPr>
                <w:color w:val="auto"/>
                <w:kern w:val="0"/>
                <w:sz w:val="21"/>
                <w:szCs w:val="21"/>
              </w:rPr>
              <w:t>a是相对于详细评价工作内容而言，在描述危险物质、环境影响途径、环境危害后果、风险防范措施等方面给出定性的说明。</w:t>
            </w:r>
          </w:p>
        </w:tc>
      </w:tr>
    </w:tbl>
    <w:p>
      <w:pPr>
        <w:spacing w:line="460" w:lineRule="exact"/>
        <w:ind w:firstLine="480" w:firstLineChars="200"/>
        <w:rPr>
          <w:rFonts w:eastAsiaTheme="minorEastAsia"/>
          <w:sz w:val="24"/>
        </w:rPr>
      </w:pPr>
      <w:r>
        <w:rPr>
          <w:rFonts w:hint="eastAsia" w:eastAsiaTheme="minorEastAsia"/>
          <w:sz w:val="24"/>
        </w:rPr>
        <w:t>根据表6.3</w:t>
      </w:r>
      <w:r>
        <w:rPr>
          <w:rFonts w:eastAsiaTheme="minorEastAsia"/>
          <w:sz w:val="24"/>
        </w:rPr>
        <w:t>-2</w:t>
      </w:r>
      <w:r>
        <w:rPr>
          <w:rFonts w:hint="eastAsia" w:eastAsiaTheme="minorEastAsia"/>
          <w:sz w:val="24"/>
        </w:rPr>
        <w:t>，本项目风险物质</w:t>
      </w:r>
      <w:r>
        <w:rPr>
          <w:rFonts w:eastAsiaTheme="minorEastAsia"/>
          <w:sz w:val="24"/>
        </w:rPr>
        <w:t>Q</w:t>
      </w:r>
      <w:r>
        <w:rPr>
          <w:rFonts w:hint="eastAsia" w:eastAsiaTheme="minorEastAsia"/>
          <w:sz w:val="24"/>
        </w:rPr>
        <w:t>值为</w:t>
      </w:r>
      <w:r>
        <w:rPr>
          <w:rFonts w:eastAsiaTheme="minorEastAsia"/>
          <w:sz w:val="24"/>
        </w:rPr>
        <w:t>0.00024</w:t>
      </w:r>
      <w:r>
        <w:rPr>
          <w:rFonts w:hint="eastAsia" w:eastAsiaTheme="minorEastAsia"/>
          <w:sz w:val="24"/>
        </w:rPr>
        <w:t>＜</w:t>
      </w:r>
      <w:r>
        <w:rPr>
          <w:rFonts w:eastAsiaTheme="minorEastAsia"/>
          <w:sz w:val="24"/>
        </w:rPr>
        <w:t>1</w:t>
      </w:r>
      <w:r>
        <w:rPr>
          <w:rFonts w:hint="eastAsia" w:eastAsiaTheme="minorEastAsia"/>
          <w:sz w:val="24"/>
        </w:rPr>
        <w:t>，因此风险潜势为Ⅰ，依据表6.3</w:t>
      </w:r>
      <w:r>
        <w:rPr>
          <w:rFonts w:eastAsiaTheme="minorEastAsia"/>
          <w:sz w:val="24"/>
        </w:rPr>
        <w:t>-3</w:t>
      </w:r>
      <w:r>
        <w:rPr>
          <w:rFonts w:hint="eastAsia" w:eastAsiaTheme="minorEastAsia"/>
          <w:sz w:val="24"/>
        </w:rPr>
        <w:t>，可知，本项目环境风险评价等级为简单分析。</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6.3.3风险识别</w:t>
      </w:r>
    </w:p>
    <w:p>
      <w:pPr>
        <w:spacing w:line="460" w:lineRule="exact"/>
        <w:ind w:firstLine="480" w:firstLineChars="200"/>
        <w:rPr>
          <w:rFonts w:eastAsiaTheme="minorEastAsia"/>
          <w:sz w:val="24"/>
        </w:rPr>
      </w:pPr>
      <w:r>
        <w:rPr>
          <w:rFonts w:hint="eastAsia" w:eastAsiaTheme="minorEastAsia"/>
          <w:sz w:val="24"/>
        </w:rPr>
        <w:t>根据《关于进一步加强环境影响评价管理防范环境风险的通知》（环发</w:t>
      </w:r>
      <w:r>
        <w:rPr>
          <w:rFonts w:eastAsiaTheme="minorEastAsia"/>
          <w:sz w:val="24"/>
        </w:rPr>
        <w:t xml:space="preserve"> [2012]77 </w:t>
      </w:r>
      <w:r>
        <w:rPr>
          <w:rFonts w:hint="eastAsia" w:eastAsiaTheme="minorEastAsia"/>
          <w:sz w:val="24"/>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pPr>
        <w:spacing w:line="460" w:lineRule="exact"/>
        <w:ind w:firstLine="480" w:firstLineChars="200"/>
        <w:rPr>
          <w:rFonts w:eastAsiaTheme="minorEastAsia"/>
          <w:sz w:val="24"/>
        </w:rPr>
      </w:pPr>
      <w:r>
        <w:rPr>
          <w:rFonts w:hint="eastAsia" w:eastAsiaTheme="minorEastAsia"/>
          <w:sz w:val="24"/>
        </w:rPr>
        <w:t>1、风险识别的范围和类型</w:t>
      </w:r>
    </w:p>
    <w:p>
      <w:pPr>
        <w:spacing w:line="460" w:lineRule="exact"/>
        <w:ind w:firstLine="480" w:firstLineChars="200"/>
        <w:rPr>
          <w:rFonts w:eastAsiaTheme="minorEastAsia"/>
          <w:sz w:val="24"/>
        </w:rPr>
      </w:pPr>
      <w:r>
        <w:rPr>
          <w:rFonts w:hint="eastAsia" w:eastAsiaTheme="minorEastAsia"/>
          <w:sz w:val="24"/>
        </w:rPr>
        <w:t>根据《建设项目环境风险评价技术导则》（</w:t>
      </w:r>
      <w:r>
        <w:rPr>
          <w:rFonts w:eastAsiaTheme="minorEastAsia"/>
          <w:sz w:val="24"/>
        </w:rPr>
        <w:t>HJ169-2018</w:t>
      </w:r>
      <w:r>
        <w:rPr>
          <w:rFonts w:hint="eastAsia" w:eastAsiaTheme="minorEastAsia"/>
          <w:sz w:val="24"/>
        </w:rPr>
        <w:t>）内容，环境风险识别包括三个方面的内容：</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）物质危险性识别，包括主要原辅材料、燃料、中间产品、副产品、最终产品、污染物、火灾和爆炸伴生</w:t>
      </w:r>
      <w:r>
        <w:rPr>
          <w:rFonts w:eastAsiaTheme="minorEastAsia"/>
          <w:sz w:val="24"/>
        </w:rPr>
        <w:t>/</w:t>
      </w:r>
      <w:r>
        <w:rPr>
          <w:rFonts w:hint="eastAsia" w:eastAsiaTheme="minorEastAsia"/>
          <w:sz w:val="24"/>
        </w:rPr>
        <w:t>次生物等。</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）生产系统危险性识别，包括主要生产装置、储运设施、公用工程和辅助生产设施，以及环境保护设施等。</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）危险物质向环境转移的途径识别，包括分析危险物质特性及可能的环境风险类型，识别危险物质影响环境的途径，分析可能影响的环境敏感目标。</w:t>
      </w:r>
    </w:p>
    <w:p>
      <w:pPr>
        <w:spacing w:line="460" w:lineRule="exact"/>
        <w:ind w:firstLine="480" w:firstLineChars="200"/>
        <w:rPr>
          <w:rFonts w:eastAsiaTheme="minorEastAsia"/>
          <w:sz w:val="24"/>
        </w:rPr>
      </w:pPr>
      <w:r>
        <w:rPr>
          <w:rFonts w:hint="eastAsia" w:eastAsiaTheme="minorEastAsia"/>
          <w:sz w:val="24"/>
        </w:rPr>
        <w:t>2、物质危险性识别</w:t>
      </w:r>
    </w:p>
    <w:p>
      <w:pPr>
        <w:spacing w:line="460" w:lineRule="exact"/>
        <w:ind w:firstLine="480" w:firstLineChars="200"/>
        <w:rPr>
          <w:rFonts w:eastAsiaTheme="minorEastAsia"/>
          <w:sz w:val="24"/>
        </w:rPr>
      </w:pPr>
      <w:r>
        <w:rPr>
          <w:rFonts w:hint="eastAsia" w:eastAsiaTheme="minorEastAsia"/>
          <w:sz w:val="24"/>
        </w:rPr>
        <w:t>本项目原辅材料为废旧滴灌带、废旧塑料膜、聚乙烯颗粒、色母粒、抗老化剂等，中间产品为再生聚乙烯颗粒，产品为滴灌带、PE管，均为塑料，原辅材料主要成分是聚乙烯成分，为高分子材料，属于可燃固体，易发生火灾。</w:t>
      </w:r>
    </w:p>
    <w:p>
      <w:pPr>
        <w:spacing w:line="460" w:lineRule="exact"/>
        <w:ind w:firstLine="480" w:firstLineChars="200"/>
        <w:rPr>
          <w:rFonts w:eastAsiaTheme="minorEastAsia"/>
          <w:sz w:val="24"/>
        </w:rPr>
      </w:pPr>
      <w:r>
        <w:rPr>
          <w:rFonts w:hint="eastAsia" w:eastAsiaTheme="minorEastAsia"/>
          <w:sz w:val="24"/>
        </w:rPr>
        <w:t>3、</w:t>
      </w:r>
      <w:r>
        <w:rPr>
          <w:rFonts w:eastAsiaTheme="minorEastAsia"/>
          <w:sz w:val="24"/>
        </w:rPr>
        <w:t>生产设施及生产过程潜在危险性识别与分析</w:t>
      </w:r>
    </w:p>
    <w:p>
      <w:pPr>
        <w:spacing w:line="460" w:lineRule="exact"/>
        <w:ind w:firstLine="480" w:firstLineChars="200"/>
        <w:rPr>
          <w:rFonts w:eastAsiaTheme="minorEastAsia"/>
          <w:sz w:val="24"/>
        </w:rPr>
      </w:pPr>
      <w:r>
        <w:rPr>
          <w:rFonts w:hint="eastAsia" w:eastAsiaTheme="minorEastAsia"/>
          <w:sz w:val="24"/>
        </w:rPr>
        <w:t>塑料在贮存和生产过程中潜在的危险主要为火灾，并伴随大量的有机污染物的产生，将威胁作业人员的生命安全，造成重大生命、财产损失，并对周围环境产生影响。因此，根据对项目涉及化学品理化性质、生产工艺特征以及同类项目类比调查，项目事故风险类型确定为火灾引发的次生污染，主要是废塑料火灾燃烧产生的有机物排放，不考虑自然灾害引起的风险。</w:t>
      </w:r>
    </w:p>
    <w:p>
      <w:pPr>
        <w:spacing w:line="460" w:lineRule="exact"/>
        <w:ind w:firstLine="480" w:firstLineChars="200"/>
        <w:rPr>
          <w:rFonts w:eastAsiaTheme="minorEastAsia"/>
          <w:sz w:val="24"/>
        </w:rPr>
      </w:pPr>
      <w:r>
        <w:rPr>
          <w:rFonts w:hint="eastAsia" w:eastAsiaTheme="minorEastAsia"/>
          <w:sz w:val="24"/>
        </w:rPr>
        <w:t>4、</w:t>
      </w:r>
      <w:r>
        <w:rPr>
          <w:rFonts w:eastAsiaTheme="minorEastAsia"/>
          <w:sz w:val="24"/>
        </w:rPr>
        <w:t>危险物质风险识别</w:t>
      </w:r>
    </w:p>
    <w:p>
      <w:pPr>
        <w:spacing w:line="460" w:lineRule="exact"/>
        <w:ind w:firstLine="480" w:firstLineChars="200"/>
        <w:rPr>
          <w:rFonts w:eastAsiaTheme="minorEastAsia"/>
          <w:sz w:val="24"/>
        </w:rPr>
      </w:pPr>
      <w:r>
        <w:rPr>
          <w:rFonts w:hint="eastAsia" w:eastAsiaTheme="minorEastAsia"/>
          <w:sz w:val="24"/>
        </w:rPr>
        <w:t>本项目涉及</w:t>
      </w:r>
      <w:r>
        <w:rPr>
          <w:rFonts w:eastAsiaTheme="minorEastAsia"/>
          <w:sz w:val="24"/>
        </w:rPr>
        <w:t>危险物质主要为废润滑油，储存于危废暂存间，</w:t>
      </w:r>
      <w:r>
        <w:rPr>
          <w:rFonts w:hint="eastAsia" w:eastAsiaTheme="minorEastAsia"/>
          <w:sz w:val="24"/>
        </w:rPr>
        <w:t>在</w:t>
      </w:r>
      <w:r>
        <w:rPr>
          <w:rFonts w:eastAsiaTheme="minorEastAsia"/>
          <w:sz w:val="24"/>
        </w:rPr>
        <w:t>日常储存过程，若发生泄露等事故会造成污染土壤甚至地下水环境风险</w:t>
      </w:r>
      <w:r>
        <w:rPr>
          <w:rFonts w:hint="eastAsia" w:eastAsiaTheme="minorEastAsia"/>
          <w:sz w:val="24"/>
        </w:rPr>
        <w:t>。</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w:t>
      </w:r>
      <w:r>
        <w:rPr>
          <w:rFonts w:ascii="Times New Roman"/>
          <w:szCs w:val="24"/>
        </w:rPr>
        <w:t>.</w:t>
      </w:r>
      <w:r>
        <w:rPr>
          <w:rFonts w:hint="eastAsia" w:ascii="Times New Roman"/>
          <w:szCs w:val="24"/>
        </w:rPr>
        <w:t>4</w:t>
      </w:r>
      <w:r>
        <w:rPr>
          <w:rFonts w:ascii="Times New Roman"/>
          <w:szCs w:val="24"/>
        </w:rPr>
        <w:t>环境风险影响分析</w:t>
      </w:r>
    </w:p>
    <w:p>
      <w:pPr>
        <w:spacing w:line="460" w:lineRule="exact"/>
        <w:ind w:firstLine="480" w:firstLineChars="200"/>
        <w:rPr>
          <w:rFonts w:eastAsiaTheme="minorEastAsia"/>
          <w:sz w:val="24"/>
        </w:rPr>
      </w:pPr>
      <w:r>
        <w:rPr>
          <w:rFonts w:hint="eastAsia" w:eastAsiaTheme="minorEastAsia"/>
          <w:sz w:val="24"/>
        </w:rPr>
        <w:t>1、风险识别</w:t>
      </w:r>
    </w:p>
    <w:p>
      <w:pPr>
        <w:spacing w:line="460" w:lineRule="exact"/>
        <w:ind w:firstLine="480" w:firstLineChars="200"/>
        <w:rPr>
          <w:rFonts w:eastAsiaTheme="minorEastAsia"/>
          <w:sz w:val="24"/>
        </w:rPr>
      </w:pPr>
      <w:r>
        <w:rPr>
          <w:rFonts w:hint="eastAsia" w:eastAsiaTheme="minorEastAsia"/>
          <w:sz w:val="24"/>
        </w:rPr>
        <w:t>（1）火灾后果分析</w:t>
      </w:r>
    </w:p>
    <w:p>
      <w:pPr>
        <w:spacing w:line="460" w:lineRule="exact"/>
        <w:ind w:firstLine="480" w:firstLineChars="200"/>
        <w:rPr>
          <w:rFonts w:eastAsiaTheme="minorEastAsia"/>
          <w:sz w:val="24"/>
        </w:rPr>
      </w:pPr>
      <w:r>
        <w:rPr>
          <w:rFonts w:hint="eastAsia" w:eastAsiaTheme="minorEastAsia"/>
          <w:sz w:val="24"/>
        </w:rPr>
        <w:t>发生火灾事故的主要原因是明火造成的，当原料堆放场地或成品堆放场地发生着火会放出一定的热量，根据《危险评价方法及其应用》点源模型分析可知，火焰辐射出的能量为燃烧热的一部分，热辐射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w:t>
      </w:r>
      <w:r>
        <w:rPr>
          <w:rFonts w:eastAsiaTheme="minorEastAsia"/>
          <w:sz w:val="24"/>
        </w:rPr>
        <w:t>CO</w:t>
      </w:r>
      <w:r>
        <w:rPr>
          <w:rFonts w:hint="eastAsia" w:eastAsiaTheme="minorEastAsia"/>
          <w:sz w:val="24"/>
        </w:rPr>
        <w:t>、烟尘，产生燃烧熔滴，产生大量的消防废水。</w:t>
      </w:r>
    </w:p>
    <w:p>
      <w:pPr>
        <w:spacing w:line="460" w:lineRule="exact"/>
        <w:ind w:firstLine="480" w:firstLineChars="200"/>
        <w:rPr>
          <w:rFonts w:eastAsiaTheme="minorEastAsia"/>
          <w:sz w:val="24"/>
        </w:rPr>
      </w:pPr>
      <w:r>
        <w:rPr>
          <w:rFonts w:hint="eastAsia" w:eastAsiaTheme="minorEastAsia"/>
          <w:sz w:val="24"/>
        </w:rPr>
        <w:t>（2）人体健康影响分析</w:t>
      </w:r>
    </w:p>
    <w:p>
      <w:pPr>
        <w:spacing w:line="460" w:lineRule="exact"/>
        <w:ind w:firstLine="480" w:firstLineChars="200"/>
        <w:rPr>
          <w:rFonts w:eastAsiaTheme="minorEastAsia"/>
          <w:sz w:val="24"/>
        </w:rPr>
      </w:pPr>
      <w:r>
        <w:rPr>
          <w:rFonts w:hint="eastAsia" w:eastAsiaTheme="minorEastAsia"/>
          <w:bCs/>
          <w:sz w:val="24"/>
        </w:rPr>
        <w:t>本项目原辅材料主要为废旧塑料等，中间产品为再生聚乙烯颗粒料，产品均为塑料制品，</w:t>
      </w:r>
      <w:r>
        <w:rPr>
          <w:rFonts w:hint="eastAsia" w:eastAsiaTheme="minorEastAsia"/>
          <w:sz w:val="24"/>
        </w:rPr>
        <w:t>原辅材料主要成分是聚丙烯、聚乙烯成分，均为高分子材料，燃烧会产生多种有机物，能引起机体免疫水平失调，影响中枢神经系统功能，出现头晕、头痛、嗜睡、无力、胸闷等自觉症状；还可能影响消化系统，出现食欲不振、恶心等，严重时可损伤肝脏和造血系统，出现变态反应等。</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）废润滑油泄漏影响分析</w:t>
      </w:r>
    </w:p>
    <w:p>
      <w:pPr>
        <w:spacing w:line="460" w:lineRule="exact"/>
        <w:ind w:firstLine="480" w:firstLineChars="200"/>
        <w:rPr>
          <w:rFonts w:eastAsiaTheme="minorEastAsia"/>
          <w:sz w:val="24"/>
        </w:rPr>
      </w:pPr>
      <w:r>
        <w:rPr>
          <w:rFonts w:hint="eastAsia" w:eastAsiaTheme="minorEastAsia"/>
          <w:sz w:val="24"/>
        </w:rPr>
        <w:t>危废暂存间储存的废润滑油若不加以管理发生泄漏事故，废润滑油中含有大量有机污染物，若泄漏下渗将造成土壤或地下水环境的污染，对项目区附近的土壤，地下水产生一定的影响。</w:t>
      </w:r>
    </w:p>
    <w:p>
      <w:pPr>
        <w:spacing w:line="460" w:lineRule="exact"/>
        <w:ind w:firstLine="480" w:firstLineChars="200"/>
        <w:rPr>
          <w:rFonts w:eastAsiaTheme="minorEastAsia"/>
          <w:sz w:val="24"/>
        </w:rPr>
      </w:pPr>
      <w:r>
        <w:rPr>
          <w:rFonts w:hint="eastAsia" w:eastAsiaTheme="minorEastAsia"/>
          <w:sz w:val="24"/>
        </w:rPr>
        <w:t>2、危害方式及途径</w:t>
      </w:r>
    </w:p>
    <w:p>
      <w:pPr>
        <w:spacing w:line="460" w:lineRule="exact"/>
        <w:ind w:firstLine="480" w:firstLineChars="200"/>
        <w:rPr>
          <w:rFonts w:eastAsiaTheme="minorEastAsia"/>
          <w:sz w:val="24"/>
        </w:rPr>
      </w:pPr>
      <w:r>
        <w:rPr>
          <w:rFonts w:hint="eastAsia" w:eastAsiaTheme="minorEastAsia"/>
          <w:sz w:val="24"/>
        </w:rPr>
        <w:t>本项目生产过程中主要的潜在事故风险为火灾危险，一旦发生意外事故将造成对人员、财产、环境的危害。当发生火灾事故时，在发生事故地点较劲的范围内将受到严重影响和破坏，存在人员伤亡的可能性。火灾事故一方面可能对财产造成损失，对人员可能有伤害，另一方面事故引发的其它物质的燃烧会产生大量的有毒有害烟雾。随着气流飘散至周边区域，使区域的大气环境质量急剧恶化，发生大气环境污染事故。</w:t>
      </w:r>
    </w:p>
    <w:p>
      <w:pPr>
        <w:spacing w:line="460" w:lineRule="exact"/>
        <w:ind w:firstLine="480" w:firstLineChars="200"/>
        <w:rPr>
          <w:rFonts w:eastAsiaTheme="minorEastAsia"/>
          <w:sz w:val="24"/>
        </w:rPr>
      </w:pPr>
      <w:r>
        <w:rPr>
          <w:rFonts w:hint="eastAsia" w:eastAsiaTheme="minorEastAsia"/>
          <w:sz w:val="24"/>
        </w:rPr>
        <w:t>3、大气环境风险分析与评价</w:t>
      </w:r>
    </w:p>
    <w:p>
      <w:pPr>
        <w:spacing w:line="460" w:lineRule="exact"/>
        <w:ind w:firstLine="480" w:firstLineChars="200"/>
        <w:rPr>
          <w:rFonts w:eastAsiaTheme="minorEastAsia"/>
          <w:sz w:val="24"/>
        </w:rPr>
      </w:pPr>
      <w:r>
        <w:rPr>
          <w:rFonts w:hint="eastAsia" w:eastAsiaTheme="minorEastAsia"/>
          <w:sz w:val="24"/>
        </w:rPr>
        <w:t>本项目生产过程中造粒车间、挤塑车间等将会产生一定量的有机废气。如果发生事故排放，将导致工作场所空气中的有毒物质浓度增加，危害员工的人身安全。根据本项目生产工艺过程，结合工程类比调查，运营期间可能产生的风险事故主要为火灾等事故。根据废气影响预测，项目投入营运后，本项目废气正常排放时对周围空气环境质量影响不大，若废气处理设施异常，事故排放时，项目有机废气会对周围空气环境质量影响大大增加。综上所述，本项目的废气防治工作效果良好与否将直接成为周边环境空气质量保障的关键，建设单位必须在日常环保工作中加大废气处理的力度和加强环保管理工作，进一步加强清洁生产工作，杜绝事故排放，特别是非甲烷总烃的事故排放，一旦发生非正常排放，需在最短时间内加以维修，必要时必须停产，待处理设施有效运转后恢复生产，以减少大气污染物的排放。</w:t>
      </w:r>
    </w:p>
    <w:p>
      <w:pPr>
        <w:spacing w:line="460" w:lineRule="exact"/>
        <w:ind w:firstLine="480" w:firstLineChars="200"/>
        <w:rPr>
          <w:rFonts w:eastAsiaTheme="minorEastAsia"/>
          <w:sz w:val="24"/>
        </w:rPr>
      </w:pPr>
      <w:r>
        <w:rPr>
          <w:rFonts w:hint="eastAsia" w:eastAsiaTheme="minorEastAsia"/>
          <w:sz w:val="24"/>
        </w:rPr>
        <w:t>4、火灾环境风险影响分析</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）原料及成品区存储环境因素分析</w:t>
      </w:r>
    </w:p>
    <w:p>
      <w:pPr>
        <w:spacing w:line="460" w:lineRule="exact"/>
        <w:ind w:firstLine="480" w:firstLineChars="200"/>
        <w:rPr>
          <w:rFonts w:eastAsiaTheme="minorEastAsia"/>
          <w:sz w:val="24"/>
        </w:rPr>
      </w:pPr>
      <w:r>
        <w:rPr>
          <w:rFonts w:hint="eastAsia" w:eastAsiaTheme="minorEastAsia"/>
          <w:sz w:val="24"/>
        </w:rPr>
        <w:t>本项目为保证原料及时有效供应设置原料存放区、成品存放区，原料及成品储存过程中存在的环境风险为火灾问题。诱发火灾的因素主要有：违章吸烟、动火；进入储存场的机车烟筒上未安装火星熄灭器；使用气焊、电焊等进行维修时，未采取有效防护措施；电气线路和电气设施在开关断开、接触不良、短路、漏电时产生火花，以及静电放电火花；未采取有效避雷措施，或者避雷措施失效而导致雷击失火等。</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）原料及成品区环境风险影响分析</w:t>
      </w:r>
    </w:p>
    <w:p>
      <w:pPr>
        <w:spacing w:line="460" w:lineRule="exact"/>
        <w:ind w:firstLine="480" w:firstLineChars="200"/>
        <w:rPr>
          <w:rFonts w:eastAsiaTheme="minorEastAsia"/>
          <w:sz w:val="24"/>
        </w:rPr>
      </w:pPr>
      <w:r>
        <w:rPr>
          <w:rFonts w:hint="eastAsia" w:eastAsiaTheme="minorEastAsia"/>
          <w:sz w:val="24"/>
        </w:rPr>
        <w:t>本项目涉及的原辅料及产品主要为塑料制品，属于可燃物质，发生火灾对环境的污染影响主要来自原辅材料及成品燃烧释放的大量的有害气体，</w:t>
      </w:r>
      <w:r>
        <w:rPr>
          <w:rFonts w:eastAsiaTheme="minorEastAsia"/>
          <w:sz w:val="24"/>
        </w:rPr>
        <w:t xml:space="preserve"> </w:t>
      </w:r>
      <w:r>
        <w:rPr>
          <w:rFonts w:hint="eastAsia" w:eastAsiaTheme="minorEastAsia"/>
          <w:sz w:val="24"/>
        </w:rPr>
        <w:t>由于燃烧产生的有害气体释放量难以定量，本次评价主要定性分析火灾发生时产生的有害气体对周围环境的影响。在正常情况下，空气的组成主要有氮气、氧气、氩气、二氧化碳及氢、氖、臭氧、氪等，而火灾所产生烟雾的成分主要为二氧化碳和水蒸气，这两种物质约占所有烟雾的</w:t>
      </w:r>
      <w:r>
        <w:rPr>
          <w:rFonts w:eastAsiaTheme="minorEastAsia"/>
          <w:sz w:val="24"/>
        </w:rPr>
        <w:t>90%~95%</w:t>
      </w:r>
      <w:r>
        <w:rPr>
          <w:rFonts w:hint="eastAsia" w:eastAsiaTheme="minorEastAsia"/>
          <w:sz w:val="24"/>
        </w:rPr>
        <w:t>；另外还有乙稀、丙烯、一氧化碳、碳氢化合物及微粒物质等，约占</w:t>
      </w:r>
      <w:r>
        <w:rPr>
          <w:rFonts w:eastAsiaTheme="minorEastAsia"/>
          <w:sz w:val="24"/>
        </w:rPr>
        <w:t>5%~10%</w:t>
      </w:r>
      <w:r>
        <w:rPr>
          <w:rFonts w:hint="eastAsia" w:eastAsiaTheme="minorEastAsia"/>
          <w:sz w:val="24"/>
        </w:rPr>
        <w:t>，对环境和人体健康产生较大危害的</w:t>
      </w:r>
      <w:r>
        <w:rPr>
          <w:rFonts w:eastAsiaTheme="minorEastAsia"/>
          <w:sz w:val="24"/>
        </w:rPr>
        <w:t>CO</w:t>
      </w:r>
      <w:r>
        <w:rPr>
          <w:rFonts w:hint="eastAsia" w:eastAsiaTheme="minorEastAsia"/>
          <w:sz w:val="24"/>
        </w:rPr>
        <w:t>、烟尘等有害物质。</w:t>
      </w:r>
    </w:p>
    <w:p>
      <w:pPr>
        <w:spacing w:line="460" w:lineRule="exact"/>
        <w:ind w:firstLine="480" w:firstLineChars="200"/>
        <w:rPr>
          <w:rFonts w:eastAsiaTheme="minorEastAsia"/>
          <w:sz w:val="24"/>
        </w:rPr>
      </w:pPr>
      <w:r>
        <w:rPr>
          <w:rFonts w:hint="eastAsia" w:eastAsiaTheme="minorEastAsia"/>
          <w:sz w:val="24"/>
        </w:rPr>
        <w:t>一氧化碳产生量相对较大，危害也较大，一氧化碳的浓度过高或持续时间过长都会使人窒息或死亡。一般情况下，火场附近的一氧化碳的浓度较高（浓度可达到</w:t>
      </w:r>
      <w:r>
        <w:rPr>
          <w:rFonts w:eastAsiaTheme="minorEastAsia"/>
          <w:sz w:val="24"/>
        </w:rPr>
        <w:t>0.02%</w:t>
      </w:r>
      <w:r>
        <w:rPr>
          <w:rFonts w:hint="eastAsia" w:eastAsiaTheme="minorEastAsia"/>
          <w:sz w:val="24"/>
        </w:rPr>
        <w:t>），距离火场</w:t>
      </w:r>
      <w:r>
        <w:rPr>
          <w:rFonts w:eastAsiaTheme="minorEastAsia"/>
          <w:sz w:val="24"/>
        </w:rPr>
        <w:t>30m</w:t>
      </w:r>
      <w:r>
        <w:rPr>
          <w:rFonts w:hint="eastAsia" w:eastAsiaTheme="minorEastAsia"/>
          <w:sz w:val="24"/>
        </w:rPr>
        <w:t>处，一氧化碳的浓度逐渐降低（</w:t>
      </w:r>
      <w:r>
        <w:rPr>
          <w:rFonts w:eastAsiaTheme="minorEastAsia"/>
          <w:sz w:val="24"/>
        </w:rPr>
        <w:t>0.001%</w:t>
      </w:r>
      <w:r>
        <w:rPr>
          <w:rFonts w:hint="eastAsia" w:eastAsiaTheme="minorEastAsia"/>
          <w:sz w:val="24"/>
        </w:rPr>
        <w:t>）。因此距离靠近火场会有造成一氧化碳中毒的危险。据以往报道，因火灾而造成人员死亡中，</w:t>
      </w:r>
      <w:r>
        <w:rPr>
          <w:rFonts w:eastAsiaTheme="minorEastAsia"/>
          <w:sz w:val="24"/>
        </w:rPr>
        <w:t>3/4</w:t>
      </w:r>
      <w:r>
        <w:rPr>
          <w:rFonts w:hint="eastAsia" w:eastAsiaTheme="minorEastAsia"/>
          <w:sz w:val="24"/>
        </w:rPr>
        <w:t>的人死于有害气体，而且有害气体中一氧化碳是主要的有毒物质。</w:t>
      </w:r>
    </w:p>
    <w:p>
      <w:pPr>
        <w:spacing w:line="460" w:lineRule="exact"/>
        <w:ind w:firstLine="480" w:firstLineChars="200"/>
        <w:rPr>
          <w:rFonts w:eastAsiaTheme="minorEastAsia"/>
          <w:sz w:val="24"/>
        </w:rPr>
      </w:pPr>
      <w:r>
        <w:rPr>
          <w:rFonts w:hint="eastAsia" w:eastAsiaTheme="minorEastAsia"/>
          <w:sz w:val="24"/>
        </w:rPr>
        <w:t>因此，火灾发生时将不可避免的对厂区人员安全与生产设施产生不利影响。</w:t>
      </w:r>
    </w:p>
    <w:p>
      <w:pPr>
        <w:spacing w:line="460" w:lineRule="exact"/>
        <w:ind w:firstLine="480" w:firstLineChars="200"/>
        <w:rPr>
          <w:rFonts w:eastAsiaTheme="minorEastAsia"/>
          <w:sz w:val="24"/>
        </w:rPr>
      </w:pPr>
      <w:r>
        <w:rPr>
          <w:rFonts w:hint="eastAsia" w:eastAsiaTheme="minorEastAsia"/>
          <w:sz w:val="24"/>
        </w:rPr>
        <w:t>5、废润滑油泄漏及火灾影响分析</w:t>
      </w:r>
    </w:p>
    <w:p>
      <w:pPr>
        <w:spacing w:line="460" w:lineRule="exact"/>
        <w:ind w:firstLine="480" w:firstLineChars="200"/>
        <w:rPr>
          <w:rFonts w:eastAsiaTheme="minorEastAsia"/>
          <w:bCs/>
          <w:sz w:val="24"/>
        </w:rPr>
      </w:pPr>
      <w:r>
        <w:rPr>
          <w:rFonts w:hint="eastAsia" w:eastAsiaTheme="minorEastAsia"/>
          <w:sz w:val="24"/>
        </w:rPr>
        <w:t>项目运营产生的废润滑油储存于危废暂存间，若发生泄漏将造成区域土壤、地下水环境污染，但环评要求危废暂存间</w:t>
      </w:r>
      <w:r>
        <w:rPr>
          <w:rFonts w:hint="eastAsia" w:eastAsiaTheme="minorEastAsia"/>
          <w:bCs/>
          <w:sz w:val="24"/>
        </w:rPr>
        <w:t>严格按照《危险废物贮存污染控制标准》（GB18597-2023）有关规定建设，对危废暂存间进行重点防渗处置，防渗性能达到渗透系数小于</w:t>
      </w:r>
      <w:r>
        <w:rPr>
          <w:rFonts w:eastAsiaTheme="minorEastAsia"/>
          <w:bCs/>
          <w:sz w:val="24"/>
        </w:rPr>
        <w:t>10</w:t>
      </w:r>
      <w:r>
        <w:rPr>
          <w:rFonts w:eastAsiaTheme="minorEastAsia"/>
          <w:bCs/>
          <w:sz w:val="24"/>
          <w:vertAlign w:val="superscript"/>
        </w:rPr>
        <w:t>-7</w:t>
      </w:r>
      <w:r>
        <w:rPr>
          <w:rFonts w:eastAsiaTheme="minorEastAsia"/>
          <w:bCs/>
          <w:sz w:val="24"/>
        </w:rPr>
        <w:t>cm/s</w:t>
      </w:r>
      <w:r>
        <w:rPr>
          <w:rFonts w:hint="eastAsia" w:eastAsiaTheme="minorEastAsia"/>
          <w:bCs/>
          <w:sz w:val="24"/>
        </w:rPr>
        <w:t>，危废暂存间在按照环评要求采取防渗措施后，在对废润滑油储存加以严格管理，定期清理，减少厂区危废间储存量后发生泄漏的可能性极小。</w:t>
      </w:r>
    </w:p>
    <w:p>
      <w:pPr>
        <w:spacing w:line="460" w:lineRule="exact"/>
        <w:ind w:firstLine="480" w:firstLineChars="200"/>
        <w:rPr>
          <w:rFonts w:eastAsiaTheme="minorEastAsia"/>
          <w:sz w:val="24"/>
        </w:rPr>
      </w:pPr>
      <w:r>
        <w:rPr>
          <w:rFonts w:hint="eastAsia" w:eastAsiaTheme="minorEastAsia"/>
          <w:bCs/>
          <w:sz w:val="24"/>
        </w:rPr>
        <w:t>另外废润滑油属于油类物质，属于可燃物质，如遇明火等容易发生火灾，对项目区造成严重损失，项目在日常运营中加强危废暂存间管理，规范操作等措施后，发生火灾的可能性极小</w:t>
      </w:r>
      <w:r>
        <w:rPr>
          <w:rFonts w:hint="eastAsia" w:eastAsiaTheme="minorEastAsia"/>
          <w:sz w:val="24"/>
        </w:rPr>
        <w:t>。</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w:t>
      </w:r>
      <w:r>
        <w:rPr>
          <w:rFonts w:ascii="Times New Roman"/>
          <w:szCs w:val="24"/>
        </w:rPr>
        <w:t>.</w:t>
      </w:r>
      <w:r>
        <w:rPr>
          <w:rFonts w:hint="eastAsia" w:ascii="Times New Roman"/>
          <w:szCs w:val="24"/>
        </w:rPr>
        <w:t>5</w:t>
      </w:r>
      <w:r>
        <w:rPr>
          <w:rFonts w:ascii="Times New Roman"/>
          <w:szCs w:val="24"/>
        </w:rPr>
        <w:t>风险事故防范措施</w:t>
      </w:r>
    </w:p>
    <w:p>
      <w:pPr>
        <w:spacing w:line="460" w:lineRule="exact"/>
        <w:ind w:firstLine="480" w:firstLineChars="200"/>
        <w:rPr>
          <w:kern w:val="0"/>
          <w:sz w:val="24"/>
        </w:rPr>
      </w:pPr>
      <w:bookmarkStart w:id="240" w:name="_Toc27960"/>
      <w:bookmarkStart w:id="241" w:name="_Toc483733170"/>
      <w:bookmarkStart w:id="242" w:name="_Toc11337"/>
      <w:bookmarkStart w:id="243" w:name="_Toc433814563"/>
      <w:bookmarkStart w:id="244" w:name="_Toc22789"/>
      <w:bookmarkStart w:id="245" w:name="_Toc368063488"/>
      <w:bookmarkStart w:id="246" w:name="_Toc32542"/>
      <w:bookmarkStart w:id="247" w:name="_Toc332103757"/>
      <w:bookmarkStart w:id="248" w:name="_Toc319228437"/>
      <w:bookmarkStart w:id="249" w:name="_Toc346113480"/>
      <w:bookmarkStart w:id="250" w:name="_Toc2149"/>
      <w:bookmarkStart w:id="251" w:name="_Toc332103657"/>
      <w:bookmarkStart w:id="252" w:name="_Toc10026"/>
      <w:bookmarkStart w:id="253" w:name="_Toc23075"/>
      <w:bookmarkStart w:id="254" w:name="_Toc448920650"/>
      <w:bookmarkStart w:id="255" w:name="_Toc485196115"/>
      <w:bookmarkStart w:id="256" w:name="_Toc357066938"/>
      <w:r>
        <w:rPr>
          <w:rFonts w:hint="eastAsia"/>
          <w:kern w:val="0"/>
          <w:sz w:val="24"/>
        </w:rPr>
        <w:t>1、原料运输防范措施</w:t>
      </w:r>
    </w:p>
    <w:p>
      <w:pPr>
        <w:spacing w:line="460" w:lineRule="exact"/>
        <w:ind w:firstLine="480" w:firstLineChars="200"/>
        <w:rPr>
          <w:rFonts w:eastAsiaTheme="minorEastAsia"/>
          <w:sz w:val="24"/>
        </w:rPr>
      </w:pPr>
      <w:r>
        <w:rPr>
          <w:rFonts w:hint="eastAsia" w:eastAsiaTheme="minorEastAsia"/>
          <w:sz w:val="24"/>
        </w:rPr>
        <w:t>（1）运输过程严格执行《工业企业内运输安全规程》（</w:t>
      </w:r>
      <w:r>
        <w:rPr>
          <w:rFonts w:eastAsiaTheme="minorEastAsia"/>
          <w:sz w:val="24"/>
        </w:rPr>
        <w:t>GB4378-84</w:t>
      </w:r>
      <w:r>
        <w:rPr>
          <w:rFonts w:hint="eastAsia" w:eastAsiaTheme="minorEastAsia"/>
          <w:sz w:val="24"/>
        </w:rPr>
        <w:t>）、《机动车运行安全技术条件》（</w:t>
      </w:r>
      <w:r>
        <w:rPr>
          <w:rFonts w:eastAsiaTheme="minorEastAsia"/>
          <w:sz w:val="24"/>
        </w:rPr>
        <w:t>GB7258-2017</w:t>
      </w:r>
      <w:r>
        <w:rPr>
          <w:rFonts w:hint="eastAsia" w:eastAsiaTheme="minorEastAsia"/>
          <w:sz w:val="24"/>
        </w:rPr>
        <w:t>）；</w:t>
      </w:r>
    </w:p>
    <w:p>
      <w:pPr>
        <w:spacing w:line="460" w:lineRule="exact"/>
        <w:ind w:firstLine="480" w:firstLineChars="200"/>
        <w:rPr>
          <w:rFonts w:eastAsiaTheme="minorEastAsia"/>
          <w:sz w:val="24"/>
        </w:rPr>
      </w:pPr>
      <w:r>
        <w:rPr>
          <w:rFonts w:hint="eastAsia" w:eastAsiaTheme="minorEastAsia"/>
          <w:sz w:val="24"/>
        </w:rPr>
        <w:t>（2）运输车辆尽量避开恶劣天气，以减少因事故造成对运输线路沿途的影响；</w:t>
      </w:r>
    </w:p>
    <w:p>
      <w:pPr>
        <w:spacing w:line="460" w:lineRule="exact"/>
        <w:ind w:firstLine="480" w:firstLineChars="200"/>
        <w:rPr>
          <w:rFonts w:eastAsiaTheme="minorEastAsia"/>
          <w:sz w:val="24"/>
        </w:rPr>
      </w:pPr>
      <w:r>
        <w:rPr>
          <w:rFonts w:hint="eastAsia" w:eastAsiaTheme="minorEastAsia"/>
          <w:sz w:val="24"/>
        </w:rPr>
        <w:t>（3）严格运输管理，加强车辆保养；</w:t>
      </w:r>
    </w:p>
    <w:p>
      <w:pPr>
        <w:spacing w:line="460" w:lineRule="exact"/>
        <w:ind w:firstLine="480" w:firstLineChars="200"/>
        <w:rPr>
          <w:rFonts w:eastAsiaTheme="minorEastAsia"/>
          <w:sz w:val="24"/>
        </w:rPr>
      </w:pPr>
      <w:r>
        <w:rPr>
          <w:rFonts w:hint="eastAsia" w:eastAsiaTheme="minorEastAsia"/>
          <w:sz w:val="24"/>
        </w:rPr>
        <w:t>（4）根据《废塑料污染控制技术规范》，废塑料运输前应进行包装，或用封闭的交通工具运输，不得裸露运输废塑料；废塑料的包装应在通过环保审批的回收中转场所内进行；废塑料包装物应防水、耐压、遮蔽性好，可多次重复使用；在装卸、运输过程中应确保包装完好，无废塑料遗洒；包装物表面必须有回收标志和废塑料种类标志，标志应清晰、易于识别、不易擦掉，并应标明废塑料的来源、原用途和去向等信息。废塑料回收和种类标志执行</w:t>
      </w:r>
      <w:r>
        <w:rPr>
          <w:rFonts w:eastAsiaTheme="minorEastAsia"/>
          <w:sz w:val="24"/>
        </w:rPr>
        <w:t>GB/T16288</w:t>
      </w:r>
      <w:r>
        <w:rPr>
          <w:rFonts w:hint="eastAsia" w:eastAsiaTheme="minorEastAsia"/>
          <w:sz w:val="24"/>
        </w:rPr>
        <w:t>；不得超高、超宽、超载运输废塑料，宜采用密闭集装箱或带有压缩装置的包装箱。</w:t>
      </w:r>
    </w:p>
    <w:p>
      <w:pPr>
        <w:spacing w:line="460" w:lineRule="exact"/>
        <w:ind w:firstLine="480" w:firstLineChars="200"/>
        <w:rPr>
          <w:rFonts w:eastAsiaTheme="minorEastAsia"/>
          <w:sz w:val="24"/>
        </w:rPr>
      </w:pPr>
      <w:r>
        <w:rPr>
          <w:rFonts w:hint="eastAsia" w:eastAsiaTheme="minorEastAsia"/>
          <w:sz w:val="24"/>
        </w:rPr>
        <w:t>2、原料贮存防范措施</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）塑料原料贮放设置明显标志，贮存场所采用防雨、防晒、防渗、防尘、防扬散和防火措施。</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）塑料按计划采购、分期分批入库，严格控制贮存量；</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）严禁在生产车间和库房使用明火；</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4</w:t>
      </w:r>
      <w:r>
        <w:rPr>
          <w:rFonts w:hint="eastAsia" w:eastAsiaTheme="minorEastAsia"/>
          <w:sz w:val="24"/>
        </w:rPr>
        <w:t>）实行安全检查制度，各类安全设施、消防器材，进行各种日常、定期的、专业的防火安全检查，并将发现的问题定人、限期落实整改。</w:t>
      </w:r>
    </w:p>
    <w:p>
      <w:pPr>
        <w:spacing w:line="460" w:lineRule="exact"/>
        <w:ind w:firstLine="480" w:firstLineChars="200"/>
        <w:rPr>
          <w:rFonts w:eastAsiaTheme="minorEastAsia"/>
          <w:sz w:val="24"/>
        </w:rPr>
      </w:pPr>
      <w:r>
        <w:rPr>
          <w:rFonts w:hint="eastAsia" w:eastAsiaTheme="minorEastAsia"/>
          <w:sz w:val="24"/>
        </w:rPr>
        <w:t>3、废气事故排放防范措施</w:t>
      </w:r>
    </w:p>
    <w:p>
      <w:pPr>
        <w:spacing w:line="460" w:lineRule="exact"/>
        <w:ind w:firstLine="480" w:firstLineChars="200"/>
        <w:rPr>
          <w:rFonts w:eastAsiaTheme="minorEastAsia"/>
          <w:sz w:val="24"/>
        </w:rPr>
      </w:pPr>
      <w:r>
        <w:rPr>
          <w:rFonts w:hint="eastAsia" w:eastAsiaTheme="minorEastAsia"/>
          <w:sz w:val="24"/>
        </w:rPr>
        <w:t>本项目造粒车间废塑料造粒过程、滴灌带及</w:t>
      </w:r>
      <w:r>
        <w:rPr>
          <w:rFonts w:eastAsiaTheme="minorEastAsia"/>
          <w:sz w:val="24"/>
        </w:rPr>
        <w:t>PE管</w:t>
      </w:r>
      <w:r>
        <w:rPr>
          <w:rFonts w:hint="eastAsia" w:eastAsiaTheme="minorEastAsia"/>
          <w:sz w:val="24"/>
        </w:rPr>
        <w:t>生产车间挤塑成型过程中会产生非甲烷总烃，由于设备故障、操作不当、工艺控制不当等因素可能导致温度过高，产生大量有机废气或环保治理措施失效，导致废气不经处理全部排放。事故性排放（指废气收集治理措施故障，导致废气按产生量排放）工况下，非甲烷总烃不经处理直接外排，事故性排放对周边环境产生一定的影响。尤其是恶劣环境下如阴雨天或者小风逆温等气象条件下，污染物难以稀释扩散，在项目所在地附近聚集，对项目所在地周边大气环境影响较大。</w:t>
      </w:r>
    </w:p>
    <w:p>
      <w:pPr>
        <w:spacing w:line="460" w:lineRule="exact"/>
        <w:ind w:firstLine="480" w:firstLineChars="200"/>
        <w:rPr>
          <w:rFonts w:eastAsiaTheme="minorEastAsia"/>
          <w:sz w:val="24"/>
        </w:rPr>
      </w:pPr>
      <w:r>
        <w:rPr>
          <w:rFonts w:hint="eastAsia" w:eastAsiaTheme="minorEastAsia"/>
          <w:sz w:val="24"/>
        </w:rPr>
        <w:t>对此，企业须对生产机辅助设备定期检修，保证各设备的正常运行，并制定操作规程和规章制度，加强人员培训，避免非正常工况的出现。</w:t>
      </w:r>
    </w:p>
    <w:p>
      <w:pPr>
        <w:spacing w:line="460" w:lineRule="exact"/>
        <w:ind w:firstLine="480" w:firstLineChars="200"/>
        <w:rPr>
          <w:rFonts w:eastAsiaTheme="minorEastAsia"/>
          <w:sz w:val="24"/>
        </w:rPr>
      </w:pPr>
      <w:r>
        <w:rPr>
          <w:rFonts w:hint="eastAsia" w:eastAsiaTheme="minorEastAsia"/>
          <w:sz w:val="24"/>
        </w:rPr>
        <w:t>随着企业发展的日趋完善，尽快推行</w:t>
      </w:r>
      <w:r>
        <w:rPr>
          <w:rFonts w:eastAsiaTheme="minorEastAsia"/>
          <w:sz w:val="24"/>
        </w:rPr>
        <w:t>ISO14000</w:t>
      </w:r>
      <w:r>
        <w:rPr>
          <w:rFonts w:hint="eastAsia" w:eastAsiaTheme="minorEastAsia"/>
          <w:sz w:val="24"/>
        </w:rPr>
        <w:t>、</w:t>
      </w:r>
      <w:r>
        <w:rPr>
          <w:rFonts w:eastAsiaTheme="minorEastAsia"/>
          <w:sz w:val="24"/>
        </w:rPr>
        <w:t xml:space="preserve">ISO18000 </w:t>
      </w:r>
      <w:r>
        <w:rPr>
          <w:rFonts w:hint="eastAsia" w:eastAsiaTheme="minorEastAsia"/>
          <w:sz w:val="24"/>
        </w:rPr>
        <w:t>系列标准的要求，积极开展各种管理、环保、安全方面的论证，提高企业管理水平；并及时对产品及生产工艺进行更新、提高和改造。</w:t>
      </w:r>
    </w:p>
    <w:p>
      <w:pPr>
        <w:spacing w:line="460" w:lineRule="exact"/>
        <w:ind w:firstLine="480" w:firstLineChars="200"/>
        <w:rPr>
          <w:rFonts w:eastAsiaTheme="minorEastAsia"/>
          <w:sz w:val="24"/>
        </w:rPr>
      </w:pPr>
      <w:r>
        <w:rPr>
          <w:rFonts w:hint="eastAsia" w:eastAsiaTheme="minorEastAsia"/>
          <w:sz w:val="24"/>
        </w:rPr>
        <w:t>4、生产及储存风险防范措施</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）生产场地属禁火区，应远离明火，不得存放易燃易爆物品，设置明显警示牌并配备灭火器材；</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）厂区设防火通道，禁止在通道内堆放物品；</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）消防器材定员管理，定期检查，过期更换；</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4</w:t>
      </w:r>
      <w:r>
        <w:rPr>
          <w:rFonts w:hint="eastAsia" w:eastAsiaTheme="minorEastAsia"/>
          <w:sz w:val="24"/>
        </w:rPr>
        <w:t>）厂区电器采用防爆型设备，工作场所禁止吸烟；</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5</w:t>
      </w:r>
      <w:r>
        <w:rPr>
          <w:rFonts w:hint="eastAsia" w:eastAsiaTheme="minorEastAsia"/>
          <w:sz w:val="24"/>
        </w:rPr>
        <w:t>）危废暂存间建设严格按照《危险废物贮存污染控制标准》（GB18597-2023）</w:t>
      </w:r>
      <w:r>
        <w:rPr>
          <w:rFonts w:hint="eastAsia" w:eastAsiaTheme="minorEastAsia"/>
          <w:bCs/>
          <w:sz w:val="24"/>
        </w:rPr>
        <w:t>中有关规定建设，并配备相应的消防器材，设置警示标志；</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6</w:t>
      </w:r>
      <w:r>
        <w:rPr>
          <w:rFonts w:hint="eastAsia" w:eastAsiaTheme="minorEastAsia"/>
          <w:sz w:val="24"/>
        </w:rPr>
        <w:t>）加强危废暂存间管理，定期及时清运，减少贮存量，贮存期间分类存放，建立严格的巡检制度；</w:t>
      </w:r>
    </w:p>
    <w:p>
      <w:pPr>
        <w:spacing w:line="460" w:lineRule="exact"/>
        <w:ind w:firstLine="480" w:firstLineChars="200"/>
        <w:rPr>
          <w:kern w:val="0"/>
          <w:sz w:val="24"/>
        </w:rPr>
      </w:pPr>
      <w:r>
        <w:rPr>
          <w:rFonts w:hint="eastAsia"/>
          <w:kern w:val="0"/>
          <w:sz w:val="24"/>
        </w:rPr>
        <w:t>5、火灾处理措施</w:t>
      </w:r>
    </w:p>
    <w:p>
      <w:pPr>
        <w:spacing w:line="460" w:lineRule="exact"/>
        <w:ind w:firstLine="480" w:firstLineChars="200"/>
        <w:rPr>
          <w:rFonts w:eastAsiaTheme="minorEastAsia"/>
          <w:sz w:val="24"/>
        </w:rPr>
      </w:pPr>
      <w:r>
        <w:rPr>
          <w:rFonts w:hint="eastAsia" w:eastAsiaTheme="minorEastAsia"/>
          <w:sz w:val="24"/>
        </w:rPr>
        <w:t>一旦发生火灾，厂房应立即报警，通过消防灭火；组织救援小组，封锁现场，指挥人员疏散，并组织消防力量进行自救灭火；将消防废水引至设置的事故池内，待事故处置完毕后拉运至农业园区</w:t>
      </w:r>
      <w:r>
        <w:rPr>
          <w:rFonts w:eastAsiaTheme="minorEastAsia"/>
          <w:sz w:val="24"/>
        </w:rPr>
        <w:t>污水处理</w:t>
      </w:r>
      <w:r>
        <w:rPr>
          <w:rFonts w:hint="eastAsia" w:eastAsiaTheme="minorEastAsia"/>
          <w:sz w:val="24"/>
        </w:rPr>
        <w:t>厂</w:t>
      </w:r>
      <w:r>
        <w:rPr>
          <w:rFonts w:eastAsiaTheme="minorEastAsia"/>
          <w:sz w:val="24"/>
        </w:rPr>
        <w:t>处置</w:t>
      </w:r>
      <w:r>
        <w:rPr>
          <w:rFonts w:hint="eastAsia" w:eastAsiaTheme="minorEastAsia"/>
          <w:sz w:val="24"/>
        </w:rPr>
        <w:t>；事故后对起火原因做调查和鉴定，提出切实可行的防范措施。</w:t>
      </w:r>
    </w:p>
    <w:p>
      <w:pPr>
        <w:spacing w:line="460" w:lineRule="exact"/>
        <w:ind w:firstLine="480" w:firstLineChars="200"/>
        <w:rPr>
          <w:kern w:val="0"/>
          <w:sz w:val="24"/>
        </w:rPr>
      </w:pPr>
      <w:r>
        <w:rPr>
          <w:rFonts w:hint="eastAsia"/>
          <w:kern w:val="0"/>
          <w:sz w:val="24"/>
        </w:rPr>
        <w:t>6、地面防渗漏措施</w:t>
      </w:r>
    </w:p>
    <w:p>
      <w:pPr>
        <w:spacing w:line="460" w:lineRule="exact"/>
        <w:ind w:firstLine="480" w:firstLineChars="200"/>
        <w:rPr>
          <w:rFonts w:eastAsiaTheme="minorEastAsia"/>
          <w:sz w:val="24"/>
        </w:rPr>
      </w:pPr>
      <w:r>
        <w:rPr>
          <w:rFonts w:hint="eastAsia" w:eastAsiaTheme="minorEastAsia"/>
          <w:sz w:val="24"/>
        </w:rPr>
        <w:t>项目厂区做好地面防渗漏措施，对可能会对地下水造成影响的污染区铺砌防渗地面，采用配筋混凝土加防渗剂；对铺砌地坪的胀缝和缩缝应采用防渗柔性材料填塞；污染区周围设沟渠防止污染物外流；污染区的地面应坡向排水口，</w:t>
      </w:r>
      <w:r>
        <w:rPr>
          <w:rFonts w:eastAsiaTheme="minorEastAsia"/>
          <w:sz w:val="24"/>
        </w:rPr>
        <w:t xml:space="preserve"> </w:t>
      </w:r>
      <w:r>
        <w:rPr>
          <w:rFonts w:hint="eastAsia" w:eastAsiaTheme="minorEastAsia"/>
          <w:sz w:val="24"/>
        </w:rPr>
        <w:t>最小排水坡度不得小于</w:t>
      </w:r>
      <w:r>
        <w:rPr>
          <w:rFonts w:eastAsiaTheme="minorEastAsia"/>
          <w:sz w:val="24"/>
        </w:rPr>
        <w:t>0.5%</w:t>
      </w:r>
      <w:r>
        <w:rPr>
          <w:rFonts w:hint="eastAsia" w:eastAsiaTheme="minorEastAsia"/>
          <w:sz w:val="24"/>
        </w:rPr>
        <w:t>，不能出现平坡及排水不畅区域。</w:t>
      </w: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w:t>
      </w:r>
      <w:r>
        <w:rPr>
          <w:rFonts w:ascii="Times New Roman"/>
          <w:szCs w:val="24"/>
        </w:rPr>
        <w:t>.</w:t>
      </w:r>
      <w:r>
        <w:rPr>
          <w:rFonts w:hint="eastAsia" w:ascii="Times New Roman"/>
          <w:szCs w:val="24"/>
        </w:rPr>
        <w:t>6</w:t>
      </w:r>
      <w:r>
        <w:rPr>
          <w:rFonts w:ascii="Times New Roman"/>
          <w:szCs w:val="24"/>
        </w:rPr>
        <w:t>事故应急预案</w:t>
      </w:r>
    </w:p>
    <w:p>
      <w:pPr>
        <w:spacing w:line="460" w:lineRule="exact"/>
        <w:ind w:firstLine="480" w:firstLineChars="200"/>
        <w:rPr>
          <w:rFonts w:eastAsiaTheme="minorEastAsia"/>
          <w:sz w:val="24"/>
        </w:rPr>
      </w:pPr>
      <w:bookmarkStart w:id="257" w:name="_Toc269626367"/>
      <w:bookmarkStart w:id="258" w:name="_Toc224304317"/>
      <w:bookmarkStart w:id="259" w:name="_Toc213732041"/>
      <w:bookmarkStart w:id="260" w:name="_Toc239234935"/>
      <w:r>
        <w:rPr>
          <w:rFonts w:eastAsiaTheme="minorEastAsia"/>
          <w:sz w:val="24"/>
        </w:rPr>
        <w:t>本项目环境风险应急预案应按照《企业事业单位突发环境事件应急预案备案管理办法（试行）》（环发[2015] 4号）的要求单独编制，并报环保部门备案。</w:t>
      </w:r>
      <w:bookmarkEnd w:id="257"/>
      <w:bookmarkEnd w:id="258"/>
      <w:bookmarkEnd w:id="259"/>
      <w:bookmarkEnd w:id="260"/>
      <w:r>
        <w:rPr>
          <w:rFonts w:eastAsiaTheme="minorEastAsia"/>
          <w:sz w:val="24"/>
        </w:rPr>
        <w:t>本次评价给出该预案的框架。</w:t>
      </w:r>
    </w:p>
    <w:p>
      <w:pPr>
        <w:spacing w:line="460" w:lineRule="exact"/>
        <w:ind w:firstLine="480" w:firstLineChars="200"/>
        <w:rPr>
          <w:sz w:val="24"/>
        </w:rPr>
      </w:pPr>
      <w:bookmarkStart w:id="261" w:name="_Toc309715431"/>
      <w:r>
        <w:rPr>
          <w:rFonts w:hint="eastAsia" w:eastAsiaTheme="minorEastAsia"/>
          <w:sz w:val="24"/>
        </w:rPr>
        <w:t>1、</w:t>
      </w:r>
      <w:r>
        <w:rPr>
          <w:rFonts w:eastAsiaTheme="minorEastAsia"/>
          <w:sz w:val="24"/>
        </w:rPr>
        <w:t>组织机构及职责</w:t>
      </w:r>
      <w:bookmarkEnd w:id="261"/>
    </w:p>
    <w:p>
      <w:pPr>
        <w:spacing w:line="460" w:lineRule="exact"/>
        <w:ind w:firstLine="480" w:firstLineChars="200"/>
        <w:rPr>
          <w:rFonts w:eastAsiaTheme="minorEastAsia"/>
          <w:sz w:val="24"/>
        </w:rPr>
      </w:pPr>
      <w:r>
        <w:rPr>
          <w:rFonts w:eastAsiaTheme="minorEastAsia"/>
          <w:sz w:val="24"/>
        </w:rPr>
        <w:t>建设单位应设置专门机构负责项目运营期的环境安全。其职责包括：</w:t>
      </w:r>
    </w:p>
    <w:p>
      <w:pPr>
        <w:spacing w:line="460" w:lineRule="exact"/>
        <w:ind w:firstLine="480" w:firstLineChars="200"/>
        <w:rPr>
          <w:rFonts w:eastAsiaTheme="minorEastAsia"/>
          <w:sz w:val="24"/>
        </w:rPr>
      </w:pPr>
      <w:r>
        <w:rPr>
          <w:rFonts w:hint="eastAsia" w:eastAsiaTheme="minorEastAsia"/>
          <w:sz w:val="24"/>
        </w:rPr>
        <w:t>（1）</w:t>
      </w:r>
      <w:r>
        <w:rPr>
          <w:rFonts w:eastAsiaTheme="minorEastAsia"/>
          <w:sz w:val="24"/>
        </w:rPr>
        <w:t>负责统一协调突发环境事件的应对工作，负责应急统一指挥，同时还负责与建设区外界保持紧密联系，将事态的发展向外部的支持保障机构发出信号，并及时将反馈信息应用于事故应急的领导和指挥当中。</w:t>
      </w:r>
    </w:p>
    <w:p>
      <w:pPr>
        <w:spacing w:line="460" w:lineRule="exact"/>
        <w:ind w:firstLine="480" w:firstLineChars="200"/>
        <w:rPr>
          <w:rFonts w:eastAsiaTheme="minorEastAsia"/>
          <w:sz w:val="24"/>
        </w:rPr>
      </w:pPr>
      <w:r>
        <w:rPr>
          <w:rFonts w:hint="eastAsia" w:eastAsiaTheme="minorEastAsia"/>
          <w:sz w:val="24"/>
        </w:rPr>
        <w:t>（2）</w:t>
      </w:r>
      <w:r>
        <w:rPr>
          <w:rFonts w:eastAsiaTheme="minorEastAsia"/>
          <w:sz w:val="24"/>
        </w:rPr>
        <w:t>保证应对事故的各项资源，包括建立企业救援队，并与社会可利用资源建立长期合作关系；当建设单位内部资源不足、不能应对环境事故，需要区域内其他部门增援时，由建设单位的环境安全管理部门提出增援请求。</w:t>
      </w:r>
    </w:p>
    <w:p>
      <w:pPr>
        <w:spacing w:line="460" w:lineRule="exact"/>
        <w:ind w:firstLine="480" w:firstLineChars="200"/>
        <w:rPr>
          <w:rFonts w:eastAsiaTheme="minorEastAsia"/>
          <w:sz w:val="24"/>
        </w:rPr>
      </w:pPr>
      <w:r>
        <w:rPr>
          <w:rFonts w:hint="eastAsia" w:eastAsiaTheme="minorEastAsia"/>
          <w:sz w:val="24"/>
        </w:rPr>
        <w:t>（3）</w:t>
      </w:r>
      <w:r>
        <w:rPr>
          <w:rFonts w:eastAsiaTheme="minorEastAsia"/>
          <w:sz w:val="24"/>
        </w:rPr>
        <w:t>在事故处理终止或者处理过程中，要向公众及时、准确地发布反映环境安全事故的信息，引导正确的舆论导向，对社会和公众负责。</w:t>
      </w:r>
    </w:p>
    <w:p>
      <w:pPr>
        <w:spacing w:line="460" w:lineRule="exact"/>
        <w:ind w:firstLine="480" w:firstLineChars="200"/>
        <w:rPr>
          <w:rFonts w:eastAsiaTheme="minorEastAsia"/>
          <w:sz w:val="24"/>
        </w:rPr>
      </w:pPr>
      <w:bookmarkStart w:id="262" w:name="_Toc309715432"/>
      <w:r>
        <w:rPr>
          <w:rFonts w:hint="eastAsia" w:eastAsiaTheme="minorEastAsia"/>
          <w:sz w:val="24"/>
        </w:rPr>
        <w:t>2、</w:t>
      </w:r>
      <w:r>
        <w:rPr>
          <w:rFonts w:eastAsiaTheme="minorEastAsia"/>
          <w:sz w:val="24"/>
        </w:rPr>
        <w:t>应急预案内容</w:t>
      </w:r>
      <w:bookmarkEnd w:id="262"/>
    </w:p>
    <w:p>
      <w:pPr>
        <w:spacing w:line="460" w:lineRule="exact"/>
        <w:ind w:firstLine="480" w:firstLineChars="200"/>
        <w:rPr>
          <w:rFonts w:eastAsiaTheme="minorEastAsia"/>
          <w:sz w:val="24"/>
        </w:rPr>
      </w:pPr>
      <w:r>
        <w:rPr>
          <w:rFonts w:eastAsiaTheme="minorEastAsia"/>
          <w:sz w:val="24"/>
        </w:rPr>
        <w:t>建设单位应对本次评价提出的可能的环境事故，编制应急预案。</w:t>
      </w:r>
    </w:p>
    <w:p>
      <w:pPr>
        <w:spacing w:line="460" w:lineRule="exact"/>
        <w:ind w:firstLine="480" w:firstLineChars="200"/>
        <w:rPr>
          <w:rFonts w:eastAsiaTheme="minorEastAsia"/>
          <w:sz w:val="24"/>
        </w:rPr>
      </w:pPr>
      <w:r>
        <w:rPr>
          <w:rFonts w:eastAsiaTheme="minorEastAsia"/>
          <w:sz w:val="24"/>
        </w:rPr>
        <w:t>从应急工作程序上，可以分为预防预警、应急响应、应急处理、应急终止、信息发布五个步骤。建设单位编制的环境事故应急预案应对以下内容进行细化，并明确各项工作的责任人。</w:t>
      </w:r>
    </w:p>
    <w:p>
      <w:pPr>
        <w:spacing w:line="460" w:lineRule="exact"/>
        <w:ind w:firstLine="480" w:firstLineChars="200"/>
        <w:rPr>
          <w:rFonts w:eastAsiaTheme="minorEastAsia"/>
          <w:sz w:val="24"/>
        </w:rPr>
      </w:pPr>
      <w:r>
        <w:rPr>
          <w:rFonts w:hint="eastAsia" w:eastAsiaTheme="minorEastAsia"/>
          <w:sz w:val="24"/>
        </w:rPr>
        <w:t>（1）</w:t>
      </w:r>
      <w:r>
        <w:rPr>
          <w:rFonts w:eastAsiaTheme="minorEastAsia"/>
          <w:sz w:val="24"/>
        </w:rPr>
        <w:t>预防预警</w:t>
      </w:r>
    </w:p>
    <w:p>
      <w:pPr>
        <w:spacing w:line="460" w:lineRule="exact"/>
        <w:ind w:firstLine="480" w:firstLineChars="200"/>
        <w:rPr>
          <w:rFonts w:eastAsiaTheme="minorEastAsia"/>
          <w:sz w:val="24"/>
        </w:rPr>
      </w:pPr>
      <w:r>
        <w:rPr>
          <w:rFonts w:eastAsiaTheme="minorEastAsia"/>
          <w:sz w:val="24"/>
        </w:rPr>
        <w:t>预防与预警是处理环境安全突发事件的必要前提。</w:t>
      </w:r>
    </w:p>
    <w:p>
      <w:pPr>
        <w:spacing w:line="460" w:lineRule="exact"/>
        <w:ind w:firstLine="480" w:firstLineChars="200"/>
        <w:rPr>
          <w:rFonts w:eastAsiaTheme="minorEastAsia"/>
          <w:sz w:val="24"/>
        </w:rPr>
      </w:pPr>
      <w:r>
        <w:rPr>
          <w:rFonts w:eastAsiaTheme="minorEastAsia"/>
          <w:sz w:val="24"/>
        </w:rPr>
        <w:t>根据突发事件的严重性、紧急程度和可能波及的范围，划分预警级别，并根据事态的发展情况和采取措施的效果，提高或者降低应急预警级别。</w:t>
      </w:r>
    </w:p>
    <w:p>
      <w:pPr>
        <w:spacing w:line="460" w:lineRule="exact"/>
        <w:ind w:firstLine="480" w:firstLineChars="200"/>
        <w:rPr>
          <w:rFonts w:eastAsiaTheme="minorEastAsia"/>
          <w:sz w:val="24"/>
        </w:rPr>
      </w:pPr>
      <w:r>
        <w:rPr>
          <w:rFonts w:hint="eastAsia" w:eastAsiaTheme="minorEastAsia"/>
          <w:sz w:val="24"/>
        </w:rPr>
        <w:t>（2）</w:t>
      </w:r>
      <w:r>
        <w:rPr>
          <w:rFonts w:eastAsiaTheme="minorEastAsia"/>
          <w:sz w:val="24"/>
        </w:rPr>
        <w:t>应急响应</w:t>
      </w:r>
    </w:p>
    <w:p>
      <w:pPr>
        <w:spacing w:line="460" w:lineRule="exact"/>
        <w:ind w:firstLine="480" w:firstLineChars="200"/>
        <w:rPr>
          <w:rFonts w:eastAsiaTheme="minorEastAsia"/>
          <w:sz w:val="24"/>
        </w:rPr>
      </w:pPr>
      <w:r>
        <w:rPr>
          <w:rFonts w:eastAsiaTheme="minorEastAsia"/>
          <w:sz w:val="24"/>
        </w:rPr>
        <w:t>环境安全突发事件发生后，应立即启动并实施相应的应急预案，及时向自治区、</w:t>
      </w:r>
      <w:r>
        <w:rPr>
          <w:rFonts w:hint="eastAsia" w:eastAsiaTheme="minorEastAsia"/>
          <w:sz w:val="24"/>
        </w:rPr>
        <w:t>昌吉州</w:t>
      </w:r>
      <w:r>
        <w:rPr>
          <w:rFonts w:eastAsiaTheme="minorEastAsia"/>
          <w:sz w:val="24"/>
        </w:rPr>
        <w:t>政府以及相关部门上报；同时，启动建设单位应急专业指挥机构；应急救援力量应立即开展应急救援工作；需要其他应急救援力量支援时，应及时向各级政府提出申请。</w:t>
      </w:r>
    </w:p>
    <w:p>
      <w:pPr>
        <w:spacing w:line="460" w:lineRule="exact"/>
        <w:ind w:firstLine="480" w:firstLineChars="200"/>
        <w:rPr>
          <w:rFonts w:eastAsiaTheme="minorEastAsia"/>
          <w:sz w:val="24"/>
        </w:rPr>
      </w:pPr>
      <w:r>
        <w:rPr>
          <w:rFonts w:hint="eastAsia" w:eastAsiaTheme="minorEastAsia"/>
          <w:sz w:val="24"/>
        </w:rPr>
        <w:t>（3）</w:t>
      </w:r>
      <w:r>
        <w:rPr>
          <w:rFonts w:eastAsiaTheme="minorEastAsia"/>
          <w:sz w:val="24"/>
        </w:rPr>
        <w:t>应急处理</w:t>
      </w:r>
    </w:p>
    <w:p>
      <w:pPr>
        <w:spacing w:line="460" w:lineRule="exact"/>
        <w:ind w:firstLine="480" w:firstLineChars="200"/>
        <w:rPr>
          <w:rFonts w:eastAsiaTheme="minorEastAsia"/>
          <w:sz w:val="24"/>
        </w:rPr>
      </w:pPr>
      <w:r>
        <w:rPr>
          <w:rFonts w:eastAsiaTheme="minorEastAsia"/>
          <w:sz w:val="24"/>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pPr>
        <w:spacing w:line="460" w:lineRule="exact"/>
        <w:ind w:firstLine="480" w:firstLineChars="200"/>
        <w:rPr>
          <w:rFonts w:eastAsiaTheme="minorEastAsia"/>
          <w:sz w:val="24"/>
        </w:rPr>
      </w:pPr>
      <w:r>
        <w:rPr>
          <w:rFonts w:hint="eastAsia" w:eastAsiaTheme="minorEastAsia"/>
          <w:sz w:val="24"/>
        </w:rPr>
        <w:t>（4）</w:t>
      </w:r>
      <w:r>
        <w:rPr>
          <w:rFonts w:eastAsiaTheme="minorEastAsia"/>
          <w:sz w:val="24"/>
        </w:rPr>
        <w:t>应急终止</w:t>
      </w:r>
    </w:p>
    <w:p>
      <w:pPr>
        <w:spacing w:line="460" w:lineRule="exact"/>
        <w:ind w:firstLine="480" w:firstLineChars="200"/>
        <w:rPr>
          <w:rFonts w:eastAsiaTheme="minorEastAsia"/>
          <w:sz w:val="24"/>
        </w:rPr>
      </w:pPr>
      <w:r>
        <w:rPr>
          <w:rFonts w:eastAsiaTheme="minorEastAsia"/>
          <w:sz w:val="24"/>
        </w:rPr>
        <w:t>应急终止须经现场救援指挥部确认，由现场救援指挥部向所属各专业应急救援队伍下达应急终止命令。</w:t>
      </w:r>
    </w:p>
    <w:p>
      <w:pPr>
        <w:spacing w:line="460" w:lineRule="exact"/>
        <w:ind w:firstLine="480" w:firstLineChars="200"/>
        <w:rPr>
          <w:rFonts w:eastAsiaTheme="minorEastAsia"/>
          <w:sz w:val="24"/>
        </w:rPr>
      </w:pPr>
      <w:r>
        <w:rPr>
          <w:rFonts w:eastAsiaTheme="minorEastAsia"/>
          <w:sz w:val="24"/>
        </w:rPr>
        <w:t>应急状态终止后，建设单位应根据上级有关指示和实际情况，继续进行环境监测和评价工作，直至其他补救措施无需继续进行为止。</w:t>
      </w:r>
    </w:p>
    <w:p>
      <w:pPr>
        <w:spacing w:line="460" w:lineRule="exact"/>
        <w:ind w:firstLine="480" w:firstLineChars="200"/>
        <w:rPr>
          <w:rFonts w:eastAsiaTheme="minorEastAsia"/>
          <w:sz w:val="24"/>
        </w:rPr>
      </w:pPr>
      <w:r>
        <w:rPr>
          <w:rFonts w:hint="eastAsia" w:eastAsiaTheme="minorEastAsia"/>
          <w:sz w:val="24"/>
        </w:rPr>
        <w:t>（5）</w:t>
      </w:r>
      <w:r>
        <w:rPr>
          <w:rFonts w:eastAsiaTheme="minorEastAsia"/>
          <w:sz w:val="24"/>
        </w:rPr>
        <w:t>信息发布</w:t>
      </w:r>
    </w:p>
    <w:p>
      <w:pPr>
        <w:spacing w:line="460" w:lineRule="exact"/>
        <w:ind w:firstLine="480" w:firstLineChars="200"/>
        <w:rPr>
          <w:rFonts w:eastAsiaTheme="minorEastAsia"/>
          <w:sz w:val="24"/>
        </w:rPr>
      </w:pPr>
      <w:r>
        <w:rPr>
          <w:rFonts w:eastAsiaTheme="minorEastAsia"/>
          <w:sz w:val="24"/>
        </w:rPr>
        <w:t>突发环境安全事件终止后，要通过报纸、广播、电视和网络等多种媒体方式，及时发布准确、权威的信息，正确引导社会舆论，增强对于环境安全应急措施的透明度。</w:t>
      </w:r>
    </w:p>
    <w:p>
      <w:pPr>
        <w:spacing w:line="460" w:lineRule="exact"/>
        <w:ind w:firstLine="480" w:firstLineChars="200"/>
        <w:rPr>
          <w:rFonts w:eastAsiaTheme="minorEastAsia"/>
          <w:sz w:val="24"/>
        </w:rPr>
      </w:pPr>
      <w:bookmarkStart w:id="263" w:name="_Toc309715433"/>
      <w:r>
        <w:rPr>
          <w:rFonts w:hint="eastAsia" w:eastAsiaTheme="minorEastAsia"/>
          <w:sz w:val="24"/>
        </w:rPr>
        <w:t>3、</w:t>
      </w:r>
      <w:r>
        <w:rPr>
          <w:rFonts w:eastAsiaTheme="minorEastAsia"/>
          <w:sz w:val="24"/>
        </w:rPr>
        <w:t>监督管理</w:t>
      </w:r>
      <w:bookmarkEnd w:id="263"/>
    </w:p>
    <w:p>
      <w:pPr>
        <w:spacing w:line="460" w:lineRule="exact"/>
        <w:ind w:firstLine="480" w:firstLineChars="200"/>
        <w:rPr>
          <w:rFonts w:eastAsiaTheme="minorEastAsia"/>
          <w:sz w:val="24"/>
        </w:rPr>
      </w:pPr>
      <w:r>
        <w:rPr>
          <w:rFonts w:hint="eastAsia" w:eastAsiaTheme="minorEastAsia"/>
          <w:sz w:val="24"/>
        </w:rPr>
        <w:t>（1）</w:t>
      </w:r>
      <w:r>
        <w:rPr>
          <w:rFonts w:eastAsiaTheme="minorEastAsia"/>
          <w:sz w:val="24"/>
        </w:rPr>
        <w:t>预案演练</w:t>
      </w:r>
    </w:p>
    <w:p>
      <w:pPr>
        <w:spacing w:line="460" w:lineRule="exact"/>
        <w:ind w:firstLine="480" w:firstLineChars="200"/>
        <w:rPr>
          <w:rFonts w:eastAsiaTheme="minorEastAsia"/>
          <w:sz w:val="24"/>
        </w:rPr>
      </w:pPr>
      <w:r>
        <w:rPr>
          <w:rFonts w:eastAsiaTheme="minorEastAsia"/>
          <w:sz w:val="24"/>
        </w:rPr>
        <w:t>按照环境应急预案及相关单项预案，建设单位应定期组织不同类型的环境应急实战演练，提高防范和处置突发环境事件的技能，增强实战能力。</w:t>
      </w:r>
    </w:p>
    <w:p>
      <w:pPr>
        <w:spacing w:line="460" w:lineRule="exact"/>
        <w:ind w:firstLine="480" w:firstLineChars="200"/>
        <w:rPr>
          <w:rFonts w:eastAsiaTheme="minorEastAsia"/>
          <w:sz w:val="24"/>
        </w:rPr>
      </w:pPr>
      <w:r>
        <w:rPr>
          <w:rFonts w:hint="eastAsia" w:eastAsiaTheme="minorEastAsia"/>
          <w:sz w:val="24"/>
        </w:rPr>
        <w:t>（2）</w:t>
      </w:r>
      <w:r>
        <w:rPr>
          <w:rFonts w:eastAsiaTheme="minorEastAsia"/>
          <w:sz w:val="24"/>
        </w:rPr>
        <w:t>宣传与培训</w:t>
      </w:r>
    </w:p>
    <w:p>
      <w:pPr>
        <w:spacing w:line="460" w:lineRule="exact"/>
        <w:ind w:firstLine="480" w:firstLineChars="200"/>
        <w:rPr>
          <w:rFonts w:eastAsiaTheme="minorEastAsia"/>
          <w:sz w:val="24"/>
        </w:rPr>
      </w:pPr>
      <w:r>
        <w:rPr>
          <w:rFonts w:eastAsiaTheme="minorEastAsia"/>
          <w:sz w:val="24"/>
        </w:rPr>
        <w:t>建设单位加强环境保护科普宣传教育工作，普及环境污染事件预防常识，编印、发放有毒有害物质污染公众防护“明白卡”，增强公众的防范意识和相关心理准备，提高公众的防范能力。</w:t>
      </w:r>
    </w:p>
    <w:p>
      <w:pPr>
        <w:spacing w:line="460" w:lineRule="exact"/>
        <w:ind w:firstLine="480" w:firstLineChars="200"/>
        <w:rPr>
          <w:rFonts w:eastAsiaTheme="minorEastAsia"/>
          <w:sz w:val="24"/>
        </w:rPr>
      </w:pPr>
      <w:r>
        <w:rPr>
          <w:rFonts w:eastAsiaTheme="minorEastAsia"/>
          <w:sz w:val="24"/>
        </w:rPr>
        <w:t>企业内工作人员应积极主动接受日常培训，企业应对重要目标工作人员进行培训和管理。</w:t>
      </w:r>
    </w:p>
    <w:p>
      <w:pPr>
        <w:spacing w:line="460" w:lineRule="exact"/>
        <w:ind w:firstLine="480" w:firstLineChars="200"/>
        <w:rPr>
          <w:rFonts w:eastAsiaTheme="minorEastAsia"/>
          <w:sz w:val="24"/>
        </w:rPr>
      </w:pPr>
      <w:r>
        <w:rPr>
          <w:rFonts w:hint="eastAsia" w:eastAsiaTheme="minorEastAsia"/>
          <w:sz w:val="24"/>
        </w:rPr>
        <w:t>（3）</w:t>
      </w:r>
      <w:r>
        <w:rPr>
          <w:rFonts w:eastAsiaTheme="minorEastAsia"/>
          <w:sz w:val="24"/>
        </w:rPr>
        <w:t>监督与评价</w:t>
      </w:r>
    </w:p>
    <w:p>
      <w:pPr>
        <w:spacing w:line="460" w:lineRule="exact"/>
        <w:ind w:firstLine="480" w:firstLineChars="200"/>
        <w:rPr>
          <w:rFonts w:eastAsiaTheme="minorEastAsia"/>
          <w:sz w:val="24"/>
        </w:rPr>
      </w:pPr>
      <w:r>
        <w:rPr>
          <w:rFonts w:eastAsiaTheme="minorEastAsia"/>
          <w:sz w:val="24"/>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pPr>
        <w:spacing w:line="460" w:lineRule="exact"/>
        <w:ind w:firstLine="480" w:firstLineChars="200"/>
        <w:rPr>
          <w:rFonts w:eastAsiaTheme="minorEastAsia"/>
          <w:sz w:val="24"/>
        </w:rPr>
      </w:pPr>
      <w:r>
        <w:rPr>
          <w:rFonts w:hint="eastAsia" w:eastAsiaTheme="minorEastAsia"/>
          <w:sz w:val="24"/>
        </w:rPr>
        <w:t>（4）</w:t>
      </w:r>
      <w:r>
        <w:rPr>
          <w:rFonts w:eastAsiaTheme="minorEastAsia"/>
          <w:sz w:val="24"/>
        </w:rPr>
        <w:t>预案报备</w:t>
      </w:r>
    </w:p>
    <w:p>
      <w:pPr>
        <w:spacing w:line="460" w:lineRule="exact"/>
        <w:ind w:firstLine="480" w:firstLineChars="200"/>
        <w:rPr>
          <w:rFonts w:eastAsiaTheme="minorEastAsia"/>
          <w:sz w:val="24"/>
        </w:rPr>
      </w:pPr>
      <w:r>
        <w:rPr>
          <w:rFonts w:eastAsiaTheme="minorEastAsia"/>
          <w:sz w:val="24"/>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pPr>
        <w:spacing w:line="460" w:lineRule="exact"/>
        <w:ind w:firstLine="480" w:firstLineChars="200"/>
        <w:rPr>
          <w:rFonts w:eastAsiaTheme="minorEastAsia"/>
          <w:sz w:val="24"/>
        </w:rPr>
      </w:pPr>
      <w:r>
        <w:rPr>
          <w:rFonts w:eastAsiaTheme="minorEastAsia"/>
          <w:sz w:val="24"/>
        </w:rPr>
        <w:t>项目环境应急预案编制完成后，送相关环保部门进行备案。</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6.3.7风险评价结论及建议</w:t>
      </w:r>
    </w:p>
    <w:p>
      <w:pPr>
        <w:spacing w:line="460" w:lineRule="exact"/>
        <w:ind w:firstLine="480" w:firstLineChars="200"/>
        <w:rPr>
          <w:rFonts w:eastAsiaTheme="minorEastAsia"/>
          <w:sz w:val="24"/>
        </w:rPr>
      </w:pPr>
      <w:r>
        <w:rPr>
          <w:rFonts w:hint="eastAsia" w:eastAsiaTheme="minorEastAsia"/>
          <w:sz w:val="24"/>
        </w:rPr>
        <w:t>1、风险评价结论</w:t>
      </w:r>
    </w:p>
    <w:p>
      <w:pPr>
        <w:spacing w:line="460" w:lineRule="exact"/>
        <w:ind w:firstLine="480" w:firstLineChars="200"/>
        <w:rPr>
          <w:rFonts w:eastAsiaTheme="minorEastAsia"/>
          <w:sz w:val="24"/>
        </w:rPr>
      </w:pPr>
      <w:r>
        <w:rPr>
          <w:rFonts w:hint="eastAsia" w:eastAsiaTheme="minorEastAsia"/>
          <w:sz w:val="24"/>
        </w:rPr>
        <w:t>根据环境风险影响评价，本项目涉及《</w:t>
      </w:r>
      <w:r>
        <w:rPr>
          <w:rFonts w:hint="eastAsia" w:eastAsiaTheme="minorEastAsia"/>
          <w:bCs/>
          <w:sz w:val="24"/>
        </w:rPr>
        <w:t>建设项目环境风险评价技术导则》（</w:t>
      </w:r>
      <w:r>
        <w:rPr>
          <w:rFonts w:eastAsiaTheme="minorEastAsia"/>
          <w:bCs/>
          <w:sz w:val="24"/>
        </w:rPr>
        <w:t>HJ169-2018</w:t>
      </w:r>
      <w:r>
        <w:rPr>
          <w:rFonts w:hint="eastAsia" w:eastAsiaTheme="minorEastAsia"/>
          <w:bCs/>
          <w:sz w:val="24"/>
        </w:rPr>
        <w:t>）附录</w:t>
      </w:r>
      <w:r>
        <w:rPr>
          <w:rFonts w:eastAsiaTheme="minorEastAsia"/>
          <w:bCs/>
          <w:sz w:val="24"/>
        </w:rPr>
        <w:t>B</w:t>
      </w:r>
      <w:r>
        <w:rPr>
          <w:rFonts w:hint="eastAsia" w:eastAsiaTheme="minorEastAsia"/>
          <w:bCs/>
          <w:sz w:val="24"/>
        </w:rPr>
        <w:t>中</w:t>
      </w:r>
      <w:r>
        <w:rPr>
          <w:rFonts w:hint="eastAsia" w:eastAsiaTheme="minorEastAsia"/>
          <w:sz w:val="24"/>
        </w:rPr>
        <w:t>危险物质主要为废润滑油，储存量较小，不构成重大危险源，环境风险主要为塑料仓库和成品仓库火灾风险以及废润滑油泄漏及火灾风险，在采取相应的安全措施和制定事故救援应急预案，并加强安全管理后，本项目的环境风险在可接受的范围内。</w:t>
      </w:r>
    </w:p>
    <w:p>
      <w:pPr>
        <w:spacing w:line="460" w:lineRule="exact"/>
        <w:ind w:firstLine="480" w:firstLineChars="200"/>
        <w:rPr>
          <w:rFonts w:eastAsiaTheme="minorEastAsia"/>
          <w:sz w:val="24"/>
        </w:rPr>
      </w:pPr>
      <w:r>
        <w:rPr>
          <w:rFonts w:hint="eastAsia" w:eastAsiaTheme="minorEastAsia"/>
          <w:sz w:val="24"/>
        </w:rPr>
        <w:t>2、建议</w:t>
      </w:r>
    </w:p>
    <w:p>
      <w:pPr>
        <w:spacing w:line="460" w:lineRule="exact"/>
        <w:ind w:firstLine="480" w:firstLineChars="200"/>
        <w:rPr>
          <w:rFonts w:eastAsiaTheme="minorEastAsia"/>
          <w:sz w:val="24"/>
        </w:rPr>
      </w:pPr>
      <w:r>
        <w:rPr>
          <w:rFonts w:hint="eastAsia" w:eastAsiaTheme="minorEastAsia"/>
          <w:sz w:val="24"/>
        </w:rPr>
        <w:t>根据风险评价结论和项目特点，本次评价提出以下建议：</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）本项目具有潜在的事故风险，尽管风险可接受，但企业应从建设、生产、贮运等各方面积极采取防护措施，这是确保安全的根本措施。</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）当出现事故时，要采取紧急的工程应急措施，如必要，应采取社会应急措施，以控制事故和减少对环境造成的危害。</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）按照企业制定的突发环境事故应急预案，定期进行预案演练并实现与地方政府或相关管理部门突发环境事故应急预案的有效衔接。</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4</w:t>
      </w:r>
      <w:r>
        <w:rPr>
          <w:rFonts w:hint="eastAsia" w:eastAsiaTheme="minorEastAsia"/>
          <w:sz w:val="24"/>
        </w:rPr>
        <w:t>）建设单位必须高度重视，做到风险防范警钟常鸣，环境安全管理常抓不懈；严格落实各项风险防范措施，不断完善风险管理体系。</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5</w:t>
      </w:r>
      <w:r>
        <w:rPr>
          <w:rFonts w:hint="eastAsia" w:eastAsiaTheme="minorEastAsia"/>
          <w:sz w:val="24"/>
        </w:rPr>
        <w:t>）建立企业环境风险应急机制，加强厂区料场及其生产设备、环保设施等巡查、监视力度，强化风险管理，强化对员工的职业素质教育，杜绝违章作业。</w:t>
      </w:r>
    </w:p>
    <w:p>
      <w:pPr>
        <w:spacing w:line="460" w:lineRule="exact"/>
        <w:ind w:firstLine="480" w:firstLineChars="200"/>
        <w:rPr>
          <w:rFonts w:eastAsiaTheme="minorEastAsia"/>
          <w:sz w:val="24"/>
        </w:rPr>
      </w:pPr>
      <w:r>
        <w:rPr>
          <w:rFonts w:hint="eastAsia" w:eastAsiaTheme="minorEastAsia"/>
          <w:sz w:val="24"/>
        </w:rPr>
        <w:t>3、建设项目环境风险简单分析内容表</w:t>
      </w:r>
    </w:p>
    <w:p>
      <w:pPr>
        <w:spacing w:line="460" w:lineRule="exact"/>
        <w:ind w:firstLine="480" w:firstLineChars="200"/>
        <w:rPr>
          <w:rFonts w:eastAsiaTheme="minorEastAsia"/>
          <w:sz w:val="24"/>
        </w:rPr>
      </w:pPr>
      <w:r>
        <w:rPr>
          <w:rFonts w:hint="eastAsia" w:eastAsiaTheme="minorEastAsia"/>
          <w:sz w:val="24"/>
        </w:rPr>
        <w:t>建设项目环境风险简单分析内容见表6.3-3。</w:t>
      </w:r>
    </w:p>
    <w:p>
      <w:pPr>
        <w:pStyle w:val="499"/>
        <w:spacing w:line="240" w:lineRule="auto"/>
        <w:ind w:firstLine="420"/>
        <w:rPr>
          <w:rFonts w:ascii="Times New Roman" w:hAnsi="Times New Roman" w:eastAsia="黑体" w:cs="Times New Roman"/>
          <w:sz w:val="21"/>
        </w:rPr>
      </w:pPr>
      <w:r>
        <w:rPr>
          <w:rFonts w:hint="eastAsia" w:ascii="Times New Roman" w:hAnsi="Times New Roman" w:eastAsia="黑体" w:cs="Times New Roman"/>
          <w:sz w:val="21"/>
        </w:rPr>
        <w:t>表6.3-3               建设项目环境风险简单分析内容表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283"/>
        <w:gridCol w:w="1326"/>
        <w:gridCol w:w="233"/>
        <w:gridCol w:w="567"/>
        <w:gridCol w:w="709"/>
        <w:gridCol w:w="709"/>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Align w:val="center"/>
          </w:tcPr>
          <w:p>
            <w:pPr>
              <w:jc w:val="center"/>
              <w:rPr>
                <w:kern w:val="0"/>
                <w:sz w:val="21"/>
                <w:szCs w:val="21"/>
              </w:rPr>
            </w:pPr>
            <w:r>
              <w:rPr>
                <w:rFonts w:hint="eastAsia"/>
                <w:kern w:val="0"/>
                <w:sz w:val="21"/>
                <w:szCs w:val="21"/>
              </w:rPr>
              <w:t>建设项目名称</w:t>
            </w:r>
          </w:p>
        </w:tc>
        <w:tc>
          <w:tcPr>
            <w:tcW w:w="6201" w:type="dxa"/>
            <w:gridSpan w:val="8"/>
            <w:vAlign w:val="center"/>
          </w:tcPr>
          <w:p>
            <w:pPr>
              <w:jc w:val="center"/>
              <w:rPr>
                <w:kern w:val="0"/>
                <w:sz w:val="21"/>
                <w:szCs w:val="21"/>
              </w:rPr>
            </w:pPr>
            <w:r>
              <w:rPr>
                <w:rFonts w:hint="eastAsia"/>
                <w:bCs/>
                <w:kern w:val="0"/>
                <w:sz w:val="21"/>
                <w:szCs w:val="21"/>
                <w:lang w:bidi="en-US"/>
              </w:rPr>
              <w:t>昌吉市昊慧盛塑料制品厂生产建设项目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Align w:val="center"/>
          </w:tcPr>
          <w:p>
            <w:pPr>
              <w:jc w:val="center"/>
              <w:rPr>
                <w:kern w:val="0"/>
                <w:sz w:val="21"/>
                <w:szCs w:val="21"/>
              </w:rPr>
            </w:pPr>
            <w:r>
              <w:rPr>
                <w:rFonts w:hint="eastAsia"/>
                <w:kern w:val="0"/>
                <w:sz w:val="21"/>
                <w:szCs w:val="21"/>
              </w:rPr>
              <w:t>建设地点</w:t>
            </w:r>
          </w:p>
        </w:tc>
        <w:tc>
          <w:tcPr>
            <w:tcW w:w="1417" w:type="dxa"/>
            <w:gridSpan w:val="2"/>
            <w:vAlign w:val="center"/>
          </w:tcPr>
          <w:p>
            <w:pPr>
              <w:jc w:val="center"/>
              <w:rPr>
                <w:kern w:val="0"/>
                <w:sz w:val="21"/>
                <w:szCs w:val="21"/>
              </w:rPr>
            </w:pPr>
            <w:r>
              <w:rPr>
                <w:rFonts w:hint="eastAsia"/>
                <w:kern w:val="0"/>
                <w:sz w:val="21"/>
                <w:szCs w:val="21"/>
              </w:rPr>
              <w:t>（新疆维吾尔自治区）</w:t>
            </w:r>
          </w:p>
        </w:tc>
        <w:tc>
          <w:tcPr>
            <w:tcW w:w="1326" w:type="dxa"/>
            <w:vAlign w:val="center"/>
          </w:tcPr>
          <w:p>
            <w:pPr>
              <w:jc w:val="center"/>
              <w:rPr>
                <w:kern w:val="0"/>
                <w:sz w:val="21"/>
                <w:szCs w:val="21"/>
              </w:rPr>
            </w:pPr>
            <w:r>
              <w:rPr>
                <w:rFonts w:hint="eastAsia"/>
                <w:kern w:val="0"/>
                <w:sz w:val="21"/>
                <w:szCs w:val="21"/>
              </w:rPr>
              <w:t>（昌吉）市</w:t>
            </w:r>
          </w:p>
        </w:tc>
        <w:tc>
          <w:tcPr>
            <w:tcW w:w="800" w:type="dxa"/>
            <w:gridSpan w:val="2"/>
            <w:vAlign w:val="center"/>
          </w:tcPr>
          <w:p>
            <w:pPr>
              <w:jc w:val="center"/>
              <w:rPr>
                <w:kern w:val="0"/>
                <w:sz w:val="21"/>
                <w:szCs w:val="21"/>
              </w:rPr>
            </w:pPr>
            <w:r>
              <w:rPr>
                <w:rFonts w:hint="eastAsia"/>
                <w:kern w:val="0"/>
                <w:sz w:val="21"/>
                <w:szCs w:val="21"/>
              </w:rPr>
              <w:t>（/）区</w:t>
            </w:r>
          </w:p>
        </w:tc>
        <w:tc>
          <w:tcPr>
            <w:tcW w:w="1418" w:type="dxa"/>
            <w:gridSpan w:val="2"/>
            <w:vAlign w:val="center"/>
          </w:tcPr>
          <w:p>
            <w:pPr>
              <w:jc w:val="center"/>
              <w:rPr>
                <w:kern w:val="0"/>
                <w:sz w:val="21"/>
                <w:szCs w:val="21"/>
              </w:rPr>
            </w:pPr>
            <w:r>
              <w:rPr>
                <w:rFonts w:hint="eastAsia"/>
                <w:kern w:val="0"/>
                <w:sz w:val="21"/>
                <w:szCs w:val="21"/>
              </w:rPr>
              <w:t>（/）县</w:t>
            </w:r>
          </w:p>
        </w:tc>
        <w:tc>
          <w:tcPr>
            <w:tcW w:w="1240" w:type="dxa"/>
            <w:vAlign w:val="center"/>
          </w:tcPr>
          <w:p>
            <w:pPr>
              <w:jc w:val="center"/>
              <w:rPr>
                <w:kern w:val="0"/>
                <w:sz w:val="21"/>
                <w:szCs w:val="21"/>
              </w:rPr>
            </w:pPr>
            <w:r>
              <w:rPr>
                <w:rFonts w:hint="eastAsia"/>
                <w:kern w:val="0"/>
                <w:sz w:val="21"/>
                <w:szCs w:val="21"/>
              </w:rPr>
              <w:t>（昌吉国家农业科技园区示范区）园区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35" w:type="dxa"/>
            <w:vAlign w:val="center"/>
          </w:tcPr>
          <w:p>
            <w:pPr>
              <w:jc w:val="center"/>
              <w:rPr>
                <w:kern w:val="0"/>
                <w:sz w:val="21"/>
                <w:szCs w:val="21"/>
              </w:rPr>
            </w:pPr>
            <w:r>
              <w:rPr>
                <w:rFonts w:hint="eastAsia"/>
                <w:kern w:val="0"/>
                <w:sz w:val="21"/>
                <w:szCs w:val="21"/>
              </w:rPr>
              <w:t>地理坐标</w:t>
            </w:r>
          </w:p>
        </w:tc>
        <w:tc>
          <w:tcPr>
            <w:tcW w:w="1134" w:type="dxa"/>
            <w:vAlign w:val="center"/>
          </w:tcPr>
          <w:p>
            <w:pPr>
              <w:jc w:val="center"/>
              <w:rPr>
                <w:kern w:val="0"/>
                <w:sz w:val="21"/>
                <w:szCs w:val="21"/>
              </w:rPr>
            </w:pPr>
            <w:r>
              <w:rPr>
                <w:rFonts w:hint="eastAsia"/>
                <w:kern w:val="0"/>
                <w:sz w:val="21"/>
                <w:szCs w:val="21"/>
              </w:rPr>
              <w:t>经度</w:t>
            </w:r>
          </w:p>
        </w:tc>
        <w:tc>
          <w:tcPr>
            <w:tcW w:w="1842" w:type="dxa"/>
            <w:gridSpan w:val="3"/>
            <w:vAlign w:val="center"/>
          </w:tcPr>
          <w:p>
            <w:pPr>
              <w:jc w:val="center"/>
              <w:rPr>
                <w:kern w:val="0"/>
                <w:sz w:val="21"/>
                <w:szCs w:val="21"/>
              </w:rPr>
            </w:pPr>
            <w:r>
              <w:rPr>
                <w:rFonts w:hint="eastAsia"/>
                <w:bCs/>
                <w:kern w:val="0"/>
                <w:sz w:val="21"/>
                <w:szCs w:val="21"/>
                <w:lang w:bidi="en-US"/>
              </w:rPr>
              <w:t>87°19′19.55″</w:t>
            </w:r>
          </w:p>
        </w:tc>
        <w:tc>
          <w:tcPr>
            <w:tcW w:w="1276" w:type="dxa"/>
            <w:gridSpan w:val="2"/>
            <w:vAlign w:val="center"/>
          </w:tcPr>
          <w:p>
            <w:pPr>
              <w:jc w:val="center"/>
              <w:rPr>
                <w:kern w:val="0"/>
                <w:sz w:val="21"/>
                <w:szCs w:val="21"/>
              </w:rPr>
            </w:pPr>
            <w:r>
              <w:rPr>
                <w:rFonts w:hint="eastAsia"/>
                <w:kern w:val="0"/>
                <w:sz w:val="21"/>
                <w:szCs w:val="21"/>
              </w:rPr>
              <w:t>纬度</w:t>
            </w:r>
          </w:p>
        </w:tc>
        <w:tc>
          <w:tcPr>
            <w:tcW w:w="1949" w:type="dxa"/>
            <w:gridSpan w:val="2"/>
            <w:vAlign w:val="center"/>
          </w:tcPr>
          <w:p>
            <w:pPr>
              <w:jc w:val="center"/>
              <w:rPr>
                <w:kern w:val="0"/>
                <w:sz w:val="21"/>
                <w:szCs w:val="21"/>
              </w:rPr>
            </w:pPr>
            <w:r>
              <w:rPr>
                <w:rFonts w:hint="eastAsia"/>
                <w:bCs/>
                <w:kern w:val="0"/>
                <w:sz w:val="21"/>
                <w:szCs w:val="21"/>
                <w:lang w:bidi="en-US"/>
              </w:rPr>
              <w:t>44°13′30.76″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Align w:val="center"/>
          </w:tcPr>
          <w:p>
            <w:pPr>
              <w:jc w:val="center"/>
              <w:rPr>
                <w:kern w:val="0"/>
                <w:sz w:val="21"/>
                <w:szCs w:val="21"/>
              </w:rPr>
            </w:pPr>
            <w:r>
              <w:rPr>
                <w:rFonts w:hint="eastAsia"/>
                <w:kern w:val="0"/>
                <w:sz w:val="21"/>
                <w:szCs w:val="21"/>
              </w:rPr>
              <w:t>主要危险物质及分布</w:t>
            </w:r>
          </w:p>
        </w:tc>
        <w:tc>
          <w:tcPr>
            <w:tcW w:w="6201" w:type="dxa"/>
            <w:gridSpan w:val="8"/>
            <w:vAlign w:val="center"/>
          </w:tcPr>
          <w:p>
            <w:pPr>
              <w:jc w:val="left"/>
              <w:rPr>
                <w:kern w:val="0"/>
                <w:sz w:val="24"/>
                <w:szCs w:val="21"/>
              </w:rPr>
            </w:pPr>
            <w:r>
              <w:rPr>
                <w:rFonts w:hint="eastAsia"/>
                <w:kern w:val="0"/>
                <w:sz w:val="21"/>
                <w:szCs w:val="21"/>
              </w:rPr>
              <w:t>本项目涉及《建设项目环境风险评价技术导则》（</w:t>
            </w:r>
            <w:r>
              <w:rPr>
                <w:kern w:val="0"/>
                <w:sz w:val="21"/>
                <w:szCs w:val="21"/>
              </w:rPr>
              <w:t>HJ169-2018</w:t>
            </w:r>
            <w:r>
              <w:rPr>
                <w:rFonts w:hint="eastAsia"/>
                <w:kern w:val="0"/>
                <w:sz w:val="21"/>
                <w:szCs w:val="21"/>
              </w:rPr>
              <w:t>）附录</w:t>
            </w:r>
            <w:r>
              <w:rPr>
                <w:kern w:val="0"/>
                <w:sz w:val="21"/>
                <w:szCs w:val="21"/>
              </w:rPr>
              <w:t>B</w:t>
            </w:r>
            <w:r>
              <w:rPr>
                <w:rFonts w:hint="eastAsia"/>
                <w:kern w:val="0"/>
                <w:sz w:val="21"/>
                <w:szCs w:val="21"/>
              </w:rPr>
              <w:t>中的风险物质主要为废润滑油，主要原辅材料属于易燃物质，回收的废旧塑料堆放于原料堆场、其他原辅料及产品堆放于仓库区。废润滑油储存于危废暂存间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Align w:val="center"/>
          </w:tcPr>
          <w:p>
            <w:pPr>
              <w:jc w:val="center"/>
              <w:rPr>
                <w:kern w:val="0"/>
                <w:sz w:val="21"/>
                <w:szCs w:val="21"/>
              </w:rPr>
            </w:pPr>
            <w:r>
              <w:rPr>
                <w:rFonts w:hint="eastAsia"/>
                <w:kern w:val="0"/>
                <w:sz w:val="21"/>
                <w:szCs w:val="21"/>
              </w:rPr>
              <w:t>环境影响途径及危害后果（大气、地表水、地下水等）</w:t>
            </w:r>
          </w:p>
        </w:tc>
        <w:tc>
          <w:tcPr>
            <w:tcW w:w="6201" w:type="dxa"/>
            <w:gridSpan w:val="8"/>
            <w:vAlign w:val="center"/>
          </w:tcPr>
          <w:p>
            <w:pPr>
              <w:jc w:val="left"/>
              <w:rPr>
                <w:kern w:val="0"/>
                <w:sz w:val="21"/>
                <w:szCs w:val="21"/>
              </w:rPr>
            </w:pPr>
            <w:r>
              <w:rPr>
                <w:rFonts w:hint="eastAsia"/>
                <w:kern w:val="0"/>
                <w:sz w:val="21"/>
                <w:szCs w:val="21"/>
              </w:rPr>
              <w:t>大气途径：原辅料火灾引发伴生</w:t>
            </w:r>
            <w:r>
              <w:rPr>
                <w:kern w:val="0"/>
                <w:sz w:val="21"/>
                <w:szCs w:val="21"/>
              </w:rPr>
              <w:t>/</w:t>
            </w:r>
            <w:r>
              <w:rPr>
                <w:rFonts w:hint="eastAsia"/>
                <w:kern w:val="0"/>
                <w:sz w:val="21"/>
                <w:szCs w:val="21"/>
              </w:rPr>
              <w:t>次生污染物排放；</w:t>
            </w:r>
            <w:r>
              <w:rPr>
                <w:kern w:val="0"/>
                <w:sz w:val="21"/>
                <w:szCs w:val="21"/>
              </w:rPr>
              <w:t xml:space="preserve"> </w:t>
            </w:r>
          </w:p>
          <w:p>
            <w:pPr>
              <w:jc w:val="left"/>
              <w:rPr>
                <w:kern w:val="0"/>
                <w:sz w:val="21"/>
                <w:szCs w:val="21"/>
              </w:rPr>
            </w:pPr>
            <w:r>
              <w:rPr>
                <w:rFonts w:hint="eastAsia"/>
                <w:kern w:val="0"/>
                <w:sz w:val="21"/>
                <w:szCs w:val="21"/>
              </w:rPr>
              <w:t>地表水途径：无；</w:t>
            </w:r>
            <w:r>
              <w:rPr>
                <w:kern w:val="0"/>
                <w:sz w:val="21"/>
                <w:szCs w:val="21"/>
              </w:rPr>
              <w:t xml:space="preserve"> </w:t>
            </w:r>
          </w:p>
          <w:p>
            <w:pPr>
              <w:jc w:val="left"/>
              <w:rPr>
                <w:kern w:val="0"/>
                <w:sz w:val="21"/>
                <w:szCs w:val="21"/>
              </w:rPr>
            </w:pPr>
            <w:r>
              <w:rPr>
                <w:rFonts w:hint="eastAsia"/>
                <w:kern w:val="0"/>
                <w:sz w:val="21"/>
                <w:szCs w:val="21"/>
              </w:rPr>
              <w:t>地下水途径：无；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Align w:val="center"/>
          </w:tcPr>
          <w:p>
            <w:pPr>
              <w:jc w:val="left"/>
              <w:rPr>
                <w:kern w:val="0"/>
                <w:sz w:val="21"/>
                <w:szCs w:val="21"/>
              </w:rPr>
            </w:pPr>
            <w:r>
              <w:rPr>
                <w:rFonts w:hint="eastAsia"/>
                <w:kern w:val="0"/>
                <w:sz w:val="21"/>
                <w:szCs w:val="21"/>
              </w:rPr>
              <w:t>风险防范措施要求</w:t>
            </w:r>
          </w:p>
        </w:tc>
        <w:tc>
          <w:tcPr>
            <w:tcW w:w="6201" w:type="dxa"/>
            <w:gridSpan w:val="8"/>
            <w:vAlign w:val="center"/>
          </w:tcPr>
          <w:p>
            <w:pPr>
              <w:pStyle w:val="547"/>
              <w:jc w:val="left"/>
              <w:rPr>
                <w:rFonts w:ascii="Times New Roman" w:cs="Times New Roman"/>
                <w:color w:val="auto"/>
                <w:sz w:val="21"/>
                <w:szCs w:val="21"/>
              </w:rPr>
            </w:pPr>
            <w:r>
              <w:rPr>
                <w:rFonts w:hint="eastAsia" w:ascii="Times New Roman" w:cs="Times New Roman"/>
                <w:color w:val="auto"/>
                <w:sz w:val="21"/>
                <w:szCs w:val="21"/>
              </w:rPr>
              <w:t>详见报告章节6.3.5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9"/>
            <w:vAlign w:val="center"/>
          </w:tcPr>
          <w:p>
            <w:pPr>
              <w:jc w:val="left"/>
              <w:rPr>
                <w:kern w:val="0"/>
                <w:sz w:val="21"/>
                <w:szCs w:val="21"/>
              </w:rPr>
            </w:pPr>
            <w:r>
              <w:rPr>
                <w:rFonts w:hint="eastAsia"/>
                <w:kern w:val="0"/>
                <w:sz w:val="21"/>
                <w:szCs w:val="21"/>
              </w:rPr>
              <w:t>填表说明（列出相关信息及评价说明）</w:t>
            </w:r>
          </w:p>
        </w:tc>
      </w:tr>
    </w:tbl>
    <w:p>
      <w:pPr>
        <w:spacing w:line="460" w:lineRule="exact"/>
        <w:ind w:firstLine="480" w:firstLineChars="200"/>
        <w:rPr>
          <w:rFonts w:eastAsiaTheme="minorEastAsia"/>
          <w:sz w:val="24"/>
        </w:rPr>
      </w:pPr>
      <w:r>
        <w:rPr>
          <w:rFonts w:eastAsiaTheme="minorEastAsia"/>
          <w:sz w:val="24"/>
        </w:rPr>
        <w:t>环境风险影响评价自查表见表</w:t>
      </w:r>
      <w:r>
        <w:rPr>
          <w:rFonts w:hint="eastAsia" w:eastAsiaTheme="minorEastAsia"/>
          <w:sz w:val="24"/>
        </w:rPr>
        <w:t>6.3-4</w:t>
      </w:r>
      <w:r>
        <w:rPr>
          <w:rFonts w:eastAsiaTheme="minorEastAsia"/>
          <w:sz w:val="24"/>
        </w:rPr>
        <w:t>。</w:t>
      </w:r>
    </w:p>
    <w:p>
      <w:pPr>
        <w:pStyle w:val="499"/>
        <w:spacing w:line="240" w:lineRule="auto"/>
        <w:ind w:firstLine="420"/>
        <w:rPr>
          <w:rFonts w:ascii="Times New Roman" w:hAnsi="Times New Roman" w:eastAsia="黑体" w:cs="Times New Roman"/>
          <w:sz w:val="21"/>
        </w:rPr>
      </w:pPr>
      <w:r>
        <w:rPr>
          <w:rFonts w:ascii="Times New Roman" w:hAnsi="Times New Roman" w:eastAsia="黑体" w:cs="Times New Roman"/>
          <w:sz w:val="21"/>
        </w:rPr>
        <w:t>表</w:t>
      </w:r>
      <w:r>
        <w:rPr>
          <w:rFonts w:hint="eastAsia" w:ascii="Times New Roman" w:hAnsi="Times New Roman" w:eastAsia="黑体" w:cs="Times New Roman"/>
          <w:sz w:val="21"/>
        </w:rPr>
        <w:t>6.3-4</w:t>
      </w:r>
      <w:r>
        <w:rPr>
          <w:rFonts w:ascii="Times New Roman" w:hAnsi="Times New Roman" w:eastAsia="黑体" w:cs="Times New Roman"/>
          <w:sz w:val="21"/>
        </w:rPr>
        <w:t xml:space="preserve">         建设项目环境风险评价评价自查表</w:t>
      </w:r>
    </w:p>
    <w:tbl>
      <w:tblPr>
        <w:tblStyle w:val="59"/>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0"/>
        <w:gridCol w:w="1023"/>
        <w:gridCol w:w="1024"/>
        <w:gridCol w:w="668"/>
        <w:gridCol w:w="547"/>
        <w:gridCol w:w="611"/>
        <w:gridCol w:w="604"/>
        <w:gridCol w:w="42"/>
        <w:gridCol w:w="638"/>
        <w:gridCol w:w="536"/>
        <w:gridCol w:w="311"/>
        <w:gridCol w:w="318"/>
        <w:gridCol w:w="253"/>
        <w:gridCol w:w="333"/>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工作内容</w:t>
            </w:r>
          </w:p>
        </w:tc>
        <w:tc>
          <w:tcPr>
            <w:tcW w:w="7101" w:type="dxa"/>
            <w:gridSpan w:val="13"/>
            <w:vAlign w:val="center"/>
          </w:tcPr>
          <w:p>
            <w:pPr>
              <w:autoSpaceDE w:val="0"/>
              <w:autoSpaceDN w:val="0"/>
              <w:spacing w:line="340" w:lineRule="exact"/>
              <w:jc w:val="center"/>
              <w:textAlignment w:val="bottom"/>
              <w:rPr>
                <w:kern w:val="0"/>
                <w:szCs w:val="21"/>
              </w:rPr>
            </w:pPr>
            <w:r>
              <w:rPr>
                <w:kern w:val="0"/>
                <w:szCs w:val="21"/>
              </w:rP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restart"/>
            <w:vAlign w:val="center"/>
          </w:tcPr>
          <w:p>
            <w:pPr>
              <w:autoSpaceDE w:val="0"/>
              <w:autoSpaceDN w:val="0"/>
              <w:spacing w:line="340" w:lineRule="exact"/>
              <w:jc w:val="center"/>
              <w:textAlignment w:val="bottom"/>
              <w:rPr>
                <w:kern w:val="0"/>
                <w:szCs w:val="21"/>
              </w:rPr>
            </w:pPr>
            <w:r>
              <w:rPr>
                <w:kern w:val="0"/>
                <w:szCs w:val="21"/>
              </w:rPr>
              <w:t>风险调查</w:t>
            </w:r>
          </w:p>
        </w:tc>
        <w:tc>
          <w:tcPr>
            <w:tcW w:w="1023" w:type="dxa"/>
            <w:vMerge w:val="restart"/>
            <w:vAlign w:val="center"/>
          </w:tcPr>
          <w:p>
            <w:pPr>
              <w:autoSpaceDE w:val="0"/>
              <w:autoSpaceDN w:val="0"/>
              <w:spacing w:line="340" w:lineRule="exact"/>
              <w:jc w:val="center"/>
              <w:textAlignment w:val="bottom"/>
              <w:rPr>
                <w:kern w:val="0"/>
                <w:szCs w:val="21"/>
              </w:rPr>
            </w:pPr>
            <w:r>
              <w:rPr>
                <w:kern w:val="0"/>
                <w:szCs w:val="21"/>
              </w:rPr>
              <w:t>危险物质</w:t>
            </w:r>
          </w:p>
        </w:tc>
        <w:tc>
          <w:tcPr>
            <w:tcW w:w="1024" w:type="dxa"/>
            <w:vAlign w:val="center"/>
          </w:tcPr>
          <w:p>
            <w:pPr>
              <w:autoSpaceDE w:val="0"/>
              <w:autoSpaceDN w:val="0"/>
              <w:spacing w:line="340" w:lineRule="exact"/>
              <w:jc w:val="center"/>
              <w:textAlignment w:val="bottom"/>
              <w:rPr>
                <w:kern w:val="0"/>
                <w:szCs w:val="21"/>
              </w:rPr>
            </w:pPr>
            <w:r>
              <w:rPr>
                <w:kern w:val="0"/>
                <w:szCs w:val="21"/>
              </w:rPr>
              <w:t>名称</w:t>
            </w:r>
          </w:p>
        </w:tc>
        <w:tc>
          <w:tcPr>
            <w:tcW w:w="1215" w:type="dxa"/>
            <w:gridSpan w:val="2"/>
            <w:vAlign w:val="center"/>
          </w:tcPr>
          <w:p>
            <w:pPr>
              <w:autoSpaceDE w:val="0"/>
              <w:autoSpaceDN w:val="0"/>
              <w:spacing w:line="340" w:lineRule="exact"/>
              <w:jc w:val="center"/>
              <w:textAlignment w:val="bottom"/>
              <w:rPr>
                <w:kern w:val="0"/>
                <w:szCs w:val="21"/>
              </w:rPr>
            </w:pPr>
            <w:r>
              <w:rPr>
                <w:rFonts w:hint="eastAsia"/>
                <w:kern w:val="0"/>
                <w:szCs w:val="21"/>
              </w:rPr>
              <w:t>废润滑油</w:t>
            </w:r>
          </w:p>
        </w:tc>
        <w:tc>
          <w:tcPr>
            <w:tcW w:w="1215" w:type="dxa"/>
            <w:gridSpan w:val="2"/>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6" w:type="dxa"/>
            <w:gridSpan w:val="3"/>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5" w:type="dxa"/>
            <w:gridSpan w:val="4"/>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6" w:type="dxa"/>
            <w:vAlign w:val="center"/>
          </w:tcPr>
          <w:p>
            <w:pPr>
              <w:autoSpaceDE w:val="0"/>
              <w:autoSpaceDN w:val="0"/>
              <w:spacing w:line="340" w:lineRule="exact"/>
              <w:jc w:val="center"/>
              <w:textAlignment w:val="bottom"/>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Align w:val="center"/>
          </w:tcPr>
          <w:p>
            <w:pPr>
              <w:autoSpaceDE w:val="0"/>
              <w:autoSpaceDN w:val="0"/>
              <w:spacing w:line="340" w:lineRule="exact"/>
              <w:jc w:val="center"/>
              <w:textAlignment w:val="bottom"/>
              <w:rPr>
                <w:kern w:val="0"/>
                <w:szCs w:val="21"/>
              </w:rPr>
            </w:pPr>
            <w:r>
              <w:rPr>
                <w:kern w:val="0"/>
                <w:szCs w:val="21"/>
              </w:rPr>
              <w:t>存在总量/t</w:t>
            </w:r>
          </w:p>
        </w:tc>
        <w:tc>
          <w:tcPr>
            <w:tcW w:w="1215" w:type="dxa"/>
            <w:gridSpan w:val="2"/>
            <w:vAlign w:val="center"/>
          </w:tcPr>
          <w:p>
            <w:pPr>
              <w:autoSpaceDE w:val="0"/>
              <w:autoSpaceDN w:val="0"/>
              <w:spacing w:line="340" w:lineRule="exact"/>
              <w:jc w:val="center"/>
              <w:textAlignment w:val="bottom"/>
              <w:rPr>
                <w:kern w:val="0"/>
                <w:szCs w:val="21"/>
              </w:rPr>
            </w:pPr>
            <w:r>
              <w:rPr>
                <w:rFonts w:hint="eastAsia"/>
                <w:kern w:val="0"/>
                <w:szCs w:val="21"/>
              </w:rPr>
              <w:t>0</w:t>
            </w:r>
            <w:r>
              <w:rPr>
                <w:kern w:val="0"/>
                <w:szCs w:val="21"/>
              </w:rPr>
              <w:t>.</w:t>
            </w:r>
            <w:r>
              <w:rPr>
                <w:rFonts w:hint="eastAsia"/>
                <w:kern w:val="0"/>
                <w:szCs w:val="21"/>
              </w:rPr>
              <w:t>6</w:t>
            </w:r>
          </w:p>
        </w:tc>
        <w:tc>
          <w:tcPr>
            <w:tcW w:w="1215" w:type="dxa"/>
            <w:gridSpan w:val="2"/>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6" w:type="dxa"/>
            <w:gridSpan w:val="3"/>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5" w:type="dxa"/>
            <w:gridSpan w:val="4"/>
            <w:vAlign w:val="center"/>
          </w:tcPr>
          <w:p>
            <w:pPr>
              <w:autoSpaceDE w:val="0"/>
              <w:autoSpaceDN w:val="0"/>
              <w:spacing w:line="340" w:lineRule="exact"/>
              <w:jc w:val="center"/>
              <w:textAlignment w:val="bottom"/>
              <w:rPr>
                <w:kern w:val="0"/>
                <w:szCs w:val="21"/>
              </w:rPr>
            </w:pPr>
            <w:r>
              <w:rPr>
                <w:rFonts w:hint="eastAsia"/>
                <w:kern w:val="0"/>
                <w:szCs w:val="21"/>
              </w:rPr>
              <w:t>/</w:t>
            </w:r>
          </w:p>
        </w:tc>
        <w:tc>
          <w:tcPr>
            <w:tcW w:w="1216" w:type="dxa"/>
            <w:vAlign w:val="center"/>
          </w:tcPr>
          <w:p>
            <w:pPr>
              <w:autoSpaceDE w:val="0"/>
              <w:autoSpaceDN w:val="0"/>
              <w:spacing w:line="340" w:lineRule="exact"/>
              <w:jc w:val="center"/>
              <w:textAlignment w:val="bottom"/>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restart"/>
            <w:vAlign w:val="center"/>
          </w:tcPr>
          <w:p>
            <w:pPr>
              <w:autoSpaceDE w:val="0"/>
              <w:autoSpaceDN w:val="0"/>
              <w:spacing w:line="340" w:lineRule="exact"/>
              <w:jc w:val="center"/>
              <w:textAlignment w:val="bottom"/>
              <w:rPr>
                <w:kern w:val="0"/>
                <w:szCs w:val="21"/>
              </w:rPr>
            </w:pPr>
            <w:r>
              <w:rPr>
                <w:kern w:val="0"/>
                <w:szCs w:val="21"/>
              </w:rPr>
              <w:t>环境敏感性</w:t>
            </w:r>
          </w:p>
        </w:tc>
        <w:tc>
          <w:tcPr>
            <w:tcW w:w="1024" w:type="dxa"/>
            <w:vMerge w:val="restart"/>
            <w:vAlign w:val="center"/>
          </w:tcPr>
          <w:p>
            <w:pPr>
              <w:autoSpaceDE w:val="0"/>
              <w:autoSpaceDN w:val="0"/>
              <w:spacing w:line="340" w:lineRule="exact"/>
              <w:jc w:val="center"/>
              <w:textAlignment w:val="bottom"/>
              <w:rPr>
                <w:kern w:val="0"/>
                <w:szCs w:val="21"/>
              </w:rPr>
            </w:pPr>
            <w:r>
              <w:rPr>
                <w:kern w:val="0"/>
                <w:szCs w:val="21"/>
              </w:rPr>
              <w:t>大气</w:t>
            </w:r>
          </w:p>
        </w:tc>
        <w:tc>
          <w:tcPr>
            <w:tcW w:w="3110" w:type="dxa"/>
            <w:gridSpan w:val="6"/>
            <w:vAlign w:val="center"/>
          </w:tcPr>
          <w:p>
            <w:pPr>
              <w:autoSpaceDE w:val="0"/>
              <w:autoSpaceDN w:val="0"/>
              <w:spacing w:line="340" w:lineRule="exact"/>
              <w:jc w:val="center"/>
              <w:textAlignment w:val="bottom"/>
              <w:rPr>
                <w:kern w:val="0"/>
                <w:szCs w:val="21"/>
              </w:rPr>
            </w:pPr>
            <w:r>
              <w:rPr>
                <w:kern w:val="0"/>
                <w:szCs w:val="21"/>
              </w:rPr>
              <w:t>500 m范围内人口数</w:t>
            </w:r>
            <w:r>
              <w:rPr>
                <w:kern w:val="0"/>
                <w:szCs w:val="21"/>
                <w:u w:val="single"/>
              </w:rPr>
              <w:t xml:space="preserve"> 0   </w:t>
            </w:r>
            <w:r>
              <w:rPr>
                <w:kern w:val="0"/>
                <w:szCs w:val="21"/>
              </w:rPr>
              <w:t>人</w:t>
            </w:r>
          </w:p>
        </w:tc>
        <w:tc>
          <w:tcPr>
            <w:tcW w:w="2967" w:type="dxa"/>
            <w:gridSpan w:val="6"/>
            <w:vAlign w:val="center"/>
          </w:tcPr>
          <w:p>
            <w:pPr>
              <w:autoSpaceDE w:val="0"/>
              <w:autoSpaceDN w:val="0"/>
              <w:spacing w:line="340" w:lineRule="exact"/>
              <w:jc w:val="center"/>
              <w:textAlignment w:val="bottom"/>
              <w:rPr>
                <w:kern w:val="0"/>
                <w:szCs w:val="21"/>
              </w:rPr>
            </w:pPr>
            <w:r>
              <w:rPr>
                <w:kern w:val="0"/>
                <w:szCs w:val="21"/>
              </w:rPr>
              <w:t>5 km范围内人口数</w:t>
            </w:r>
            <w:r>
              <w:rPr>
                <w:kern w:val="0"/>
                <w:szCs w:val="21"/>
                <w:u w:val="single"/>
              </w:rPr>
              <w:t xml:space="preserve"> </w:t>
            </w:r>
            <w:r>
              <w:rPr>
                <w:rFonts w:hint="eastAsia"/>
                <w:kern w:val="0"/>
                <w:szCs w:val="21"/>
                <w:u w:val="single"/>
              </w:rPr>
              <w:t>＜</w:t>
            </w:r>
            <w:r>
              <w:rPr>
                <w:kern w:val="0"/>
                <w:szCs w:val="21"/>
                <w:u w:val="single"/>
              </w:rPr>
              <w:t xml:space="preserve">10000  </w:t>
            </w:r>
            <w:r>
              <w:rPr>
                <w:kern w:val="0"/>
                <w:szCs w:val="21"/>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Merge w:val="continue"/>
            <w:vAlign w:val="center"/>
          </w:tcPr>
          <w:p>
            <w:pPr>
              <w:autoSpaceDE w:val="0"/>
              <w:autoSpaceDN w:val="0"/>
              <w:spacing w:line="340" w:lineRule="exact"/>
              <w:jc w:val="center"/>
              <w:textAlignment w:val="bottom"/>
              <w:rPr>
                <w:kern w:val="0"/>
                <w:szCs w:val="21"/>
              </w:rPr>
            </w:pPr>
          </w:p>
        </w:tc>
        <w:tc>
          <w:tcPr>
            <w:tcW w:w="4528" w:type="dxa"/>
            <w:gridSpan w:val="10"/>
            <w:vAlign w:val="center"/>
          </w:tcPr>
          <w:p>
            <w:pPr>
              <w:autoSpaceDE w:val="0"/>
              <w:autoSpaceDN w:val="0"/>
              <w:spacing w:line="340" w:lineRule="exact"/>
              <w:jc w:val="center"/>
              <w:textAlignment w:val="bottom"/>
              <w:rPr>
                <w:kern w:val="0"/>
                <w:szCs w:val="21"/>
              </w:rPr>
            </w:pPr>
            <w:r>
              <w:rPr>
                <w:kern w:val="0"/>
                <w:szCs w:val="21"/>
              </w:rPr>
              <w:t>每公里管段周边200 m范围内人口数（最大）</w:t>
            </w:r>
          </w:p>
        </w:tc>
        <w:tc>
          <w:tcPr>
            <w:tcW w:w="1549" w:type="dxa"/>
            <w:gridSpan w:val="2"/>
            <w:vAlign w:val="center"/>
          </w:tcPr>
          <w:p>
            <w:pPr>
              <w:autoSpaceDE w:val="0"/>
              <w:autoSpaceDN w:val="0"/>
              <w:spacing w:line="340" w:lineRule="exact"/>
              <w:jc w:val="center"/>
              <w:textAlignment w:val="bottom"/>
              <w:rPr>
                <w:kern w:val="0"/>
                <w:szCs w:val="21"/>
              </w:rPr>
            </w:pPr>
            <w:r>
              <w:rPr>
                <w:kern w:val="0"/>
                <w:szCs w:val="21"/>
                <w:u w:val="single"/>
              </w:rPr>
              <w:t xml:space="preserve"> 0 </w:t>
            </w:r>
            <w:r>
              <w:rPr>
                <w:kern w:val="0"/>
                <w:szCs w:val="21"/>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Merge w:val="restart"/>
            <w:vAlign w:val="center"/>
          </w:tcPr>
          <w:p>
            <w:pPr>
              <w:autoSpaceDE w:val="0"/>
              <w:autoSpaceDN w:val="0"/>
              <w:spacing w:line="340" w:lineRule="exact"/>
              <w:jc w:val="center"/>
              <w:textAlignment w:val="bottom"/>
              <w:rPr>
                <w:kern w:val="0"/>
                <w:szCs w:val="21"/>
              </w:rPr>
            </w:pPr>
            <w:r>
              <w:rPr>
                <w:kern w:val="0"/>
                <w:szCs w:val="21"/>
              </w:rPr>
              <w:t>地表水</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地表水功能敏感性</w:t>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F1 </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F2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F3</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Merge w:val="continue"/>
            <w:vAlign w:val="center"/>
          </w:tcPr>
          <w:p>
            <w:pPr>
              <w:autoSpaceDE w:val="0"/>
              <w:autoSpaceDN w:val="0"/>
              <w:spacing w:line="340" w:lineRule="exact"/>
              <w:jc w:val="center"/>
              <w:textAlignment w:val="bottom"/>
              <w:rPr>
                <w:kern w:val="0"/>
                <w:szCs w:val="21"/>
              </w:rPr>
            </w:pP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环境敏感目标分级</w:t>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S1 </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S2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S3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Merge w:val="restart"/>
            <w:vAlign w:val="center"/>
          </w:tcPr>
          <w:p>
            <w:pPr>
              <w:autoSpaceDE w:val="0"/>
              <w:autoSpaceDN w:val="0"/>
              <w:spacing w:line="340" w:lineRule="exact"/>
              <w:jc w:val="center"/>
              <w:textAlignment w:val="bottom"/>
              <w:rPr>
                <w:kern w:val="0"/>
                <w:szCs w:val="21"/>
              </w:rPr>
            </w:pPr>
            <w:r>
              <w:rPr>
                <w:kern w:val="0"/>
                <w:szCs w:val="21"/>
              </w:rPr>
              <w:t>地下水</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地下水功能敏感性</w:t>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G1</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G2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G3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024" w:type="dxa"/>
            <w:vMerge w:val="continue"/>
            <w:vAlign w:val="center"/>
          </w:tcPr>
          <w:p>
            <w:pPr>
              <w:autoSpaceDE w:val="0"/>
              <w:autoSpaceDN w:val="0"/>
              <w:spacing w:line="340" w:lineRule="exact"/>
              <w:jc w:val="center"/>
              <w:textAlignment w:val="bottom"/>
              <w:rPr>
                <w:kern w:val="0"/>
                <w:szCs w:val="21"/>
              </w:rPr>
            </w:pP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包气带防污性能</w:t>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D1 </w:t>
            </w:r>
            <w:r>
              <w:rPr>
                <w:kern w:val="0"/>
                <w:szCs w:val="21"/>
              </w:rPr>
              <w:sym w:font="Wingdings 2" w:char="0052"/>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D2</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D3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Merge w:val="restart"/>
            <w:vAlign w:val="center"/>
          </w:tcPr>
          <w:p>
            <w:pPr>
              <w:autoSpaceDE w:val="0"/>
              <w:autoSpaceDN w:val="0"/>
              <w:spacing w:line="340" w:lineRule="exact"/>
              <w:jc w:val="center"/>
              <w:textAlignment w:val="bottom"/>
              <w:rPr>
                <w:kern w:val="0"/>
                <w:szCs w:val="21"/>
              </w:rPr>
            </w:pPr>
            <w:r>
              <w:rPr>
                <w:kern w:val="0"/>
                <w:szCs w:val="21"/>
              </w:rPr>
              <w:t>物质及工艺系统危险性</w:t>
            </w:r>
          </w:p>
        </w:tc>
        <w:tc>
          <w:tcPr>
            <w:tcW w:w="1024" w:type="dxa"/>
            <w:vAlign w:val="center"/>
          </w:tcPr>
          <w:p>
            <w:pPr>
              <w:autoSpaceDE w:val="0"/>
              <w:autoSpaceDN w:val="0"/>
              <w:spacing w:line="340" w:lineRule="exact"/>
              <w:jc w:val="center"/>
              <w:textAlignment w:val="bottom"/>
              <w:rPr>
                <w:kern w:val="0"/>
                <w:szCs w:val="21"/>
              </w:rPr>
            </w:pPr>
            <w:r>
              <w:rPr>
                <w:kern w:val="0"/>
                <w:szCs w:val="21"/>
              </w:rPr>
              <w:t>Q值</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Q＜1</w:t>
            </w:r>
            <w:r>
              <w:rPr>
                <w:kern w:val="0"/>
                <w:szCs w:val="21"/>
              </w:rPr>
              <w:sym w:font="Wingdings 2" w:char="0052"/>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1≤Q＜10 </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10≤Q＜100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Q＞100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Merge w:val="continue"/>
            <w:vAlign w:val="center"/>
          </w:tcPr>
          <w:p>
            <w:pPr>
              <w:autoSpaceDE w:val="0"/>
              <w:autoSpaceDN w:val="0"/>
              <w:spacing w:line="340" w:lineRule="exact"/>
              <w:jc w:val="center"/>
              <w:textAlignment w:val="bottom"/>
              <w:rPr>
                <w:kern w:val="0"/>
                <w:szCs w:val="21"/>
              </w:rPr>
            </w:pPr>
          </w:p>
        </w:tc>
        <w:tc>
          <w:tcPr>
            <w:tcW w:w="1024" w:type="dxa"/>
            <w:vAlign w:val="center"/>
          </w:tcPr>
          <w:p>
            <w:pPr>
              <w:autoSpaceDE w:val="0"/>
              <w:autoSpaceDN w:val="0"/>
              <w:spacing w:line="340" w:lineRule="exact"/>
              <w:jc w:val="center"/>
              <w:textAlignment w:val="bottom"/>
              <w:rPr>
                <w:kern w:val="0"/>
                <w:szCs w:val="21"/>
              </w:rPr>
            </w:pPr>
            <w:r>
              <w:rPr>
                <w:kern w:val="0"/>
                <w:szCs w:val="21"/>
              </w:rPr>
              <w:t>M值</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 xml:space="preserve">M1  </w:t>
            </w:r>
            <w:r>
              <w:rPr>
                <w:kern w:val="0"/>
                <w:szCs w:val="21"/>
              </w:rPr>
              <w:sym w:font="Wingdings 2" w:char="00A3"/>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M2  </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M3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M4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dxa"/>
            <w:gridSpan w:val="2"/>
            <w:vMerge w:val="continue"/>
            <w:vAlign w:val="center"/>
          </w:tcPr>
          <w:p>
            <w:pPr>
              <w:autoSpaceDE w:val="0"/>
              <w:autoSpaceDN w:val="0"/>
              <w:spacing w:line="340" w:lineRule="exact"/>
              <w:jc w:val="center"/>
              <w:textAlignment w:val="bottom"/>
              <w:rPr>
                <w:kern w:val="0"/>
                <w:szCs w:val="21"/>
              </w:rPr>
            </w:pPr>
          </w:p>
        </w:tc>
        <w:tc>
          <w:tcPr>
            <w:tcW w:w="1024" w:type="dxa"/>
            <w:vAlign w:val="center"/>
          </w:tcPr>
          <w:p>
            <w:pPr>
              <w:autoSpaceDE w:val="0"/>
              <w:autoSpaceDN w:val="0"/>
              <w:spacing w:line="340" w:lineRule="exact"/>
              <w:jc w:val="center"/>
              <w:textAlignment w:val="bottom"/>
              <w:rPr>
                <w:kern w:val="0"/>
                <w:szCs w:val="21"/>
              </w:rPr>
            </w:pPr>
            <w:r>
              <w:rPr>
                <w:kern w:val="0"/>
                <w:szCs w:val="21"/>
              </w:rPr>
              <w:t>P值</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 xml:space="preserve">P1 </w:t>
            </w:r>
            <w:r>
              <w:rPr>
                <w:kern w:val="0"/>
                <w:szCs w:val="21"/>
              </w:rPr>
              <w:sym w:font="Wingdings 2" w:char="00A3"/>
            </w:r>
          </w:p>
        </w:tc>
        <w:tc>
          <w:tcPr>
            <w:tcW w:w="1284" w:type="dxa"/>
            <w:gridSpan w:val="3"/>
            <w:vAlign w:val="center"/>
          </w:tcPr>
          <w:p>
            <w:pPr>
              <w:autoSpaceDE w:val="0"/>
              <w:autoSpaceDN w:val="0"/>
              <w:spacing w:line="340" w:lineRule="exact"/>
              <w:jc w:val="center"/>
              <w:textAlignment w:val="bottom"/>
              <w:rPr>
                <w:kern w:val="0"/>
                <w:szCs w:val="21"/>
              </w:rPr>
            </w:pPr>
            <w:r>
              <w:rPr>
                <w:kern w:val="0"/>
                <w:szCs w:val="21"/>
              </w:rPr>
              <w:t xml:space="preserve">P2 </w:t>
            </w:r>
            <w:r>
              <w:rPr>
                <w:kern w:val="0"/>
                <w:szCs w:val="21"/>
              </w:rPr>
              <w:sym w:font="Wingdings 2" w:char="00A3"/>
            </w:r>
          </w:p>
        </w:tc>
        <w:tc>
          <w:tcPr>
            <w:tcW w:w="1418" w:type="dxa"/>
            <w:gridSpan w:val="4"/>
            <w:vAlign w:val="center"/>
          </w:tcPr>
          <w:p>
            <w:pPr>
              <w:autoSpaceDE w:val="0"/>
              <w:autoSpaceDN w:val="0"/>
              <w:spacing w:line="340" w:lineRule="exact"/>
              <w:jc w:val="center"/>
              <w:textAlignment w:val="bottom"/>
              <w:rPr>
                <w:kern w:val="0"/>
                <w:szCs w:val="21"/>
              </w:rPr>
            </w:pPr>
            <w:r>
              <w:rPr>
                <w:kern w:val="0"/>
                <w:szCs w:val="21"/>
              </w:rPr>
              <w:t xml:space="preserve">P3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P4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Merge w:val="restart"/>
            <w:vAlign w:val="center"/>
          </w:tcPr>
          <w:p>
            <w:pPr>
              <w:autoSpaceDE w:val="0"/>
              <w:autoSpaceDN w:val="0"/>
              <w:spacing w:line="340" w:lineRule="exact"/>
              <w:jc w:val="center"/>
              <w:textAlignment w:val="bottom"/>
              <w:rPr>
                <w:kern w:val="0"/>
                <w:szCs w:val="21"/>
              </w:rPr>
            </w:pPr>
            <w:r>
              <w:rPr>
                <w:kern w:val="0"/>
                <w:szCs w:val="21"/>
              </w:rPr>
              <w:t>环境敏感</w:t>
            </w:r>
          </w:p>
          <w:p>
            <w:pPr>
              <w:autoSpaceDE w:val="0"/>
              <w:autoSpaceDN w:val="0"/>
              <w:spacing w:line="340" w:lineRule="exact"/>
              <w:jc w:val="center"/>
              <w:textAlignment w:val="bottom"/>
              <w:rPr>
                <w:kern w:val="0"/>
                <w:szCs w:val="21"/>
              </w:rPr>
            </w:pPr>
            <w:r>
              <w:rPr>
                <w:kern w:val="0"/>
                <w:szCs w:val="21"/>
              </w:rPr>
              <w:t>程度</w:t>
            </w:r>
          </w:p>
        </w:tc>
        <w:tc>
          <w:tcPr>
            <w:tcW w:w="1024" w:type="dxa"/>
            <w:vAlign w:val="center"/>
          </w:tcPr>
          <w:p>
            <w:pPr>
              <w:autoSpaceDE w:val="0"/>
              <w:autoSpaceDN w:val="0"/>
              <w:spacing w:line="340" w:lineRule="exact"/>
              <w:jc w:val="center"/>
              <w:textAlignment w:val="bottom"/>
              <w:rPr>
                <w:kern w:val="0"/>
                <w:szCs w:val="21"/>
              </w:rPr>
            </w:pPr>
            <w:r>
              <w:rPr>
                <w:kern w:val="0"/>
                <w:szCs w:val="21"/>
              </w:rPr>
              <w:t>大气</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 xml:space="preserve">E1  </w:t>
            </w:r>
            <w:r>
              <w:rPr>
                <w:kern w:val="0"/>
                <w:szCs w:val="21"/>
              </w:rPr>
              <w:sym w:font="Wingdings 2" w:char="00A3"/>
            </w:r>
          </w:p>
        </w:tc>
        <w:tc>
          <w:tcPr>
            <w:tcW w:w="2131" w:type="dxa"/>
            <w:gridSpan w:val="5"/>
            <w:vAlign w:val="center"/>
          </w:tcPr>
          <w:p>
            <w:pPr>
              <w:autoSpaceDE w:val="0"/>
              <w:autoSpaceDN w:val="0"/>
              <w:spacing w:line="340" w:lineRule="exact"/>
              <w:jc w:val="center"/>
              <w:textAlignment w:val="bottom"/>
              <w:rPr>
                <w:kern w:val="0"/>
                <w:szCs w:val="21"/>
              </w:rPr>
            </w:pPr>
            <w:r>
              <w:rPr>
                <w:kern w:val="0"/>
                <w:szCs w:val="21"/>
              </w:rPr>
              <w:t xml:space="preserve">E2 </w:t>
            </w:r>
            <w:r>
              <w:rPr>
                <w:kern w:val="0"/>
                <w:szCs w:val="21"/>
              </w:rPr>
              <w:sym w:font="Wingdings 2" w:char="00A3"/>
            </w:r>
          </w:p>
        </w:tc>
        <w:tc>
          <w:tcPr>
            <w:tcW w:w="2120" w:type="dxa"/>
            <w:gridSpan w:val="4"/>
            <w:vAlign w:val="center"/>
          </w:tcPr>
          <w:p>
            <w:pPr>
              <w:autoSpaceDE w:val="0"/>
              <w:autoSpaceDN w:val="0"/>
              <w:spacing w:line="340" w:lineRule="exact"/>
              <w:jc w:val="center"/>
              <w:textAlignment w:val="bottom"/>
              <w:rPr>
                <w:kern w:val="0"/>
                <w:szCs w:val="21"/>
              </w:rPr>
            </w:pPr>
            <w:r>
              <w:rPr>
                <w:kern w:val="0"/>
                <w:szCs w:val="21"/>
              </w:rPr>
              <w:t xml:space="preserve">E3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Merge w:val="continue"/>
            <w:vAlign w:val="center"/>
          </w:tcPr>
          <w:p>
            <w:pPr>
              <w:autoSpaceDE w:val="0"/>
              <w:autoSpaceDN w:val="0"/>
              <w:spacing w:line="340" w:lineRule="exact"/>
              <w:jc w:val="center"/>
              <w:textAlignment w:val="bottom"/>
              <w:rPr>
                <w:kern w:val="0"/>
                <w:szCs w:val="21"/>
              </w:rPr>
            </w:pPr>
          </w:p>
        </w:tc>
        <w:tc>
          <w:tcPr>
            <w:tcW w:w="1024" w:type="dxa"/>
            <w:vAlign w:val="center"/>
          </w:tcPr>
          <w:p>
            <w:pPr>
              <w:autoSpaceDE w:val="0"/>
              <w:autoSpaceDN w:val="0"/>
              <w:spacing w:line="340" w:lineRule="exact"/>
              <w:jc w:val="center"/>
              <w:textAlignment w:val="bottom"/>
              <w:rPr>
                <w:kern w:val="0"/>
                <w:szCs w:val="21"/>
              </w:rPr>
            </w:pPr>
            <w:r>
              <w:rPr>
                <w:kern w:val="0"/>
                <w:szCs w:val="21"/>
              </w:rPr>
              <w:t>地表水</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 xml:space="preserve">E1  </w:t>
            </w:r>
            <w:r>
              <w:rPr>
                <w:kern w:val="0"/>
                <w:szCs w:val="21"/>
              </w:rPr>
              <w:sym w:font="Wingdings 2" w:char="00A3"/>
            </w:r>
          </w:p>
        </w:tc>
        <w:tc>
          <w:tcPr>
            <w:tcW w:w="2131" w:type="dxa"/>
            <w:gridSpan w:val="5"/>
            <w:vAlign w:val="center"/>
          </w:tcPr>
          <w:p>
            <w:pPr>
              <w:autoSpaceDE w:val="0"/>
              <w:autoSpaceDN w:val="0"/>
              <w:spacing w:line="340" w:lineRule="exact"/>
              <w:jc w:val="center"/>
              <w:textAlignment w:val="bottom"/>
              <w:rPr>
                <w:kern w:val="0"/>
                <w:szCs w:val="21"/>
              </w:rPr>
            </w:pPr>
            <w:r>
              <w:rPr>
                <w:kern w:val="0"/>
                <w:szCs w:val="21"/>
              </w:rPr>
              <w:t xml:space="preserve">E2 </w:t>
            </w:r>
            <w:r>
              <w:rPr>
                <w:kern w:val="0"/>
                <w:szCs w:val="21"/>
              </w:rPr>
              <w:sym w:font="Wingdings 2" w:char="00A3"/>
            </w:r>
          </w:p>
        </w:tc>
        <w:tc>
          <w:tcPr>
            <w:tcW w:w="2120" w:type="dxa"/>
            <w:gridSpan w:val="4"/>
            <w:vAlign w:val="center"/>
          </w:tcPr>
          <w:p>
            <w:pPr>
              <w:autoSpaceDE w:val="0"/>
              <w:autoSpaceDN w:val="0"/>
              <w:spacing w:line="340" w:lineRule="exact"/>
              <w:jc w:val="center"/>
              <w:textAlignment w:val="bottom"/>
              <w:rPr>
                <w:kern w:val="0"/>
                <w:szCs w:val="21"/>
              </w:rPr>
            </w:pPr>
            <w:r>
              <w:rPr>
                <w:kern w:val="0"/>
                <w:szCs w:val="21"/>
              </w:rPr>
              <w:t xml:space="preserve">E3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Merge w:val="continue"/>
            <w:vAlign w:val="center"/>
          </w:tcPr>
          <w:p>
            <w:pPr>
              <w:autoSpaceDE w:val="0"/>
              <w:autoSpaceDN w:val="0"/>
              <w:spacing w:line="340" w:lineRule="exact"/>
              <w:jc w:val="center"/>
              <w:textAlignment w:val="bottom"/>
              <w:rPr>
                <w:kern w:val="0"/>
                <w:szCs w:val="21"/>
              </w:rPr>
            </w:pPr>
          </w:p>
        </w:tc>
        <w:tc>
          <w:tcPr>
            <w:tcW w:w="1024" w:type="dxa"/>
            <w:vAlign w:val="center"/>
          </w:tcPr>
          <w:p>
            <w:pPr>
              <w:autoSpaceDE w:val="0"/>
              <w:autoSpaceDN w:val="0"/>
              <w:spacing w:line="340" w:lineRule="exact"/>
              <w:jc w:val="center"/>
              <w:textAlignment w:val="bottom"/>
              <w:rPr>
                <w:kern w:val="0"/>
                <w:szCs w:val="21"/>
              </w:rPr>
            </w:pPr>
            <w:r>
              <w:rPr>
                <w:kern w:val="0"/>
                <w:szCs w:val="21"/>
              </w:rPr>
              <w:t>地下水</w:t>
            </w:r>
          </w:p>
        </w:tc>
        <w:tc>
          <w:tcPr>
            <w:tcW w:w="1826" w:type="dxa"/>
            <w:gridSpan w:val="3"/>
            <w:vAlign w:val="center"/>
          </w:tcPr>
          <w:p>
            <w:pPr>
              <w:autoSpaceDE w:val="0"/>
              <w:autoSpaceDN w:val="0"/>
              <w:spacing w:line="340" w:lineRule="exact"/>
              <w:jc w:val="center"/>
              <w:textAlignment w:val="bottom"/>
              <w:rPr>
                <w:kern w:val="0"/>
                <w:szCs w:val="21"/>
              </w:rPr>
            </w:pPr>
            <w:r>
              <w:rPr>
                <w:kern w:val="0"/>
                <w:szCs w:val="21"/>
              </w:rPr>
              <w:t xml:space="preserve">E1  </w:t>
            </w:r>
            <w:r>
              <w:rPr>
                <w:kern w:val="0"/>
                <w:szCs w:val="21"/>
              </w:rPr>
              <w:sym w:font="Wingdings 2" w:char="00A3"/>
            </w:r>
          </w:p>
        </w:tc>
        <w:tc>
          <w:tcPr>
            <w:tcW w:w="2131" w:type="dxa"/>
            <w:gridSpan w:val="5"/>
            <w:vAlign w:val="center"/>
          </w:tcPr>
          <w:p>
            <w:pPr>
              <w:autoSpaceDE w:val="0"/>
              <w:autoSpaceDN w:val="0"/>
              <w:spacing w:line="340" w:lineRule="exact"/>
              <w:jc w:val="center"/>
              <w:textAlignment w:val="bottom"/>
              <w:rPr>
                <w:kern w:val="0"/>
                <w:szCs w:val="21"/>
              </w:rPr>
            </w:pPr>
            <w:r>
              <w:rPr>
                <w:kern w:val="0"/>
                <w:szCs w:val="21"/>
              </w:rPr>
              <w:t xml:space="preserve">E2 </w:t>
            </w:r>
            <w:r>
              <w:rPr>
                <w:kern w:val="0"/>
                <w:szCs w:val="21"/>
              </w:rPr>
              <w:sym w:font="Wingdings 2" w:char="00A3"/>
            </w:r>
          </w:p>
        </w:tc>
        <w:tc>
          <w:tcPr>
            <w:tcW w:w="2120" w:type="dxa"/>
            <w:gridSpan w:val="4"/>
            <w:vAlign w:val="center"/>
          </w:tcPr>
          <w:p>
            <w:pPr>
              <w:autoSpaceDE w:val="0"/>
              <w:autoSpaceDN w:val="0"/>
              <w:spacing w:line="340" w:lineRule="exact"/>
              <w:jc w:val="center"/>
              <w:textAlignment w:val="bottom"/>
              <w:rPr>
                <w:kern w:val="0"/>
                <w:szCs w:val="21"/>
              </w:rPr>
            </w:pPr>
            <w:r>
              <w:rPr>
                <w:kern w:val="0"/>
                <w:szCs w:val="21"/>
              </w:rPr>
              <w:t>E3</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环境风险潜势</w:t>
            </w:r>
          </w:p>
        </w:tc>
        <w:tc>
          <w:tcPr>
            <w:tcW w:w="1024" w:type="dxa"/>
            <w:vAlign w:val="center"/>
          </w:tcPr>
          <w:p>
            <w:pPr>
              <w:autoSpaceDE w:val="0"/>
              <w:autoSpaceDN w:val="0"/>
              <w:spacing w:line="340" w:lineRule="exact"/>
              <w:jc w:val="center"/>
              <w:textAlignment w:val="bottom"/>
              <w:rPr>
                <w:kern w:val="0"/>
                <w:szCs w:val="21"/>
              </w:rPr>
            </w:pPr>
            <w:r>
              <w:rPr>
                <w:rFonts w:hint="eastAsia" w:ascii="宋体" w:hAnsi="宋体" w:cs="宋体"/>
                <w:kern w:val="0"/>
                <w:szCs w:val="21"/>
              </w:rPr>
              <w:t>Ⅳ</w:t>
            </w:r>
            <w:r>
              <w:rPr>
                <w:kern w:val="0"/>
                <w:szCs w:val="21"/>
              </w:rPr>
              <w:t>+  □</w:t>
            </w:r>
          </w:p>
        </w:tc>
        <w:tc>
          <w:tcPr>
            <w:tcW w:w="1826" w:type="dxa"/>
            <w:gridSpan w:val="3"/>
            <w:vAlign w:val="center"/>
          </w:tcPr>
          <w:p>
            <w:pPr>
              <w:autoSpaceDE w:val="0"/>
              <w:autoSpaceDN w:val="0"/>
              <w:spacing w:line="340" w:lineRule="exact"/>
              <w:jc w:val="center"/>
              <w:textAlignment w:val="bottom"/>
              <w:rPr>
                <w:kern w:val="0"/>
                <w:szCs w:val="21"/>
              </w:rPr>
            </w:pPr>
            <w:r>
              <w:rPr>
                <w:rFonts w:hint="eastAsia" w:ascii="宋体" w:hAnsi="宋体" w:cs="宋体"/>
                <w:kern w:val="0"/>
                <w:szCs w:val="21"/>
              </w:rPr>
              <w:t>Ⅳ</w:t>
            </w:r>
            <w:r>
              <w:rPr>
                <w:kern w:val="0"/>
                <w:szCs w:val="21"/>
              </w:rPr>
              <w:t xml:space="preserve">  </w:t>
            </w:r>
            <w:r>
              <w:rPr>
                <w:kern w:val="0"/>
                <w:szCs w:val="21"/>
              </w:rPr>
              <w:sym w:font="Wingdings 2" w:char="00A3"/>
            </w:r>
          </w:p>
        </w:tc>
        <w:tc>
          <w:tcPr>
            <w:tcW w:w="1284" w:type="dxa"/>
            <w:gridSpan w:val="3"/>
            <w:vAlign w:val="center"/>
          </w:tcPr>
          <w:p>
            <w:pPr>
              <w:autoSpaceDE w:val="0"/>
              <w:autoSpaceDN w:val="0"/>
              <w:spacing w:line="340" w:lineRule="exact"/>
              <w:jc w:val="center"/>
              <w:textAlignment w:val="bottom"/>
              <w:rPr>
                <w:kern w:val="0"/>
                <w:szCs w:val="21"/>
              </w:rPr>
            </w:pPr>
            <w:r>
              <w:rPr>
                <w:rFonts w:hint="eastAsia" w:ascii="宋体" w:hAnsi="宋体" w:cs="宋体"/>
                <w:kern w:val="0"/>
                <w:szCs w:val="21"/>
              </w:rPr>
              <w:t>Ⅲ</w:t>
            </w:r>
            <w:r>
              <w:rPr>
                <w:kern w:val="0"/>
                <w:szCs w:val="21"/>
              </w:rPr>
              <w:t xml:space="preserve"> □</w:t>
            </w:r>
          </w:p>
        </w:tc>
        <w:tc>
          <w:tcPr>
            <w:tcW w:w="1418" w:type="dxa"/>
            <w:gridSpan w:val="4"/>
            <w:vAlign w:val="center"/>
          </w:tcPr>
          <w:p>
            <w:pPr>
              <w:autoSpaceDE w:val="0"/>
              <w:autoSpaceDN w:val="0"/>
              <w:spacing w:line="340" w:lineRule="exact"/>
              <w:jc w:val="center"/>
              <w:textAlignment w:val="bottom"/>
              <w:rPr>
                <w:kern w:val="0"/>
                <w:szCs w:val="21"/>
              </w:rPr>
            </w:pPr>
            <w:r>
              <w:rPr>
                <w:rFonts w:hint="eastAsia" w:ascii="宋体" w:hAnsi="宋体" w:cs="宋体"/>
                <w:kern w:val="0"/>
                <w:szCs w:val="21"/>
              </w:rPr>
              <w:t>Ⅱ</w:t>
            </w:r>
            <w:r>
              <w:rPr>
                <w:kern w:val="0"/>
                <w:szCs w:val="21"/>
              </w:rPr>
              <w:t xml:space="preserve">  </w:t>
            </w:r>
            <w:r>
              <w:rPr>
                <w:kern w:val="0"/>
                <w:szCs w:val="21"/>
              </w:rPr>
              <w:sym w:font="Wingdings 2" w:char="00A3"/>
            </w:r>
          </w:p>
        </w:tc>
        <w:tc>
          <w:tcPr>
            <w:tcW w:w="1549" w:type="dxa"/>
            <w:gridSpan w:val="2"/>
            <w:vAlign w:val="center"/>
          </w:tcPr>
          <w:p>
            <w:pPr>
              <w:autoSpaceDE w:val="0"/>
              <w:autoSpaceDN w:val="0"/>
              <w:spacing w:line="340" w:lineRule="exact"/>
              <w:jc w:val="center"/>
              <w:textAlignment w:val="bottom"/>
              <w:rPr>
                <w:kern w:val="0"/>
                <w:szCs w:val="21"/>
              </w:rPr>
            </w:pPr>
            <w:r>
              <w:rPr>
                <w:kern w:val="0"/>
                <w:szCs w:val="21"/>
              </w:rPr>
              <w:t xml:space="preserve">I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评价等级</w:t>
            </w:r>
          </w:p>
        </w:tc>
        <w:tc>
          <w:tcPr>
            <w:tcW w:w="1692" w:type="dxa"/>
            <w:gridSpan w:val="2"/>
            <w:vAlign w:val="center"/>
          </w:tcPr>
          <w:p>
            <w:pPr>
              <w:autoSpaceDE w:val="0"/>
              <w:autoSpaceDN w:val="0"/>
              <w:spacing w:line="340" w:lineRule="exact"/>
              <w:jc w:val="center"/>
              <w:textAlignment w:val="bottom"/>
              <w:rPr>
                <w:kern w:val="0"/>
                <w:szCs w:val="21"/>
              </w:rPr>
            </w:pPr>
            <w:r>
              <w:rPr>
                <w:kern w:val="0"/>
                <w:szCs w:val="21"/>
              </w:rPr>
              <w:t>一级</w:t>
            </w:r>
            <w:r>
              <w:rPr>
                <w:kern w:val="0"/>
                <w:szCs w:val="21"/>
              </w:rPr>
              <w:sym w:font="Wingdings 2" w:char="00A3"/>
            </w:r>
          </w:p>
        </w:tc>
        <w:tc>
          <w:tcPr>
            <w:tcW w:w="1804" w:type="dxa"/>
            <w:gridSpan w:val="4"/>
            <w:vAlign w:val="center"/>
          </w:tcPr>
          <w:p>
            <w:pPr>
              <w:autoSpaceDE w:val="0"/>
              <w:autoSpaceDN w:val="0"/>
              <w:spacing w:line="340" w:lineRule="exact"/>
              <w:jc w:val="center"/>
              <w:textAlignment w:val="bottom"/>
              <w:rPr>
                <w:kern w:val="0"/>
                <w:szCs w:val="21"/>
              </w:rPr>
            </w:pPr>
            <w:r>
              <w:rPr>
                <w:kern w:val="0"/>
                <w:szCs w:val="21"/>
              </w:rPr>
              <w:t>二级</w:t>
            </w:r>
            <w:r>
              <w:rPr>
                <w:kern w:val="0"/>
                <w:szCs w:val="21"/>
              </w:rPr>
              <w:sym w:font="Wingdings 2" w:char="00A3"/>
            </w:r>
          </w:p>
        </w:tc>
        <w:tc>
          <w:tcPr>
            <w:tcW w:w="1803" w:type="dxa"/>
            <w:gridSpan w:val="4"/>
            <w:vAlign w:val="center"/>
          </w:tcPr>
          <w:p>
            <w:pPr>
              <w:autoSpaceDE w:val="0"/>
              <w:autoSpaceDN w:val="0"/>
              <w:spacing w:line="340" w:lineRule="exact"/>
              <w:jc w:val="center"/>
              <w:textAlignment w:val="bottom"/>
              <w:rPr>
                <w:kern w:val="0"/>
                <w:szCs w:val="21"/>
              </w:rPr>
            </w:pPr>
            <w:r>
              <w:rPr>
                <w:kern w:val="0"/>
                <w:szCs w:val="21"/>
              </w:rPr>
              <w:t>三级</w:t>
            </w:r>
            <w:r>
              <w:rPr>
                <w:kern w:val="0"/>
                <w:szCs w:val="21"/>
              </w:rPr>
              <w:sym w:font="Wingdings 2" w:char="00A3"/>
            </w:r>
          </w:p>
        </w:tc>
        <w:tc>
          <w:tcPr>
            <w:tcW w:w="1802" w:type="dxa"/>
            <w:gridSpan w:val="3"/>
            <w:vAlign w:val="center"/>
          </w:tcPr>
          <w:p>
            <w:pPr>
              <w:autoSpaceDE w:val="0"/>
              <w:autoSpaceDN w:val="0"/>
              <w:spacing w:line="340" w:lineRule="exact"/>
              <w:jc w:val="center"/>
              <w:textAlignment w:val="bottom"/>
              <w:rPr>
                <w:kern w:val="0"/>
                <w:szCs w:val="21"/>
              </w:rPr>
            </w:pPr>
            <w:r>
              <w:rPr>
                <w:kern w:val="0"/>
                <w:szCs w:val="21"/>
              </w:rPr>
              <w:t xml:space="preserve">简单分析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restart"/>
            <w:vAlign w:val="center"/>
          </w:tcPr>
          <w:p>
            <w:pPr>
              <w:autoSpaceDE w:val="0"/>
              <w:autoSpaceDN w:val="0"/>
              <w:spacing w:line="340" w:lineRule="exact"/>
              <w:jc w:val="center"/>
              <w:textAlignment w:val="bottom"/>
              <w:rPr>
                <w:kern w:val="0"/>
                <w:szCs w:val="21"/>
              </w:rPr>
            </w:pPr>
            <w:r>
              <w:rPr>
                <w:kern w:val="0"/>
                <w:szCs w:val="21"/>
              </w:rPr>
              <w:t>风险识别</w:t>
            </w:r>
          </w:p>
        </w:tc>
        <w:tc>
          <w:tcPr>
            <w:tcW w:w="1023" w:type="dxa"/>
            <w:vAlign w:val="center"/>
          </w:tcPr>
          <w:p>
            <w:pPr>
              <w:autoSpaceDE w:val="0"/>
              <w:autoSpaceDN w:val="0"/>
              <w:spacing w:line="340" w:lineRule="exact"/>
              <w:jc w:val="center"/>
              <w:textAlignment w:val="bottom"/>
              <w:rPr>
                <w:kern w:val="0"/>
                <w:szCs w:val="21"/>
              </w:rPr>
            </w:pPr>
            <w:r>
              <w:rPr>
                <w:kern w:val="0"/>
                <w:szCs w:val="21"/>
              </w:rPr>
              <w:t>物质危险性</w:t>
            </w:r>
          </w:p>
        </w:tc>
        <w:tc>
          <w:tcPr>
            <w:tcW w:w="3496" w:type="dxa"/>
            <w:gridSpan w:val="6"/>
            <w:vAlign w:val="center"/>
          </w:tcPr>
          <w:p>
            <w:pPr>
              <w:autoSpaceDE w:val="0"/>
              <w:autoSpaceDN w:val="0"/>
              <w:spacing w:line="340" w:lineRule="exact"/>
              <w:jc w:val="center"/>
              <w:textAlignment w:val="bottom"/>
              <w:rPr>
                <w:kern w:val="0"/>
                <w:szCs w:val="21"/>
              </w:rPr>
            </w:pPr>
            <w:r>
              <w:rPr>
                <w:kern w:val="0"/>
                <w:szCs w:val="21"/>
              </w:rPr>
              <w:t xml:space="preserve">有毒有害 </w:t>
            </w:r>
            <w:r>
              <w:rPr>
                <w:kern w:val="0"/>
                <w:szCs w:val="21"/>
              </w:rPr>
              <w:sym w:font="Wingdings 2" w:char="00A3"/>
            </w:r>
          </w:p>
        </w:tc>
        <w:tc>
          <w:tcPr>
            <w:tcW w:w="3605" w:type="dxa"/>
            <w:gridSpan w:val="7"/>
            <w:vAlign w:val="center"/>
          </w:tcPr>
          <w:p>
            <w:pPr>
              <w:autoSpaceDE w:val="0"/>
              <w:autoSpaceDN w:val="0"/>
              <w:spacing w:line="340" w:lineRule="exact"/>
              <w:jc w:val="center"/>
              <w:textAlignment w:val="bottom"/>
              <w:rPr>
                <w:kern w:val="0"/>
                <w:szCs w:val="21"/>
              </w:rPr>
            </w:pPr>
            <w:r>
              <w:rPr>
                <w:kern w:val="0"/>
                <w:szCs w:val="21"/>
              </w:rPr>
              <w:t xml:space="preserve">易燃易爆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Align w:val="center"/>
          </w:tcPr>
          <w:p>
            <w:pPr>
              <w:autoSpaceDE w:val="0"/>
              <w:autoSpaceDN w:val="0"/>
              <w:spacing w:line="340" w:lineRule="exact"/>
              <w:jc w:val="center"/>
              <w:textAlignment w:val="bottom"/>
              <w:rPr>
                <w:kern w:val="0"/>
                <w:szCs w:val="21"/>
              </w:rPr>
            </w:pPr>
            <w:r>
              <w:rPr>
                <w:kern w:val="0"/>
                <w:szCs w:val="21"/>
              </w:rPr>
              <w:t>环境风险类别</w:t>
            </w:r>
          </w:p>
        </w:tc>
        <w:tc>
          <w:tcPr>
            <w:tcW w:w="2850" w:type="dxa"/>
            <w:gridSpan w:val="4"/>
            <w:vAlign w:val="center"/>
          </w:tcPr>
          <w:p>
            <w:pPr>
              <w:autoSpaceDE w:val="0"/>
              <w:autoSpaceDN w:val="0"/>
              <w:spacing w:line="340" w:lineRule="exact"/>
              <w:jc w:val="center"/>
              <w:textAlignment w:val="bottom"/>
              <w:rPr>
                <w:kern w:val="0"/>
                <w:szCs w:val="21"/>
              </w:rPr>
            </w:pPr>
            <w:r>
              <w:rPr>
                <w:kern w:val="0"/>
                <w:szCs w:val="21"/>
              </w:rPr>
              <w:t xml:space="preserve">泄漏  </w:t>
            </w:r>
            <w:r>
              <w:rPr>
                <w:kern w:val="0"/>
                <w:szCs w:val="21"/>
              </w:rPr>
              <w:sym w:font="Wingdings 2" w:char="0052"/>
            </w:r>
          </w:p>
        </w:tc>
        <w:tc>
          <w:tcPr>
            <w:tcW w:w="4251" w:type="dxa"/>
            <w:gridSpan w:val="9"/>
            <w:vAlign w:val="center"/>
          </w:tcPr>
          <w:p>
            <w:pPr>
              <w:autoSpaceDE w:val="0"/>
              <w:autoSpaceDN w:val="0"/>
              <w:spacing w:line="340" w:lineRule="exact"/>
              <w:jc w:val="center"/>
              <w:textAlignment w:val="bottom"/>
              <w:rPr>
                <w:kern w:val="0"/>
                <w:szCs w:val="21"/>
              </w:rPr>
            </w:pPr>
            <w:r>
              <w:rPr>
                <w:kern w:val="0"/>
                <w:szCs w:val="21"/>
              </w:rPr>
              <w:t xml:space="preserve">火灾、爆炸引发伴生/次生污染物排放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Align w:val="center"/>
          </w:tcPr>
          <w:p>
            <w:pPr>
              <w:autoSpaceDE w:val="0"/>
              <w:autoSpaceDN w:val="0"/>
              <w:spacing w:line="340" w:lineRule="exact"/>
              <w:jc w:val="center"/>
              <w:textAlignment w:val="bottom"/>
              <w:rPr>
                <w:kern w:val="0"/>
                <w:szCs w:val="21"/>
              </w:rPr>
            </w:pPr>
            <w:r>
              <w:rPr>
                <w:kern w:val="0"/>
                <w:szCs w:val="21"/>
              </w:rPr>
              <w:t>影响途径</w:t>
            </w:r>
          </w:p>
        </w:tc>
        <w:tc>
          <w:tcPr>
            <w:tcW w:w="3496" w:type="dxa"/>
            <w:gridSpan w:val="6"/>
            <w:vAlign w:val="center"/>
          </w:tcPr>
          <w:p>
            <w:pPr>
              <w:autoSpaceDE w:val="0"/>
              <w:autoSpaceDN w:val="0"/>
              <w:spacing w:line="340" w:lineRule="exact"/>
              <w:jc w:val="center"/>
              <w:textAlignment w:val="bottom"/>
              <w:rPr>
                <w:kern w:val="0"/>
                <w:szCs w:val="21"/>
              </w:rPr>
            </w:pPr>
            <w:r>
              <w:rPr>
                <w:kern w:val="0"/>
                <w:szCs w:val="21"/>
              </w:rPr>
              <w:t xml:space="preserve">大气  </w:t>
            </w:r>
            <w:r>
              <w:rPr>
                <w:kern w:val="0"/>
                <w:szCs w:val="21"/>
              </w:rPr>
              <w:sym w:font="Wingdings 2" w:char="0052"/>
            </w:r>
          </w:p>
        </w:tc>
        <w:tc>
          <w:tcPr>
            <w:tcW w:w="1803" w:type="dxa"/>
            <w:gridSpan w:val="4"/>
            <w:vAlign w:val="center"/>
          </w:tcPr>
          <w:p>
            <w:pPr>
              <w:autoSpaceDE w:val="0"/>
              <w:autoSpaceDN w:val="0"/>
              <w:spacing w:line="340" w:lineRule="exact"/>
              <w:jc w:val="center"/>
              <w:textAlignment w:val="bottom"/>
              <w:rPr>
                <w:kern w:val="0"/>
                <w:szCs w:val="21"/>
              </w:rPr>
            </w:pPr>
            <w:r>
              <w:rPr>
                <w:kern w:val="0"/>
                <w:szCs w:val="21"/>
              </w:rPr>
              <w:t xml:space="preserve">地表水  </w:t>
            </w:r>
            <w:r>
              <w:rPr>
                <w:kern w:val="0"/>
                <w:szCs w:val="21"/>
              </w:rPr>
              <w:sym w:font="Wingdings 2" w:char="00A3"/>
            </w:r>
          </w:p>
        </w:tc>
        <w:tc>
          <w:tcPr>
            <w:tcW w:w="1802" w:type="dxa"/>
            <w:gridSpan w:val="3"/>
            <w:vAlign w:val="center"/>
          </w:tcPr>
          <w:p>
            <w:pPr>
              <w:autoSpaceDE w:val="0"/>
              <w:autoSpaceDN w:val="0"/>
              <w:spacing w:line="340" w:lineRule="exact"/>
              <w:jc w:val="center"/>
              <w:textAlignment w:val="bottom"/>
              <w:rPr>
                <w:kern w:val="0"/>
                <w:szCs w:val="21"/>
              </w:rPr>
            </w:pPr>
            <w:r>
              <w:rPr>
                <w:kern w:val="0"/>
                <w:szCs w:val="21"/>
              </w:rPr>
              <w:t xml:space="preserve">地下水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事故情形分析</w:t>
            </w:r>
          </w:p>
        </w:tc>
        <w:tc>
          <w:tcPr>
            <w:tcW w:w="1692" w:type="dxa"/>
            <w:gridSpan w:val="2"/>
            <w:vAlign w:val="center"/>
          </w:tcPr>
          <w:p>
            <w:pPr>
              <w:autoSpaceDE w:val="0"/>
              <w:autoSpaceDN w:val="0"/>
              <w:spacing w:line="340" w:lineRule="exact"/>
              <w:jc w:val="center"/>
              <w:textAlignment w:val="bottom"/>
              <w:rPr>
                <w:kern w:val="0"/>
                <w:szCs w:val="21"/>
              </w:rPr>
            </w:pPr>
            <w:r>
              <w:rPr>
                <w:kern w:val="0"/>
                <w:szCs w:val="21"/>
              </w:rPr>
              <w:t>源强设定方法</w:t>
            </w:r>
          </w:p>
        </w:tc>
        <w:tc>
          <w:tcPr>
            <w:tcW w:w="1804" w:type="dxa"/>
            <w:gridSpan w:val="4"/>
            <w:vAlign w:val="center"/>
          </w:tcPr>
          <w:p>
            <w:pPr>
              <w:autoSpaceDE w:val="0"/>
              <w:autoSpaceDN w:val="0"/>
              <w:spacing w:line="340" w:lineRule="exact"/>
              <w:jc w:val="center"/>
              <w:textAlignment w:val="bottom"/>
              <w:rPr>
                <w:kern w:val="0"/>
                <w:szCs w:val="21"/>
              </w:rPr>
            </w:pPr>
            <w:r>
              <w:rPr>
                <w:kern w:val="0"/>
                <w:szCs w:val="21"/>
              </w:rPr>
              <w:t xml:space="preserve">计算法  </w:t>
            </w:r>
            <w:r>
              <w:rPr>
                <w:kern w:val="0"/>
                <w:szCs w:val="21"/>
              </w:rPr>
              <w:sym w:font="Wingdings 2" w:char="00A3"/>
            </w:r>
          </w:p>
        </w:tc>
        <w:tc>
          <w:tcPr>
            <w:tcW w:w="1803" w:type="dxa"/>
            <w:gridSpan w:val="4"/>
            <w:vAlign w:val="center"/>
          </w:tcPr>
          <w:p>
            <w:pPr>
              <w:autoSpaceDE w:val="0"/>
              <w:autoSpaceDN w:val="0"/>
              <w:spacing w:line="340" w:lineRule="exact"/>
              <w:jc w:val="center"/>
              <w:textAlignment w:val="bottom"/>
              <w:rPr>
                <w:kern w:val="0"/>
                <w:szCs w:val="21"/>
              </w:rPr>
            </w:pPr>
            <w:r>
              <w:rPr>
                <w:kern w:val="0"/>
                <w:szCs w:val="21"/>
              </w:rPr>
              <w:t xml:space="preserve">经验估算法  </w:t>
            </w:r>
            <w:r>
              <w:rPr>
                <w:kern w:val="0"/>
                <w:szCs w:val="21"/>
              </w:rPr>
              <w:sym w:font="Wingdings 2" w:char="00A3"/>
            </w:r>
          </w:p>
        </w:tc>
        <w:tc>
          <w:tcPr>
            <w:tcW w:w="1802" w:type="dxa"/>
            <w:gridSpan w:val="3"/>
            <w:vAlign w:val="center"/>
          </w:tcPr>
          <w:p>
            <w:pPr>
              <w:autoSpaceDE w:val="0"/>
              <w:autoSpaceDN w:val="0"/>
              <w:spacing w:line="340" w:lineRule="exact"/>
              <w:jc w:val="center"/>
              <w:textAlignment w:val="bottom"/>
              <w:rPr>
                <w:kern w:val="0"/>
                <w:szCs w:val="21"/>
              </w:rPr>
            </w:pPr>
            <w:r>
              <w:rPr>
                <w:kern w:val="0"/>
                <w:szCs w:val="21"/>
              </w:rPr>
              <w:t xml:space="preserve">其他估算法  </w:t>
            </w:r>
            <w:r>
              <w:rPr>
                <w:kern w:val="0"/>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restart"/>
            <w:vAlign w:val="center"/>
          </w:tcPr>
          <w:p>
            <w:pPr>
              <w:autoSpaceDE w:val="0"/>
              <w:autoSpaceDN w:val="0"/>
              <w:spacing w:line="340" w:lineRule="exact"/>
              <w:jc w:val="center"/>
              <w:textAlignment w:val="bottom"/>
              <w:rPr>
                <w:kern w:val="0"/>
                <w:szCs w:val="21"/>
              </w:rPr>
            </w:pPr>
            <w:r>
              <w:rPr>
                <w:kern w:val="0"/>
                <w:szCs w:val="21"/>
              </w:rPr>
              <w:t>环境风险预测与评价</w:t>
            </w:r>
          </w:p>
        </w:tc>
        <w:tc>
          <w:tcPr>
            <w:tcW w:w="1023" w:type="dxa"/>
            <w:vMerge w:val="restart"/>
            <w:vAlign w:val="center"/>
          </w:tcPr>
          <w:p>
            <w:pPr>
              <w:autoSpaceDE w:val="0"/>
              <w:autoSpaceDN w:val="0"/>
              <w:spacing w:line="340" w:lineRule="exact"/>
              <w:jc w:val="center"/>
              <w:textAlignment w:val="bottom"/>
              <w:rPr>
                <w:kern w:val="0"/>
                <w:szCs w:val="21"/>
              </w:rPr>
            </w:pPr>
            <w:r>
              <w:rPr>
                <w:kern w:val="0"/>
                <w:szCs w:val="21"/>
              </w:rPr>
              <w:t>大气</w:t>
            </w:r>
          </w:p>
        </w:tc>
        <w:tc>
          <w:tcPr>
            <w:tcW w:w="1692" w:type="dxa"/>
            <w:gridSpan w:val="2"/>
            <w:vAlign w:val="center"/>
          </w:tcPr>
          <w:p>
            <w:pPr>
              <w:autoSpaceDE w:val="0"/>
              <w:autoSpaceDN w:val="0"/>
              <w:spacing w:line="340" w:lineRule="exact"/>
              <w:jc w:val="center"/>
              <w:textAlignment w:val="bottom"/>
              <w:rPr>
                <w:kern w:val="0"/>
                <w:szCs w:val="21"/>
              </w:rPr>
            </w:pPr>
            <w:r>
              <w:rPr>
                <w:kern w:val="0"/>
                <w:szCs w:val="21"/>
              </w:rPr>
              <w:t>预测模型</w:t>
            </w:r>
          </w:p>
        </w:tc>
        <w:tc>
          <w:tcPr>
            <w:tcW w:w="1804" w:type="dxa"/>
            <w:gridSpan w:val="4"/>
            <w:vAlign w:val="center"/>
          </w:tcPr>
          <w:p>
            <w:pPr>
              <w:autoSpaceDE w:val="0"/>
              <w:autoSpaceDN w:val="0"/>
              <w:spacing w:line="340" w:lineRule="exact"/>
              <w:jc w:val="center"/>
              <w:textAlignment w:val="bottom"/>
              <w:rPr>
                <w:kern w:val="0"/>
                <w:szCs w:val="21"/>
              </w:rPr>
            </w:pPr>
            <w:r>
              <w:rPr>
                <w:kern w:val="0"/>
                <w:szCs w:val="21"/>
              </w:rPr>
              <w:t xml:space="preserve">SLAB  </w:t>
            </w:r>
            <w:r>
              <w:rPr>
                <w:kern w:val="0"/>
                <w:szCs w:val="21"/>
              </w:rPr>
              <w:sym w:font="Wingdings 2" w:char="00A3"/>
            </w:r>
          </w:p>
        </w:tc>
        <w:tc>
          <w:tcPr>
            <w:tcW w:w="1803" w:type="dxa"/>
            <w:gridSpan w:val="4"/>
            <w:vAlign w:val="center"/>
          </w:tcPr>
          <w:p>
            <w:pPr>
              <w:autoSpaceDE w:val="0"/>
              <w:autoSpaceDN w:val="0"/>
              <w:spacing w:line="340" w:lineRule="exact"/>
              <w:jc w:val="center"/>
              <w:textAlignment w:val="bottom"/>
              <w:rPr>
                <w:kern w:val="0"/>
                <w:szCs w:val="21"/>
              </w:rPr>
            </w:pPr>
            <w:r>
              <w:rPr>
                <w:kern w:val="0"/>
                <w:szCs w:val="21"/>
              </w:rPr>
              <w:t xml:space="preserve">AFTOX   </w:t>
            </w:r>
            <w:r>
              <w:rPr>
                <w:kern w:val="0"/>
                <w:szCs w:val="21"/>
              </w:rPr>
              <w:sym w:font="Wingdings 2" w:char="00A3"/>
            </w:r>
          </w:p>
        </w:tc>
        <w:tc>
          <w:tcPr>
            <w:tcW w:w="1802" w:type="dxa"/>
            <w:gridSpan w:val="3"/>
            <w:vAlign w:val="center"/>
          </w:tcPr>
          <w:p>
            <w:pPr>
              <w:autoSpaceDE w:val="0"/>
              <w:autoSpaceDN w:val="0"/>
              <w:spacing w:line="340" w:lineRule="exact"/>
              <w:jc w:val="center"/>
              <w:textAlignment w:val="bottom"/>
              <w:rPr>
                <w:kern w:val="0"/>
                <w:szCs w:val="21"/>
              </w:rPr>
            </w:pPr>
            <w:r>
              <w:rPr>
                <w:kern w:val="0"/>
                <w:szCs w:val="21"/>
              </w:rPr>
              <w:t xml:space="preserve">其他  </w:t>
            </w:r>
            <w:r>
              <w:rPr>
                <w:kern w:val="0"/>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692" w:type="dxa"/>
            <w:gridSpan w:val="2"/>
            <w:vMerge w:val="restart"/>
            <w:vAlign w:val="center"/>
          </w:tcPr>
          <w:p>
            <w:pPr>
              <w:autoSpaceDE w:val="0"/>
              <w:autoSpaceDN w:val="0"/>
              <w:spacing w:line="340" w:lineRule="exact"/>
              <w:jc w:val="center"/>
              <w:textAlignment w:val="bottom"/>
              <w:rPr>
                <w:kern w:val="0"/>
                <w:szCs w:val="21"/>
              </w:rPr>
            </w:pPr>
            <w:r>
              <w:rPr>
                <w:kern w:val="0"/>
                <w:szCs w:val="21"/>
              </w:rPr>
              <w:t>预测结果</w:t>
            </w:r>
          </w:p>
        </w:tc>
        <w:tc>
          <w:tcPr>
            <w:tcW w:w="5409" w:type="dxa"/>
            <w:gridSpan w:val="11"/>
            <w:vAlign w:val="center"/>
          </w:tcPr>
          <w:p>
            <w:pPr>
              <w:autoSpaceDE w:val="0"/>
              <w:autoSpaceDN w:val="0"/>
              <w:spacing w:line="340" w:lineRule="exact"/>
              <w:jc w:val="center"/>
              <w:textAlignment w:val="bottom"/>
              <w:rPr>
                <w:kern w:val="0"/>
                <w:szCs w:val="21"/>
              </w:rPr>
            </w:pPr>
            <w:r>
              <w:rPr>
                <w:kern w:val="0"/>
                <w:szCs w:val="21"/>
              </w:rPr>
              <w:t>大气毒性终点浓度-1 最大影响范围</w:t>
            </w:r>
            <w:r>
              <w:rPr>
                <w:kern w:val="0"/>
                <w:szCs w:val="21"/>
                <w:u w:val="single"/>
              </w:rPr>
              <w:t xml:space="preserve">     </w:t>
            </w:r>
            <w:r>
              <w:rPr>
                <w:kern w:val="0"/>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1692" w:type="dxa"/>
            <w:gridSpan w:val="2"/>
            <w:vMerge w:val="continue"/>
            <w:vAlign w:val="center"/>
          </w:tcPr>
          <w:p>
            <w:pPr>
              <w:autoSpaceDE w:val="0"/>
              <w:autoSpaceDN w:val="0"/>
              <w:spacing w:line="340" w:lineRule="exact"/>
              <w:jc w:val="center"/>
              <w:textAlignment w:val="bottom"/>
              <w:rPr>
                <w:kern w:val="0"/>
                <w:szCs w:val="21"/>
              </w:rPr>
            </w:pPr>
          </w:p>
        </w:tc>
        <w:tc>
          <w:tcPr>
            <w:tcW w:w="5409" w:type="dxa"/>
            <w:gridSpan w:val="11"/>
            <w:vAlign w:val="center"/>
          </w:tcPr>
          <w:p>
            <w:pPr>
              <w:autoSpaceDE w:val="0"/>
              <w:autoSpaceDN w:val="0"/>
              <w:spacing w:line="340" w:lineRule="exact"/>
              <w:jc w:val="center"/>
              <w:textAlignment w:val="bottom"/>
              <w:rPr>
                <w:kern w:val="0"/>
                <w:szCs w:val="21"/>
              </w:rPr>
            </w:pPr>
            <w:r>
              <w:rPr>
                <w:kern w:val="0"/>
                <w:szCs w:val="21"/>
              </w:rPr>
              <w:t>大气毒性终点浓度-2 最大影响范围</w:t>
            </w:r>
            <w:r>
              <w:rPr>
                <w:kern w:val="0"/>
                <w:szCs w:val="21"/>
                <w:u w:val="single"/>
              </w:rPr>
              <w:t xml:space="preserve">     </w:t>
            </w:r>
            <w:r>
              <w:rPr>
                <w:kern w:val="0"/>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Align w:val="center"/>
          </w:tcPr>
          <w:p>
            <w:pPr>
              <w:autoSpaceDE w:val="0"/>
              <w:autoSpaceDN w:val="0"/>
              <w:spacing w:line="340" w:lineRule="exact"/>
              <w:jc w:val="center"/>
              <w:textAlignment w:val="bottom"/>
              <w:rPr>
                <w:kern w:val="0"/>
                <w:szCs w:val="21"/>
              </w:rPr>
            </w:pPr>
            <w:r>
              <w:rPr>
                <w:kern w:val="0"/>
                <w:szCs w:val="21"/>
              </w:rPr>
              <w:t>地表水</w:t>
            </w:r>
          </w:p>
        </w:tc>
        <w:tc>
          <w:tcPr>
            <w:tcW w:w="7101" w:type="dxa"/>
            <w:gridSpan w:val="13"/>
            <w:vAlign w:val="center"/>
          </w:tcPr>
          <w:p>
            <w:pPr>
              <w:autoSpaceDE w:val="0"/>
              <w:autoSpaceDN w:val="0"/>
              <w:spacing w:line="340" w:lineRule="exact"/>
              <w:jc w:val="center"/>
              <w:textAlignment w:val="bottom"/>
              <w:rPr>
                <w:kern w:val="0"/>
                <w:szCs w:val="21"/>
              </w:rPr>
            </w:pPr>
            <w:r>
              <w:rPr>
                <w:kern w:val="0"/>
                <w:szCs w:val="21"/>
              </w:rPr>
              <w:t xml:space="preserve">最近环境敏感目标 </w:t>
            </w:r>
            <w:r>
              <w:rPr>
                <w:kern w:val="0"/>
                <w:szCs w:val="21"/>
                <w:u w:val="single"/>
              </w:rPr>
              <w:t xml:space="preserve">     </w:t>
            </w:r>
            <w:r>
              <w:rPr>
                <w:kern w:val="0"/>
                <w:szCs w:val="21"/>
              </w:rPr>
              <w:t>，到达时间</w:t>
            </w:r>
            <w:r>
              <w:rPr>
                <w:kern w:val="0"/>
                <w:szCs w:val="21"/>
                <w:u w:val="single"/>
              </w:rPr>
              <w:t xml:space="preserve">    </w:t>
            </w:r>
            <w:r>
              <w:rPr>
                <w:kern w:val="0"/>
                <w:szCs w:val="21"/>
              </w:rPr>
              <w:t xml:space="preserve">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restart"/>
            <w:vAlign w:val="center"/>
          </w:tcPr>
          <w:p>
            <w:pPr>
              <w:autoSpaceDE w:val="0"/>
              <w:autoSpaceDN w:val="0"/>
              <w:spacing w:line="340" w:lineRule="exact"/>
              <w:jc w:val="center"/>
              <w:textAlignment w:val="bottom"/>
              <w:rPr>
                <w:kern w:val="0"/>
                <w:szCs w:val="21"/>
              </w:rPr>
            </w:pPr>
            <w:r>
              <w:rPr>
                <w:kern w:val="0"/>
                <w:szCs w:val="21"/>
              </w:rPr>
              <w:t>地下水</w:t>
            </w:r>
          </w:p>
        </w:tc>
        <w:tc>
          <w:tcPr>
            <w:tcW w:w="7101" w:type="dxa"/>
            <w:gridSpan w:val="13"/>
            <w:vAlign w:val="center"/>
          </w:tcPr>
          <w:p>
            <w:pPr>
              <w:autoSpaceDE w:val="0"/>
              <w:autoSpaceDN w:val="0"/>
              <w:spacing w:line="340" w:lineRule="exact"/>
              <w:jc w:val="center"/>
              <w:textAlignment w:val="bottom"/>
              <w:rPr>
                <w:kern w:val="0"/>
                <w:szCs w:val="21"/>
              </w:rPr>
            </w:pPr>
            <w:r>
              <w:rPr>
                <w:kern w:val="0"/>
                <w:szCs w:val="21"/>
              </w:rPr>
              <w:t>下游厂区边界到达时间</w:t>
            </w:r>
            <w:r>
              <w:rPr>
                <w:kern w:val="0"/>
                <w:szCs w:val="21"/>
                <w:u w:val="single"/>
              </w:rPr>
              <w:t xml:space="preserve">    </w:t>
            </w:r>
            <w:r>
              <w:rPr>
                <w:kern w:val="0"/>
                <w:szCs w:val="21"/>
              </w:rPr>
              <w:t xml:space="preserve"> 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vMerge w:val="continue"/>
            <w:vAlign w:val="center"/>
          </w:tcPr>
          <w:p>
            <w:pPr>
              <w:autoSpaceDE w:val="0"/>
              <w:autoSpaceDN w:val="0"/>
              <w:spacing w:line="340" w:lineRule="exact"/>
              <w:jc w:val="center"/>
              <w:textAlignment w:val="bottom"/>
              <w:rPr>
                <w:kern w:val="0"/>
                <w:szCs w:val="21"/>
              </w:rPr>
            </w:pPr>
          </w:p>
        </w:tc>
        <w:tc>
          <w:tcPr>
            <w:tcW w:w="1023" w:type="dxa"/>
            <w:vMerge w:val="continue"/>
            <w:vAlign w:val="center"/>
          </w:tcPr>
          <w:p>
            <w:pPr>
              <w:autoSpaceDE w:val="0"/>
              <w:autoSpaceDN w:val="0"/>
              <w:spacing w:line="340" w:lineRule="exact"/>
              <w:jc w:val="center"/>
              <w:textAlignment w:val="bottom"/>
              <w:rPr>
                <w:kern w:val="0"/>
                <w:szCs w:val="21"/>
              </w:rPr>
            </w:pPr>
          </w:p>
        </w:tc>
        <w:tc>
          <w:tcPr>
            <w:tcW w:w="7101" w:type="dxa"/>
            <w:gridSpan w:val="13"/>
            <w:vAlign w:val="center"/>
          </w:tcPr>
          <w:p>
            <w:pPr>
              <w:autoSpaceDE w:val="0"/>
              <w:autoSpaceDN w:val="0"/>
              <w:spacing w:line="340" w:lineRule="exact"/>
              <w:jc w:val="center"/>
              <w:textAlignment w:val="bottom"/>
              <w:rPr>
                <w:kern w:val="0"/>
                <w:szCs w:val="21"/>
              </w:rPr>
            </w:pPr>
            <w:r>
              <w:rPr>
                <w:kern w:val="0"/>
                <w:szCs w:val="21"/>
              </w:rPr>
              <w:t>最近环境敏感目标</w:t>
            </w:r>
            <w:r>
              <w:rPr>
                <w:kern w:val="0"/>
                <w:szCs w:val="21"/>
                <w:u w:val="single"/>
              </w:rPr>
              <w:t xml:space="preserve">     </w:t>
            </w:r>
            <w:r>
              <w:rPr>
                <w:kern w:val="0"/>
                <w:szCs w:val="21"/>
              </w:rPr>
              <w:t xml:space="preserve"> ，到达时间</w:t>
            </w:r>
            <w:r>
              <w:rPr>
                <w:kern w:val="0"/>
                <w:szCs w:val="21"/>
                <w:u w:val="single"/>
              </w:rPr>
              <w:t xml:space="preserve">     </w:t>
            </w:r>
            <w:r>
              <w:rPr>
                <w:kern w:val="0"/>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 xml:space="preserve">重点风险防范 </w:t>
            </w:r>
          </w:p>
          <w:p>
            <w:pPr>
              <w:autoSpaceDE w:val="0"/>
              <w:autoSpaceDN w:val="0"/>
              <w:spacing w:line="340" w:lineRule="exact"/>
              <w:jc w:val="center"/>
              <w:textAlignment w:val="bottom"/>
              <w:rPr>
                <w:kern w:val="0"/>
                <w:szCs w:val="21"/>
              </w:rPr>
            </w:pPr>
            <w:r>
              <w:rPr>
                <w:kern w:val="0"/>
                <w:szCs w:val="21"/>
              </w:rPr>
              <w:t>措施</w:t>
            </w:r>
          </w:p>
        </w:tc>
        <w:tc>
          <w:tcPr>
            <w:tcW w:w="7101" w:type="dxa"/>
            <w:gridSpan w:val="13"/>
            <w:vAlign w:val="center"/>
          </w:tcPr>
          <w:p>
            <w:pPr>
              <w:spacing w:line="340" w:lineRule="exact"/>
              <w:jc w:val="left"/>
              <w:rPr>
                <w:szCs w:val="21"/>
              </w:rPr>
            </w:pPr>
            <w:r>
              <w:rPr>
                <w:rFonts w:hint="eastAsia"/>
                <w:szCs w:val="21"/>
              </w:rPr>
              <w:t>（1）加强管理，防止因管理不善而导致生产区火灾。定期检查储存设施等是否有泄漏等。</w:t>
            </w:r>
          </w:p>
          <w:p>
            <w:pPr>
              <w:spacing w:line="340" w:lineRule="exact"/>
              <w:jc w:val="left"/>
              <w:rPr>
                <w:szCs w:val="21"/>
              </w:rPr>
            </w:pPr>
            <w:r>
              <w:rPr>
                <w:rFonts w:hint="eastAsia"/>
                <w:szCs w:val="21"/>
              </w:rPr>
              <w:t>（2）厂区采取分区防渗，污染区则应按照不同分区要求，采取不同等级的防渗措施，并确保其可靠性和有效性。</w:t>
            </w:r>
          </w:p>
          <w:p>
            <w:pPr>
              <w:spacing w:line="340" w:lineRule="exact"/>
              <w:jc w:val="left"/>
              <w:rPr>
                <w:szCs w:val="21"/>
              </w:rPr>
            </w:pPr>
            <w:r>
              <w:rPr>
                <w:rFonts w:hint="eastAsia"/>
                <w:szCs w:val="21"/>
              </w:rPr>
              <w:t>（3）编制《突发环境事件应急预案》，并落实相关要求。建立应急组织机构、配备相应应急物资，落实泄露风险事故应急处理及减缓措施。</w:t>
            </w:r>
          </w:p>
          <w:p>
            <w:pPr>
              <w:spacing w:line="340" w:lineRule="exact"/>
              <w:jc w:val="left"/>
              <w:rPr>
                <w:szCs w:val="21"/>
              </w:rPr>
            </w:pPr>
            <w:r>
              <w:rPr>
                <w:rFonts w:hint="eastAsia"/>
                <w:szCs w:val="21"/>
              </w:rPr>
              <w:t>（5）加强厂区的运行管理，建立完善的规章制度，明确岗位职责。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dxa"/>
            <w:gridSpan w:val="2"/>
            <w:vAlign w:val="center"/>
          </w:tcPr>
          <w:p>
            <w:pPr>
              <w:autoSpaceDE w:val="0"/>
              <w:autoSpaceDN w:val="0"/>
              <w:spacing w:line="340" w:lineRule="exact"/>
              <w:jc w:val="center"/>
              <w:textAlignment w:val="bottom"/>
              <w:rPr>
                <w:kern w:val="0"/>
                <w:szCs w:val="21"/>
              </w:rPr>
            </w:pPr>
            <w:r>
              <w:rPr>
                <w:kern w:val="0"/>
                <w:szCs w:val="21"/>
              </w:rPr>
              <w:t>评价结论与建议</w:t>
            </w:r>
          </w:p>
        </w:tc>
        <w:tc>
          <w:tcPr>
            <w:tcW w:w="7101" w:type="dxa"/>
            <w:gridSpan w:val="13"/>
            <w:vAlign w:val="center"/>
          </w:tcPr>
          <w:p>
            <w:pPr>
              <w:spacing w:line="340" w:lineRule="exact"/>
              <w:jc w:val="center"/>
              <w:rPr>
                <w:szCs w:val="21"/>
              </w:rPr>
            </w:pPr>
            <w:r>
              <w:rPr>
                <w:rFonts w:hint="eastAsia"/>
                <w:szCs w:val="21"/>
              </w:rPr>
              <w:t>根据环境风险影响评价，本项目涉及《建设项目环境风险评价技术导则》（HJ169-2018）附录B中危险物质主要为废润滑油，储存量较小，不构成重大危险源，环境风险主要为塑料仓库和成品仓库火灾风险以及废润滑油泄漏及火灾风险，在采取相应的安全措施和制定事故救援应急预案，并加强安全管理后，本项目的环境风险在可接受的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04" w:type="dxa"/>
            <w:gridSpan w:val="15"/>
            <w:vAlign w:val="center"/>
          </w:tcPr>
          <w:p>
            <w:pPr>
              <w:autoSpaceDE w:val="0"/>
              <w:autoSpaceDN w:val="0"/>
              <w:spacing w:line="340" w:lineRule="exact"/>
              <w:jc w:val="center"/>
              <w:textAlignment w:val="bottom"/>
              <w:rPr>
                <w:kern w:val="0"/>
                <w:szCs w:val="21"/>
              </w:rPr>
            </w:pPr>
            <w:r>
              <w:rPr>
                <w:kern w:val="0"/>
                <w:szCs w:val="21"/>
              </w:rPr>
              <w:t>注：“</w:t>
            </w:r>
            <w:r>
              <w:rPr>
                <w:kern w:val="0"/>
                <w:szCs w:val="21"/>
              </w:rPr>
              <w:sym w:font="Wingdings 2" w:char="00A3"/>
            </w:r>
            <w:r>
              <w:rPr>
                <w:kern w:val="0"/>
                <w:szCs w:val="21"/>
              </w:rPr>
              <w:t>”为勾选项，填“√”；“（   ）”为内容填写项</w:t>
            </w:r>
          </w:p>
        </w:tc>
      </w:tr>
    </w:tbl>
    <w:p>
      <w:pPr>
        <w:pStyle w:val="499"/>
        <w:spacing w:line="240" w:lineRule="auto"/>
        <w:ind w:firstLine="420"/>
        <w:rPr>
          <w:rFonts w:ascii="Times New Roman" w:hAnsi="Times New Roman" w:eastAsia="黑体" w:cs="Times New Roman"/>
          <w:sz w:val="21"/>
        </w:rPr>
      </w:pPr>
    </w:p>
    <w:p>
      <w:pPr>
        <w:pStyle w:val="499"/>
        <w:spacing w:line="240" w:lineRule="auto"/>
        <w:ind w:firstLine="420"/>
        <w:rPr>
          <w:rFonts w:ascii="Times New Roman" w:hAnsi="Times New Roman" w:eastAsia="黑体" w:cs="Times New Roman"/>
          <w:sz w:val="21"/>
        </w:rPr>
      </w:pPr>
    </w:p>
    <w:p>
      <w:pPr>
        <w:pStyle w:val="3"/>
        <w:spacing w:before="100" w:beforeAutospacing="1" w:after="100" w:afterAutospacing="1" w:line="360" w:lineRule="auto"/>
        <w:jc w:val="center"/>
      </w:pPr>
      <w:r>
        <w:br w:type="column"/>
      </w:r>
      <w:bookmarkEnd w:id="224"/>
      <w:bookmarkEnd w:id="225"/>
      <w:bookmarkEnd w:id="226"/>
      <w:bookmarkStart w:id="264" w:name="_Toc165386237"/>
      <w:bookmarkStart w:id="265" w:name="_Toc454899386"/>
      <w:bookmarkStart w:id="266" w:name="_Toc309715445"/>
      <w:bookmarkStart w:id="267" w:name="_Toc327365496"/>
      <w:bookmarkStart w:id="268" w:name="_Toc188349464"/>
      <w:bookmarkStart w:id="269" w:name="_Toc149705161"/>
      <w:bookmarkStart w:id="270" w:name="_Toc146967262"/>
      <w:bookmarkStart w:id="271" w:name="_Toc309715414"/>
      <w:bookmarkStart w:id="272" w:name="_Toc30374"/>
      <w:r>
        <w:rPr>
          <w:rFonts w:hint="eastAsia"/>
        </w:rPr>
        <w:t xml:space="preserve">7 </w:t>
      </w:r>
      <w:r>
        <w:t>环境保护措施及其可行性论证</w:t>
      </w:r>
      <w:bookmarkEnd w:id="264"/>
      <w:bookmarkEnd w:id="265"/>
      <w:bookmarkEnd w:id="266"/>
    </w:p>
    <w:p>
      <w:pPr>
        <w:pStyle w:val="4"/>
        <w:adjustRightInd w:val="0"/>
        <w:spacing w:before="120" w:after="120" w:line="460" w:lineRule="exact"/>
        <w:textAlignment w:val="baseline"/>
        <w:rPr>
          <w:rFonts w:ascii="Times New Roman" w:hAnsi="Times New Roman"/>
          <w:b w:val="0"/>
          <w:bCs w:val="0"/>
          <w:szCs w:val="28"/>
        </w:rPr>
      </w:pPr>
      <w:bookmarkStart w:id="273" w:name="_Toc165386238"/>
      <w:bookmarkStart w:id="274" w:name="_Toc454899389"/>
      <w:bookmarkStart w:id="275" w:name="_Toc309715449"/>
      <w:r>
        <w:rPr>
          <w:rFonts w:hint="eastAsia" w:ascii="Times New Roman" w:hAnsi="Times New Roman"/>
          <w:b w:val="0"/>
          <w:bCs w:val="0"/>
          <w:szCs w:val="28"/>
        </w:rPr>
        <w:t>7.1 施工期环境保护</w:t>
      </w:r>
      <w:r>
        <w:rPr>
          <w:rFonts w:ascii="Times New Roman" w:hAnsi="Times New Roman"/>
          <w:b w:val="0"/>
          <w:bCs w:val="0"/>
          <w:szCs w:val="28"/>
        </w:rPr>
        <w:t>措施</w:t>
      </w:r>
      <w:bookmarkEnd w:id="273"/>
    </w:p>
    <w:p>
      <w:pPr>
        <w:spacing w:line="460" w:lineRule="exact"/>
        <w:ind w:firstLine="480" w:firstLineChars="200"/>
        <w:rPr>
          <w:sz w:val="24"/>
        </w:rPr>
      </w:pPr>
      <w:r>
        <w:rPr>
          <w:rFonts w:hint="eastAsia"/>
          <w:sz w:val="24"/>
        </w:rPr>
        <w:t>项目施工期较短，主要为设备按照及厂区地坪、道路完善等，无大型土建工程，主要产生的污染物为机械尾气、设备安装噪声等，对周围环境产生影响。结合本项目的特征和当地环境状况及项目施工过程中对环境的影响，环评提出减少影响的措施和建议。</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7.1</w:t>
      </w:r>
      <w:r>
        <w:rPr>
          <w:rFonts w:ascii="Times New Roman"/>
          <w:szCs w:val="24"/>
        </w:rPr>
        <w:t>.1</w:t>
      </w:r>
      <w:r>
        <w:rPr>
          <w:rFonts w:hint="eastAsia" w:ascii="Times New Roman"/>
          <w:szCs w:val="24"/>
        </w:rPr>
        <w:t>施工期</w:t>
      </w:r>
      <w:r>
        <w:rPr>
          <w:rFonts w:ascii="Times New Roman"/>
          <w:szCs w:val="24"/>
        </w:rPr>
        <w:t>大气污染防治措施</w:t>
      </w:r>
      <w:bookmarkEnd w:id="274"/>
      <w:bookmarkEnd w:id="275"/>
    </w:p>
    <w:p>
      <w:pPr>
        <w:spacing w:line="460" w:lineRule="exact"/>
        <w:ind w:firstLine="480" w:firstLineChars="200"/>
        <w:rPr>
          <w:sz w:val="24"/>
        </w:rPr>
      </w:pPr>
      <w:bookmarkStart w:id="276" w:name="_Toc309715450"/>
      <w:r>
        <w:rPr>
          <w:rFonts w:hint="eastAsia"/>
          <w:sz w:val="24"/>
        </w:rPr>
        <w:t>建设单位针对汽车尾气的排放拟采取以下的措施：</w:t>
      </w:r>
    </w:p>
    <w:p>
      <w:pPr>
        <w:spacing w:line="460" w:lineRule="exact"/>
        <w:ind w:firstLine="480" w:firstLineChars="200"/>
        <w:rPr>
          <w:sz w:val="24"/>
        </w:rPr>
      </w:pPr>
      <w:r>
        <w:rPr>
          <w:rFonts w:hint="eastAsia"/>
          <w:sz w:val="24"/>
        </w:rPr>
        <w:t>（</w:t>
      </w:r>
      <w:r>
        <w:rPr>
          <w:sz w:val="24"/>
        </w:rPr>
        <w:t>1</w:t>
      </w:r>
      <w:r>
        <w:rPr>
          <w:rFonts w:hint="eastAsia"/>
          <w:sz w:val="24"/>
        </w:rPr>
        <w:t>）运输、施工单位使用符合国家有关标准的运输车辆和工程机械，严禁使用超标排放污染物的车辆和机械。</w:t>
      </w:r>
    </w:p>
    <w:p>
      <w:pPr>
        <w:spacing w:line="460" w:lineRule="exact"/>
        <w:ind w:firstLine="480" w:firstLineChars="200"/>
        <w:rPr>
          <w:sz w:val="24"/>
        </w:rPr>
      </w:pPr>
      <w:r>
        <w:rPr>
          <w:rFonts w:hint="eastAsia"/>
          <w:sz w:val="24"/>
        </w:rPr>
        <w:t>（</w:t>
      </w:r>
      <w:r>
        <w:rPr>
          <w:sz w:val="24"/>
        </w:rPr>
        <w:t>2</w:t>
      </w:r>
      <w:r>
        <w:rPr>
          <w:rFonts w:hint="eastAsia"/>
          <w:sz w:val="24"/>
        </w:rPr>
        <w:t>）所有车辆和机械必须定时维修和维护，保证正常运营，减少事故排放。</w:t>
      </w:r>
    </w:p>
    <w:p>
      <w:pPr>
        <w:spacing w:line="460" w:lineRule="exact"/>
        <w:ind w:firstLine="480" w:firstLineChars="200"/>
        <w:rPr>
          <w:sz w:val="24"/>
        </w:rPr>
      </w:pPr>
      <w:r>
        <w:rPr>
          <w:rFonts w:hint="eastAsia"/>
          <w:sz w:val="24"/>
        </w:rPr>
        <w:t>（</w:t>
      </w:r>
      <w:r>
        <w:rPr>
          <w:sz w:val="24"/>
        </w:rPr>
        <w:t>3</w:t>
      </w:r>
      <w:r>
        <w:rPr>
          <w:rFonts w:hint="eastAsia"/>
          <w:sz w:val="24"/>
        </w:rPr>
        <w:t>）运输车辆统一调度，避免出现拥挤，尽可能正常装载和行驶，以免在交通不畅通的情况下，排出更多的尾气。</w:t>
      </w:r>
    </w:p>
    <w:p>
      <w:pPr>
        <w:spacing w:line="460" w:lineRule="exact"/>
        <w:ind w:firstLine="480" w:firstLineChars="200"/>
        <w:rPr>
          <w:sz w:val="24"/>
        </w:rPr>
      </w:pPr>
      <w:r>
        <w:rPr>
          <w:rFonts w:hint="eastAsia"/>
          <w:sz w:val="24"/>
        </w:rPr>
        <w:t>（</w:t>
      </w:r>
      <w:r>
        <w:rPr>
          <w:sz w:val="24"/>
        </w:rPr>
        <w:t>4</w:t>
      </w:r>
      <w:r>
        <w:rPr>
          <w:rFonts w:hint="eastAsia"/>
          <w:sz w:val="24"/>
        </w:rPr>
        <w:t>）运输车辆禁止超载，不得使用劣质燃料；对车辆的尾气排放应进行监督管理，严格执行汽车排污监管办法相关规定，避免排放黑烟。</w:t>
      </w:r>
    </w:p>
    <w:p>
      <w:pPr>
        <w:spacing w:line="460" w:lineRule="exact"/>
        <w:ind w:firstLine="480" w:firstLineChars="200"/>
        <w:rPr>
          <w:sz w:val="24"/>
        </w:rPr>
      </w:pPr>
      <w:r>
        <w:rPr>
          <w:rFonts w:hint="eastAsia"/>
          <w:sz w:val="24"/>
        </w:rPr>
        <w:t>综上所述，施工期大气污染防治措施简单，经济有效，操作难度小；在采取上述措施后，大气污染物的排放将有效减少，不会对当地大气环境质量造成大的影响；评价认为大气污染防治措施有效可行。</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7.1.2施工期水污染防治措施</w:t>
      </w:r>
    </w:p>
    <w:p>
      <w:pPr>
        <w:spacing w:line="460" w:lineRule="exact"/>
        <w:ind w:firstLine="480" w:firstLineChars="200"/>
        <w:rPr>
          <w:sz w:val="24"/>
        </w:rPr>
      </w:pPr>
      <w:r>
        <w:rPr>
          <w:rFonts w:hint="eastAsia"/>
          <w:sz w:val="24"/>
        </w:rPr>
        <w:t>项目施工过程仅为设备安装，不产生施工废水，施工人员均不在厂区食宿，无生活污水产生，不会对区域水环境产生不良影响。</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7.1.3施工期噪声防治措施</w:t>
      </w:r>
    </w:p>
    <w:p>
      <w:pPr>
        <w:spacing w:line="460" w:lineRule="exact"/>
        <w:ind w:firstLine="480" w:firstLineChars="200"/>
        <w:rPr>
          <w:sz w:val="24"/>
        </w:rPr>
      </w:pPr>
      <w:r>
        <w:rPr>
          <w:rFonts w:hint="eastAsia"/>
          <w:sz w:val="24"/>
        </w:rPr>
        <w:t>建设期噪声主要来自运输车辆噪声以及安装噪声。但本项目设备量较少，运输量极小，无大型运输车辆，也不需要长期作业，施工期产生噪声极小，且为间歇排放.</w:t>
      </w:r>
    </w:p>
    <w:p>
      <w:pPr>
        <w:spacing w:line="460" w:lineRule="exact"/>
        <w:ind w:firstLine="480" w:firstLineChars="200"/>
        <w:rPr>
          <w:sz w:val="24"/>
        </w:rPr>
      </w:pPr>
      <w:r>
        <w:rPr>
          <w:rFonts w:hint="eastAsia"/>
          <w:sz w:val="24"/>
        </w:rPr>
        <w:t>1、人为噪声控制</w:t>
      </w:r>
    </w:p>
    <w:p>
      <w:pPr>
        <w:spacing w:line="460" w:lineRule="exact"/>
        <w:ind w:firstLine="480" w:firstLineChars="200"/>
        <w:rPr>
          <w:sz w:val="24"/>
        </w:rPr>
      </w:pPr>
      <w:r>
        <w:rPr>
          <w:rFonts w:hint="eastAsia"/>
          <w:sz w:val="24"/>
        </w:rPr>
        <w:t>（1）提倡文明施工，建立控制人为噪声的管理制度，增强施工人员的环保意识，提高防治噪声扰民的自觉性，减少人为噪声污染。</w:t>
      </w:r>
    </w:p>
    <w:p>
      <w:pPr>
        <w:spacing w:line="460" w:lineRule="exact"/>
        <w:ind w:firstLine="480" w:firstLineChars="200"/>
        <w:rPr>
          <w:sz w:val="24"/>
        </w:rPr>
      </w:pPr>
      <w:r>
        <w:rPr>
          <w:rFonts w:hint="eastAsia"/>
          <w:sz w:val="24"/>
        </w:rPr>
        <w:t>（2）在施工现场禁止大声喧哗吵闹、高声唱歌或敲击工具等。</w:t>
      </w:r>
    </w:p>
    <w:p>
      <w:pPr>
        <w:spacing w:line="460" w:lineRule="exact"/>
        <w:ind w:firstLine="480" w:firstLineChars="200"/>
        <w:rPr>
          <w:sz w:val="24"/>
        </w:rPr>
      </w:pPr>
      <w:r>
        <w:rPr>
          <w:rFonts w:hint="eastAsia"/>
          <w:sz w:val="24"/>
        </w:rPr>
        <w:t>（3）作业中搬运物件，必须轻拿轻放，钢铁件堆放不发出大的声响，严禁抛掷物件而造成噪声。</w:t>
      </w:r>
    </w:p>
    <w:p>
      <w:pPr>
        <w:spacing w:line="460" w:lineRule="exact"/>
        <w:ind w:firstLine="480" w:firstLineChars="200"/>
        <w:rPr>
          <w:sz w:val="24"/>
        </w:rPr>
      </w:pPr>
      <w:r>
        <w:rPr>
          <w:rFonts w:hint="eastAsia"/>
          <w:sz w:val="24"/>
        </w:rPr>
        <w:t>3、个人防护</w:t>
      </w:r>
    </w:p>
    <w:p>
      <w:pPr>
        <w:spacing w:line="460" w:lineRule="exact"/>
        <w:ind w:firstLine="480" w:firstLineChars="200"/>
        <w:rPr>
          <w:sz w:val="24"/>
        </w:rPr>
      </w:pPr>
      <w:r>
        <w:rPr>
          <w:rFonts w:hint="eastAsia"/>
          <w:sz w:val="24"/>
        </w:rPr>
        <w:t>施工单位应合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pPr>
        <w:spacing w:line="460" w:lineRule="exact"/>
        <w:ind w:firstLine="480" w:firstLineChars="200"/>
        <w:rPr>
          <w:sz w:val="24"/>
        </w:rPr>
      </w:pPr>
      <w:r>
        <w:rPr>
          <w:rFonts w:hint="eastAsia"/>
          <w:sz w:val="24"/>
        </w:rPr>
        <w:t>经采取以上的降噪措施后，有效的减缓了施工和运输噪声对项目施工人员和周围居民区的影响，因此施工期拟采取的噪声防治措施可行。</w:t>
      </w:r>
    </w:p>
    <w:p>
      <w:pPr>
        <w:spacing w:line="460" w:lineRule="exact"/>
        <w:ind w:firstLine="480" w:firstLineChars="200"/>
        <w:rPr>
          <w:sz w:val="24"/>
        </w:rPr>
      </w:pPr>
      <w:r>
        <w:rPr>
          <w:rFonts w:hint="eastAsia"/>
          <w:sz w:val="24"/>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7.1.4施工期固体废物防治措施</w:t>
      </w:r>
    </w:p>
    <w:p>
      <w:pPr>
        <w:spacing w:line="460" w:lineRule="exact"/>
        <w:ind w:firstLine="480" w:firstLineChars="200"/>
        <w:rPr>
          <w:sz w:val="24"/>
        </w:rPr>
      </w:pPr>
      <w:r>
        <w:rPr>
          <w:rFonts w:hint="eastAsia"/>
          <w:sz w:val="24"/>
        </w:rPr>
        <w:t>本项目厂房均已建设完成，后期主要进行设备安装，厂房封闭，地坪硬化等，施工量较小，且施工人员不在施工区设置食宿区，因此施工过程基本无固废产生。</w:t>
      </w:r>
    </w:p>
    <w:p>
      <w:pPr>
        <w:pStyle w:val="2"/>
        <w:ind w:firstLine="480"/>
        <w:rPr>
          <w:color w:val="auto"/>
        </w:rPr>
      </w:pPr>
      <w:r>
        <w:rPr>
          <w:color w:val="auto"/>
        </w:rPr>
        <w:br w:type="page"/>
      </w:r>
    </w:p>
    <w:p>
      <w:pPr>
        <w:pStyle w:val="4"/>
        <w:adjustRightInd w:val="0"/>
        <w:spacing w:before="120" w:after="120" w:line="460" w:lineRule="exact"/>
        <w:textAlignment w:val="baseline"/>
        <w:rPr>
          <w:rFonts w:ascii="Times New Roman" w:hAnsi="Times New Roman"/>
          <w:b w:val="0"/>
          <w:bCs w:val="0"/>
          <w:szCs w:val="28"/>
        </w:rPr>
      </w:pPr>
      <w:bookmarkStart w:id="277" w:name="_Toc165386239"/>
      <w:r>
        <w:rPr>
          <w:rFonts w:hint="eastAsia" w:ascii="Times New Roman" w:hAnsi="Times New Roman"/>
          <w:b w:val="0"/>
          <w:bCs w:val="0"/>
          <w:szCs w:val="28"/>
        </w:rPr>
        <w:t>7.2 运营期环境保护措施及可行性分析</w:t>
      </w:r>
      <w:bookmarkEnd w:id="277"/>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7.2.1运营期废气治理措施及可行性分析</w:t>
      </w:r>
    </w:p>
    <w:p>
      <w:pPr>
        <w:pStyle w:val="2"/>
        <w:ind w:firstLine="480"/>
        <w:rPr>
          <w:color w:val="auto"/>
        </w:rPr>
      </w:pPr>
      <w:r>
        <w:rPr>
          <w:color w:val="auto"/>
        </w:rPr>
        <w:t>7.2.1.1</w:t>
      </w:r>
      <w:r>
        <w:rPr>
          <w:rFonts w:hint="eastAsia"/>
          <w:color w:val="auto"/>
        </w:rPr>
        <w:t>废气治理措施比选</w:t>
      </w:r>
    </w:p>
    <w:p>
      <w:pPr>
        <w:spacing w:line="460" w:lineRule="exact"/>
        <w:ind w:firstLine="480" w:firstLineChars="200"/>
        <w:rPr>
          <w:sz w:val="24"/>
        </w:rPr>
      </w:pPr>
      <w:r>
        <w:rPr>
          <w:rFonts w:hint="eastAsia"/>
          <w:sz w:val="24"/>
        </w:rPr>
        <w:t>1、</w:t>
      </w:r>
      <w:r>
        <w:rPr>
          <w:sz w:val="24"/>
        </w:rPr>
        <w:t>有机废气</w:t>
      </w:r>
    </w:p>
    <w:bookmarkEnd w:id="276"/>
    <w:p>
      <w:pPr>
        <w:spacing w:line="460" w:lineRule="exact"/>
        <w:ind w:firstLine="480" w:firstLineChars="200"/>
        <w:rPr>
          <w:sz w:val="24"/>
        </w:rPr>
      </w:pPr>
      <w:r>
        <w:rPr>
          <w:sz w:val="24"/>
        </w:rPr>
        <w:t>（1）处理措施可行性分析</w:t>
      </w:r>
    </w:p>
    <w:p>
      <w:pPr>
        <w:spacing w:line="460" w:lineRule="exact"/>
        <w:ind w:firstLine="480" w:firstLineChars="200"/>
        <w:rPr>
          <w:sz w:val="24"/>
        </w:rPr>
      </w:pPr>
      <w:r>
        <w:rPr>
          <w:sz w:val="24"/>
        </w:rPr>
        <w:t>有机废气净化的方法有</w:t>
      </w:r>
      <w:r>
        <w:rPr>
          <w:rFonts w:hint="eastAsia"/>
          <w:sz w:val="24"/>
        </w:rPr>
        <w:t>主要包括水喷淋、静电除油等预处理技术，吸附、燃烧、吸收、冷凝及其组合治理技术等</w:t>
      </w:r>
      <w:r>
        <w:rPr>
          <w:sz w:val="24"/>
        </w:rPr>
        <w:t>。</w:t>
      </w:r>
      <w:r>
        <w:rPr>
          <w:rFonts w:hint="eastAsia"/>
          <w:sz w:val="24"/>
        </w:rPr>
        <w:t>常见</w:t>
      </w:r>
      <w:r>
        <w:rPr>
          <w:sz w:val="24"/>
        </w:rPr>
        <w:t xml:space="preserve"> VOCs 控制技术之优缺点比较见表7.2-1。</w:t>
      </w:r>
    </w:p>
    <w:p>
      <w:pPr>
        <w:pStyle w:val="499"/>
        <w:spacing w:line="240" w:lineRule="auto"/>
        <w:ind w:firstLine="420"/>
        <w:rPr>
          <w:rFonts w:ascii="Times New Roman" w:hAnsi="Times New Roman" w:eastAsia="黑体" w:cs="Times New Roman"/>
          <w:sz w:val="21"/>
        </w:rPr>
      </w:pPr>
      <w:r>
        <w:rPr>
          <w:rFonts w:ascii="Times New Roman" w:hAnsi="Times New Roman" w:eastAsia="黑体" w:cs="Times New Roman"/>
          <w:sz w:val="21"/>
        </w:rPr>
        <w:t xml:space="preserve">表7.2-1                 </w:t>
      </w:r>
      <w:r>
        <w:rPr>
          <w:rFonts w:hint="eastAsia" w:ascii="Times New Roman" w:hAnsi="Times New Roman" w:eastAsia="黑体" w:cs="Times New Roman"/>
          <w:sz w:val="21"/>
        </w:rPr>
        <w:t xml:space="preserve">常见 </w:t>
      </w:r>
      <w:r>
        <w:rPr>
          <w:rFonts w:ascii="Times New Roman" w:hAnsi="Times New Roman" w:eastAsia="黑体" w:cs="Times New Roman"/>
          <w:sz w:val="21"/>
        </w:rPr>
        <w:t xml:space="preserve">VOCs </w:t>
      </w:r>
      <w:r>
        <w:rPr>
          <w:rFonts w:hint="eastAsia" w:ascii="Times New Roman" w:hAnsi="Times New Roman" w:eastAsia="黑体" w:cs="Times New Roman"/>
          <w:sz w:val="21"/>
        </w:rPr>
        <w:t>控制技术之优缺点比较</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872"/>
        <w:gridCol w:w="2035"/>
        <w:gridCol w:w="2112"/>
        <w:gridCol w:w="2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gridSpan w:val="2"/>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控制技术装备</w:t>
            </w:r>
          </w:p>
        </w:tc>
        <w:tc>
          <w:tcPr>
            <w:tcW w:w="1206"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优点</w:t>
            </w:r>
          </w:p>
        </w:tc>
        <w:tc>
          <w:tcPr>
            <w:tcW w:w="1252"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缺点</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适用范围与受限范围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吸附 技术</w:t>
            </w: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固定床吸附系统</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1.初设成本低；</w:t>
            </w:r>
          </w:p>
          <w:p>
            <w:pPr>
              <w:pStyle w:val="547"/>
              <w:rPr>
                <w:rFonts w:ascii="Times New Roman" w:cs="Times New Roman"/>
                <w:color w:val="auto"/>
                <w:sz w:val="21"/>
                <w:szCs w:val="21"/>
              </w:rPr>
            </w:pPr>
            <w:r>
              <w:rPr>
                <w:rFonts w:ascii="Times New Roman" w:cs="Times New Roman"/>
                <w:color w:val="auto"/>
                <w:sz w:val="21"/>
                <w:szCs w:val="21"/>
              </w:rPr>
              <w:t>2.能源需求低；</w:t>
            </w:r>
          </w:p>
          <w:p>
            <w:pPr>
              <w:pStyle w:val="547"/>
              <w:rPr>
                <w:rFonts w:ascii="Times New Roman" w:cs="Times New Roman"/>
                <w:color w:val="auto"/>
                <w:sz w:val="21"/>
                <w:szCs w:val="21"/>
              </w:rPr>
            </w:pPr>
            <w:r>
              <w:rPr>
                <w:rFonts w:ascii="Times New Roman" w:cs="Times New Roman"/>
                <w:color w:val="auto"/>
                <w:sz w:val="21"/>
                <w:szCs w:val="21"/>
              </w:rPr>
              <w:t>3.适合多种污染物；</w:t>
            </w:r>
          </w:p>
          <w:p>
            <w:pPr>
              <w:pStyle w:val="547"/>
              <w:rPr>
                <w:rFonts w:ascii="Times New Roman" w:cs="Times New Roman"/>
                <w:color w:val="auto"/>
                <w:sz w:val="21"/>
                <w:szCs w:val="21"/>
              </w:rPr>
            </w:pPr>
            <w:r>
              <w:rPr>
                <w:rFonts w:ascii="Times New Roman" w:cs="Times New Roman"/>
                <w:color w:val="auto"/>
                <w:sz w:val="21"/>
                <w:szCs w:val="21"/>
              </w:rPr>
              <w:t>4.臭味去除有很高的效率</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1.操作时间短，更换频繁；</w:t>
            </w:r>
          </w:p>
          <w:p>
            <w:pPr>
              <w:pStyle w:val="547"/>
              <w:rPr>
                <w:rFonts w:ascii="Times New Roman" w:cs="Times New Roman"/>
                <w:color w:val="auto"/>
                <w:sz w:val="21"/>
                <w:szCs w:val="21"/>
              </w:rPr>
            </w:pPr>
            <w:r>
              <w:rPr>
                <w:rFonts w:ascii="Times New Roman" w:cs="Times New Roman"/>
                <w:color w:val="auto"/>
                <w:sz w:val="21"/>
                <w:szCs w:val="21"/>
              </w:rPr>
              <w:t>2.有火灾风险</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适用于生产和使用溶剂型和水性涂料的企业，如生产卷钢、船舶、机械、汽车、家具、包装印刷、电子 涂料、油墨及胶粘剂的企业等低浓度（≤1 000 mg/m</w:t>
            </w:r>
            <w:r>
              <w:rPr>
                <w:rFonts w:ascii="Times New Roman" w:cs="Times New Roman"/>
                <w:color w:val="auto"/>
                <w:sz w:val="21"/>
                <w:szCs w:val="21"/>
                <w:vertAlign w:val="superscript"/>
              </w:rPr>
              <w:t>3</w:t>
            </w:r>
            <w:r>
              <w:rPr>
                <w:rFonts w:ascii="Times New Roman" w:cs="Times New Roman"/>
                <w:color w:val="auto"/>
                <w:sz w:val="21"/>
                <w:szCs w:val="21"/>
              </w:rPr>
              <w:t>）的废气处理； 不适合高浓度、含颗粒物状、湿度大的废气，对废气预处理要求高。此外，对酮类、苯乙烯等气体吸附较差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shd w:val="clear" w:color="auto" w:fill="auto"/>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旋转式（转 轮、转筒）吸附系统</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1.结构紧凑，占地面积小；</w:t>
            </w:r>
          </w:p>
          <w:p>
            <w:pPr>
              <w:pStyle w:val="547"/>
              <w:rPr>
                <w:rFonts w:ascii="Times New Roman" w:cs="Times New Roman"/>
                <w:color w:val="auto"/>
                <w:sz w:val="21"/>
                <w:szCs w:val="21"/>
              </w:rPr>
            </w:pPr>
            <w:r>
              <w:rPr>
                <w:rFonts w:ascii="Times New Roman" w:cs="Times New Roman"/>
                <w:color w:val="auto"/>
                <w:sz w:val="21"/>
                <w:szCs w:val="21"/>
              </w:rPr>
              <w:t>2.操作简单、可连续操作、运行 稳定；</w:t>
            </w:r>
          </w:p>
          <w:p>
            <w:pPr>
              <w:pStyle w:val="547"/>
              <w:rPr>
                <w:rFonts w:ascii="Times New Roman" w:cs="Times New Roman"/>
                <w:color w:val="auto"/>
                <w:sz w:val="21"/>
                <w:szCs w:val="21"/>
              </w:rPr>
            </w:pPr>
            <w:r>
              <w:rPr>
                <w:rFonts w:ascii="Times New Roman" w:cs="Times New Roman"/>
                <w:color w:val="auto"/>
                <w:sz w:val="21"/>
                <w:szCs w:val="21"/>
              </w:rPr>
              <w:t>3.单位床层阻力小；</w:t>
            </w:r>
          </w:p>
          <w:p>
            <w:pPr>
              <w:pStyle w:val="547"/>
              <w:rPr>
                <w:rFonts w:ascii="Times New Roman" w:cs="Times New Roman"/>
                <w:color w:val="auto"/>
                <w:sz w:val="21"/>
                <w:szCs w:val="21"/>
              </w:rPr>
            </w:pPr>
            <w:r>
              <w:rPr>
                <w:rFonts w:ascii="Times New Roman" w:cs="Times New Roman"/>
                <w:color w:val="auto"/>
                <w:sz w:val="21"/>
                <w:szCs w:val="21"/>
              </w:rPr>
              <w:t>4.脱附后废气浓度浮动范围小</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1.运行能耗高；</w:t>
            </w:r>
          </w:p>
          <w:p>
            <w:pPr>
              <w:pStyle w:val="547"/>
              <w:rPr>
                <w:rFonts w:ascii="Times New Roman" w:cs="Times New Roman"/>
                <w:color w:val="auto"/>
                <w:sz w:val="21"/>
                <w:szCs w:val="21"/>
              </w:rPr>
            </w:pPr>
            <w:r>
              <w:rPr>
                <w:rFonts w:ascii="Times New Roman" w:cs="Times New Roman"/>
                <w:color w:val="auto"/>
                <w:sz w:val="21"/>
                <w:szCs w:val="21"/>
              </w:rPr>
              <w:t>2.对密封件要求高，设备制造难度 大、成本高；</w:t>
            </w:r>
          </w:p>
          <w:p>
            <w:pPr>
              <w:pStyle w:val="547"/>
              <w:rPr>
                <w:rFonts w:ascii="Times New Roman" w:cs="Times New Roman"/>
                <w:color w:val="auto"/>
                <w:sz w:val="21"/>
                <w:szCs w:val="21"/>
              </w:rPr>
            </w:pPr>
            <w:r>
              <w:rPr>
                <w:rFonts w:ascii="Times New Roman" w:cs="Times New Roman"/>
                <w:color w:val="auto"/>
                <w:sz w:val="21"/>
                <w:szCs w:val="21"/>
              </w:rPr>
              <w:t>3.无法独立完全处理废气，需要配备 其他废气处理装置；</w:t>
            </w:r>
          </w:p>
          <w:p>
            <w:pPr>
              <w:pStyle w:val="547"/>
              <w:rPr>
                <w:rFonts w:ascii="Times New Roman" w:cs="Times New Roman"/>
                <w:color w:val="auto"/>
                <w:sz w:val="21"/>
                <w:szCs w:val="21"/>
              </w:rPr>
            </w:pPr>
            <w:r>
              <w:rPr>
                <w:rFonts w:ascii="Times New Roman" w:cs="Times New Roman"/>
                <w:color w:val="auto"/>
                <w:sz w:val="21"/>
                <w:szCs w:val="21"/>
              </w:rPr>
              <w:t>4.吸附剂装填空隙小</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适用于低浓度（≤5000mg/m</w:t>
            </w:r>
            <w:r>
              <w:rPr>
                <w:rFonts w:ascii="Times New Roman" w:cs="Times New Roman"/>
                <w:color w:val="auto"/>
                <w:sz w:val="21"/>
                <w:szCs w:val="21"/>
                <w:vertAlign w:val="superscript"/>
              </w:rPr>
              <w:t>3</w:t>
            </w:r>
            <w:r>
              <w:rPr>
                <w:rFonts w:ascii="Times New Roman" w:cs="Times New Roman"/>
                <w:color w:val="auto"/>
                <w:sz w:val="21"/>
                <w:szCs w:val="21"/>
              </w:rPr>
              <w:t>）、大风量（≤100000m</w:t>
            </w:r>
            <w:r>
              <w:rPr>
                <w:rFonts w:ascii="Times New Roman" w:cs="Times New Roman"/>
                <w:color w:val="auto"/>
                <w:sz w:val="21"/>
                <w:szCs w:val="21"/>
                <w:vertAlign w:val="superscript"/>
              </w:rPr>
              <w:t>3</w:t>
            </w:r>
            <w:r>
              <w:rPr>
                <w:rFonts w:ascii="Times New Roman" w:cs="Times New Roman"/>
                <w:color w:val="auto"/>
                <w:sz w:val="21"/>
                <w:szCs w:val="21"/>
              </w:rPr>
              <w:t>/h）的废气处理，如生产卷钢、船舶、机械、汽车、家具、包装印刷、电子、涂料、油墨及胶粘剂等生产或使用溶剂型涂料和水性涂料的行业；不适合含颗粒物状废气，对废气预处理要求高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燃烧 技术</w:t>
            </w: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TO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1.污染物适合范围广；</w:t>
            </w:r>
          </w:p>
          <w:p>
            <w:pPr>
              <w:pStyle w:val="547"/>
              <w:rPr>
                <w:rFonts w:ascii="Times New Roman" w:cs="Times New Roman"/>
                <w:color w:val="auto"/>
                <w:sz w:val="21"/>
                <w:szCs w:val="21"/>
              </w:rPr>
            </w:pPr>
            <w:r>
              <w:rPr>
                <w:rFonts w:ascii="Times New Roman" w:cs="Times New Roman"/>
                <w:color w:val="auto"/>
                <w:sz w:val="21"/>
                <w:szCs w:val="21"/>
              </w:rPr>
              <w:t>2.处理效率高（可达 90% 以上）；</w:t>
            </w:r>
          </w:p>
          <w:p>
            <w:pPr>
              <w:pStyle w:val="547"/>
              <w:rPr>
                <w:rFonts w:ascii="Times New Roman" w:cs="Times New Roman"/>
                <w:color w:val="auto"/>
                <w:sz w:val="21"/>
                <w:szCs w:val="21"/>
              </w:rPr>
            </w:pPr>
            <w:r>
              <w:rPr>
                <w:rFonts w:ascii="Times New Roman" w:cs="Times New Roman"/>
                <w:color w:val="auto"/>
                <w:sz w:val="21"/>
                <w:szCs w:val="21"/>
              </w:rPr>
              <w:t>3.设备简单</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1.对低浓度废气，燃料成本较高；</w:t>
            </w:r>
          </w:p>
          <w:p>
            <w:pPr>
              <w:pStyle w:val="547"/>
              <w:rPr>
                <w:rFonts w:ascii="Times New Roman" w:cs="Times New Roman"/>
                <w:color w:val="auto"/>
                <w:sz w:val="21"/>
                <w:szCs w:val="21"/>
              </w:rPr>
            </w:pPr>
            <w:r>
              <w:rPr>
                <w:rFonts w:ascii="Times New Roman" w:cs="Times New Roman"/>
                <w:color w:val="auto"/>
                <w:sz w:val="21"/>
                <w:szCs w:val="21"/>
              </w:rPr>
              <w:t>2.操作温度及成本高；</w:t>
            </w:r>
          </w:p>
          <w:p>
            <w:pPr>
              <w:pStyle w:val="547"/>
              <w:rPr>
                <w:rFonts w:ascii="Times New Roman" w:cs="Times New Roman"/>
                <w:color w:val="auto"/>
                <w:sz w:val="21"/>
                <w:szCs w:val="21"/>
              </w:rPr>
            </w:pPr>
            <w:r>
              <w:rPr>
                <w:rFonts w:ascii="Times New Roman" w:cs="Times New Roman"/>
                <w:color w:val="auto"/>
                <w:sz w:val="21"/>
                <w:szCs w:val="21"/>
              </w:rPr>
              <w:t>3.可能有 NOx、CO 问题产生</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适用于化工、工业涂装等行业中高浓度、不具有回收价值 VOCs的治理，如涂料、油墨及胶粘剂制造业、汽车制造和集装箱制造等；不适合含氮、硫、卤素等化合物的治理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CO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1.操作温度较直接燃烧低；</w:t>
            </w:r>
          </w:p>
          <w:p>
            <w:pPr>
              <w:pStyle w:val="547"/>
              <w:rPr>
                <w:rFonts w:ascii="Times New Roman" w:cs="Times New Roman"/>
                <w:color w:val="auto"/>
                <w:sz w:val="21"/>
                <w:szCs w:val="21"/>
              </w:rPr>
            </w:pPr>
            <w:r>
              <w:rPr>
                <w:rFonts w:ascii="Times New Roman" w:cs="Times New Roman"/>
                <w:color w:val="auto"/>
                <w:sz w:val="21"/>
                <w:szCs w:val="21"/>
              </w:rPr>
              <w:t>2.相较于 TO，燃料消耗量少；</w:t>
            </w:r>
          </w:p>
          <w:p>
            <w:pPr>
              <w:pStyle w:val="547"/>
              <w:rPr>
                <w:rFonts w:ascii="Times New Roman" w:cs="Times New Roman"/>
                <w:color w:val="auto"/>
                <w:sz w:val="21"/>
                <w:szCs w:val="21"/>
              </w:rPr>
            </w:pPr>
            <w:r>
              <w:rPr>
                <w:rFonts w:ascii="Times New Roman" w:cs="Times New Roman"/>
                <w:color w:val="auto"/>
                <w:sz w:val="21"/>
                <w:szCs w:val="21"/>
              </w:rPr>
              <w:t>3.处理效率高可达（90% 以上）</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1.催化剂易阻塞、烧结、中毒、破损及活性衰退；</w:t>
            </w:r>
          </w:p>
          <w:p>
            <w:pPr>
              <w:pStyle w:val="547"/>
              <w:rPr>
                <w:rFonts w:ascii="Times New Roman" w:cs="Times New Roman"/>
                <w:color w:val="auto"/>
                <w:sz w:val="21"/>
                <w:szCs w:val="21"/>
              </w:rPr>
            </w:pPr>
            <w:r>
              <w:rPr>
                <w:rFonts w:ascii="Times New Roman" w:cs="Times New Roman"/>
                <w:color w:val="auto"/>
                <w:sz w:val="21"/>
                <w:szCs w:val="21"/>
              </w:rPr>
              <w:t>2.对某些污染物成分及浓度有所限制</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适用于中浓度（数千 ppm范围 ）无回收价值的 VOCs 治理，如包装印刷、家具制造等；不适合含有硫、卤素等化合物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RTO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1.高热回收效率（＞ 90%）；</w:t>
            </w:r>
          </w:p>
          <w:p>
            <w:pPr>
              <w:pStyle w:val="547"/>
              <w:rPr>
                <w:rFonts w:ascii="Times New Roman" w:cs="Times New Roman"/>
                <w:color w:val="auto"/>
                <w:sz w:val="21"/>
                <w:szCs w:val="21"/>
              </w:rPr>
            </w:pPr>
            <w:r>
              <w:rPr>
                <w:rFonts w:ascii="Times New Roman" w:cs="Times New Roman"/>
                <w:color w:val="auto"/>
                <w:sz w:val="21"/>
                <w:szCs w:val="21"/>
              </w:rPr>
              <w:t>2.可处理较高进口温度；</w:t>
            </w:r>
          </w:p>
          <w:p>
            <w:pPr>
              <w:pStyle w:val="547"/>
              <w:rPr>
                <w:rFonts w:ascii="Times New Roman" w:cs="Times New Roman"/>
                <w:color w:val="auto"/>
                <w:sz w:val="21"/>
                <w:szCs w:val="21"/>
              </w:rPr>
            </w:pPr>
            <w:r>
              <w:rPr>
                <w:rFonts w:ascii="Times New Roman" w:cs="Times New Roman"/>
                <w:color w:val="auto"/>
                <w:sz w:val="21"/>
                <w:szCs w:val="21"/>
              </w:rPr>
              <w:t>3.可处理含卤素碳氢化合物；</w:t>
            </w:r>
          </w:p>
          <w:p>
            <w:pPr>
              <w:pStyle w:val="547"/>
              <w:rPr>
                <w:rFonts w:ascii="Times New Roman" w:cs="Times New Roman"/>
                <w:color w:val="auto"/>
                <w:sz w:val="21"/>
                <w:szCs w:val="21"/>
              </w:rPr>
            </w:pPr>
            <w:r>
              <w:rPr>
                <w:rFonts w:ascii="Times New Roman" w:cs="Times New Roman"/>
                <w:color w:val="auto"/>
                <w:sz w:val="21"/>
                <w:szCs w:val="21"/>
              </w:rPr>
              <w:t>4.高去除效率</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1.陶瓷床压损大且易阻塞；</w:t>
            </w:r>
          </w:p>
          <w:p>
            <w:pPr>
              <w:pStyle w:val="547"/>
              <w:rPr>
                <w:rFonts w:ascii="Times New Roman" w:cs="Times New Roman"/>
                <w:color w:val="auto"/>
                <w:sz w:val="21"/>
                <w:szCs w:val="21"/>
              </w:rPr>
            </w:pPr>
            <w:r>
              <w:rPr>
                <w:rFonts w:ascii="Times New Roman" w:cs="Times New Roman"/>
                <w:color w:val="auto"/>
                <w:sz w:val="21"/>
                <w:szCs w:val="21"/>
              </w:rPr>
              <w:t>2.低 VOCs浓度时燃料费用高；</w:t>
            </w:r>
          </w:p>
          <w:p>
            <w:pPr>
              <w:pStyle w:val="547"/>
              <w:rPr>
                <w:rFonts w:ascii="Times New Roman" w:cs="Times New Roman"/>
                <w:color w:val="auto"/>
                <w:sz w:val="21"/>
                <w:szCs w:val="21"/>
              </w:rPr>
            </w:pPr>
            <w:r>
              <w:rPr>
                <w:rFonts w:ascii="Times New Roman" w:cs="Times New Roman"/>
                <w:color w:val="auto"/>
                <w:sz w:val="21"/>
                <w:szCs w:val="21"/>
              </w:rPr>
              <w:t>3.NOx问题需注意；</w:t>
            </w:r>
          </w:p>
          <w:p>
            <w:pPr>
              <w:pStyle w:val="547"/>
              <w:rPr>
                <w:rFonts w:ascii="Times New Roman" w:cs="Times New Roman"/>
                <w:color w:val="auto"/>
                <w:sz w:val="21"/>
                <w:szCs w:val="21"/>
              </w:rPr>
            </w:pPr>
            <w:r>
              <w:rPr>
                <w:rFonts w:ascii="Times New Roman" w:cs="Times New Roman"/>
                <w:color w:val="auto"/>
                <w:sz w:val="21"/>
                <w:szCs w:val="21"/>
              </w:rPr>
              <w:t>4.热机 / 冷却时间长（12～24 h）；</w:t>
            </w:r>
          </w:p>
          <w:p>
            <w:pPr>
              <w:pStyle w:val="547"/>
              <w:rPr>
                <w:rFonts w:ascii="Times New Roman" w:cs="Times New Roman"/>
                <w:color w:val="auto"/>
                <w:sz w:val="21"/>
                <w:szCs w:val="21"/>
              </w:rPr>
            </w:pPr>
            <w:r>
              <w:rPr>
                <w:rFonts w:ascii="Times New Roman" w:cs="Times New Roman"/>
                <w:color w:val="auto"/>
                <w:sz w:val="21"/>
                <w:szCs w:val="21"/>
              </w:rPr>
              <w:t>5.需定期清除氧化室</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适用于中高浓度、不具有回收价值 VOCs 的治理，如集装箱制造、汽车制造、家具制造等；不适合易自聚化合物（苯乙烯等）硅烷类化合物、含氮化合物等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RCO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1.操作成本较 RTO低；</w:t>
            </w:r>
          </w:p>
          <w:p>
            <w:pPr>
              <w:pStyle w:val="547"/>
              <w:rPr>
                <w:rFonts w:ascii="Times New Roman" w:cs="Times New Roman"/>
                <w:color w:val="auto"/>
                <w:sz w:val="21"/>
                <w:szCs w:val="21"/>
              </w:rPr>
            </w:pPr>
            <w:r>
              <w:rPr>
                <w:rFonts w:ascii="Times New Roman" w:cs="Times New Roman"/>
                <w:color w:val="auto"/>
                <w:sz w:val="21"/>
                <w:szCs w:val="21"/>
              </w:rPr>
              <w:t>2.设备体积较 RTO 小；</w:t>
            </w:r>
          </w:p>
          <w:p>
            <w:pPr>
              <w:pStyle w:val="547"/>
              <w:rPr>
                <w:rFonts w:ascii="Times New Roman" w:cs="Times New Roman"/>
                <w:color w:val="auto"/>
                <w:sz w:val="21"/>
                <w:szCs w:val="21"/>
              </w:rPr>
            </w:pPr>
            <w:r>
              <w:rPr>
                <w:rFonts w:ascii="Times New Roman" w:cs="Times New Roman"/>
                <w:color w:val="auto"/>
                <w:sz w:val="21"/>
                <w:szCs w:val="21"/>
              </w:rPr>
              <w:t>3. 高去除率（95%～99%）及高热回收率（＞ 90%）</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1.催化剂成本高、且有废弃催化剂处理问题；</w:t>
            </w:r>
          </w:p>
          <w:p>
            <w:pPr>
              <w:pStyle w:val="547"/>
              <w:rPr>
                <w:rFonts w:ascii="Times New Roman" w:cs="Times New Roman"/>
                <w:color w:val="auto"/>
                <w:sz w:val="21"/>
                <w:szCs w:val="21"/>
              </w:rPr>
            </w:pPr>
            <w:r>
              <w:rPr>
                <w:rFonts w:ascii="Times New Roman" w:cs="Times New Roman"/>
                <w:color w:val="auto"/>
                <w:sz w:val="21"/>
                <w:szCs w:val="21"/>
              </w:rPr>
              <w:t>2.催化剂易阻塞、烧结、中毒、破损及活性衰退</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适用于中高浓度废气治 理，如化工、工业涂装、包装印刷等行业；不适合处理易自聚、易反应等物质（苯乙烯），不适合处理硅烷类及含氮化合物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冷凝 技术</w:t>
            </w: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管壳式冷凝器、板 面式冷凝器</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1.设备及操作简单；</w:t>
            </w:r>
          </w:p>
          <w:p>
            <w:pPr>
              <w:pStyle w:val="547"/>
              <w:rPr>
                <w:rFonts w:ascii="Times New Roman" w:cs="Times New Roman"/>
                <w:color w:val="auto"/>
                <w:sz w:val="21"/>
                <w:szCs w:val="21"/>
              </w:rPr>
            </w:pPr>
            <w:r>
              <w:rPr>
                <w:rFonts w:ascii="Times New Roman" w:cs="Times New Roman"/>
                <w:color w:val="auto"/>
                <w:sz w:val="21"/>
                <w:szCs w:val="21"/>
              </w:rPr>
              <w:t>2.回收的物质纯净；</w:t>
            </w:r>
          </w:p>
          <w:p>
            <w:pPr>
              <w:pStyle w:val="547"/>
              <w:rPr>
                <w:rFonts w:ascii="Times New Roman" w:cs="Times New Roman"/>
                <w:color w:val="auto"/>
                <w:sz w:val="21"/>
                <w:szCs w:val="21"/>
              </w:rPr>
            </w:pPr>
            <w:r>
              <w:rPr>
                <w:rFonts w:ascii="Times New Roman" w:cs="Times New Roman"/>
                <w:color w:val="auto"/>
                <w:sz w:val="21"/>
                <w:szCs w:val="21"/>
              </w:rPr>
              <w:t>3.投资及运行费用低</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1.净化效率不高；</w:t>
            </w:r>
          </w:p>
          <w:p>
            <w:pPr>
              <w:pStyle w:val="547"/>
              <w:rPr>
                <w:rFonts w:ascii="Times New Roman" w:cs="Times New Roman"/>
                <w:color w:val="auto"/>
                <w:sz w:val="21"/>
                <w:szCs w:val="21"/>
              </w:rPr>
            </w:pPr>
            <w:r>
              <w:rPr>
                <w:rFonts w:ascii="Times New Roman" w:cs="Times New Roman"/>
                <w:color w:val="auto"/>
                <w:sz w:val="21"/>
                <w:szCs w:val="21"/>
              </w:rPr>
              <w:t>2.设备较庞大；</w:t>
            </w:r>
          </w:p>
          <w:p>
            <w:pPr>
              <w:pStyle w:val="547"/>
              <w:rPr>
                <w:rFonts w:ascii="Times New Roman" w:cs="Times New Roman"/>
                <w:color w:val="auto"/>
                <w:sz w:val="21"/>
                <w:szCs w:val="21"/>
              </w:rPr>
            </w:pPr>
            <w:r>
              <w:rPr>
                <w:rFonts w:ascii="Times New Roman" w:cs="Times New Roman"/>
                <w:color w:val="auto"/>
                <w:sz w:val="21"/>
                <w:szCs w:val="21"/>
              </w:rPr>
              <w:t>3.净化后不能达标，需设后处理工艺</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适用于高浓度（≥10000 mg/m</w:t>
            </w:r>
            <w:r>
              <w:rPr>
                <w:rFonts w:ascii="Times New Roman" w:cs="Times New Roman"/>
                <w:color w:val="auto"/>
                <w:sz w:val="21"/>
                <w:szCs w:val="21"/>
                <w:vertAlign w:val="superscript"/>
              </w:rPr>
              <w:t>3</w:t>
            </w:r>
            <w:r>
              <w:rPr>
                <w:rFonts w:ascii="Times New Roman" w:cs="Times New Roman"/>
                <w:color w:val="auto"/>
                <w:sz w:val="21"/>
                <w:szCs w:val="21"/>
              </w:rPr>
              <w:t>）、 中低风量、具有回收价值的 VOCs治理，主要应用于医药制药、炼油与石油化工类行业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其他 组合 技术</w:t>
            </w: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沸石浓缩转 +TO/ RTO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1.去除效率高（300 ppm 以下）；</w:t>
            </w:r>
          </w:p>
          <w:p>
            <w:pPr>
              <w:pStyle w:val="547"/>
              <w:rPr>
                <w:rFonts w:ascii="Times New Roman" w:cs="Times New Roman"/>
                <w:color w:val="auto"/>
                <w:sz w:val="21"/>
                <w:szCs w:val="21"/>
              </w:rPr>
            </w:pPr>
            <w:r>
              <w:rPr>
                <w:rFonts w:ascii="Times New Roman" w:cs="Times New Roman"/>
                <w:color w:val="auto"/>
                <w:sz w:val="21"/>
                <w:szCs w:val="21"/>
              </w:rPr>
              <w:t>2.高浓缩比（5～30）；</w:t>
            </w:r>
          </w:p>
          <w:p>
            <w:pPr>
              <w:pStyle w:val="547"/>
              <w:rPr>
                <w:rFonts w:ascii="Times New Roman" w:cs="Times New Roman"/>
                <w:color w:val="auto"/>
                <w:sz w:val="21"/>
                <w:szCs w:val="21"/>
              </w:rPr>
            </w:pPr>
            <w:r>
              <w:rPr>
                <w:rFonts w:ascii="Times New Roman" w:cs="Times New Roman"/>
                <w:color w:val="auto"/>
                <w:sz w:val="21"/>
                <w:szCs w:val="21"/>
              </w:rPr>
              <w:t>3.燃料费较省；4. 高处理效益</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1.含高沸点物质时，转轮需定期水洗 再生（废水处理问题），还会有蓄热 材料堵塞问题；</w:t>
            </w:r>
          </w:p>
          <w:p>
            <w:pPr>
              <w:pStyle w:val="547"/>
              <w:rPr>
                <w:rFonts w:ascii="Times New Roman" w:cs="Times New Roman"/>
                <w:color w:val="auto"/>
                <w:sz w:val="21"/>
                <w:szCs w:val="21"/>
              </w:rPr>
            </w:pPr>
            <w:r>
              <w:rPr>
                <w:rFonts w:ascii="Times New Roman" w:cs="Times New Roman"/>
                <w:color w:val="auto"/>
                <w:sz w:val="21"/>
                <w:szCs w:val="21"/>
              </w:rPr>
              <w:t>2.浓度较高时及操作处理不当时，有 潜在的着火危险，需加装保护措施（N2 及消防水自动喷洒）；</w:t>
            </w:r>
          </w:p>
          <w:p>
            <w:pPr>
              <w:pStyle w:val="547"/>
              <w:rPr>
                <w:rFonts w:ascii="Times New Roman" w:cs="Times New Roman"/>
                <w:color w:val="auto"/>
                <w:sz w:val="21"/>
                <w:szCs w:val="21"/>
              </w:rPr>
            </w:pPr>
            <w:r>
              <w:rPr>
                <w:rFonts w:ascii="Times New Roman" w:cs="Times New Roman"/>
                <w:color w:val="auto"/>
                <w:sz w:val="21"/>
                <w:szCs w:val="21"/>
              </w:rPr>
              <w:t>3.转轮寿命 3～5 年（高沸点成分脱附困难）；</w:t>
            </w:r>
          </w:p>
          <w:p>
            <w:pPr>
              <w:pStyle w:val="547"/>
              <w:rPr>
                <w:rFonts w:ascii="Times New Roman" w:cs="Times New Roman"/>
                <w:color w:val="auto"/>
                <w:sz w:val="21"/>
                <w:szCs w:val="21"/>
              </w:rPr>
            </w:pPr>
            <w:r>
              <w:rPr>
                <w:rFonts w:ascii="Times New Roman" w:cs="Times New Roman"/>
                <w:color w:val="auto"/>
                <w:sz w:val="21"/>
                <w:szCs w:val="21"/>
              </w:rPr>
              <w:t>4.系统压力变动大；</w:t>
            </w:r>
          </w:p>
          <w:p>
            <w:pPr>
              <w:pStyle w:val="547"/>
              <w:rPr>
                <w:rFonts w:ascii="Times New Roman" w:cs="Times New Roman"/>
                <w:color w:val="auto"/>
                <w:sz w:val="21"/>
                <w:szCs w:val="21"/>
              </w:rPr>
            </w:pPr>
            <w:r>
              <w:rPr>
                <w:rFonts w:ascii="Times New Roman" w:cs="Times New Roman"/>
                <w:color w:val="auto"/>
                <w:sz w:val="21"/>
                <w:szCs w:val="21"/>
              </w:rPr>
              <w:t>5.燃料费用高</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适用于如汽车制造行业企业等产生废气量大（≥100000m</w:t>
            </w:r>
            <w:r>
              <w:rPr>
                <w:rFonts w:ascii="Times New Roman" w:cs="Times New Roman"/>
                <w:color w:val="auto"/>
                <w:sz w:val="21"/>
                <w:szCs w:val="21"/>
                <w:vertAlign w:val="superscript"/>
              </w:rPr>
              <w:t>3</w:t>
            </w:r>
            <w:r>
              <w:rPr>
                <w:rFonts w:ascii="Times New Roman" w:cs="Times New Roman"/>
                <w:color w:val="auto"/>
                <w:sz w:val="21"/>
                <w:szCs w:val="21"/>
              </w:rPr>
              <w:t>/h）且浓度低的企业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活性炭+ CO</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1.一次性投资费用低；</w:t>
            </w:r>
          </w:p>
          <w:p>
            <w:pPr>
              <w:pStyle w:val="547"/>
              <w:rPr>
                <w:rFonts w:ascii="Times New Roman" w:cs="Times New Roman"/>
                <w:color w:val="auto"/>
                <w:sz w:val="21"/>
                <w:szCs w:val="21"/>
              </w:rPr>
            </w:pPr>
            <w:r>
              <w:rPr>
                <w:rFonts w:ascii="Times New Roman" w:cs="Times New Roman"/>
                <w:color w:val="auto"/>
                <w:sz w:val="21"/>
                <w:szCs w:val="21"/>
              </w:rPr>
              <w:t>2.浓缩比可达 10</w:t>
            </w:r>
            <w:r>
              <w:rPr>
                <w:rFonts w:hint="eastAsia" w:hAnsi="宋体"/>
                <w:color w:val="auto"/>
                <w:sz w:val="21"/>
                <w:szCs w:val="21"/>
              </w:rPr>
              <w:t>∶</w:t>
            </w:r>
            <w:r>
              <w:rPr>
                <w:rFonts w:ascii="Times New Roman" w:cs="Times New Roman"/>
                <w:color w:val="auto"/>
                <w:sz w:val="21"/>
                <w:szCs w:val="21"/>
              </w:rPr>
              <w:t>1；</w:t>
            </w:r>
          </w:p>
          <w:p>
            <w:pPr>
              <w:pStyle w:val="547"/>
              <w:rPr>
                <w:rFonts w:ascii="Times New Roman" w:cs="Times New Roman"/>
                <w:color w:val="auto"/>
                <w:sz w:val="21"/>
                <w:szCs w:val="21"/>
              </w:rPr>
            </w:pPr>
            <w:r>
              <w:rPr>
                <w:rFonts w:ascii="Times New Roman" w:cs="Times New Roman"/>
                <w:color w:val="auto"/>
                <w:sz w:val="21"/>
                <w:szCs w:val="21"/>
              </w:rPr>
              <w:t>3.能耗低；</w:t>
            </w:r>
          </w:p>
          <w:p>
            <w:pPr>
              <w:pStyle w:val="547"/>
              <w:rPr>
                <w:rFonts w:ascii="Times New Roman" w:cs="Times New Roman"/>
                <w:color w:val="auto"/>
                <w:sz w:val="21"/>
                <w:szCs w:val="21"/>
              </w:rPr>
            </w:pPr>
            <w:r>
              <w:rPr>
                <w:rFonts w:ascii="Times New Roman" w:cs="Times New Roman"/>
                <w:color w:val="auto"/>
                <w:sz w:val="21"/>
                <w:szCs w:val="21"/>
              </w:rPr>
              <w:t>4.处理风量大；</w:t>
            </w:r>
          </w:p>
          <w:p>
            <w:pPr>
              <w:pStyle w:val="547"/>
              <w:rPr>
                <w:rFonts w:ascii="Times New Roman" w:cs="Times New Roman"/>
                <w:color w:val="auto"/>
                <w:sz w:val="21"/>
                <w:szCs w:val="21"/>
              </w:rPr>
            </w:pPr>
            <w:r>
              <w:rPr>
                <w:rFonts w:ascii="Times New Roman" w:cs="Times New Roman"/>
                <w:color w:val="auto"/>
                <w:sz w:val="21"/>
                <w:szCs w:val="21"/>
              </w:rPr>
              <w:t>5.净化效率高，≥90%</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1.活性炭和催化剂需定期更换；</w:t>
            </w:r>
          </w:p>
          <w:p>
            <w:pPr>
              <w:pStyle w:val="547"/>
              <w:rPr>
                <w:rFonts w:ascii="Times New Roman" w:cs="Times New Roman"/>
                <w:color w:val="auto"/>
                <w:sz w:val="21"/>
                <w:szCs w:val="21"/>
              </w:rPr>
            </w:pPr>
            <w:r>
              <w:rPr>
                <w:rFonts w:ascii="Times New Roman" w:cs="Times New Roman"/>
                <w:color w:val="auto"/>
                <w:sz w:val="21"/>
                <w:szCs w:val="21"/>
              </w:rPr>
              <w:t>2.粉尘量大于0.3mg/Nm</w:t>
            </w:r>
            <w:r>
              <w:rPr>
                <w:rFonts w:ascii="Times New Roman" w:cs="Times New Roman"/>
                <w:color w:val="auto"/>
                <w:sz w:val="21"/>
                <w:szCs w:val="21"/>
                <w:vertAlign w:val="superscript"/>
              </w:rPr>
              <w:t>3</w:t>
            </w:r>
            <w:r>
              <w:rPr>
                <w:rFonts w:ascii="Times New Roman" w:cs="Times New Roman"/>
                <w:color w:val="auto"/>
                <w:sz w:val="21"/>
                <w:szCs w:val="21"/>
              </w:rPr>
              <w:t>时需要 除尘；</w:t>
            </w:r>
          </w:p>
          <w:p>
            <w:pPr>
              <w:pStyle w:val="547"/>
              <w:rPr>
                <w:rFonts w:ascii="Times New Roman" w:cs="Times New Roman"/>
                <w:color w:val="auto"/>
                <w:sz w:val="21"/>
                <w:szCs w:val="21"/>
              </w:rPr>
            </w:pPr>
            <w:r>
              <w:rPr>
                <w:rFonts w:ascii="Times New Roman" w:cs="Times New Roman"/>
                <w:color w:val="auto"/>
                <w:sz w:val="21"/>
                <w:szCs w:val="21"/>
              </w:rPr>
              <w:t>3.不适合处理有机物浓度高于1g/ Nm</w:t>
            </w:r>
            <w:r>
              <w:rPr>
                <w:rFonts w:ascii="Times New Roman" w:cs="Times New Roman"/>
                <w:color w:val="auto"/>
                <w:sz w:val="21"/>
                <w:szCs w:val="21"/>
                <w:vertAlign w:val="superscript"/>
              </w:rPr>
              <w:t>3</w:t>
            </w:r>
            <w:r>
              <w:rPr>
                <w:rFonts w:ascii="Times New Roman" w:cs="Times New Roman"/>
                <w:color w:val="auto"/>
                <w:sz w:val="21"/>
                <w:szCs w:val="21"/>
              </w:rPr>
              <w:t>的废气</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适用于低浓度（≤1000 mg/m</w:t>
            </w:r>
            <w:r>
              <w:rPr>
                <w:rFonts w:ascii="Times New Roman" w:cs="Times New Roman"/>
                <w:color w:val="auto"/>
                <w:sz w:val="21"/>
                <w:szCs w:val="21"/>
                <w:vertAlign w:val="superscript"/>
              </w:rPr>
              <w:t>3</w:t>
            </w:r>
            <w:r>
              <w:rPr>
                <w:rFonts w:ascii="Times New Roman" w:cs="Times New Roman"/>
                <w:color w:val="auto"/>
                <w:sz w:val="21"/>
                <w:szCs w:val="21"/>
              </w:rPr>
              <w:t>）的废气处理；不适合高浓度、含颗粒物状、湿度大的废气；不适合处理含高沸点物质、硫化物、卤素、重金属、油雾、强酸或碱性的废气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vAlign w:val="center"/>
          </w:tcPr>
          <w:p>
            <w:pPr>
              <w:pStyle w:val="547"/>
              <w:jc w:val="center"/>
              <w:rPr>
                <w:rFonts w:ascii="Times New Roman" w:cs="Times New Roman"/>
                <w:color w:val="auto"/>
                <w:sz w:val="21"/>
                <w:szCs w:val="21"/>
              </w:rPr>
            </w:pPr>
          </w:p>
        </w:tc>
        <w:tc>
          <w:tcPr>
            <w:tcW w:w="517"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冷凝+吸附</w:t>
            </w:r>
          </w:p>
        </w:tc>
        <w:tc>
          <w:tcPr>
            <w:tcW w:w="1206"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1.回收率高、回收物纯度高，经济效益高；</w:t>
            </w:r>
          </w:p>
          <w:p>
            <w:pPr>
              <w:pStyle w:val="547"/>
              <w:rPr>
                <w:rFonts w:ascii="Times New Roman" w:cs="Times New Roman"/>
                <w:color w:val="auto"/>
                <w:sz w:val="21"/>
                <w:szCs w:val="21"/>
              </w:rPr>
            </w:pPr>
            <w:r>
              <w:rPr>
                <w:rFonts w:ascii="Times New Roman" w:cs="Times New Roman"/>
                <w:color w:val="auto"/>
                <w:sz w:val="21"/>
                <w:szCs w:val="21"/>
              </w:rPr>
              <w:t>2.低温下吸附处理 VOCs气 体安全性高</w:t>
            </w:r>
          </w:p>
        </w:tc>
        <w:tc>
          <w:tcPr>
            <w:tcW w:w="1252" w:type="pct"/>
            <w:shd w:val="clear" w:color="auto" w:fill="auto"/>
            <w:vAlign w:val="center"/>
          </w:tcPr>
          <w:p>
            <w:pPr>
              <w:pStyle w:val="547"/>
              <w:rPr>
                <w:rFonts w:ascii="Times New Roman" w:cs="Times New Roman"/>
                <w:color w:val="auto"/>
                <w:sz w:val="21"/>
                <w:szCs w:val="21"/>
              </w:rPr>
            </w:pPr>
            <w:r>
              <w:rPr>
                <w:rFonts w:ascii="Times New Roman" w:cs="Times New Roman"/>
                <w:color w:val="auto"/>
                <w:sz w:val="21"/>
                <w:szCs w:val="21"/>
              </w:rPr>
              <w:t>1.单一冷凝要达标需要到很低的温度，耗电量较大，日常维护需专业的人员；</w:t>
            </w:r>
          </w:p>
          <w:p>
            <w:pPr>
              <w:pStyle w:val="547"/>
              <w:rPr>
                <w:rFonts w:ascii="Times New Roman" w:cs="Times New Roman"/>
                <w:color w:val="auto"/>
                <w:sz w:val="21"/>
                <w:szCs w:val="21"/>
              </w:rPr>
            </w:pPr>
            <w:r>
              <w:rPr>
                <w:rFonts w:ascii="Times New Roman" w:cs="Times New Roman"/>
                <w:color w:val="auto"/>
                <w:sz w:val="21"/>
                <w:szCs w:val="21"/>
              </w:rPr>
              <w:t>2.净化程度受冷凝温度限制、运行成本高；3.需要有附设的冷冻设备，投资大 能耗高、运行费用大；</w:t>
            </w:r>
          </w:p>
          <w:p>
            <w:pPr>
              <w:pStyle w:val="547"/>
              <w:rPr>
                <w:rFonts w:ascii="Times New Roman" w:cs="Times New Roman"/>
                <w:color w:val="auto"/>
                <w:sz w:val="21"/>
                <w:szCs w:val="21"/>
              </w:rPr>
            </w:pPr>
            <w:r>
              <w:rPr>
                <w:rFonts w:ascii="Times New Roman" w:cs="Times New Roman"/>
                <w:color w:val="auto"/>
                <w:sz w:val="21"/>
                <w:szCs w:val="21"/>
              </w:rPr>
              <w:t>4.占地空间较大，吸附剂需定期更换</w:t>
            </w:r>
          </w:p>
        </w:tc>
        <w:tc>
          <w:tcPr>
            <w:tcW w:w="1638" w:type="pct"/>
            <w:shd w:val="clear" w:color="auto" w:fill="auto"/>
            <w:vAlign w:val="center"/>
          </w:tcPr>
          <w:p>
            <w:pPr>
              <w:pStyle w:val="547"/>
              <w:jc w:val="center"/>
              <w:rPr>
                <w:rFonts w:ascii="Times New Roman" w:cs="Times New Roman"/>
                <w:color w:val="auto"/>
                <w:sz w:val="21"/>
                <w:szCs w:val="21"/>
              </w:rPr>
            </w:pPr>
            <w:r>
              <w:rPr>
                <w:rFonts w:ascii="Times New Roman" w:cs="Times New Roman"/>
                <w:color w:val="auto"/>
                <w:sz w:val="21"/>
                <w:szCs w:val="21"/>
              </w:rPr>
              <w:t>适用于高沸点、高浓度 VOCs治理，如炼油、石油化工、其他化学工业行业以及合成材料行业的企业</w:t>
            </w:r>
          </w:p>
        </w:tc>
      </w:tr>
    </w:tbl>
    <w:p>
      <w:pPr>
        <w:spacing w:line="460" w:lineRule="exact"/>
        <w:ind w:firstLine="480" w:firstLineChars="200"/>
        <w:rPr>
          <w:sz w:val="24"/>
        </w:rPr>
      </w:pPr>
      <w:r>
        <w:rPr>
          <w:sz w:val="24"/>
        </w:rPr>
        <w:t>根据比选，</w:t>
      </w:r>
      <w:r>
        <w:rPr>
          <w:rFonts w:hint="eastAsia"/>
          <w:sz w:val="24"/>
        </w:rPr>
        <w:t>“固定床吸附系统”技术适用于生产和使用溶剂型和水性涂料的企业；“旋转式（转 轮、转筒）吸附系统”技术适用于低浓度（≤</w:t>
      </w:r>
      <w:r>
        <w:rPr>
          <w:sz w:val="24"/>
        </w:rPr>
        <w:t>5000mg/m</w:t>
      </w:r>
      <w:r>
        <w:rPr>
          <w:sz w:val="24"/>
          <w:vertAlign w:val="superscript"/>
        </w:rPr>
        <w:t>3</w:t>
      </w:r>
      <w:r>
        <w:rPr>
          <w:rFonts w:hint="eastAsia"/>
          <w:sz w:val="24"/>
        </w:rPr>
        <w:t>）、大风量（≤</w:t>
      </w:r>
      <w:r>
        <w:rPr>
          <w:sz w:val="24"/>
        </w:rPr>
        <w:t>100000m</w:t>
      </w:r>
      <w:r>
        <w:rPr>
          <w:sz w:val="24"/>
          <w:vertAlign w:val="superscript"/>
        </w:rPr>
        <w:t>3</w:t>
      </w:r>
      <w:r>
        <w:rPr>
          <w:sz w:val="24"/>
        </w:rPr>
        <w:t>/h</w:t>
      </w:r>
      <w:r>
        <w:rPr>
          <w:rFonts w:hint="eastAsia"/>
          <w:sz w:val="24"/>
        </w:rPr>
        <w:t>）的废气处理；“直燃式废气燃烧装置（TO）”技术适用于化工、工业涂装等行业中高浓度 </w:t>
      </w:r>
      <w:r>
        <w:rPr>
          <w:sz w:val="24"/>
        </w:rPr>
        <w:t>VOCs</w:t>
      </w:r>
      <w:r>
        <w:rPr>
          <w:rFonts w:hint="eastAsia"/>
          <w:sz w:val="24"/>
        </w:rPr>
        <w:t>的治理，对低浓度废气，燃料成本较高；“催化燃烧装置（</w:t>
      </w:r>
      <w:r>
        <w:rPr>
          <w:sz w:val="24"/>
        </w:rPr>
        <w:t>CO</w:t>
      </w:r>
      <w:r>
        <w:rPr>
          <w:rFonts w:hint="eastAsia"/>
          <w:sz w:val="24"/>
        </w:rPr>
        <w:t>）”技术适用于中浓度（数千 </w:t>
      </w:r>
      <w:r>
        <w:rPr>
          <w:sz w:val="24"/>
        </w:rPr>
        <w:t>ppm</w:t>
      </w:r>
      <w:r>
        <w:rPr>
          <w:rFonts w:hint="eastAsia"/>
          <w:sz w:val="24"/>
        </w:rPr>
        <w:t>范围 ） </w:t>
      </w:r>
      <w:r>
        <w:rPr>
          <w:sz w:val="24"/>
        </w:rPr>
        <w:t>VOCs</w:t>
      </w:r>
      <w:r>
        <w:rPr>
          <w:rFonts w:hint="eastAsia"/>
          <w:sz w:val="24"/>
        </w:rPr>
        <w:t>的治理，催化剂易阻塞、烧结、中毒、破损及活性衰退；“蓄热热力燃烧装置（</w:t>
      </w:r>
      <w:r>
        <w:rPr>
          <w:sz w:val="24"/>
        </w:rPr>
        <w:t>RTO</w:t>
      </w:r>
      <w:r>
        <w:rPr>
          <w:rFonts w:hint="eastAsia"/>
          <w:sz w:val="24"/>
        </w:rPr>
        <w:t>）”技术适用于中高浓度、不具有回收价值</w:t>
      </w:r>
      <w:r>
        <w:rPr>
          <w:sz w:val="24"/>
        </w:rPr>
        <w:t>VOCs</w:t>
      </w:r>
      <w:r>
        <w:rPr>
          <w:rFonts w:hint="eastAsia"/>
          <w:sz w:val="24"/>
        </w:rPr>
        <w:t>的治理，低 </w:t>
      </w:r>
      <w:r>
        <w:rPr>
          <w:sz w:val="24"/>
        </w:rPr>
        <w:t xml:space="preserve">VOCs </w:t>
      </w:r>
      <w:r>
        <w:rPr>
          <w:rFonts w:hint="eastAsia"/>
          <w:sz w:val="24"/>
        </w:rPr>
        <w:t>浓度时燃料费用高；“蓄热催化燃烧装置（</w:t>
      </w:r>
      <w:r>
        <w:rPr>
          <w:sz w:val="24"/>
        </w:rPr>
        <w:t>RCO</w:t>
      </w:r>
      <w:r>
        <w:rPr>
          <w:rFonts w:hint="eastAsia"/>
          <w:sz w:val="24"/>
        </w:rPr>
        <w:t>）”技术适用于中高浓度废气治理；“管壳式冷凝器、板面式冷凝器”技术适用于高浓度（≥</w:t>
      </w:r>
      <w:r>
        <w:rPr>
          <w:sz w:val="24"/>
        </w:rPr>
        <w:t>10000 mg/m</w:t>
      </w:r>
      <w:r>
        <w:rPr>
          <w:sz w:val="24"/>
          <w:vertAlign w:val="superscript"/>
        </w:rPr>
        <w:t>3</w:t>
      </w:r>
      <w:r>
        <w:rPr>
          <w:rFonts w:hint="eastAsia"/>
          <w:sz w:val="24"/>
        </w:rPr>
        <w:t>），净化效率不高；“沸石浓缩转 </w:t>
      </w:r>
      <w:r>
        <w:rPr>
          <w:sz w:val="24"/>
        </w:rPr>
        <w:t>+TO/ RTO</w:t>
      </w:r>
      <w:r>
        <w:rPr>
          <w:rFonts w:hint="eastAsia"/>
          <w:sz w:val="24"/>
        </w:rPr>
        <w:t>”技术适用于如汽车制造行业企业等产生废气量大（≥</w:t>
      </w:r>
      <w:r>
        <w:rPr>
          <w:sz w:val="24"/>
        </w:rPr>
        <w:t>100000m</w:t>
      </w:r>
      <w:r>
        <w:rPr>
          <w:sz w:val="24"/>
          <w:vertAlign w:val="superscript"/>
        </w:rPr>
        <w:t>3</w:t>
      </w:r>
      <w:r>
        <w:rPr>
          <w:sz w:val="24"/>
        </w:rPr>
        <w:t>/h</w:t>
      </w:r>
      <w:r>
        <w:rPr>
          <w:rFonts w:hint="eastAsia"/>
          <w:sz w:val="24"/>
        </w:rPr>
        <w:t>）且浓度低的企业；</w:t>
      </w:r>
      <w:r>
        <w:rPr>
          <w:sz w:val="24"/>
        </w:rPr>
        <w:t>“活性炭+ CO”</w:t>
      </w:r>
      <w:r>
        <w:rPr>
          <w:rFonts w:hint="eastAsia"/>
          <w:sz w:val="24"/>
        </w:rPr>
        <w:t>技术适用于低浓度（≤</w:t>
      </w:r>
      <w:r>
        <w:rPr>
          <w:sz w:val="24"/>
        </w:rPr>
        <w:t>1000 mg/m</w:t>
      </w:r>
      <w:r>
        <w:rPr>
          <w:sz w:val="24"/>
          <w:vertAlign w:val="superscript"/>
        </w:rPr>
        <w:t>3</w:t>
      </w:r>
      <w:r>
        <w:rPr>
          <w:rFonts w:hint="eastAsia"/>
          <w:sz w:val="24"/>
        </w:rPr>
        <w:t>）的废气处理，该</w:t>
      </w:r>
      <w:r>
        <w:rPr>
          <w:sz w:val="24"/>
        </w:rPr>
        <w:t>技术</w:t>
      </w:r>
      <w:r>
        <w:rPr>
          <w:rFonts w:hint="eastAsia"/>
          <w:sz w:val="24"/>
        </w:rPr>
        <w:t>采用</w:t>
      </w:r>
      <w:r>
        <w:rPr>
          <w:sz w:val="24"/>
        </w:rPr>
        <w:t>电作为</w:t>
      </w:r>
      <w:r>
        <w:rPr>
          <w:rFonts w:hint="eastAsia"/>
          <w:sz w:val="24"/>
        </w:rPr>
        <w:t>热源</w:t>
      </w:r>
      <w:r>
        <w:rPr>
          <w:sz w:val="24"/>
        </w:rPr>
        <w:t>，一次性投资费用</w:t>
      </w:r>
      <w:r>
        <w:rPr>
          <w:rFonts w:hint="eastAsia"/>
          <w:sz w:val="24"/>
        </w:rPr>
        <w:t>低、</w:t>
      </w:r>
      <w:r>
        <w:rPr>
          <w:sz w:val="24"/>
        </w:rPr>
        <w:t>能耗低</w:t>
      </w:r>
      <w:r>
        <w:rPr>
          <w:rFonts w:hint="eastAsia"/>
          <w:sz w:val="24"/>
        </w:rPr>
        <w:t>、净化</w:t>
      </w:r>
      <w:r>
        <w:rPr>
          <w:sz w:val="24"/>
        </w:rPr>
        <w:t>效率高。</w:t>
      </w:r>
    </w:p>
    <w:p>
      <w:pPr>
        <w:spacing w:line="460" w:lineRule="exact"/>
        <w:ind w:firstLine="480" w:firstLineChars="200"/>
        <w:rPr>
          <w:sz w:val="24"/>
        </w:rPr>
      </w:pPr>
      <w:r>
        <w:rPr>
          <w:sz w:val="24"/>
        </w:rPr>
        <w:t>根据本项目的生产工艺的特点，有机废气的产生浓度较低，温度不高</w:t>
      </w:r>
      <w:r>
        <w:rPr>
          <w:rFonts w:hint="eastAsia"/>
          <w:sz w:val="24"/>
        </w:rPr>
        <w:t>，</w:t>
      </w:r>
      <w:r>
        <w:rPr>
          <w:sz w:val="24"/>
        </w:rPr>
        <w:t>湿度小，不含颗粒状。</w:t>
      </w:r>
      <w:r>
        <w:rPr>
          <w:rFonts w:hint="eastAsia"/>
          <w:sz w:val="24"/>
        </w:rPr>
        <w:t>结合本项目</w:t>
      </w:r>
      <w:r>
        <w:rPr>
          <w:sz w:val="24"/>
        </w:rPr>
        <w:t>特点及</w:t>
      </w:r>
      <w:r>
        <w:rPr>
          <w:rFonts w:hint="eastAsia"/>
          <w:sz w:val="24"/>
        </w:rPr>
        <w:t>常见</w:t>
      </w:r>
      <w:r>
        <w:rPr>
          <w:sz w:val="24"/>
        </w:rPr>
        <w:t xml:space="preserve"> VOCs 控制技术</w:t>
      </w:r>
      <w:r>
        <w:rPr>
          <w:rFonts w:hint="eastAsia"/>
          <w:sz w:val="24"/>
        </w:rPr>
        <w:t>的</w:t>
      </w:r>
      <w:r>
        <w:rPr>
          <w:sz w:val="24"/>
        </w:rPr>
        <w:t>优缺点，本项目采用“活性炭吸附+催化燃烧装置</w:t>
      </w:r>
      <w:r>
        <w:rPr>
          <w:rFonts w:hint="eastAsia"/>
          <w:sz w:val="24"/>
        </w:rPr>
        <w:t>（</w:t>
      </w:r>
      <w:r>
        <w:rPr>
          <w:sz w:val="24"/>
        </w:rPr>
        <w:t>CO</w:t>
      </w:r>
      <w:r>
        <w:rPr>
          <w:rFonts w:hint="eastAsia"/>
          <w:sz w:val="24"/>
        </w:rPr>
        <w:t>）</w:t>
      </w:r>
      <w:r>
        <w:rPr>
          <w:sz w:val="24"/>
        </w:rPr>
        <w:t>”</w:t>
      </w:r>
      <w:r>
        <w:rPr>
          <w:rFonts w:hint="eastAsia"/>
          <w:sz w:val="24"/>
        </w:rPr>
        <w:t>处理</w:t>
      </w:r>
      <w:r>
        <w:rPr>
          <w:sz w:val="24"/>
        </w:rPr>
        <w:t>有机废气</w:t>
      </w:r>
      <w:r>
        <w:rPr>
          <w:rFonts w:hint="eastAsia"/>
          <w:sz w:val="24"/>
        </w:rPr>
        <w:t>，污染防治措施为《排污许可证申请与核发技术规范 废弃资源加工工业》（HJ 1034-2019）和《排污许可证申请与核发技术规范 橡胶及塑料制品业》（HJ 1122-2020）中提出的污染防治可行技术。</w:t>
      </w:r>
    </w:p>
    <w:p>
      <w:pPr>
        <w:spacing w:line="460" w:lineRule="exact"/>
        <w:ind w:firstLine="480" w:firstLineChars="200"/>
        <w:rPr>
          <w:sz w:val="24"/>
        </w:rPr>
      </w:pPr>
      <w:bookmarkStart w:id="278" w:name="_Hlk168305759"/>
      <w:r>
        <w:rPr>
          <w:sz w:val="24"/>
        </w:rPr>
        <w:t>（2）废气治理措施原理及特点</w:t>
      </w:r>
    </w:p>
    <w:p>
      <w:pPr>
        <w:spacing w:line="460" w:lineRule="exact"/>
        <w:ind w:firstLine="480" w:firstLineChars="200"/>
        <w:rPr>
          <w:sz w:val="24"/>
        </w:rPr>
      </w:pPr>
      <w:r>
        <w:rPr>
          <w:rFonts w:hint="eastAsia" w:ascii="宋体" w:hAnsi="宋体" w:cs="宋体"/>
          <w:sz w:val="24"/>
          <w:lang w:eastAsia="ja-JP"/>
        </w:rPr>
        <w:t>①</w:t>
      </w:r>
      <w:r>
        <w:rPr>
          <w:sz w:val="24"/>
        </w:rPr>
        <w:t>运行原理</w:t>
      </w:r>
    </w:p>
    <w:p>
      <w:pPr>
        <w:spacing w:line="460" w:lineRule="exact"/>
        <w:ind w:firstLine="480" w:firstLineChars="200"/>
        <w:rPr>
          <w:sz w:val="24"/>
        </w:rPr>
      </w:pPr>
      <w:r>
        <w:rPr>
          <w:rFonts w:hint="eastAsia"/>
          <w:sz w:val="24"/>
        </w:rPr>
        <w:t>本项目采用活性炭吸附+催化燃烧装置（CO）装置处理挥发性有机废气：根据活性炭吸附吸附效率高、催化燃烧装置具有节能效果的原理，采用双气路连续工作，一个活性炭吸附+催化燃烧装置（CO）室，两个吸附床交替使用。先将有机废气用活性炭吸附，当活性炭快达到饱和时停止吸附，然后用热气流将有机物从活性炭上脱附下来使活性炭再生；脱附下来的有机物被送往催化燃烧装置（CO）成二氧化碳及水蒸气排出。</w:t>
      </w:r>
    </w:p>
    <w:p>
      <w:pPr>
        <w:spacing w:line="460" w:lineRule="exact"/>
        <w:ind w:firstLine="480" w:firstLineChars="200"/>
        <w:rPr>
          <w:sz w:val="24"/>
        </w:rPr>
      </w:pPr>
      <w:r>
        <w:rPr>
          <w:rFonts w:hint="eastAsia"/>
          <w:sz w:val="24"/>
        </w:rPr>
        <w:t>活性炭是经过活化处理后的碳，其具备比表面积大，孔隙多的特点，使其具有较强吸附能力。颗粒碳比表面积一般可达 700-1200 ㎡/g，其孔径大小范围在1.5nm～5um 之间。其吸附方式主要通过 2 种途径：一是活性炭与气体分子间的范德华力，当气体分子经过活性炭表面，范德华力起主导作用时，气体分子先被吸附至活性炭外表面，小于活性炭孔径的分子经内部扩散转移至内表面，从而达到吸附的效果，此为物理吸附；二是吸附质与吸附剂表面原子间的化学键合成，此为化学吸附。活性炭吸附一般适用于大风量、低浓度、低湿度、低含尘的有机废气。</w:t>
      </w:r>
    </w:p>
    <w:p>
      <w:pPr>
        <w:spacing w:line="460" w:lineRule="exact"/>
        <w:ind w:firstLine="480" w:firstLineChars="200"/>
        <w:rPr>
          <w:sz w:val="24"/>
        </w:rPr>
      </w:pPr>
      <w:r>
        <w:rPr>
          <w:sz w:val="24"/>
        </w:rPr>
        <w:t>当有机废气的浓度达到2000PPm以上时，有机废气在催化床可维持自燃，不用外加热。燃烧后的尾气一部分排入大气，大部分被送往吸附床，用于活性炭再生。这样可满足燃烧和吸附所需的热能，达到节能的目的。再生后的可进入下次吸附；在脱附时，净化操作可用另一个吸附床进行，既适合于连续操作，也适合于间断操作。</w:t>
      </w:r>
    </w:p>
    <w:p>
      <w:pPr>
        <w:spacing w:line="460" w:lineRule="exact"/>
        <w:ind w:firstLine="480" w:firstLineChars="200"/>
        <w:rPr>
          <w:sz w:val="24"/>
        </w:rPr>
      </w:pPr>
      <w:r>
        <w:rPr>
          <w:rFonts w:hint="eastAsia"/>
          <w:sz w:val="24"/>
        </w:rPr>
        <w:t>吸附—活性炭吸附+催化燃烧装置（CO）设备设计原理先进、用材独特，性能稳定，结构简便，安全可靠，节能省力，无二次污染。设备占地面积小，重量轻。吸附床采用抽屉式结构，装填方便，便于更换。采用新型的活性炭吸附材料—蜂窝状块形活性炭，活性炭吸附+催化燃烧装置（CO）室采用蜂窝陶瓷状为载体的贵金属催化剂，阻力小，活性高。当有机蒸气浓度达到 2000PPm 以上时，可维持自燃。耗电量小，由于床层阻力小，用低压风机就可以工作，不但耗电少而且噪音低。活性炭吸附+催化燃烧装置（CO）时，需电加热启动。有机物在催化床活性炭吸附+催化燃烧装置（CO）开始后，其燃烧热可足以维持其反应所需的温度，此时电加热停止，启动电加热时间大约为 1 小时左右。吸附有机物废气的活性炭床，用活性炭吸附+催化燃烧装置（CO）进行废气脱附，不需外部能量，运行费用低，节能效果显著。根据《排放源统计调查产排污核算方法和系数手册》中《42 废弃资源综合利用行业系数手册》推荐措施效率及设计资料，废气净化效率可达85%以上。</w:t>
      </w:r>
    </w:p>
    <w:p>
      <w:pPr>
        <w:spacing w:line="460" w:lineRule="exact"/>
        <w:ind w:firstLine="480" w:firstLineChars="200"/>
        <w:rPr>
          <w:sz w:val="24"/>
        </w:rPr>
      </w:pPr>
      <w:bookmarkStart w:id="279" w:name="_Hlk168304887"/>
      <w:r>
        <w:rPr>
          <w:rFonts w:hint="eastAsia"/>
          <w:sz w:val="24"/>
        </w:rPr>
        <w:t>本项目有机废气设置集气设施集中收集，收集后废气进入活性炭吸附装置，吸附浓缩达到一定浓度后脱附进入催化燃烧装置进行催化燃烧处置，本项目针对有机废气产生点要求在各挤出机上方分别设置集气设施，设置多套收集系统，收集后集中进入有机废气处置装置处置，综合分析，项目所采用的有机废气净化装置集气罩+活性炭吸附+催化燃烧（CO）工艺符合《催化燃烧法工业有机废气治理工程技术规范》(HJ 2027-2013)相关要求。</w:t>
      </w:r>
      <w:bookmarkEnd w:id="279"/>
    </w:p>
    <w:p>
      <w:pPr>
        <w:spacing w:line="460" w:lineRule="exact"/>
        <w:ind w:firstLine="480" w:firstLineChars="200"/>
        <w:rPr>
          <w:sz w:val="24"/>
        </w:rPr>
      </w:pPr>
      <w:r>
        <w:rPr>
          <w:rFonts w:hint="eastAsia"/>
          <w:sz w:val="24"/>
        </w:rPr>
        <w:t>②技术特点</w:t>
      </w:r>
    </w:p>
    <w:p>
      <w:pPr>
        <w:spacing w:line="460" w:lineRule="exact"/>
        <w:ind w:firstLine="480" w:firstLineChars="200"/>
        <w:rPr>
          <w:sz w:val="24"/>
        </w:rPr>
      </w:pPr>
      <w:r>
        <w:rPr>
          <w:rFonts w:hint="eastAsia"/>
          <w:sz w:val="24"/>
        </w:rPr>
        <w:t>适应范围：适用于低浓度（≤1000mg/m³）的废气处理；不适合高浓度、含颗粒物状、湿度大的废气；不适合处理含高沸点物质、硫化物、卤素、重金属、油雾、强酸或碱性的废气。</w:t>
      </w:r>
    </w:p>
    <w:p>
      <w:pPr>
        <w:spacing w:line="460" w:lineRule="exact"/>
        <w:ind w:firstLine="480" w:firstLineChars="200"/>
        <w:rPr>
          <w:sz w:val="24"/>
        </w:rPr>
      </w:pPr>
      <w:r>
        <w:rPr>
          <w:rFonts w:hint="eastAsia"/>
          <w:sz w:val="24"/>
        </w:rPr>
        <w:t>高效去除率：能高效去除挥发性有机物（VOCs）及硫化氢、氨气等无机物类污染物。根据工程分析核算采用“活性炭吸附+催化燃烧装置（CO）”后本项目各有组织有机废气排放浓度及单位产品非甲烷总烃排放量可满足《合成树脂工业污染物排放标准》（GB31572-2015）中表5 大气污染物特别排放限值中要求。</w:t>
      </w:r>
    </w:p>
    <w:p>
      <w:pPr>
        <w:spacing w:line="460" w:lineRule="exact"/>
        <w:ind w:firstLine="480" w:firstLineChars="200"/>
        <w:rPr>
          <w:sz w:val="24"/>
        </w:rPr>
      </w:pPr>
      <w:r>
        <w:rPr>
          <w:rFonts w:hint="eastAsia"/>
          <w:sz w:val="24"/>
        </w:rPr>
        <w:t>运行成本：一次性投资费用低；能耗低。</w:t>
      </w:r>
    </w:p>
    <w:bookmarkEnd w:id="278"/>
    <w:p>
      <w:pPr>
        <w:spacing w:line="460" w:lineRule="exact"/>
        <w:ind w:firstLine="480" w:firstLineChars="200"/>
        <w:rPr>
          <w:sz w:val="24"/>
        </w:rPr>
      </w:pPr>
      <w:r>
        <w:rPr>
          <w:rFonts w:hint="eastAsia"/>
          <w:sz w:val="24"/>
        </w:rPr>
        <w:t>2、无组织废气排放</w:t>
      </w:r>
      <w:r>
        <w:rPr>
          <w:sz w:val="24"/>
        </w:rPr>
        <w:t>控制措施</w:t>
      </w:r>
    </w:p>
    <w:p>
      <w:pPr>
        <w:spacing w:line="460" w:lineRule="exact"/>
        <w:ind w:firstLine="480" w:firstLineChars="200"/>
        <w:rPr>
          <w:sz w:val="24"/>
        </w:rPr>
      </w:pPr>
      <w:r>
        <w:rPr>
          <w:rFonts w:hint="eastAsia"/>
          <w:sz w:val="24"/>
        </w:rPr>
        <w:t>（1）无组织</w:t>
      </w:r>
      <w:r>
        <w:rPr>
          <w:sz w:val="24"/>
        </w:rPr>
        <w:t>粉尘</w:t>
      </w:r>
    </w:p>
    <w:p>
      <w:pPr>
        <w:spacing w:line="460" w:lineRule="exact"/>
        <w:ind w:firstLine="480" w:firstLineChars="200"/>
        <w:rPr>
          <w:sz w:val="24"/>
        </w:rPr>
      </w:pPr>
      <w:r>
        <w:rPr>
          <w:rFonts w:hint="eastAsia"/>
          <w:sz w:val="24"/>
        </w:rPr>
        <w:t>项目</w:t>
      </w:r>
      <w:r>
        <w:rPr>
          <w:sz w:val="24"/>
        </w:rPr>
        <w:t>运行过程无组织粉尘主要为</w:t>
      </w:r>
      <w:r>
        <w:rPr>
          <w:rFonts w:hint="eastAsia"/>
          <w:sz w:val="24"/>
        </w:rPr>
        <w:t>原料</w:t>
      </w:r>
      <w:r>
        <w:rPr>
          <w:sz w:val="24"/>
        </w:rPr>
        <w:t>堆场产生的颗粒物，项目废旧塑料处置主要在</w:t>
      </w:r>
      <w:r>
        <w:rPr>
          <w:rFonts w:hint="eastAsia"/>
          <w:sz w:val="24"/>
        </w:rPr>
        <w:t>每年10月</w:t>
      </w:r>
      <w:r>
        <w:rPr>
          <w:sz w:val="24"/>
        </w:rPr>
        <w:t>下旬至第二年</w:t>
      </w:r>
      <w:r>
        <w:rPr>
          <w:rFonts w:hint="eastAsia"/>
          <w:sz w:val="24"/>
        </w:rPr>
        <w:t>2月</w:t>
      </w:r>
      <w:r>
        <w:rPr>
          <w:sz w:val="24"/>
        </w:rPr>
        <w:t>左右，</w:t>
      </w:r>
      <w:r>
        <w:rPr>
          <w:rFonts w:hint="eastAsia"/>
          <w:sz w:val="24"/>
        </w:rPr>
        <w:t>根据</w:t>
      </w:r>
      <w:r>
        <w:rPr>
          <w:sz w:val="24"/>
        </w:rPr>
        <w:t>新疆气候特征该时间段内降雪较多，并且项目在厂区储存采取</w:t>
      </w:r>
      <w:r>
        <w:rPr>
          <w:rFonts w:hint="eastAsia"/>
          <w:sz w:val="24"/>
        </w:rPr>
        <w:t>封闭式库房储存</w:t>
      </w:r>
      <w:r>
        <w:rPr>
          <w:sz w:val="24"/>
        </w:rPr>
        <w:t>，因此可有效控制无组织粉尘产生及排放</w:t>
      </w:r>
      <w:r>
        <w:rPr>
          <w:rFonts w:hint="eastAsia"/>
          <w:sz w:val="24"/>
        </w:rPr>
        <w:t>。</w:t>
      </w:r>
    </w:p>
    <w:p>
      <w:pPr>
        <w:spacing w:line="460" w:lineRule="exact"/>
        <w:ind w:firstLine="480" w:firstLineChars="200"/>
        <w:rPr>
          <w:sz w:val="24"/>
        </w:rPr>
      </w:pPr>
      <w:r>
        <w:rPr>
          <w:rFonts w:hint="eastAsia"/>
          <w:sz w:val="24"/>
        </w:rPr>
        <w:t>（2）无组织</w:t>
      </w:r>
      <w:r>
        <w:rPr>
          <w:sz w:val="24"/>
        </w:rPr>
        <w:t>有机废气</w:t>
      </w:r>
    </w:p>
    <w:p>
      <w:pPr>
        <w:spacing w:line="460" w:lineRule="exact"/>
        <w:ind w:firstLine="480" w:firstLineChars="200"/>
        <w:rPr>
          <w:sz w:val="24"/>
        </w:rPr>
      </w:pPr>
      <w:r>
        <w:rPr>
          <w:rFonts w:hint="eastAsia"/>
          <w:sz w:val="24"/>
        </w:rPr>
        <w:t>项目生产</w:t>
      </w:r>
      <w:r>
        <w:rPr>
          <w:sz w:val="24"/>
        </w:rPr>
        <w:t>过程会产生有机废气，</w:t>
      </w:r>
      <w:r>
        <w:rPr>
          <w:rFonts w:hint="eastAsia"/>
          <w:sz w:val="24"/>
        </w:rPr>
        <w:t>环评</w:t>
      </w:r>
      <w:r>
        <w:rPr>
          <w:sz w:val="24"/>
        </w:rPr>
        <w:t>要求在产气点均设置有集气</w:t>
      </w:r>
      <w:r>
        <w:rPr>
          <w:rFonts w:hint="eastAsia"/>
          <w:sz w:val="24"/>
        </w:rPr>
        <w:t>设施</w:t>
      </w:r>
      <w:r>
        <w:rPr>
          <w:sz w:val="24"/>
        </w:rPr>
        <w:t>，</w:t>
      </w:r>
      <w:r>
        <w:rPr>
          <w:rFonts w:hint="eastAsia"/>
          <w:sz w:val="24"/>
        </w:rPr>
        <w:t>要求</w:t>
      </w:r>
      <w:r>
        <w:rPr>
          <w:sz w:val="24"/>
        </w:rPr>
        <w:t>集气设施设计收集效率不低于</w:t>
      </w:r>
      <w:r>
        <w:rPr>
          <w:rFonts w:hint="eastAsia"/>
          <w:sz w:val="24"/>
        </w:rPr>
        <w:t>90</w:t>
      </w:r>
      <w:r>
        <w:rPr>
          <w:sz w:val="24"/>
        </w:rPr>
        <w:t>%，</w:t>
      </w:r>
      <w:r>
        <w:rPr>
          <w:rFonts w:hint="eastAsia"/>
          <w:sz w:val="24"/>
        </w:rPr>
        <w:t>根据《挥发性有机物无组织排放控制标准》(GB 37822-2019)要求</w:t>
      </w:r>
      <w:r>
        <w:rPr>
          <w:sz w:val="24"/>
        </w:rPr>
        <w:t>集气罩的设计安装严格按照GB/T16758-2008</w:t>
      </w:r>
      <w:r>
        <w:rPr>
          <w:rFonts w:hint="eastAsia"/>
          <w:sz w:val="24"/>
        </w:rPr>
        <w:t>相关</w:t>
      </w:r>
      <w:r>
        <w:rPr>
          <w:sz w:val="24"/>
        </w:rPr>
        <w:t>要求进行，</w:t>
      </w:r>
      <w:r>
        <w:rPr>
          <w:rFonts w:hint="eastAsia"/>
          <w:sz w:val="24"/>
        </w:rPr>
        <w:t>废气</w:t>
      </w:r>
      <w:r>
        <w:rPr>
          <w:sz w:val="24"/>
        </w:rPr>
        <w:t>收集系统要求与生产设备</w:t>
      </w:r>
      <w:r>
        <w:rPr>
          <w:rFonts w:hint="eastAsia"/>
          <w:sz w:val="24"/>
        </w:rPr>
        <w:t>同步</w:t>
      </w:r>
      <w:r>
        <w:rPr>
          <w:sz w:val="24"/>
        </w:rPr>
        <w:t>运行，废气收集设备故障状态应立即停止生产设备，待检修完毕后同步投入使用，项目生产过程产生的有机废气在严格采取环评所提收集处置措施后可有效控制无组织排放。</w:t>
      </w:r>
    </w:p>
    <w:p>
      <w:pPr>
        <w:pStyle w:val="2"/>
        <w:ind w:firstLine="480"/>
        <w:rPr>
          <w:color w:val="auto"/>
        </w:rPr>
      </w:pPr>
      <w:r>
        <w:rPr>
          <w:color w:val="auto"/>
        </w:rPr>
        <w:t>7.2.1.2</w:t>
      </w:r>
      <w:r>
        <w:rPr>
          <w:rFonts w:hint="eastAsia"/>
          <w:color w:val="auto"/>
        </w:rPr>
        <w:t>达标排放分析</w:t>
      </w:r>
    </w:p>
    <w:p>
      <w:pPr>
        <w:spacing w:line="460" w:lineRule="exact"/>
        <w:ind w:firstLine="480" w:firstLineChars="200"/>
        <w:rPr>
          <w:sz w:val="24"/>
        </w:rPr>
      </w:pPr>
      <w:r>
        <w:rPr>
          <w:rFonts w:hint="eastAsia"/>
          <w:sz w:val="24"/>
        </w:rPr>
        <w:t>1、达标分析</w:t>
      </w:r>
    </w:p>
    <w:p>
      <w:pPr>
        <w:spacing w:line="460" w:lineRule="exact"/>
        <w:ind w:firstLine="480" w:firstLineChars="200"/>
        <w:rPr>
          <w:sz w:val="24"/>
        </w:rPr>
      </w:pPr>
      <w:r>
        <w:rPr>
          <w:rFonts w:hint="eastAsia"/>
          <w:sz w:val="24"/>
        </w:rPr>
        <w:t>本项目</w:t>
      </w:r>
      <w:r>
        <w:rPr>
          <w:sz w:val="24"/>
        </w:rPr>
        <w:t>将现有工程</w:t>
      </w:r>
      <w:r>
        <w:rPr>
          <w:rFonts w:hint="eastAsia"/>
          <w:sz w:val="24"/>
        </w:rPr>
        <w:t>滴灌带生产线</w:t>
      </w:r>
      <w:r>
        <w:rPr>
          <w:sz w:val="24"/>
        </w:rPr>
        <w:t>有机废气</w:t>
      </w:r>
      <w:r>
        <w:rPr>
          <w:rFonts w:hint="eastAsia"/>
          <w:sz w:val="24"/>
        </w:rPr>
        <w:t>非甲烷总烃</w:t>
      </w:r>
      <w:r>
        <w:rPr>
          <w:sz w:val="24"/>
        </w:rPr>
        <w:t>、本次扩建工程废旧</w:t>
      </w:r>
      <w:r>
        <w:rPr>
          <w:rFonts w:hint="eastAsia"/>
          <w:sz w:val="24"/>
        </w:rPr>
        <w:t>滴灌带</w:t>
      </w:r>
      <w:r>
        <w:rPr>
          <w:sz w:val="24"/>
        </w:rPr>
        <w:t>造粒生产线有机废气</w:t>
      </w:r>
      <w:r>
        <w:rPr>
          <w:rFonts w:hint="eastAsia"/>
          <w:sz w:val="24"/>
        </w:rPr>
        <w:t>非甲烷总烃</w:t>
      </w:r>
      <w:r>
        <w:rPr>
          <w:sz w:val="24"/>
        </w:rPr>
        <w:t>、</w:t>
      </w:r>
      <w:r>
        <w:rPr>
          <w:rFonts w:hint="eastAsia"/>
          <w:sz w:val="24"/>
        </w:rPr>
        <w:t>本次</w:t>
      </w:r>
      <w:r>
        <w:rPr>
          <w:sz w:val="24"/>
        </w:rPr>
        <w:t>扩建工程滴灌带生产线有机废气</w:t>
      </w:r>
      <w:r>
        <w:rPr>
          <w:rFonts w:hint="eastAsia"/>
          <w:sz w:val="24"/>
        </w:rPr>
        <w:t>非甲烷总烃集中</w:t>
      </w:r>
      <w:r>
        <w:rPr>
          <w:sz w:val="24"/>
        </w:rPr>
        <w:t>收集</w:t>
      </w:r>
      <w:r>
        <w:rPr>
          <w:rFonts w:hint="eastAsia"/>
          <w:sz w:val="24"/>
        </w:rPr>
        <w:t>后在</w:t>
      </w:r>
      <w:r>
        <w:rPr>
          <w:sz w:val="24"/>
        </w:rPr>
        <w:t>车间外</w:t>
      </w:r>
      <w:bookmarkStart w:id="280" w:name="_Hlk165284760"/>
      <w:r>
        <w:rPr>
          <w:sz w:val="24"/>
        </w:rPr>
        <w:t>设置一套活性炭吸附</w:t>
      </w:r>
      <w:r>
        <w:rPr>
          <w:rFonts w:hint="eastAsia"/>
          <w:sz w:val="24"/>
        </w:rPr>
        <w:t>+</w:t>
      </w:r>
      <w:bookmarkStart w:id="281" w:name="_Hlk167726408"/>
      <w:r>
        <w:rPr>
          <w:rFonts w:hint="eastAsia"/>
          <w:sz w:val="24"/>
        </w:rPr>
        <w:t>催化燃烧</w:t>
      </w:r>
      <w:r>
        <w:rPr>
          <w:sz w:val="24"/>
        </w:rPr>
        <w:t>装置</w:t>
      </w:r>
      <w:r>
        <w:rPr>
          <w:rFonts w:hint="eastAsia"/>
          <w:sz w:val="24"/>
        </w:rPr>
        <w:t>（CO）处置</w:t>
      </w:r>
      <w:bookmarkEnd w:id="281"/>
      <w:r>
        <w:rPr>
          <w:sz w:val="24"/>
        </w:rPr>
        <w:t>后</w:t>
      </w:r>
      <w:r>
        <w:rPr>
          <w:rFonts w:hint="eastAsia"/>
          <w:sz w:val="24"/>
        </w:rPr>
        <w:t>通过15m排气筒DA001</w:t>
      </w:r>
      <w:r>
        <w:rPr>
          <w:sz w:val="24"/>
        </w:rPr>
        <w:t>外排</w:t>
      </w:r>
      <w:bookmarkEnd w:id="280"/>
      <w:r>
        <w:rPr>
          <w:rFonts w:hint="eastAsia"/>
          <w:sz w:val="24"/>
        </w:rPr>
        <w:t>；将现有工程PE管生产线有机废气、本次扩建工程废旧塑料膜造粒生产线有机废气、本次扩建工程PE管生产线有机废气集中收集后在车间外设置一套活性炭吸附+催化燃烧装置（CO）处置后通过15m排气筒DA002外排，根据</w:t>
      </w:r>
      <w:r>
        <w:rPr>
          <w:sz w:val="24"/>
        </w:rPr>
        <w:t>计算经处置后非甲烷总烃</w:t>
      </w:r>
      <w:r>
        <w:rPr>
          <w:rFonts w:hint="eastAsia"/>
          <w:sz w:val="24"/>
        </w:rPr>
        <w:t>排放浓度满足《合成树脂工业污染物排放标准》（</w:t>
      </w:r>
      <w:r>
        <w:rPr>
          <w:sz w:val="24"/>
        </w:rPr>
        <w:t>GB 31572-2015</w:t>
      </w:r>
      <w:r>
        <w:rPr>
          <w:rFonts w:hint="eastAsia"/>
          <w:sz w:val="24"/>
        </w:rPr>
        <w:t>）中表</w:t>
      </w:r>
      <w:r>
        <w:rPr>
          <w:sz w:val="24"/>
        </w:rPr>
        <w:t>5</w:t>
      </w:r>
      <w:r>
        <w:rPr>
          <w:rFonts w:hint="eastAsia"/>
          <w:sz w:val="24"/>
        </w:rPr>
        <w:t>大气污染物特别排放限值中要求。</w:t>
      </w:r>
    </w:p>
    <w:p>
      <w:pPr>
        <w:spacing w:line="460" w:lineRule="exact"/>
        <w:ind w:firstLine="480" w:firstLineChars="200"/>
        <w:rPr>
          <w:sz w:val="24"/>
        </w:rPr>
      </w:pPr>
      <w:r>
        <w:rPr>
          <w:rFonts w:hint="eastAsia"/>
          <w:sz w:val="24"/>
        </w:rPr>
        <w:t>针对生产车间无组织排放的非甲烷总烃，其主要影响车间室内环境空气，建设单位通过在车间顶部设置换气扇将废气引风排出，做好车间通风换气工作以改善空气环境；同时加强操作工人的自我防护，配备必要的劳保用品（口罩、眼镜等），并严格按照相关劳动规范作业，以尽量减轻废气排放对环境空气及员工健康的影响。</w:t>
      </w:r>
    </w:p>
    <w:p>
      <w:pPr>
        <w:spacing w:line="460" w:lineRule="exact"/>
        <w:ind w:firstLine="480" w:firstLineChars="200"/>
        <w:rPr>
          <w:sz w:val="24"/>
        </w:rPr>
      </w:pPr>
      <w:r>
        <w:rPr>
          <w:rFonts w:hint="eastAsia"/>
          <w:sz w:val="24"/>
        </w:rPr>
        <w:t>项目回收的废旧塑料在运输及储存期间会产生粉尘，建设单位针对废旧塑料储存设置有封闭式库房，保证周围环境整洁；运输车辆进行篷布遮盖，并且降低卸车高度。在采取上述措施后，可有效防止堆存粉尘的污染，并有效抑制扬尘，产生极少量的无组织扬尘。</w:t>
      </w:r>
    </w:p>
    <w:p>
      <w:pPr>
        <w:spacing w:line="460" w:lineRule="exact"/>
        <w:ind w:firstLine="480" w:firstLineChars="200"/>
        <w:rPr>
          <w:sz w:val="24"/>
        </w:rPr>
      </w:pPr>
      <w:bookmarkStart w:id="282" w:name="_Hlk168302869"/>
      <w:r>
        <w:rPr>
          <w:rFonts w:hint="eastAsia"/>
          <w:sz w:val="24"/>
        </w:rPr>
        <w:t>2、有效性分析</w:t>
      </w:r>
    </w:p>
    <w:p>
      <w:pPr>
        <w:spacing w:line="460" w:lineRule="exact"/>
        <w:ind w:firstLine="480" w:firstLineChars="200"/>
        <w:rPr>
          <w:sz w:val="24"/>
        </w:rPr>
      </w:pPr>
      <w:r>
        <w:rPr>
          <w:rFonts w:hint="eastAsia"/>
          <w:sz w:val="24"/>
        </w:rPr>
        <w:t>本项目有机废气采用活性炭吸附+催化燃烧装置（CO）处置装置处置，根据调查同类项目，“玛纳斯县乐源农业专业合作社北五岔分社塑料生产设备改扩建项目”滴灌带及PE管生产项目有机废气采用集气罩收集后设置活性炭吸附+催化燃烧装置（CO）处置装置处置，本次环评收集了《玛纳斯县乐源农业专业合作社北五岔分社塑料生产设备改扩建项目（一期）竣工环境保护验收监测报告》进行有效性分析，根据竣工环境保护验收监测报告，该项目产品主要为滴灌带及PE 管，原料主要为废旧滴灌带造粒生产的再生聚乙烯颗粒料与聚乙烯颗粒新料、色母粒、抗老化剂，产品主要为滴灌带及PE管，该项目与本项目生产原料、产品、生产工艺均一致，生产规模为滴灌带4000t/a、PE管为1000t/a，根据实际监测结果，有组织废气排气筒排放的非甲烷总烃最大实测浓度为0.81mg/m</w:t>
      </w:r>
      <w:r>
        <w:rPr>
          <w:rFonts w:hint="eastAsia"/>
          <w:sz w:val="24"/>
          <w:vertAlign w:val="superscript"/>
        </w:rPr>
        <w:t>3</w:t>
      </w:r>
      <w:r>
        <w:rPr>
          <w:rFonts w:hint="eastAsia"/>
          <w:sz w:val="24"/>
        </w:rPr>
        <w:t>，满足《合成树脂工业污染物排放标准》 ( GB 31572-2015 ) 表5大气污染物特别排放限值60mg/m</w:t>
      </w:r>
      <w:r>
        <w:rPr>
          <w:rFonts w:hint="eastAsia"/>
          <w:sz w:val="24"/>
          <w:vertAlign w:val="superscript"/>
        </w:rPr>
        <w:t>3</w:t>
      </w:r>
      <w:r>
        <w:rPr>
          <w:rFonts w:hint="eastAsia"/>
          <w:sz w:val="24"/>
        </w:rPr>
        <w:t>限值要求。因此根据现有项目实际运行情况，项目所采取有机废气净化措施有效。</w:t>
      </w:r>
      <w:bookmarkEnd w:id="282"/>
    </w:p>
    <w:p>
      <w:pPr>
        <w:pStyle w:val="2"/>
        <w:ind w:firstLine="480"/>
        <w:rPr>
          <w:color w:val="auto"/>
        </w:rPr>
      </w:pPr>
      <w:r>
        <w:rPr>
          <w:rFonts w:hint="eastAsia"/>
          <w:color w:val="auto"/>
        </w:rPr>
        <w:t>7.2.1.3排气筒高度设置合理性分析</w:t>
      </w:r>
    </w:p>
    <w:p>
      <w:pPr>
        <w:spacing w:line="460" w:lineRule="exact"/>
        <w:ind w:firstLine="480" w:firstLineChars="200"/>
        <w:rPr>
          <w:sz w:val="24"/>
        </w:rPr>
      </w:pPr>
      <w:r>
        <w:rPr>
          <w:rFonts w:hint="eastAsia"/>
          <w:sz w:val="24"/>
        </w:rPr>
        <w:t>根据《合成树脂工业污染物排放标准》（GB31572-2015）中5.4.2要求，排气筒高度至少不低于15m，还应高出周围200m半径范围的建筑5m以上，本项目周边200m半径范围的建筑最高为10m高，因为本项目设置排气筒高度为15m合理可行。</w:t>
      </w:r>
    </w:p>
    <w:p>
      <w:pPr>
        <w:spacing w:line="460" w:lineRule="exact"/>
        <w:ind w:firstLine="480" w:firstLineChars="200"/>
        <w:rPr>
          <w:sz w:val="24"/>
        </w:rPr>
      </w:pPr>
      <w:r>
        <w:rPr>
          <w:rFonts w:hint="eastAsia"/>
          <w:sz w:val="24"/>
        </w:rPr>
        <w:t>综上所述，项目运营期产生的各项废气均采取相应处置措施，根据分析项目采取的各项废气治理措施均合理可行。</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7.2.2废水污染防治措施及其可行性分析</w:t>
      </w:r>
    </w:p>
    <w:p>
      <w:pPr>
        <w:spacing w:line="460" w:lineRule="exact"/>
        <w:ind w:firstLine="480" w:firstLineChars="200"/>
        <w:rPr>
          <w:sz w:val="24"/>
        </w:rPr>
      </w:pPr>
      <w:r>
        <w:rPr>
          <w:rFonts w:hint="eastAsia"/>
          <w:sz w:val="24"/>
        </w:rPr>
        <w:t>1、生产废水</w:t>
      </w:r>
    </w:p>
    <w:p>
      <w:pPr>
        <w:spacing w:line="460" w:lineRule="exact"/>
        <w:ind w:firstLine="480" w:firstLineChars="200"/>
        <w:rPr>
          <w:sz w:val="24"/>
        </w:rPr>
      </w:pPr>
      <w:bookmarkStart w:id="283" w:name="_Hlk168304911"/>
      <w:r>
        <w:rPr>
          <w:rFonts w:hint="eastAsia"/>
          <w:sz w:val="24"/>
        </w:rPr>
        <w:t>根据工程分析，</w:t>
      </w:r>
      <w:bookmarkStart w:id="284" w:name="_Hlk166256861"/>
      <w:r>
        <w:rPr>
          <w:rFonts w:hint="eastAsia"/>
          <w:sz w:val="24"/>
        </w:rPr>
        <w:t>项目回收的废旧塑料膜、废旧滴灌带表面均粘附有一定量泥土，清洗过程全部进入清洗废水，项目废旧塑料破碎过程采用湿法破碎产生喷淋废水与废塑料一起进入清洗阶段，因此针对喷淋废水及清洗废水</w:t>
      </w:r>
      <w:bookmarkEnd w:id="284"/>
      <w:r>
        <w:rPr>
          <w:rFonts w:hint="eastAsia"/>
          <w:sz w:val="24"/>
        </w:rPr>
        <w:t>设置有2座300m</w:t>
      </w:r>
      <w:r>
        <w:rPr>
          <w:rFonts w:hint="eastAsia"/>
          <w:sz w:val="24"/>
          <w:vertAlign w:val="superscript"/>
        </w:rPr>
        <w:t>3</w:t>
      </w:r>
      <w:r>
        <w:rPr>
          <w:rFonts w:hint="eastAsia"/>
          <w:sz w:val="24"/>
        </w:rPr>
        <w:t>防渗三级沉淀池，废水经沉淀池沉淀后回用于生产，不外排。</w:t>
      </w:r>
      <w:r>
        <w:rPr>
          <w:sz w:val="24"/>
        </w:rPr>
        <w:t>项目</w:t>
      </w:r>
      <w:r>
        <w:rPr>
          <w:rFonts w:hint="eastAsia"/>
          <w:sz w:val="24"/>
        </w:rPr>
        <w:t>废旧</w:t>
      </w:r>
      <w:r>
        <w:rPr>
          <w:sz w:val="24"/>
        </w:rPr>
        <w:t>滴灌带</w:t>
      </w:r>
      <w:r>
        <w:rPr>
          <w:rFonts w:hint="eastAsia"/>
          <w:sz w:val="24"/>
        </w:rPr>
        <w:t>破碎喷淋及</w:t>
      </w:r>
      <w:r>
        <w:rPr>
          <w:sz w:val="24"/>
        </w:rPr>
        <w:t>清洗废水产生量为</w:t>
      </w:r>
      <w:r>
        <w:rPr>
          <w:rFonts w:hint="eastAsia"/>
          <w:sz w:val="24"/>
        </w:rPr>
        <w:t>22.22</w:t>
      </w:r>
      <w:r>
        <w:rPr>
          <w:sz w:val="24"/>
        </w:rPr>
        <w:t>m</w:t>
      </w:r>
      <w:r>
        <w:rPr>
          <w:sz w:val="24"/>
          <w:vertAlign w:val="superscript"/>
        </w:rPr>
        <w:t>3</w:t>
      </w:r>
      <w:r>
        <w:rPr>
          <w:sz w:val="24"/>
        </w:rPr>
        <w:t>/d</w:t>
      </w:r>
      <w:r>
        <w:rPr>
          <w:rFonts w:hint="eastAsia"/>
          <w:sz w:val="24"/>
        </w:rPr>
        <w:t>，</w:t>
      </w:r>
      <w:r>
        <w:rPr>
          <w:sz w:val="24"/>
        </w:rPr>
        <w:t>废旧塑料膜</w:t>
      </w:r>
      <w:r>
        <w:rPr>
          <w:rFonts w:hint="eastAsia"/>
          <w:sz w:val="24"/>
        </w:rPr>
        <w:t>破碎喷淋及</w:t>
      </w:r>
      <w:r>
        <w:rPr>
          <w:sz w:val="24"/>
        </w:rPr>
        <w:t>清洗废水产生量为</w:t>
      </w:r>
      <w:r>
        <w:rPr>
          <w:rFonts w:hint="eastAsia"/>
          <w:sz w:val="24"/>
        </w:rPr>
        <w:t>61.11</w:t>
      </w:r>
      <w:r>
        <w:rPr>
          <w:sz w:val="24"/>
        </w:rPr>
        <w:t>m</w:t>
      </w:r>
      <w:r>
        <w:rPr>
          <w:sz w:val="24"/>
          <w:vertAlign w:val="superscript"/>
        </w:rPr>
        <w:t>3</w:t>
      </w:r>
      <w:r>
        <w:rPr>
          <w:sz w:val="24"/>
        </w:rPr>
        <w:t>/d，</w:t>
      </w:r>
      <w:r>
        <w:rPr>
          <w:rFonts w:hint="eastAsia"/>
          <w:sz w:val="24"/>
        </w:rPr>
        <w:t>由于滴灌带及回收的废旧塑料膜回收后含有一定尘土，清洗后全部进入废水中，项目针对废旧滴灌带废水设置有一座300m</w:t>
      </w:r>
      <w:r>
        <w:rPr>
          <w:rFonts w:hint="eastAsia"/>
          <w:sz w:val="24"/>
          <w:vertAlign w:val="superscript"/>
        </w:rPr>
        <w:t>3</w:t>
      </w:r>
      <w:r>
        <w:rPr>
          <w:rFonts w:hint="eastAsia"/>
          <w:sz w:val="24"/>
        </w:rPr>
        <w:t>三级沉淀池，针对废旧塑料膜清洗废水设置有一座300m</w:t>
      </w:r>
      <w:r>
        <w:rPr>
          <w:rFonts w:hint="eastAsia"/>
          <w:sz w:val="24"/>
          <w:vertAlign w:val="superscript"/>
        </w:rPr>
        <w:t>3</w:t>
      </w:r>
      <w:r>
        <w:rPr>
          <w:rFonts w:hint="eastAsia"/>
          <w:sz w:val="24"/>
        </w:rPr>
        <w:t>三级沉淀池，沉淀时间达到24h以上，在沉淀过程投加絮凝剂，保证废水沉降效果，项目</w:t>
      </w:r>
      <w:r>
        <w:rPr>
          <w:sz w:val="24"/>
        </w:rPr>
        <w:t>生产清洗过程主要对废旧塑料表面附着的泥土进行清洗，不添加其他任何添加剂，</w:t>
      </w:r>
      <w:r>
        <w:rPr>
          <w:rFonts w:hint="eastAsia"/>
          <w:sz w:val="24"/>
        </w:rPr>
        <w:t>清洗</w:t>
      </w:r>
      <w:r>
        <w:rPr>
          <w:sz w:val="24"/>
        </w:rPr>
        <w:t>用水水质要求不高，清洗废水水质简单，主要为SS</w:t>
      </w:r>
      <w:r>
        <w:rPr>
          <w:rFonts w:hint="eastAsia"/>
          <w:sz w:val="24"/>
        </w:rPr>
        <w:t>，经设置</w:t>
      </w:r>
      <w:r>
        <w:rPr>
          <w:sz w:val="24"/>
        </w:rPr>
        <w:t>的沉淀池</w:t>
      </w:r>
      <w:r>
        <w:rPr>
          <w:rFonts w:hint="eastAsia"/>
          <w:sz w:val="24"/>
        </w:rPr>
        <w:t>沉淀</w:t>
      </w:r>
      <w:r>
        <w:rPr>
          <w:sz w:val="24"/>
        </w:rPr>
        <w:t>处置后可回用于</w:t>
      </w:r>
      <w:r>
        <w:rPr>
          <w:rFonts w:hint="eastAsia"/>
          <w:sz w:val="24"/>
        </w:rPr>
        <w:t>废旧塑料</w:t>
      </w:r>
      <w:r>
        <w:rPr>
          <w:sz w:val="24"/>
        </w:rPr>
        <w:t>清洗</w:t>
      </w:r>
      <w:r>
        <w:rPr>
          <w:rFonts w:hint="eastAsia"/>
          <w:sz w:val="24"/>
        </w:rPr>
        <w:t>。项目</w:t>
      </w:r>
      <w:r>
        <w:rPr>
          <w:sz w:val="24"/>
        </w:rPr>
        <w:t>所采取的三级沉淀池</w:t>
      </w:r>
      <w:r>
        <w:rPr>
          <w:rFonts w:hint="eastAsia"/>
          <w:sz w:val="24"/>
        </w:rPr>
        <w:t>属于《排污许可证申请与核发技术规范 橡胶及塑料制品业》（HJ1122-2020）中推荐</w:t>
      </w:r>
      <w:r>
        <w:rPr>
          <w:sz w:val="24"/>
        </w:rPr>
        <w:t>的废水处置可行技术。</w:t>
      </w:r>
      <w:bookmarkEnd w:id="283"/>
    </w:p>
    <w:p>
      <w:pPr>
        <w:spacing w:line="460" w:lineRule="exact"/>
        <w:ind w:firstLine="480" w:firstLineChars="200"/>
        <w:rPr>
          <w:sz w:val="24"/>
        </w:rPr>
      </w:pPr>
      <w:r>
        <w:rPr>
          <w:rFonts w:hint="eastAsia"/>
          <w:sz w:val="24"/>
        </w:rPr>
        <w:t>项目运营过程会产生冷却循环水，项目设置有2座容积分别为100m</w:t>
      </w:r>
      <w:r>
        <w:rPr>
          <w:rFonts w:hint="eastAsia"/>
          <w:sz w:val="24"/>
          <w:vertAlign w:val="superscript"/>
        </w:rPr>
        <w:t>3</w:t>
      </w:r>
      <w:r>
        <w:rPr>
          <w:rFonts w:hint="eastAsia"/>
          <w:sz w:val="24"/>
        </w:rPr>
        <w:t>冷却水池，冷却循环水经冷却水池降温后，循环使用，不外排。</w:t>
      </w:r>
    </w:p>
    <w:p>
      <w:pPr>
        <w:spacing w:line="460" w:lineRule="exact"/>
        <w:ind w:firstLine="480" w:firstLineChars="200"/>
        <w:rPr>
          <w:sz w:val="24"/>
        </w:rPr>
      </w:pPr>
      <w:r>
        <w:rPr>
          <w:rFonts w:hint="eastAsia"/>
          <w:sz w:val="24"/>
        </w:rPr>
        <w:t>在采取上述措施后项目产生的各类生产废水均得到合理处置及利用，均不外排，处置措施可行。</w:t>
      </w:r>
    </w:p>
    <w:p>
      <w:pPr>
        <w:spacing w:line="460" w:lineRule="exact"/>
        <w:ind w:firstLine="480" w:firstLineChars="200"/>
        <w:rPr>
          <w:sz w:val="24"/>
        </w:rPr>
      </w:pPr>
      <w:r>
        <w:rPr>
          <w:rFonts w:hint="eastAsia"/>
          <w:sz w:val="24"/>
        </w:rPr>
        <w:t>2、生活污水</w:t>
      </w:r>
    </w:p>
    <w:p>
      <w:pPr>
        <w:spacing w:line="460" w:lineRule="exact"/>
        <w:ind w:firstLine="480" w:firstLineChars="200"/>
        <w:rPr>
          <w:sz w:val="24"/>
        </w:rPr>
      </w:pPr>
      <w:r>
        <w:rPr>
          <w:rFonts w:hint="eastAsia"/>
          <w:sz w:val="24"/>
        </w:rPr>
        <w:t>本项目新增劳动定员16人，生活用水量按照80L/人·d计，项目年运行180天，生活用水量为230.4m³/a。生活废水产生量按照用水量的80%计，则生活污水产生量为184.32m³/a。生活污水中的主要污染物为CODcr、BOD5、SS、氨氮等。生活污水经现有1座100m³的防渗化粪池暂存后，定期拉运至昌吉国家农业科技园区污水处理厂处置。</w:t>
      </w:r>
    </w:p>
    <w:p>
      <w:pPr>
        <w:spacing w:line="460" w:lineRule="exact"/>
        <w:ind w:firstLine="480" w:firstLineChars="200"/>
        <w:rPr>
          <w:sz w:val="24"/>
        </w:rPr>
      </w:pPr>
      <w:r>
        <w:rPr>
          <w:rFonts w:hint="eastAsia"/>
          <w:sz w:val="24"/>
        </w:rPr>
        <w:t>昌吉国家农业科技园区污水处理厂位于园区的西北部，总占地面积130亩，建设规模为5000m</w:t>
      </w:r>
      <w:r>
        <w:rPr>
          <w:rFonts w:hint="eastAsia"/>
          <w:sz w:val="24"/>
          <w:vertAlign w:val="superscript"/>
        </w:rPr>
        <w:t>3</w:t>
      </w:r>
      <w:r>
        <w:rPr>
          <w:rFonts w:hint="eastAsia"/>
          <w:sz w:val="24"/>
        </w:rPr>
        <w:t>/d，分期建设，其中一期2500m</w:t>
      </w:r>
      <w:r>
        <w:rPr>
          <w:rFonts w:hint="eastAsia"/>
          <w:sz w:val="24"/>
          <w:vertAlign w:val="superscript"/>
        </w:rPr>
        <w:t>3</w:t>
      </w:r>
      <w:r>
        <w:rPr>
          <w:rFonts w:hint="eastAsia"/>
          <w:sz w:val="24"/>
        </w:rPr>
        <w:t>/d，现已建成投入使用，收纳处理园区污水。污水处理厂主要建设内容包括粗格栅及提升泵房、细格栅及曝气沉砂池、水解池、生化池、MBR膜池、污泥浓缩池、脱水机房、加氯加药间、鼓风机房配电间、回用水泵房、业务楼、仓库、机修间、车库等配套辅助附属设施等。设计预处理单元采用“格栅+曝气沉砂”工艺，生化单元采用改良“CAST生化池”工艺，深度处理单元采用“高效沉淀池+纤维转盘滤池”，污泥处理采用“浓缩+离心脱水”方案。出水水质满足《城镇污水处理厂污染物排放标准》（GB18918-2002）一级A标准。污水处理厂出水水质达到《城镇污水处理厂污染物排放标准》（GB18918-2002）中一级A标准和《城市污水再生利用水绿地灌溉水质》（GB/T25499-2010）等标准后，冬季储存于园区中水厂，夏季作为再生水用于园区道路绿化生态林灌溉。污水处理厂设3850m</w:t>
      </w:r>
      <w:r>
        <w:rPr>
          <w:rFonts w:hint="eastAsia"/>
          <w:sz w:val="24"/>
          <w:vertAlign w:val="superscript"/>
        </w:rPr>
        <w:t>3</w:t>
      </w:r>
      <w:r>
        <w:rPr>
          <w:rFonts w:hint="eastAsia"/>
          <w:sz w:val="24"/>
        </w:rPr>
        <w:t>事故池、在线监测设备及管网等。</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7.2.3噪声污染防治措施可行性分析</w:t>
      </w:r>
    </w:p>
    <w:p>
      <w:pPr>
        <w:spacing w:line="460" w:lineRule="exact"/>
        <w:ind w:firstLine="480" w:firstLineChars="200"/>
        <w:rPr>
          <w:sz w:val="24"/>
        </w:rPr>
      </w:pPr>
      <w:r>
        <w:rPr>
          <w:rFonts w:hint="eastAsia"/>
          <w:sz w:val="24"/>
        </w:rPr>
        <w:t>本项目的高噪声设备不多，噪声设备如破碎机、搅拌机、造粒机、切粒机、挤出机、吹膜机、风机等生产设备产生的噪声，声级为</w:t>
      </w:r>
      <w:r>
        <w:rPr>
          <w:sz w:val="24"/>
        </w:rPr>
        <w:t>65</w:t>
      </w:r>
      <w:r>
        <w:rPr>
          <w:rFonts w:hint="eastAsia"/>
          <w:sz w:val="24"/>
        </w:rPr>
        <w:t>～</w:t>
      </w:r>
      <w:r>
        <w:rPr>
          <w:sz w:val="24"/>
        </w:rPr>
        <w:t>90 dB(A)</w:t>
      </w:r>
      <w:r>
        <w:rPr>
          <w:rFonts w:hint="eastAsia"/>
          <w:sz w:val="24"/>
        </w:rPr>
        <w:t>之间。本项目在工程设计上采取以下措施：</w:t>
      </w:r>
    </w:p>
    <w:p>
      <w:pPr>
        <w:spacing w:line="460" w:lineRule="exact"/>
        <w:ind w:firstLine="480" w:firstLineChars="200"/>
        <w:rPr>
          <w:sz w:val="24"/>
        </w:rPr>
      </w:pPr>
      <w:r>
        <w:rPr>
          <w:sz w:val="24"/>
        </w:rPr>
        <w:t>1</w:t>
      </w:r>
      <w:r>
        <w:rPr>
          <w:rFonts w:hint="eastAsia"/>
          <w:sz w:val="24"/>
        </w:rPr>
        <w:t>、合理布置噪声源：将高噪声设备尽可能布置远离厂界，加大了噪声的距离衰减，并采取相应的降噪措施，使之确保实现厂界达标。</w:t>
      </w:r>
    </w:p>
    <w:p>
      <w:pPr>
        <w:spacing w:line="460" w:lineRule="exact"/>
        <w:ind w:firstLine="480" w:firstLineChars="200"/>
        <w:rPr>
          <w:sz w:val="24"/>
        </w:rPr>
      </w:pPr>
      <w:r>
        <w:rPr>
          <w:sz w:val="24"/>
        </w:rPr>
        <w:t>2</w:t>
      </w:r>
      <w:r>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pPr>
        <w:spacing w:line="460" w:lineRule="exact"/>
        <w:ind w:firstLine="480" w:firstLineChars="200"/>
        <w:rPr>
          <w:sz w:val="24"/>
        </w:rPr>
      </w:pPr>
      <w:r>
        <w:rPr>
          <w:sz w:val="24"/>
        </w:rPr>
        <w:t>3</w:t>
      </w:r>
      <w:r>
        <w:rPr>
          <w:rFonts w:hint="eastAsia"/>
          <w:sz w:val="24"/>
        </w:rPr>
        <w:t>、使用隔声门窗，加强车间隔声，减少对周边环境的影响。</w:t>
      </w:r>
    </w:p>
    <w:p>
      <w:pPr>
        <w:spacing w:line="460" w:lineRule="exact"/>
        <w:ind w:firstLine="480" w:firstLineChars="200"/>
        <w:rPr>
          <w:sz w:val="24"/>
        </w:rPr>
      </w:pPr>
      <w:r>
        <w:rPr>
          <w:sz w:val="24"/>
        </w:rPr>
        <w:t>4</w:t>
      </w:r>
      <w:r>
        <w:rPr>
          <w:rFonts w:hint="eastAsia"/>
          <w:sz w:val="24"/>
        </w:rPr>
        <w:t>、进一步加强绿化：车间周围和厂界处加强绿化建设，即可绿化厂区环境，又可做到绿化隔音降噪。</w:t>
      </w:r>
    </w:p>
    <w:p>
      <w:pPr>
        <w:spacing w:line="460" w:lineRule="exact"/>
        <w:ind w:firstLine="480" w:firstLineChars="200"/>
        <w:rPr>
          <w:sz w:val="24"/>
        </w:rPr>
      </w:pPr>
      <w:r>
        <w:rPr>
          <w:rFonts w:hint="eastAsia"/>
          <w:sz w:val="24"/>
        </w:rPr>
        <w:t>通过采取以上措施后，产噪声点经隔声和距离衰减后，厂界噪声贡献值很低，厂界噪声满足《工业企业厂界环境噪声排放标准》（</w:t>
      </w:r>
      <w:r>
        <w:rPr>
          <w:sz w:val="24"/>
        </w:rPr>
        <w:t>GB12348-2008</w:t>
      </w:r>
      <w:r>
        <w:rPr>
          <w:rFonts w:hint="eastAsia"/>
          <w:sz w:val="24"/>
        </w:rPr>
        <w:t>）3类标准限值要求，因此，噪声防治措施是有效、可行的。</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7.2.4固体废弃物防治措施可行性</w:t>
      </w:r>
    </w:p>
    <w:p>
      <w:pPr>
        <w:spacing w:line="460" w:lineRule="exact"/>
        <w:ind w:firstLine="480" w:firstLineChars="200"/>
        <w:rPr>
          <w:sz w:val="24"/>
        </w:rPr>
      </w:pPr>
      <w:bookmarkStart w:id="285" w:name="_Hlk165310166"/>
      <w:r>
        <w:rPr>
          <w:rFonts w:hint="eastAsia"/>
          <w:sz w:val="24"/>
        </w:rPr>
        <w:t>本项目产生的固废中滴灌带不合格品、PE管不合格品全部收集后回至废旧滴灌带破碎工序再次破碎造粒循环利用；沉淀池泥沙定期清捞后送一般固废填埋场处置；废旧滤网送固废填埋场处置；危险废物废活性炭、废催化剂、废润滑油及桶全部在新建的危废暂存间分区暂存，定期交由有资质单位处置；生活垃圾由环卫部门清运至垃圾填埋场处置。</w:t>
      </w:r>
      <w:bookmarkEnd w:id="285"/>
    </w:p>
    <w:p>
      <w:pPr>
        <w:spacing w:line="460" w:lineRule="exact"/>
        <w:ind w:firstLine="480" w:firstLineChars="200"/>
        <w:rPr>
          <w:sz w:val="24"/>
        </w:rPr>
      </w:pPr>
      <w:r>
        <w:rPr>
          <w:rFonts w:hint="eastAsia"/>
          <w:sz w:val="24"/>
        </w:rPr>
        <w:t>固体废物污染防治法规定“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根据这些规定，本项目固体废物污染环境防治设施必须做到“三同时”。</w:t>
      </w:r>
    </w:p>
    <w:p>
      <w:pPr>
        <w:spacing w:line="460" w:lineRule="exact"/>
        <w:ind w:firstLine="480" w:firstLineChars="200"/>
        <w:rPr>
          <w:sz w:val="24"/>
        </w:rPr>
      </w:pPr>
      <w:r>
        <w:rPr>
          <w:sz w:val="24"/>
        </w:rPr>
        <w:t>1、一般固废</w:t>
      </w:r>
    </w:p>
    <w:p>
      <w:pPr>
        <w:spacing w:line="460" w:lineRule="exact"/>
        <w:ind w:firstLine="480" w:firstLineChars="200"/>
        <w:rPr>
          <w:bCs/>
          <w:sz w:val="24"/>
        </w:rPr>
      </w:pPr>
      <w:r>
        <w:rPr>
          <w:rFonts w:hint="eastAsia"/>
          <w:sz w:val="24"/>
        </w:rPr>
        <w:t>本项目生产期产生一般固废主要为滴灌带不合格品、PE管不合格品、沉淀池清捞泥沙、废旧滤网，滴灌带不合格品、PE管不合格品产生后直接送造粒生产线再次利用，沉淀池泥沙待生产季结束后清捞，滤网更换后在车间暂存，上述固废均不在厂区长期储存，因此不设置专用储存设施，在厂区临时储存后及时清运处置。</w:t>
      </w:r>
    </w:p>
    <w:p>
      <w:pPr>
        <w:spacing w:line="460" w:lineRule="exact"/>
        <w:ind w:firstLine="480" w:firstLineChars="200"/>
        <w:rPr>
          <w:sz w:val="24"/>
        </w:rPr>
      </w:pPr>
      <w:r>
        <w:rPr>
          <w:rFonts w:hint="eastAsia"/>
          <w:sz w:val="24"/>
        </w:rPr>
        <w:t>2、</w:t>
      </w:r>
      <w:r>
        <w:rPr>
          <w:sz w:val="24"/>
        </w:rPr>
        <w:t>生活垃圾</w:t>
      </w:r>
    </w:p>
    <w:p>
      <w:pPr>
        <w:spacing w:line="460" w:lineRule="exact"/>
        <w:ind w:firstLine="480" w:firstLineChars="200"/>
        <w:rPr>
          <w:sz w:val="24"/>
        </w:rPr>
      </w:pPr>
      <w:r>
        <w:rPr>
          <w:rFonts w:hint="eastAsia"/>
          <w:bCs/>
          <w:sz w:val="24"/>
        </w:rPr>
        <w:t>项目运营期，员工会产生一定量生活垃圾，环评按要求设置垃圾桶等集中收集后委托环卫部门进行外运填埋处理。</w:t>
      </w:r>
    </w:p>
    <w:p>
      <w:pPr>
        <w:spacing w:line="460" w:lineRule="exact"/>
        <w:ind w:firstLine="480" w:firstLineChars="200"/>
        <w:rPr>
          <w:bCs/>
          <w:sz w:val="24"/>
        </w:rPr>
      </w:pPr>
      <w:r>
        <w:rPr>
          <w:rFonts w:hint="eastAsia"/>
          <w:sz w:val="24"/>
        </w:rPr>
        <w:t>3</w:t>
      </w:r>
      <w:r>
        <w:rPr>
          <w:sz w:val="24"/>
        </w:rPr>
        <w:t>、</w:t>
      </w:r>
      <w:r>
        <w:rPr>
          <w:rFonts w:hint="eastAsia"/>
          <w:bCs/>
          <w:sz w:val="24"/>
        </w:rPr>
        <w:t>危险废物污染防控技术要求</w:t>
      </w:r>
    </w:p>
    <w:p>
      <w:pPr>
        <w:spacing w:line="460" w:lineRule="exact"/>
        <w:ind w:firstLine="480" w:firstLineChars="200"/>
        <w:rPr>
          <w:bCs/>
          <w:sz w:val="24"/>
        </w:rPr>
      </w:pPr>
      <w:r>
        <w:rPr>
          <w:rFonts w:hint="eastAsia"/>
          <w:bCs/>
          <w:sz w:val="24"/>
        </w:rPr>
        <w:t>（1）危险废物收集</w:t>
      </w:r>
    </w:p>
    <w:p>
      <w:pPr>
        <w:spacing w:line="460" w:lineRule="exact"/>
        <w:ind w:firstLine="480" w:firstLineChars="200"/>
        <w:rPr>
          <w:bCs/>
          <w:sz w:val="24"/>
        </w:rPr>
      </w:pPr>
      <w:r>
        <w:rPr>
          <w:rFonts w:hint="eastAsia"/>
          <w:bCs/>
          <w:sz w:val="24"/>
        </w:rPr>
        <w:t>危险废物在收集时，应识别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pPr>
        <w:spacing w:line="460" w:lineRule="exact"/>
        <w:ind w:firstLine="480" w:firstLineChars="200"/>
        <w:rPr>
          <w:bCs/>
          <w:sz w:val="24"/>
        </w:rPr>
      </w:pPr>
      <w:r>
        <w:rPr>
          <w:rFonts w:hint="eastAsia"/>
          <w:bCs/>
          <w:sz w:val="24"/>
        </w:rPr>
        <w:t>（2）危险废物贮存</w:t>
      </w:r>
    </w:p>
    <w:p>
      <w:pPr>
        <w:spacing w:line="460" w:lineRule="exact"/>
        <w:ind w:firstLine="480" w:firstLineChars="200"/>
        <w:rPr>
          <w:bCs/>
          <w:sz w:val="24"/>
        </w:rPr>
      </w:pPr>
      <w:r>
        <w:rPr>
          <w:rFonts w:hint="eastAsia"/>
          <w:bCs/>
          <w:sz w:val="24"/>
        </w:rPr>
        <w:t>本项目新建一座危废暂存间，危废暂存间面积10m</w:t>
      </w:r>
      <w:r>
        <w:rPr>
          <w:rFonts w:hint="eastAsia"/>
          <w:bCs/>
          <w:sz w:val="24"/>
          <w:vertAlign w:val="superscript"/>
        </w:rPr>
        <w:t>2</w:t>
      </w:r>
      <w:r>
        <w:rPr>
          <w:rFonts w:hint="eastAsia"/>
          <w:bCs/>
          <w:sz w:val="24"/>
        </w:rPr>
        <w:t>，危废暂存间内进行分区设置，项目产生各类危废在暂存库内分区存放，并及时交由有资质处置单位处置，项目危废产生量较小，并且产生后及时外委处置，不在厂区长时间大规模储存，因此危废暂存间储存规模可满足本项目储存需求。危废贮存间根据</w:t>
      </w:r>
      <w:bookmarkStart w:id="286" w:name="_Hlk165225669"/>
      <w:r>
        <w:rPr>
          <w:rFonts w:hint="eastAsia"/>
          <w:bCs/>
          <w:sz w:val="24"/>
        </w:rPr>
        <w:t>《危险废物贮存污染控制标准》（GB18597-2023）</w:t>
      </w:r>
      <w:bookmarkEnd w:id="286"/>
      <w:r>
        <w:rPr>
          <w:rFonts w:hint="eastAsia"/>
          <w:bCs/>
          <w:sz w:val="24"/>
        </w:rPr>
        <w:t>相关要求建设，危险废物贮存需满足相关要求。</w:t>
      </w:r>
    </w:p>
    <w:p>
      <w:pPr>
        <w:spacing w:line="460" w:lineRule="exact"/>
        <w:ind w:firstLine="480" w:firstLineChars="200"/>
        <w:rPr>
          <w:bCs/>
          <w:sz w:val="24"/>
        </w:rPr>
      </w:pPr>
      <w:r>
        <w:rPr>
          <w:rFonts w:hint="eastAsia"/>
          <w:bCs/>
          <w:sz w:val="24"/>
        </w:rPr>
        <w:t>1）危险废物贮存容器和包装物</w:t>
      </w:r>
    </w:p>
    <w:p>
      <w:pPr>
        <w:spacing w:line="460" w:lineRule="exact"/>
        <w:ind w:firstLine="480" w:firstLineChars="200"/>
        <w:rPr>
          <w:bCs/>
          <w:sz w:val="24"/>
        </w:rPr>
      </w:pPr>
      <w:r>
        <w:rPr>
          <w:rFonts w:hint="eastAsia"/>
          <w:bCs/>
          <w:sz w:val="24"/>
        </w:rPr>
        <w:t>①容器和包装物材质、内衬应与盛装的危险废物相容。</w:t>
      </w:r>
    </w:p>
    <w:p>
      <w:pPr>
        <w:spacing w:line="460" w:lineRule="exact"/>
        <w:ind w:firstLine="480" w:firstLineChars="200"/>
        <w:rPr>
          <w:bCs/>
          <w:sz w:val="24"/>
        </w:rPr>
      </w:pPr>
      <w:r>
        <w:rPr>
          <w:rFonts w:hint="eastAsia"/>
          <w:bCs/>
          <w:sz w:val="24"/>
        </w:rPr>
        <w:t>②针对不同类别、形态、物理化学性质的危险废物，其容器和包装物应满足相应的防渗、防漏、防腐和强度等要求。</w:t>
      </w:r>
    </w:p>
    <w:p>
      <w:pPr>
        <w:spacing w:line="460" w:lineRule="exact"/>
        <w:ind w:firstLine="480" w:firstLineChars="200"/>
        <w:rPr>
          <w:bCs/>
          <w:sz w:val="24"/>
        </w:rPr>
      </w:pPr>
      <w:r>
        <w:rPr>
          <w:rFonts w:hint="eastAsia"/>
          <w:bCs/>
          <w:sz w:val="24"/>
        </w:rPr>
        <w:t>③硬质容器和包装物及其支护结构堆叠码放时不应有明显变形，无破损泄漏。</w:t>
      </w:r>
    </w:p>
    <w:p>
      <w:pPr>
        <w:spacing w:line="460" w:lineRule="exact"/>
        <w:ind w:firstLine="480" w:firstLineChars="200"/>
        <w:rPr>
          <w:bCs/>
          <w:sz w:val="24"/>
        </w:rPr>
      </w:pPr>
      <w:r>
        <w:rPr>
          <w:rFonts w:hint="eastAsia"/>
          <w:bCs/>
          <w:sz w:val="24"/>
        </w:rPr>
        <w:t>④柔性容器和包装物堆叠码放时应封口严密，无破损泄漏。</w:t>
      </w:r>
    </w:p>
    <w:p>
      <w:pPr>
        <w:spacing w:line="460" w:lineRule="exact"/>
        <w:ind w:firstLine="480" w:firstLineChars="200"/>
        <w:rPr>
          <w:bCs/>
          <w:sz w:val="24"/>
        </w:rPr>
      </w:pPr>
      <w:r>
        <w:rPr>
          <w:rFonts w:hint="eastAsia"/>
          <w:bCs/>
          <w:sz w:val="24"/>
        </w:rPr>
        <w:t>⑤使用容器盛装液态、半固态危险废物时，容器内部应留有适当的空间，以适应因温度变化等可能引发的收缩和膨胀，防止其导致容器渗漏或永久变形。</w:t>
      </w:r>
    </w:p>
    <w:p>
      <w:pPr>
        <w:spacing w:line="460" w:lineRule="exact"/>
        <w:ind w:firstLine="480" w:firstLineChars="200"/>
        <w:rPr>
          <w:bCs/>
          <w:sz w:val="24"/>
        </w:rPr>
      </w:pPr>
      <w:r>
        <w:rPr>
          <w:rFonts w:hint="eastAsia"/>
          <w:bCs/>
          <w:sz w:val="24"/>
        </w:rPr>
        <w:t>⑥容器和包装物外表面应保持清洁。</w:t>
      </w:r>
    </w:p>
    <w:p>
      <w:pPr>
        <w:spacing w:line="460" w:lineRule="exact"/>
        <w:ind w:firstLine="480" w:firstLineChars="200"/>
        <w:rPr>
          <w:bCs/>
          <w:sz w:val="24"/>
        </w:rPr>
      </w:pPr>
      <w:r>
        <w:rPr>
          <w:rFonts w:hint="eastAsia"/>
          <w:bCs/>
          <w:sz w:val="24"/>
        </w:rPr>
        <w:t>2）危险废物贮存要求</w:t>
      </w:r>
    </w:p>
    <w:p>
      <w:pPr>
        <w:spacing w:line="460" w:lineRule="exact"/>
        <w:ind w:firstLine="480" w:firstLineChars="200"/>
        <w:rPr>
          <w:bCs/>
          <w:sz w:val="24"/>
        </w:rPr>
      </w:pPr>
      <w:r>
        <w:rPr>
          <w:rFonts w:hint="eastAsia"/>
          <w:bCs/>
          <w:sz w:val="24"/>
        </w:rPr>
        <w:t>①在常温常压下不易水解、不易挥发的固态危险废物可分类堆放贮存，其他固态危险废物应装入容器或包装物内贮存。</w:t>
      </w:r>
    </w:p>
    <w:p>
      <w:pPr>
        <w:spacing w:line="460" w:lineRule="exact"/>
        <w:ind w:firstLine="480" w:firstLineChars="200"/>
        <w:rPr>
          <w:bCs/>
          <w:sz w:val="24"/>
        </w:rPr>
      </w:pPr>
      <w:r>
        <w:rPr>
          <w:rFonts w:hint="eastAsia"/>
          <w:bCs/>
          <w:sz w:val="24"/>
        </w:rPr>
        <w:t>②液态危险废物应装入容器内贮存，或直接采用贮存池、贮存罐区贮存。</w:t>
      </w:r>
    </w:p>
    <w:p>
      <w:pPr>
        <w:spacing w:line="460" w:lineRule="exact"/>
        <w:ind w:firstLine="480" w:firstLineChars="200"/>
        <w:rPr>
          <w:bCs/>
          <w:sz w:val="24"/>
        </w:rPr>
      </w:pPr>
      <w:r>
        <w:rPr>
          <w:rFonts w:hint="eastAsia"/>
          <w:bCs/>
          <w:sz w:val="24"/>
        </w:rPr>
        <w:t>③半固态危险废物应装入容器或包装袋内贮存，或直接采用贮存池贮存。</w:t>
      </w:r>
    </w:p>
    <w:p>
      <w:pPr>
        <w:spacing w:line="460" w:lineRule="exact"/>
        <w:ind w:firstLine="480" w:firstLineChars="200"/>
        <w:rPr>
          <w:bCs/>
          <w:sz w:val="24"/>
        </w:rPr>
      </w:pPr>
      <w:r>
        <w:rPr>
          <w:rFonts w:hint="eastAsia"/>
          <w:bCs/>
          <w:sz w:val="24"/>
        </w:rPr>
        <w:t>④具有热塑性的危险废物应装入容器或包装袋内进行贮存。</w:t>
      </w:r>
    </w:p>
    <w:p>
      <w:pPr>
        <w:spacing w:line="460" w:lineRule="exact"/>
        <w:ind w:firstLine="480" w:firstLineChars="200"/>
        <w:rPr>
          <w:bCs/>
          <w:sz w:val="24"/>
        </w:rPr>
      </w:pPr>
      <w:r>
        <w:rPr>
          <w:rFonts w:hint="eastAsia"/>
          <w:bCs/>
          <w:sz w:val="24"/>
        </w:rPr>
        <w:t>⑤易产生粉尘、VOCs、酸雾、有毒有害大气污染物和刺激性气味气体的危险废物应装入闭口容器或包装物内贮存。</w:t>
      </w:r>
    </w:p>
    <w:p>
      <w:pPr>
        <w:spacing w:line="460" w:lineRule="exact"/>
        <w:ind w:firstLine="480" w:firstLineChars="200"/>
        <w:rPr>
          <w:bCs/>
          <w:sz w:val="24"/>
        </w:rPr>
      </w:pPr>
      <w:r>
        <w:rPr>
          <w:rFonts w:hint="eastAsia"/>
          <w:bCs/>
          <w:sz w:val="24"/>
        </w:rPr>
        <w:t>⑥危险废物贮存过程中易产生粉尘等无组织排放的，应采取抑尘等有效措施。</w:t>
      </w:r>
    </w:p>
    <w:p>
      <w:pPr>
        <w:spacing w:line="460" w:lineRule="exact"/>
        <w:ind w:firstLine="480" w:firstLineChars="200"/>
        <w:rPr>
          <w:bCs/>
          <w:sz w:val="24"/>
        </w:rPr>
      </w:pPr>
      <w:r>
        <w:rPr>
          <w:rFonts w:hint="eastAsia"/>
          <w:bCs/>
          <w:sz w:val="24"/>
        </w:rPr>
        <w:t>⑦危废暂存间内地面、墙面裙脚、堵截泄漏的围堰、接触危险废物的隔板和墙体等应采用坚固的材料建造，表面无裂缝。</w:t>
      </w:r>
    </w:p>
    <w:p>
      <w:pPr>
        <w:spacing w:line="460" w:lineRule="exact"/>
        <w:ind w:firstLine="480" w:firstLineChars="200"/>
        <w:rPr>
          <w:bCs/>
          <w:sz w:val="24"/>
        </w:rPr>
      </w:pPr>
      <w:r>
        <w:rPr>
          <w:rFonts w:hint="eastAsia"/>
          <w:bCs/>
          <w:sz w:val="24"/>
        </w:rPr>
        <w:t>⑧危废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bCs/>
          <w:sz w:val="24"/>
          <w:vertAlign w:val="superscript"/>
        </w:rPr>
        <w:t>-7</w:t>
      </w:r>
      <w:r>
        <w:rPr>
          <w:rFonts w:hint="eastAsia"/>
          <w:bCs/>
          <w:sz w:val="24"/>
        </w:rPr>
        <w:t>cm/s），或至少2mm 厚高密度聚乙烯膜等人工防渗材料（渗透系数不大于10</w:t>
      </w:r>
      <w:r>
        <w:rPr>
          <w:rFonts w:hint="eastAsia"/>
          <w:bCs/>
          <w:sz w:val="24"/>
          <w:vertAlign w:val="superscript"/>
        </w:rPr>
        <w:t>-10</w:t>
      </w:r>
      <w:r>
        <w:rPr>
          <w:rFonts w:hint="eastAsia"/>
          <w:bCs/>
          <w:sz w:val="24"/>
        </w:rPr>
        <w:t>cm/s），或其他防渗性能等效的材料。</w:t>
      </w:r>
    </w:p>
    <w:p>
      <w:pPr>
        <w:spacing w:line="460" w:lineRule="exact"/>
        <w:ind w:firstLine="480" w:firstLineChars="200"/>
        <w:rPr>
          <w:bCs/>
          <w:sz w:val="24"/>
        </w:rPr>
      </w:pPr>
      <w:r>
        <w:rPr>
          <w:rFonts w:hint="eastAsia"/>
          <w:bCs/>
          <w:sz w:val="24"/>
        </w:rPr>
        <w:t>⑨危废暂存间采用相同的防渗、防腐工艺（包括防渗、防腐结构或材料），防渗、防腐材料应覆盖所有可能与废物及其渗滤液、渗漏液等接触的构筑物表面；采用不同防渗、防腐工艺应分别建设贮存分区。</w:t>
      </w:r>
    </w:p>
    <w:p>
      <w:pPr>
        <w:spacing w:line="460" w:lineRule="exact"/>
        <w:ind w:firstLine="480" w:firstLineChars="200"/>
        <w:rPr>
          <w:bCs/>
          <w:sz w:val="24"/>
        </w:rPr>
      </w:pPr>
      <w:r>
        <w:rPr>
          <w:rFonts w:hint="eastAsia"/>
          <w:bCs/>
          <w:sz w:val="24"/>
        </w:rPr>
        <w:t>⑩在危废暂存间液态危险废物贮存区，应具有液体泄漏堵截设施，堵截设施最小容积不应低于对应贮存区域最大液态废物容器容积或液态废物总储量 1/10（二者取较大者）；用于贮存可能产生渗滤液的危险废物的贮存库或贮存分区应设计渗滤液收集设施， 收集设施容积应满足渗滤液的收集要求。</w:t>
      </w:r>
    </w:p>
    <w:p>
      <w:pPr>
        <w:spacing w:line="460" w:lineRule="exact"/>
        <w:ind w:firstLine="480" w:firstLineChars="200"/>
        <w:rPr>
          <w:bCs/>
          <w:sz w:val="24"/>
        </w:rPr>
      </w:pPr>
      <w:r>
        <w:rPr>
          <w:rFonts w:hint="eastAsia"/>
          <w:bCs/>
          <w:sz w:val="24"/>
        </w:rPr>
        <w:t>3）危险废物贮存设施运行与管理要求</w:t>
      </w:r>
    </w:p>
    <w:p>
      <w:pPr>
        <w:spacing w:line="460" w:lineRule="exact"/>
        <w:ind w:firstLine="480" w:firstLineChars="200"/>
        <w:rPr>
          <w:bCs/>
          <w:sz w:val="24"/>
        </w:rPr>
      </w:pPr>
      <w:r>
        <w:rPr>
          <w:rFonts w:hint="eastAsia"/>
          <w:bCs/>
          <w:sz w:val="24"/>
        </w:rPr>
        <w:t>①危险废物存入贮存设施前应对危险废物类别和特性与危险废物标签等危险废物识别标志的一致性进行核验，不一致的或类别、特性不明的不应存入。</w:t>
      </w:r>
    </w:p>
    <w:p>
      <w:pPr>
        <w:spacing w:line="460" w:lineRule="exact"/>
        <w:ind w:firstLine="480" w:firstLineChars="200"/>
        <w:rPr>
          <w:bCs/>
          <w:sz w:val="24"/>
        </w:rPr>
      </w:pPr>
      <w:r>
        <w:rPr>
          <w:rFonts w:hint="eastAsia"/>
          <w:bCs/>
          <w:sz w:val="24"/>
        </w:rPr>
        <w:t>②应定期检查危险废物的贮存状况，及时清理贮存设施地面，更换破损泄漏的危险废物贮存容器和包装物，保证堆存危险废物的防雨、防风、防扬尘等设施功能完好</w:t>
      </w:r>
    </w:p>
    <w:p>
      <w:pPr>
        <w:spacing w:line="460" w:lineRule="exact"/>
        <w:ind w:firstLine="480" w:firstLineChars="200"/>
        <w:rPr>
          <w:bCs/>
          <w:sz w:val="24"/>
        </w:rPr>
      </w:pPr>
      <w:r>
        <w:rPr>
          <w:rFonts w:hint="eastAsia"/>
          <w:bCs/>
          <w:sz w:val="24"/>
        </w:rPr>
        <w:t>③作业设备及车辆等结束作业离开贮存设施时，应对其残留的危险废物进行清理，清理的废物或清洗废水应收集处理。</w:t>
      </w:r>
    </w:p>
    <w:p>
      <w:pPr>
        <w:spacing w:line="460" w:lineRule="exact"/>
        <w:ind w:firstLine="480" w:firstLineChars="200"/>
        <w:rPr>
          <w:bCs/>
          <w:sz w:val="24"/>
        </w:rPr>
      </w:pPr>
      <w:r>
        <w:rPr>
          <w:rFonts w:hint="eastAsia"/>
          <w:bCs/>
          <w:sz w:val="24"/>
        </w:rPr>
        <w:t>④贮存设施运行期间，应按国家有关标准和规定建立危险废物管理台账并保存。</w:t>
      </w:r>
    </w:p>
    <w:p>
      <w:pPr>
        <w:spacing w:line="460" w:lineRule="exact"/>
        <w:ind w:firstLine="480" w:firstLineChars="200"/>
        <w:rPr>
          <w:bCs/>
          <w:sz w:val="24"/>
        </w:rPr>
      </w:pPr>
      <w:r>
        <w:rPr>
          <w:rFonts w:hint="eastAsia"/>
          <w:bCs/>
          <w:sz w:val="24"/>
        </w:rPr>
        <w:t>⑤贮存设施所有者或运营者应建立贮存设施环境管理制度、管理人员岗位职责制度、设施运行操作制度、人员岗位培训制度等。</w:t>
      </w:r>
    </w:p>
    <w:p>
      <w:pPr>
        <w:spacing w:line="460" w:lineRule="exact"/>
        <w:ind w:firstLine="480" w:firstLineChars="200"/>
        <w:rPr>
          <w:bCs/>
          <w:sz w:val="24"/>
        </w:rPr>
      </w:pPr>
      <w:r>
        <w:rPr>
          <w:rFonts w:hint="eastAsia"/>
          <w:bCs/>
          <w:sz w:val="24"/>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460" w:lineRule="exact"/>
        <w:ind w:firstLine="480" w:firstLineChars="200"/>
        <w:rPr>
          <w:bCs/>
          <w:sz w:val="24"/>
        </w:rPr>
      </w:pPr>
      <w:r>
        <w:rPr>
          <w:rFonts w:hint="eastAsia"/>
          <w:bCs/>
          <w:sz w:val="24"/>
        </w:rPr>
        <w:t>⑦贮存设施所有者或运营者应建立贮存设施全部档案，包括设计、施工、验收、运行、监测和环境应急等，应按国家有关档案管理的法律法规进行整理和归档。</w:t>
      </w:r>
    </w:p>
    <w:p>
      <w:pPr>
        <w:spacing w:line="460" w:lineRule="exact"/>
        <w:ind w:firstLine="480" w:firstLineChars="200"/>
        <w:rPr>
          <w:bCs/>
          <w:sz w:val="24"/>
        </w:rPr>
      </w:pPr>
      <w:r>
        <w:rPr>
          <w:rFonts w:hint="eastAsia"/>
          <w:bCs/>
          <w:sz w:val="24"/>
        </w:rPr>
        <w:t>4）贮存点环境管理要求</w:t>
      </w:r>
    </w:p>
    <w:p>
      <w:pPr>
        <w:spacing w:line="460" w:lineRule="exact"/>
        <w:ind w:firstLine="480" w:firstLineChars="200"/>
        <w:rPr>
          <w:bCs/>
          <w:sz w:val="24"/>
        </w:rPr>
      </w:pPr>
      <w:r>
        <w:rPr>
          <w:rFonts w:hint="eastAsia"/>
          <w:bCs/>
          <w:sz w:val="24"/>
        </w:rPr>
        <w:t>①贮存点应具有固定的区域边界，并应采取与其他区域进行隔离的措施。</w:t>
      </w:r>
    </w:p>
    <w:p>
      <w:pPr>
        <w:spacing w:line="460" w:lineRule="exact"/>
        <w:ind w:firstLine="480" w:firstLineChars="200"/>
        <w:rPr>
          <w:bCs/>
          <w:sz w:val="24"/>
        </w:rPr>
      </w:pPr>
      <w:r>
        <w:rPr>
          <w:rFonts w:hint="eastAsia"/>
          <w:bCs/>
          <w:sz w:val="24"/>
        </w:rPr>
        <w:t>②贮存点应采取防风、防雨、防晒和防止危险废物流失、扬散等措施。</w:t>
      </w:r>
    </w:p>
    <w:p>
      <w:pPr>
        <w:spacing w:line="460" w:lineRule="exact"/>
        <w:ind w:firstLine="480" w:firstLineChars="200"/>
        <w:rPr>
          <w:bCs/>
          <w:sz w:val="24"/>
        </w:rPr>
      </w:pPr>
      <w:r>
        <w:rPr>
          <w:rFonts w:hint="eastAsia"/>
          <w:bCs/>
          <w:sz w:val="24"/>
        </w:rPr>
        <w:t>③贮存点贮存的危险废物应置于容器或包装物中，不应直接散堆。</w:t>
      </w:r>
    </w:p>
    <w:p>
      <w:pPr>
        <w:spacing w:line="460" w:lineRule="exact"/>
        <w:ind w:firstLine="480" w:firstLineChars="200"/>
        <w:rPr>
          <w:bCs/>
          <w:sz w:val="24"/>
        </w:rPr>
      </w:pPr>
      <w:r>
        <w:rPr>
          <w:rFonts w:hint="eastAsia"/>
          <w:bCs/>
          <w:sz w:val="24"/>
        </w:rPr>
        <w:t>④贮存点应根据危险废物的形态、物理化学性质、包装形式等，采取防渗、防漏等污染防治措施GB 18597-2023或采用具有相应功能的装置。</w:t>
      </w:r>
    </w:p>
    <w:p>
      <w:pPr>
        <w:spacing w:line="460" w:lineRule="exact"/>
        <w:ind w:firstLine="480" w:firstLineChars="200"/>
        <w:rPr>
          <w:bCs/>
          <w:sz w:val="24"/>
        </w:rPr>
      </w:pPr>
      <w:r>
        <w:rPr>
          <w:rFonts w:hint="eastAsia"/>
          <w:bCs/>
          <w:sz w:val="24"/>
        </w:rPr>
        <w:t>⑤贮存点应及时清运贮存的危险废物，实时贮存量不应超过3吨。</w:t>
      </w:r>
    </w:p>
    <w:p>
      <w:pPr>
        <w:spacing w:line="460" w:lineRule="exact"/>
        <w:ind w:firstLine="480" w:firstLineChars="200"/>
        <w:rPr>
          <w:bCs/>
          <w:sz w:val="24"/>
        </w:rPr>
      </w:pPr>
      <w:r>
        <w:rPr>
          <w:rFonts w:hint="eastAsia"/>
          <w:bCs/>
          <w:sz w:val="24"/>
        </w:rPr>
        <w:t>5）环境应急要求</w:t>
      </w:r>
    </w:p>
    <w:p>
      <w:pPr>
        <w:spacing w:line="460" w:lineRule="exact"/>
        <w:ind w:firstLine="480" w:firstLineChars="200"/>
        <w:rPr>
          <w:bCs/>
          <w:sz w:val="24"/>
        </w:rPr>
      </w:pPr>
      <w:r>
        <w:rPr>
          <w:rFonts w:hint="eastAsia"/>
          <w:bCs/>
          <w:sz w:val="24"/>
        </w:rPr>
        <w:t>①贮存设施所有者或运营者应按照国家有关规定编制突发环境事件应急预案，定期开展必要的培训和环境应急演练，并做好培训、演练记录。</w:t>
      </w:r>
    </w:p>
    <w:p>
      <w:pPr>
        <w:spacing w:line="460" w:lineRule="exact"/>
        <w:ind w:firstLine="480" w:firstLineChars="200"/>
        <w:rPr>
          <w:bCs/>
          <w:sz w:val="24"/>
        </w:rPr>
      </w:pPr>
      <w:r>
        <w:rPr>
          <w:rFonts w:hint="eastAsia"/>
          <w:bCs/>
          <w:sz w:val="24"/>
        </w:rPr>
        <w:t>②贮存设施所有者或运营者应配备满足其突发环境事件应急要求的应急人员、装备和物资，并应设置应急照明系统。</w:t>
      </w:r>
    </w:p>
    <w:p>
      <w:pPr>
        <w:spacing w:line="460" w:lineRule="exact"/>
        <w:ind w:firstLine="480" w:firstLineChars="200"/>
        <w:rPr>
          <w:bCs/>
          <w:sz w:val="24"/>
        </w:rPr>
      </w:pPr>
      <w:r>
        <w:rPr>
          <w:rFonts w:hint="eastAsia"/>
          <w:bCs/>
          <w:sz w:val="24"/>
        </w:rPr>
        <w:t>③相关部门发布自然灾害或恶劣天气预警后，贮存设施所有者或运营者应启动相应防控措施，若有必要可将危险废物转移至其他具有防护条件的地点贮存。</w:t>
      </w:r>
    </w:p>
    <w:p>
      <w:pPr>
        <w:spacing w:line="460" w:lineRule="exact"/>
        <w:ind w:firstLine="480" w:firstLineChars="200"/>
        <w:rPr>
          <w:bCs/>
          <w:sz w:val="24"/>
        </w:rPr>
      </w:pPr>
      <w:r>
        <w:rPr>
          <w:rFonts w:hint="eastAsia"/>
          <w:bCs/>
          <w:sz w:val="24"/>
        </w:rPr>
        <w:t>6）危险废物贮存安全防护</w:t>
      </w:r>
    </w:p>
    <w:p>
      <w:pPr>
        <w:spacing w:line="460" w:lineRule="exact"/>
        <w:ind w:firstLine="480" w:firstLineChars="200"/>
        <w:rPr>
          <w:bCs/>
          <w:sz w:val="24"/>
        </w:rPr>
      </w:pPr>
      <w:r>
        <w:rPr>
          <w:rFonts w:hint="eastAsia"/>
          <w:bCs/>
          <w:sz w:val="24"/>
        </w:rPr>
        <w:t>①危险废物贮存设施都必须按GB15562.2的规定设置警示标志。</w:t>
      </w:r>
    </w:p>
    <w:p>
      <w:pPr>
        <w:spacing w:line="460" w:lineRule="exact"/>
        <w:ind w:firstLine="480" w:firstLineChars="200"/>
        <w:rPr>
          <w:bCs/>
          <w:sz w:val="24"/>
        </w:rPr>
      </w:pPr>
      <w:r>
        <w:rPr>
          <w:rFonts w:hint="eastAsia"/>
          <w:bCs/>
          <w:sz w:val="24"/>
        </w:rPr>
        <w:t>②危险废物贮存设施周围应设置围墙或其它防护栅栏。</w:t>
      </w:r>
    </w:p>
    <w:p>
      <w:pPr>
        <w:spacing w:line="460" w:lineRule="exact"/>
        <w:ind w:firstLine="480" w:firstLineChars="200"/>
        <w:rPr>
          <w:bCs/>
          <w:sz w:val="24"/>
        </w:rPr>
      </w:pPr>
      <w:r>
        <w:rPr>
          <w:rFonts w:hint="eastAsia"/>
          <w:bCs/>
          <w:sz w:val="24"/>
        </w:rPr>
        <w:t>③危险废物贮存设施应配备通讯设备、照明设施、安全防护服装及工具，并设有应急防护设施。</w:t>
      </w:r>
    </w:p>
    <w:p>
      <w:pPr>
        <w:spacing w:line="460" w:lineRule="exact"/>
        <w:ind w:firstLine="480" w:firstLineChars="200"/>
        <w:rPr>
          <w:bCs/>
          <w:sz w:val="24"/>
        </w:rPr>
      </w:pPr>
      <w:r>
        <w:rPr>
          <w:rFonts w:hint="eastAsia"/>
          <w:bCs/>
          <w:sz w:val="24"/>
        </w:rPr>
        <w:t>④危险废物贮存设施内清理出来的泄漏物，一律按危险废物处理。</w:t>
      </w:r>
    </w:p>
    <w:p>
      <w:pPr>
        <w:spacing w:line="460" w:lineRule="exact"/>
        <w:ind w:firstLine="480" w:firstLineChars="200"/>
        <w:rPr>
          <w:bCs/>
          <w:sz w:val="24"/>
        </w:rPr>
      </w:pPr>
      <w:r>
        <w:rPr>
          <w:rFonts w:hint="eastAsia"/>
          <w:bCs/>
          <w:sz w:val="24"/>
        </w:rPr>
        <w:t>⑤危险废物贮存设施的关闭应按照GB18597的有关规定执行，例如在关闭贮存设施前应提交关闭计划书，经批准后方可执行；必须采取措施消除污染；无法消除污染的设备、土壤、墙体等按危险废物处理，并运至正在营运的危险废物处理处置场或其它贮存设施中；监测部门的监测结果表明已不存在污染时，方可摘下警示标志，撤离留守人员。</w:t>
      </w:r>
    </w:p>
    <w:p>
      <w:pPr>
        <w:spacing w:line="460" w:lineRule="exact"/>
        <w:ind w:firstLine="480" w:firstLineChars="200"/>
        <w:rPr>
          <w:bCs/>
          <w:sz w:val="24"/>
        </w:rPr>
      </w:pPr>
      <w:r>
        <w:rPr>
          <w:rFonts w:hint="eastAsia"/>
          <w:bCs/>
          <w:sz w:val="24"/>
        </w:rPr>
        <w:t>（3）危险废物转运要求</w:t>
      </w:r>
    </w:p>
    <w:p>
      <w:pPr>
        <w:spacing w:line="460" w:lineRule="exact"/>
        <w:ind w:firstLine="480" w:firstLineChars="200"/>
        <w:rPr>
          <w:bCs/>
          <w:sz w:val="24"/>
        </w:rPr>
      </w:pPr>
      <w:r>
        <w:rPr>
          <w:rFonts w:hint="eastAsia"/>
          <w:bCs/>
          <w:sz w:val="24"/>
        </w:rPr>
        <w:t>根据《危险废物贮存污染控制标准》（GB18597-2023）和《危险废物转移管理办法》等有关危险废物转移的管理办法，企业按照国家有关规定办理危险废物申报转移的“五联单”手续，并在贮运过程中严格执行危险化学品贮存、运输和监管的有关规定：</w:t>
      </w:r>
    </w:p>
    <w:p>
      <w:pPr>
        <w:spacing w:line="460" w:lineRule="exact"/>
        <w:ind w:firstLine="480" w:firstLineChars="200"/>
        <w:rPr>
          <w:bCs/>
          <w:sz w:val="24"/>
        </w:rPr>
      </w:pPr>
      <w:r>
        <w:rPr>
          <w:rFonts w:hint="eastAsia"/>
          <w:bCs/>
          <w:sz w:val="24"/>
        </w:rPr>
        <w:t>①危险废物外运处置前，须按相关要求完成报批手续；项目试运行后，建设单位须建立危废暂存、外运处置记录台账，建立危险废物转移联单制度等，并建立相应的管理制度，保持危废暂存间常闭，并由专人负责。</w:t>
      </w:r>
    </w:p>
    <w:p>
      <w:pPr>
        <w:spacing w:line="460" w:lineRule="exact"/>
        <w:ind w:firstLine="480" w:firstLineChars="200"/>
        <w:rPr>
          <w:bCs/>
          <w:sz w:val="24"/>
        </w:rPr>
      </w:pPr>
      <w:r>
        <w:rPr>
          <w:rFonts w:hint="eastAsia"/>
          <w:bCs/>
          <w:sz w:val="24"/>
        </w:rPr>
        <w:t>②收集的固废详细列出数量和成分，并填写有关材料，所有废物按类在专用密闭容器中储存，没有混装，废物收集和封装容器得到接受企业和监管部门的认可。</w:t>
      </w:r>
    </w:p>
    <w:p>
      <w:pPr>
        <w:spacing w:line="460" w:lineRule="exact"/>
        <w:ind w:firstLine="480" w:firstLineChars="200"/>
        <w:rPr>
          <w:bCs/>
          <w:sz w:val="24"/>
        </w:rPr>
      </w:pPr>
      <w:r>
        <w:rPr>
          <w:rFonts w:hint="eastAsia"/>
          <w:bCs/>
          <w:sz w:val="24"/>
        </w:rPr>
        <w:t>③危险废物运输时的中转、装卸过程应遵守如下技术要求：卸载区的工作人员应熟悉废物的危险特性，并配备适当的个人防护装备，装卸剧毒废物应配备特殊的防护装备；卸载区应配备必要的消防设备和谩施，并设置明显的指示标志；危险废物装卸区应设置隔离设施，液态废物卸载区应设置收集槽和缓冲罐。完善管理制度，确保项目产生固废（特别是危险废物）全部收集、暂存并合理处置。</w:t>
      </w:r>
    </w:p>
    <w:p>
      <w:pPr>
        <w:spacing w:line="460" w:lineRule="exact"/>
        <w:ind w:firstLine="480" w:firstLineChars="200"/>
        <w:rPr>
          <w:bCs/>
          <w:sz w:val="24"/>
        </w:rPr>
      </w:pPr>
      <w:r>
        <w:rPr>
          <w:rFonts w:hint="eastAsia"/>
          <w:bCs/>
          <w:sz w:val="24"/>
        </w:rPr>
        <w:t>④由持有危险废物经营许可证的单位组织实施，承担危险废物运输的单位应获得交通运输部门颁发的危险货物运输资质，所有运输车辆的司机和押运人员经专业培训持证上岗，以汽车运输方式应按照《道路危险货物运输管理规定》（交通部令[2005]年第9号）、JT617以及JT618执行，废弃危险化学品的运输应执行《危险化学品安全管理条例》有关运输的规定，项目暂存的危险废物最终送至具有危险废物处置资质的单位进行处置。</w:t>
      </w:r>
    </w:p>
    <w:p>
      <w:pPr>
        <w:spacing w:line="460" w:lineRule="exact"/>
        <w:ind w:firstLine="480" w:firstLineChars="200"/>
        <w:rPr>
          <w:bCs/>
          <w:sz w:val="24"/>
        </w:rPr>
      </w:pPr>
      <w:r>
        <w:rPr>
          <w:rFonts w:hint="eastAsia"/>
          <w:bCs/>
          <w:sz w:val="24"/>
        </w:rPr>
        <w:t>（4）危险废物环境保护管理</w:t>
      </w:r>
    </w:p>
    <w:p>
      <w:pPr>
        <w:spacing w:line="460" w:lineRule="exact"/>
        <w:ind w:firstLine="480" w:firstLineChars="200"/>
        <w:rPr>
          <w:bCs/>
          <w:sz w:val="24"/>
        </w:rPr>
      </w:pPr>
      <w:r>
        <w:rPr>
          <w:rFonts w:hint="eastAsia"/>
          <w:bCs/>
          <w:sz w:val="24"/>
        </w:rPr>
        <w:t>①按照《危险废物管理计划和台账制定指南》（HJ1259-2022）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spacing w:line="460" w:lineRule="exact"/>
        <w:ind w:firstLine="480" w:firstLineChars="200"/>
        <w:rPr>
          <w:bCs/>
          <w:sz w:val="24"/>
        </w:rPr>
      </w:pPr>
      <w:r>
        <w:rPr>
          <w:rFonts w:hint="eastAsia"/>
          <w:bCs/>
          <w:sz w:val="24"/>
        </w:rPr>
        <w:t>②产生危险废物的单位应当按照实际情况填写记录有关内容，并对内容的真实性、准确性和完整性负责。</w:t>
      </w:r>
    </w:p>
    <w:p>
      <w:pPr>
        <w:spacing w:line="460" w:lineRule="exact"/>
        <w:ind w:firstLine="480" w:firstLineChars="200"/>
        <w:rPr>
          <w:bCs/>
          <w:sz w:val="24"/>
        </w:rPr>
      </w:pPr>
      <w:r>
        <w:rPr>
          <w:rFonts w:hint="eastAsia"/>
          <w:bCs/>
          <w:sz w:val="24"/>
        </w:rPr>
        <w:t>③《国家危险废物名录》后期若修订发布后危险废物种类及代码等按照最新发布《名录》要求执行。</w:t>
      </w:r>
    </w:p>
    <w:p>
      <w:pPr>
        <w:spacing w:line="460" w:lineRule="exact"/>
        <w:ind w:firstLine="480" w:firstLineChars="200"/>
        <w:rPr>
          <w:bCs/>
          <w:sz w:val="24"/>
        </w:rPr>
      </w:pPr>
      <w:r>
        <w:rPr>
          <w:bCs/>
          <w:sz w:val="24"/>
        </w:rPr>
        <w:t>综上，本项目所有产生的固体废物都储存于厂内设置的专用储存场所暂存，对于一般工业固废采取回收、综合利用方式进行处置，对危险废物委托具有相应资质单位进行处置，可确保本项目所产生的所有固体废物都 得到有效处理和处置，不会对外环境造成二次污染影响。</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7.2.5土壤、地下水污染防治措施</w:t>
      </w:r>
    </w:p>
    <w:p>
      <w:pPr>
        <w:pStyle w:val="2"/>
        <w:ind w:firstLine="480"/>
        <w:rPr>
          <w:color w:val="auto"/>
        </w:rPr>
      </w:pPr>
      <w:r>
        <w:rPr>
          <w:rFonts w:hint="eastAsia"/>
          <w:color w:val="auto"/>
        </w:rPr>
        <w:t>7.2.5.1总体控制措施</w:t>
      </w:r>
    </w:p>
    <w:p>
      <w:pPr>
        <w:spacing w:line="460" w:lineRule="exact"/>
        <w:ind w:firstLine="480" w:firstLineChars="200"/>
        <w:rPr>
          <w:bCs/>
          <w:sz w:val="24"/>
        </w:rPr>
      </w:pPr>
      <w:r>
        <w:rPr>
          <w:rFonts w:hint="eastAsia"/>
          <w:bCs/>
          <w:sz w:val="24"/>
        </w:rPr>
        <w:t>土壤环境与地下水环境污染影响密不可分，污染物泄露后首先进入土壤，经土壤迁徙入渗进入地下水环境，因此针对本项目运营期对土壤及地下水环境影响所采取措施分析如下：</w:t>
      </w:r>
    </w:p>
    <w:p>
      <w:pPr>
        <w:spacing w:line="460" w:lineRule="exact"/>
        <w:ind w:firstLine="480" w:firstLineChars="200"/>
        <w:rPr>
          <w:bCs/>
          <w:sz w:val="24"/>
        </w:rPr>
      </w:pPr>
      <w:r>
        <w:rPr>
          <w:rFonts w:hint="eastAsia"/>
          <w:bCs/>
          <w:sz w:val="24"/>
        </w:rPr>
        <w:t>首先，源头控制措施要从相关的设备及生产工艺上下功夫，对产生的废水进行有效的治理和综合利用，采用先进工艺，良好的管道、设备和污水储存设施，尽可能从源头上减少污染物产生；严格按照国家相关规范要求，对工艺、管道、设备、污水储存及处理构筑物采取相应的措施，以防止和降低污染物的跑、冒、滴、漏，将环境风险事故降低到最低；管线铺设尽量采用“可视化”原则，即管道尽可能地上铺设，做到污染物“早发现、早处理”，以减少由于埋地管道泄漏而可能造成的地下水污染。</w:t>
      </w:r>
    </w:p>
    <w:p>
      <w:pPr>
        <w:spacing w:line="460" w:lineRule="exact"/>
        <w:ind w:firstLine="480" w:firstLineChars="200"/>
        <w:rPr>
          <w:bCs/>
          <w:sz w:val="24"/>
        </w:rPr>
      </w:pPr>
      <w:r>
        <w:rPr>
          <w:rFonts w:hint="eastAsia"/>
          <w:bCs/>
          <w:sz w:val="24"/>
        </w:rPr>
        <w:t>其次，要从生产及运营管理上进行泄露源头的防控，对于化粪池、沉淀池等地下水污染风险较大的区域要将管理责任落实到个人，并制定相应的责任管理制度；同时要定期组织开展污染泄露防控培训，强化员工的污染泄露防控意识，从根源上防控；企业要定期考查项目各区域的污染防控责任人员并对相关污染防控设备进行检查；环保部门对相关污染防控设施进行监督。</w:t>
      </w:r>
    </w:p>
    <w:p>
      <w:pPr>
        <w:spacing w:line="460" w:lineRule="exact"/>
        <w:ind w:firstLine="480" w:firstLineChars="200"/>
        <w:rPr>
          <w:bCs/>
          <w:sz w:val="24"/>
        </w:rPr>
      </w:pPr>
      <w:r>
        <w:rPr>
          <w:rFonts w:hint="eastAsia"/>
          <w:bCs/>
          <w:sz w:val="24"/>
        </w:rPr>
        <w:t>本环评要求企业采取以下环保措施避免对地下水造成污染：</w:t>
      </w:r>
    </w:p>
    <w:p>
      <w:pPr>
        <w:spacing w:line="460" w:lineRule="exact"/>
        <w:ind w:firstLine="480" w:firstLineChars="200"/>
        <w:rPr>
          <w:bCs/>
          <w:sz w:val="24"/>
        </w:rPr>
      </w:pPr>
      <w:r>
        <w:rPr>
          <w:rFonts w:hint="eastAsia"/>
          <w:bCs/>
          <w:sz w:val="24"/>
        </w:rPr>
        <w:t>（1）车间内地面等全部硬化，并做好防渗措施；</w:t>
      </w:r>
    </w:p>
    <w:p>
      <w:pPr>
        <w:spacing w:line="460" w:lineRule="exact"/>
        <w:ind w:firstLine="480" w:firstLineChars="200"/>
        <w:rPr>
          <w:bCs/>
          <w:sz w:val="24"/>
        </w:rPr>
      </w:pPr>
      <w:r>
        <w:rPr>
          <w:rFonts w:hint="eastAsia"/>
          <w:bCs/>
          <w:sz w:val="24"/>
        </w:rPr>
        <w:t>（2）严格按照《工业金属管道工程施工规范》（GB50235-2010）、《工业设备及管道防腐蚀工程施工规范》（GB50276-2011）、《给水排水管道工程施工及验收规范》（GB50268-2008）执行，选择管材优质的管道，钢制进行防腐处理；</w:t>
      </w:r>
    </w:p>
    <w:p>
      <w:pPr>
        <w:spacing w:line="460" w:lineRule="exact"/>
        <w:ind w:firstLine="480" w:firstLineChars="200"/>
        <w:rPr>
          <w:bCs/>
          <w:sz w:val="24"/>
        </w:rPr>
      </w:pPr>
      <w:r>
        <w:rPr>
          <w:rFonts w:hint="eastAsia"/>
          <w:bCs/>
          <w:sz w:val="24"/>
        </w:rPr>
        <w:t>（3）排水管道基础地基处理要严格按规范执行，防止因地基不均匀沉降导致管道变形、崩裂、漏水；</w:t>
      </w:r>
    </w:p>
    <w:p>
      <w:pPr>
        <w:spacing w:line="460" w:lineRule="exact"/>
        <w:ind w:firstLine="480" w:firstLineChars="200"/>
        <w:rPr>
          <w:bCs/>
          <w:sz w:val="24"/>
        </w:rPr>
      </w:pPr>
      <w:r>
        <w:rPr>
          <w:rFonts w:hint="eastAsia"/>
          <w:bCs/>
          <w:sz w:val="24"/>
        </w:rPr>
        <w:t>（4）施工排水管道接口时加强施工监管，防止因施工质量问题导致渗漏；</w:t>
      </w:r>
    </w:p>
    <w:p>
      <w:pPr>
        <w:spacing w:line="460" w:lineRule="exact"/>
        <w:ind w:firstLine="480" w:firstLineChars="200"/>
        <w:rPr>
          <w:bCs/>
          <w:sz w:val="24"/>
        </w:rPr>
      </w:pPr>
      <w:r>
        <w:rPr>
          <w:rFonts w:hint="eastAsia"/>
          <w:bCs/>
          <w:sz w:val="24"/>
        </w:rPr>
        <w:t>（5）做好地面防渗，以及装置、管道的密封防漏工作，定期检查、维修和及时更新。</w:t>
      </w:r>
    </w:p>
    <w:p>
      <w:pPr>
        <w:spacing w:line="460" w:lineRule="exact"/>
        <w:ind w:firstLine="480" w:firstLineChars="200"/>
        <w:rPr>
          <w:bCs/>
          <w:sz w:val="24"/>
        </w:rPr>
      </w:pPr>
      <w:r>
        <w:rPr>
          <w:rFonts w:hint="eastAsia"/>
          <w:bCs/>
          <w:sz w:val="24"/>
        </w:rPr>
        <w:t>（6）项目各池体下方除按要求设置防渗措施外，还须在池体附近设置围堰+收集槽，出现泄漏情况能及时收集污水至事故池；对于容易出现渗漏机油等现象的设备增加巡检频率，并在下部设置漏油收集盘等。</w:t>
      </w:r>
    </w:p>
    <w:p>
      <w:pPr>
        <w:spacing w:line="460" w:lineRule="exact"/>
        <w:ind w:firstLine="480" w:firstLineChars="200"/>
        <w:rPr>
          <w:bCs/>
          <w:sz w:val="24"/>
        </w:rPr>
      </w:pPr>
      <w:r>
        <w:rPr>
          <w:rFonts w:hint="eastAsia"/>
          <w:bCs/>
          <w:sz w:val="24"/>
        </w:rPr>
        <w:t>（7）项目运行过程中，严格按照环评要求对下游水质监测井进行监测，一旦发现水质异常，立刻采取有效措施（如采用水动力隔离技术）阻止污染羽的扩散迁移，将地下水控制在局部范围，避免对厂区下游地下水造成污染。</w:t>
      </w:r>
    </w:p>
    <w:p>
      <w:pPr>
        <w:pStyle w:val="2"/>
        <w:ind w:firstLine="480"/>
        <w:rPr>
          <w:color w:val="auto"/>
        </w:rPr>
      </w:pPr>
      <w:r>
        <w:rPr>
          <w:rFonts w:hint="eastAsia"/>
          <w:color w:val="auto"/>
        </w:rPr>
        <w:t>7.2.5.2分区防渗措施</w:t>
      </w:r>
    </w:p>
    <w:p>
      <w:pPr>
        <w:spacing w:line="460" w:lineRule="exact"/>
        <w:ind w:firstLine="480" w:firstLineChars="200"/>
        <w:rPr>
          <w:bCs/>
          <w:sz w:val="24"/>
        </w:rPr>
      </w:pPr>
      <w:r>
        <w:rPr>
          <w:rFonts w:hint="eastAsia"/>
          <w:bCs/>
          <w:sz w:val="24"/>
        </w:rPr>
        <w:t>对可能泄漏污染物的地面进行防渗处理，可有效防治污染物渗入地下，并及时地将泄漏、渗漏的污染物收集并进行集中处理。根据本项目各生产功能单元可能泄漏至地面区域的污染物性质和生产单元的构筑方式，划分为重点防渗区、一般防渗区和简单防渗区。</w:t>
      </w:r>
    </w:p>
    <w:p>
      <w:pPr>
        <w:spacing w:line="460" w:lineRule="exact"/>
        <w:ind w:firstLine="480" w:firstLineChars="200"/>
        <w:rPr>
          <w:bCs/>
          <w:sz w:val="24"/>
        </w:rPr>
      </w:pPr>
      <w:r>
        <w:rPr>
          <w:rFonts w:hint="eastAsia"/>
          <w:bCs/>
          <w:sz w:val="24"/>
        </w:rPr>
        <w:t>1、防渗分区基本要求</w:t>
      </w:r>
    </w:p>
    <w:p>
      <w:pPr>
        <w:spacing w:line="460" w:lineRule="exact"/>
        <w:ind w:firstLine="480" w:firstLineChars="200"/>
        <w:rPr>
          <w:bCs/>
          <w:sz w:val="24"/>
        </w:rPr>
      </w:pPr>
      <w:r>
        <w:rPr>
          <w:rFonts w:hint="eastAsia"/>
          <w:bCs/>
          <w:sz w:val="24"/>
        </w:rPr>
        <w:t>根据《环境影响评价技术导则 地下水环境》 (HJ 610-2016) ，分区防控措施应满足以下要求：</w:t>
      </w:r>
    </w:p>
    <w:p>
      <w:pPr>
        <w:spacing w:line="460" w:lineRule="exact"/>
        <w:ind w:firstLine="480" w:firstLineChars="200"/>
        <w:rPr>
          <w:bCs/>
          <w:sz w:val="24"/>
        </w:rPr>
      </w:pPr>
      <w:r>
        <w:rPr>
          <w:rFonts w:hint="eastAsia"/>
          <w:bCs/>
          <w:sz w:val="24"/>
        </w:rPr>
        <w:t>（1）已颁布污染控制国家标准或防渗技术规范的行业，水平防渗技术要求按照相应标准或规范执行，如GB16889、GB18597、GB18598、GB18599、GB/T50934等。</w:t>
      </w:r>
    </w:p>
    <w:p>
      <w:pPr>
        <w:spacing w:line="460" w:lineRule="exact"/>
        <w:ind w:firstLine="480" w:firstLineChars="200"/>
        <w:rPr>
          <w:bCs/>
          <w:sz w:val="24"/>
        </w:rPr>
      </w:pPr>
      <w:r>
        <w:rPr>
          <w:rFonts w:hint="eastAsia"/>
          <w:bCs/>
          <w:sz w:val="24"/>
        </w:rPr>
        <w:t>（2）未颁布相关标准的行业，根据预测结果和场地包气带特征及其防污性能，提出防渗技术要求或根据建设项目场地天然包气带防污性能、污染控制难易程度和污染物特性，提出防渗技术要求。其中污染控制难易程度分级和天然包气带防污性能分级分别参照表7.2-2、表7.2-3进行相关等级的确定。</w:t>
      </w:r>
    </w:p>
    <w:p>
      <w:pPr>
        <w:pStyle w:val="499"/>
        <w:spacing w:line="240" w:lineRule="auto"/>
        <w:ind w:firstLine="420"/>
        <w:rPr>
          <w:rFonts w:ascii="Times New Roman" w:hAnsi="Times New Roman" w:eastAsia="黑体" w:cs="Times New Roman"/>
          <w:sz w:val="21"/>
        </w:rPr>
      </w:pPr>
      <w:r>
        <w:rPr>
          <w:rFonts w:hint="eastAsia" w:ascii="Times New Roman" w:hAnsi="Times New Roman" w:eastAsia="黑体" w:cs="Times New Roman"/>
          <w:sz w:val="21"/>
        </w:rPr>
        <w:t>表7.2-2            污染控制难易程度分级参照表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6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Align w:val="center"/>
          </w:tcPr>
          <w:p>
            <w:pPr>
              <w:pStyle w:val="625"/>
              <w:spacing w:line="240" w:lineRule="auto"/>
              <w:jc w:val="center"/>
              <w:rPr>
                <w:rFonts w:ascii="Times New Roman" w:hAnsi="Times New Roman" w:eastAsia="宋体"/>
                <w:bCs/>
                <w:sz w:val="21"/>
                <w:szCs w:val="21"/>
              </w:rPr>
            </w:pPr>
            <w:r>
              <w:rPr>
                <w:rFonts w:ascii="Times New Roman" w:hAnsi="Times New Roman" w:eastAsia="宋体"/>
                <w:bCs/>
                <w:sz w:val="21"/>
                <w:szCs w:val="21"/>
              </w:rPr>
              <w:t>污染控制难易程度</w:t>
            </w:r>
          </w:p>
        </w:tc>
        <w:tc>
          <w:tcPr>
            <w:tcW w:w="6642" w:type="dxa"/>
            <w:vAlign w:val="center"/>
          </w:tcPr>
          <w:p>
            <w:pPr>
              <w:pStyle w:val="625"/>
              <w:spacing w:line="240" w:lineRule="auto"/>
              <w:jc w:val="center"/>
              <w:rPr>
                <w:rFonts w:ascii="Times New Roman" w:hAnsi="Times New Roman" w:eastAsia="宋体"/>
                <w:bCs/>
                <w:sz w:val="21"/>
                <w:szCs w:val="21"/>
              </w:rPr>
            </w:pPr>
            <w:r>
              <w:rPr>
                <w:rFonts w:ascii="Times New Roman" w:hAnsi="Times New Roman" w:eastAsia="宋体"/>
                <w:bCs/>
                <w:sz w:val="21"/>
                <w:szCs w:val="21"/>
              </w:rPr>
              <w:t>主要特征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Align w:val="center"/>
          </w:tcPr>
          <w:p>
            <w:pPr>
              <w:pStyle w:val="625"/>
              <w:spacing w:line="240" w:lineRule="auto"/>
              <w:jc w:val="center"/>
              <w:rPr>
                <w:rFonts w:ascii="Times New Roman" w:hAnsi="Times New Roman" w:eastAsia="宋体"/>
                <w:sz w:val="21"/>
                <w:szCs w:val="21"/>
              </w:rPr>
            </w:pPr>
            <w:r>
              <w:rPr>
                <w:rFonts w:ascii="Times New Roman" w:hAnsi="Times New Roman" w:eastAsia="宋体"/>
                <w:sz w:val="21"/>
                <w:szCs w:val="21"/>
              </w:rPr>
              <w:t>难</w:t>
            </w:r>
          </w:p>
        </w:tc>
        <w:tc>
          <w:tcPr>
            <w:tcW w:w="6642" w:type="dxa"/>
            <w:vAlign w:val="center"/>
          </w:tcPr>
          <w:p>
            <w:pPr>
              <w:pStyle w:val="625"/>
              <w:spacing w:line="240" w:lineRule="auto"/>
              <w:jc w:val="center"/>
              <w:rPr>
                <w:rFonts w:ascii="Times New Roman" w:hAnsi="Times New Roman" w:eastAsia="宋体"/>
                <w:sz w:val="21"/>
                <w:szCs w:val="21"/>
              </w:rPr>
            </w:pPr>
            <w:r>
              <w:rPr>
                <w:rFonts w:ascii="Times New Roman" w:hAnsi="Times New Roman" w:eastAsia="宋体"/>
                <w:sz w:val="21"/>
                <w:szCs w:val="21"/>
              </w:rPr>
              <w:t>对地下水环境有污染的物料或污染物泄漏后，不能及时发现和处理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Align w:val="center"/>
          </w:tcPr>
          <w:p>
            <w:pPr>
              <w:pStyle w:val="625"/>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6642" w:type="dxa"/>
            <w:vAlign w:val="center"/>
          </w:tcPr>
          <w:p>
            <w:pPr>
              <w:pStyle w:val="625"/>
              <w:spacing w:line="240" w:lineRule="auto"/>
              <w:jc w:val="center"/>
              <w:rPr>
                <w:rFonts w:ascii="Times New Roman" w:hAnsi="Times New Roman" w:eastAsia="宋体"/>
                <w:sz w:val="21"/>
                <w:szCs w:val="21"/>
              </w:rPr>
            </w:pPr>
            <w:r>
              <w:rPr>
                <w:rFonts w:ascii="Times New Roman" w:hAnsi="Times New Roman" w:eastAsia="宋体"/>
                <w:sz w:val="21"/>
                <w:szCs w:val="21"/>
              </w:rPr>
              <w:t>对地下水环境有污染的物料或污染物泄漏后，可及时发现和处理</w:t>
            </w:r>
          </w:p>
        </w:tc>
      </w:tr>
    </w:tbl>
    <w:p>
      <w:pPr>
        <w:pStyle w:val="404"/>
        <w:spacing w:line="240" w:lineRule="auto"/>
        <w:ind w:firstLine="422" w:firstLineChars="200"/>
        <w:jc w:val="both"/>
        <w:rPr>
          <w:rFonts w:cs="宋体"/>
          <w:kern w:val="2"/>
          <w:sz w:val="21"/>
          <w:szCs w:val="21"/>
        </w:rPr>
      </w:pPr>
    </w:p>
    <w:p>
      <w:pPr>
        <w:pStyle w:val="404"/>
        <w:spacing w:line="240" w:lineRule="auto"/>
        <w:ind w:firstLine="420" w:firstLineChars="200"/>
        <w:jc w:val="both"/>
        <w:rPr>
          <w:rFonts w:cs="宋体"/>
          <w:b w:val="0"/>
          <w:szCs w:val="24"/>
        </w:rPr>
      </w:pPr>
      <w:r>
        <w:rPr>
          <w:rFonts w:hint="eastAsia" w:ascii="Times New Roman" w:hAnsi="Times New Roman" w:eastAsia="黑体" w:cs="Times New Roman"/>
          <w:b w:val="0"/>
          <w:sz w:val="21"/>
        </w:rPr>
        <w:t>表7.2-3            天然包气带防污性能分级参照表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pStyle w:val="625"/>
              <w:spacing w:line="240" w:lineRule="auto"/>
              <w:jc w:val="center"/>
              <w:rPr>
                <w:rFonts w:ascii="Times New Roman" w:hAnsi="Times New Roman" w:eastAsia="宋体"/>
                <w:sz w:val="21"/>
                <w:szCs w:val="21"/>
              </w:rPr>
            </w:pPr>
            <w:r>
              <w:rPr>
                <w:rFonts w:ascii="Times New Roman" w:hAnsi="Times New Roman" w:eastAsia="宋体"/>
                <w:sz w:val="21"/>
              </w:rPr>
              <w:t>分级</w:t>
            </w:r>
          </w:p>
        </w:tc>
        <w:tc>
          <w:tcPr>
            <w:tcW w:w="8036"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包气带岩土的渗透性能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强</w:t>
            </w:r>
          </w:p>
        </w:tc>
        <w:tc>
          <w:tcPr>
            <w:tcW w:w="8036"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岩(土)层单层厚度Mb≥1.0m，渗透系数K≤10</w:t>
            </w:r>
            <w:r>
              <w:rPr>
                <w:rFonts w:ascii="Times New Roman" w:hAnsi="Times New Roman" w:eastAsia="宋体"/>
                <w:sz w:val="21"/>
                <w:vertAlign w:val="superscript"/>
              </w:rPr>
              <w:t>-7</w:t>
            </w:r>
            <w:r>
              <w:rPr>
                <w:rFonts w:ascii="Times New Roman" w:hAnsi="Times New Roman" w:eastAsia="宋体"/>
                <w:sz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中</w:t>
            </w:r>
          </w:p>
        </w:tc>
        <w:tc>
          <w:tcPr>
            <w:tcW w:w="8036"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岩(土)层单层厚度0.5m≤Mb&lt;1.0m，渗透系数K≤10</w:t>
            </w:r>
            <w:r>
              <w:rPr>
                <w:rFonts w:ascii="Times New Roman" w:hAnsi="Times New Roman" w:eastAsia="宋体"/>
                <w:sz w:val="21"/>
                <w:vertAlign w:val="superscript"/>
              </w:rPr>
              <w:t>-7</w:t>
            </w:r>
            <w:r>
              <w:rPr>
                <w:rFonts w:ascii="Times New Roman" w:hAnsi="Times New Roman" w:eastAsia="宋体"/>
                <w:sz w:val="21"/>
              </w:rPr>
              <w:t>cm/s，且分布连续、稳定；岩(土)层单层厚度Mb≥1.0m，渗透系数10</w:t>
            </w:r>
            <w:r>
              <w:rPr>
                <w:rFonts w:ascii="Times New Roman" w:hAnsi="Times New Roman" w:eastAsia="宋体"/>
                <w:sz w:val="21"/>
                <w:vertAlign w:val="superscript"/>
              </w:rPr>
              <w:t>-7</w:t>
            </w:r>
            <w:r>
              <w:rPr>
                <w:rFonts w:ascii="Times New Roman" w:hAnsi="Times New Roman" w:eastAsia="宋体"/>
                <w:sz w:val="21"/>
              </w:rPr>
              <w:t>cm/s&lt;K≤l0</w:t>
            </w:r>
            <w:r>
              <w:rPr>
                <w:rFonts w:ascii="Times New Roman" w:hAnsi="Times New Roman" w:eastAsia="宋体"/>
                <w:sz w:val="21"/>
                <w:vertAlign w:val="superscript"/>
              </w:rPr>
              <w:t>-4</w:t>
            </w:r>
            <w:r>
              <w:rPr>
                <w:rFonts w:ascii="Times New Roman" w:hAnsi="Times New Roman" w:eastAsia="宋体"/>
                <w:sz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弱</w:t>
            </w:r>
          </w:p>
        </w:tc>
        <w:tc>
          <w:tcPr>
            <w:tcW w:w="8036" w:type="dxa"/>
            <w:vAlign w:val="center"/>
          </w:tcPr>
          <w:p>
            <w:pPr>
              <w:pStyle w:val="625"/>
              <w:spacing w:line="240" w:lineRule="auto"/>
              <w:jc w:val="center"/>
              <w:rPr>
                <w:rFonts w:ascii="Times New Roman" w:hAnsi="Times New Roman" w:eastAsia="宋体"/>
                <w:sz w:val="21"/>
              </w:rPr>
            </w:pPr>
            <w:r>
              <w:rPr>
                <w:rFonts w:ascii="Times New Roman" w:hAnsi="Times New Roman" w:eastAsia="宋体"/>
                <w:sz w:val="21"/>
              </w:rPr>
              <w:t>岩(土)层不满足上述“强”和“中”条件</w:t>
            </w:r>
          </w:p>
        </w:tc>
      </w:tr>
    </w:tbl>
    <w:p>
      <w:pPr>
        <w:spacing w:line="460" w:lineRule="exact"/>
        <w:ind w:firstLine="480" w:firstLineChars="200"/>
        <w:rPr>
          <w:sz w:val="24"/>
        </w:rPr>
      </w:pPr>
      <w:r>
        <w:rPr>
          <w:rFonts w:hint="eastAsia"/>
          <w:sz w:val="24"/>
        </w:rPr>
        <w:t>根据污染控制难易程度和天然包气带防污性能，再结合项目规划布置情况，将场区分为重点防治区、一般防治区、简单防渗区。具体防治分区参照下表。</w:t>
      </w:r>
    </w:p>
    <w:p>
      <w:pPr>
        <w:pStyle w:val="404"/>
        <w:spacing w:line="240" w:lineRule="auto"/>
        <w:ind w:firstLine="420" w:firstLineChars="200"/>
        <w:jc w:val="both"/>
        <w:rPr>
          <w:rFonts w:ascii="Times New Roman" w:hAnsi="Times New Roman" w:eastAsia="黑体" w:cs="Times New Roman"/>
          <w:b w:val="0"/>
          <w:sz w:val="21"/>
        </w:rPr>
      </w:pPr>
      <w:r>
        <w:rPr>
          <w:rFonts w:hint="eastAsia" w:ascii="Times New Roman" w:hAnsi="Times New Roman" w:eastAsia="黑体" w:cs="Times New Roman"/>
          <w:b w:val="0"/>
          <w:sz w:val="21"/>
        </w:rPr>
        <w:t>表7.2-4           地下水污染防渗分区参照表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1"/>
        <w:gridCol w:w="1878"/>
        <w:gridCol w:w="1878"/>
        <w:gridCol w:w="1464"/>
        <w:gridCol w:w="2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防渗分区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天然包气带防污性能</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污染物控制难易程度</w:t>
            </w:r>
          </w:p>
        </w:tc>
        <w:tc>
          <w:tcPr>
            <w:tcW w:w="1464"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污染物类型</w:t>
            </w:r>
          </w:p>
        </w:tc>
        <w:tc>
          <w:tcPr>
            <w:tcW w:w="2546"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1"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重点</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防渗区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弱</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难</w:t>
            </w:r>
          </w:p>
        </w:tc>
        <w:tc>
          <w:tcPr>
            <w:tcW w:w="1464"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重金属、持久性有机物污染物</w:t>
            </w:r>
          </w:p>
        </w:tc>
        <w:tc>
          <w:tcPr>
            <w:tcW w:w="2546"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等效粘土防渗层Mb≥6.0m，</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K≤1×10</w:t>
            </w:r>
            <w:r>
              <w:rPr>
                <w:rFonts w:ascii="Times New Roman" w:hAnsi="Times New Roman" w:eastAsiaTheme="minorEastAsia"/>
                <w:sz w:val="21"/>
                <w:szCs w:val="21"/>
                <w:vertAlign w:val="superscript"/>
              </w:rPr>
              <w:t>-7</w:t>
            </w:r>
            <w:r>
              <w:rPr>
                <w:rFonts w:ascii="Times New Roman" w:hAnsi="Times New Roman" w:eastAsiaTheme="minorEastAsia"/>
                <w:sz w:val="21"/>
                <w:szCs w:val="21"/>
              </w:rPr>
              <w:t>cm/s；或参照</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1" w:type="dxa"/>
            <w:vMerge w:val="continue"/>
            <w:vAlign w:val="center"/>
          </w:tcPr>
          <w:p>
            <w:pPr>
              <w:widowControl/>
              <w:jc w:val="center"/>
              <w:rPr>
                <w:rFonts w:eastAsiaTheme="minorEastAsia"/>
                <w:szCs w:val="21"/>
              </w:rPr>
            </w:pP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中-强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难</w:t>
            </w:r>
          </w:p>
        </w:tc>
        <w:tc>
          <w:tcPr>
            <w:tcW w:w="1464" w:type="dxa"/>
            <w:vMerge w:val="continue"/>
            <w:vAlign w:val="center"/>
          </w:tcPr>
          <w:p>
            <w:pPr>
              <w:widowControl/>
              <w:jc w:val="center"/>
              <w:rPr>
                <w:rFonts w:eastAsiaTheme="minorEastAsia"/>
                <w:szCs w:val="21"/>
              </w:rPr>
            </w:pPr>
          </w:p>
        </w:tc>
        <w:tc>
          <w:tcPr>
            <w:tcW w:w="2546" w:type="dxa"/>
            <w:vMerge w:val="continue"/>
            <w:vAlign w:val="center"/>
          </w:tcPr>
          <w:p>
            <w:pPr>
              <w:widowControl/>
              <w:jc w:val="center"/>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Merge w:val="continue"/>
            <w:vAlign w:val="center"/>
          </w:tcPr>
          <w:p>
            <w:pPr>
              <w:widowControl/>
              <w:jc w:val="center"/>
              <w:rPr>
                <w:rFonts w:eastAsiaTheme="minorEastAsia"/>
                <w:szCs w:val="21"/>
              </w:rPr>
            </w:pP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弱</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易</w:t>
            </w:r>
          </w:p>
        </w:tc>
        <w:tc>
          <w:tcPr>
            <w:tcW w:w="1464" w:type="dxa"/>
            <w:vMerge w:val="continue"/>
            <w:vAlign w:val="center"/>
          </w:tcPr>
          <w:p>
            <w:pPr>
              <w:widowControl/>
              <w:jc w:val="center"/>
              <w:rPr>
                <w:rFonts w:eastAsiaTheme="minorEastAsia"/>
                <w:szCs w:val="21"/>
              </w:rPr>
            </w:pPr>
          </w:p>
        </w:tc>
        <w:tc>
          <w:tcPr>
            <w:tcW w:w="2546" w:type="dxa"/>
            <w:vMerge w:val="continue"/>
            <w:vAlign w:val="center"/>
          </w:tcPr>
          <w:p>
            <w:pPr>
              <w:widowControl/>
              <w:jc w:val="center"/>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Merge w:val="restart"/>
            <w:vAlign w:val="center"/>
          </w:tcPr>
          <w:p>
            <w:pPr>
              <w:pStyle w:val="625"/>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一般</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防渗区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弱</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易-难</w:t>
            </w:r>
          </w:p>
        </w:tc>
        <w:tc>
          <w:tcPr>
            <w:tcW w:w="1464"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其他类型</w:t>
            </w:r>
          </w:p>
        </w:tc>
        <w:tc>
          <w:tcPr>
            <w:tcW w:w="2546"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等效粘土防渗层Mb≥1.5m，</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K≤1×10</w:t>
            </w:r>
            <w:r>
              <w:rPr>
                <w:rFonts w:ascii="Times New Roman" w:hAnsi="Times New Roman" w:eastAsiaTheme="minorEastAsia"/>
                <w:sz w:val="21"/>
                <w:szCs w:val="21"/>
                <w:vertAlign w:val="superscript"/>
              </w:rPr>
              <w:t>-7</w:t>
            </w:r>
            <w:r>
              <w:rPr>
                <w:rFonts w:ascii="Times New Roman" w:hAnsi="Times New Roman" w:eastAsiaTheme="minorEastAsia"/>
                <w:sz w:val="21"/>
                <w:szCs w:val="21"/>
              </w:rPr>
              <w:t>cm/s；</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Merge w:val="continue"/>
            <w:vAlign w:val="center"/>
          </w:tcPr>
          <w:p>
            <w:pPr>
              <w:widowControl/>
              <w:jc w:val="center"/>
              <w:rPr>
                <w:rFonts w:eastAsiaTheme="minorEastAsia"/>
                <w:szCs w:val="21"/>
              </w:rPr>
            </w:pP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中-强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难</w:t>
            </w:r>
          </w:p>
        </w:tc>
        <w:tc>
          <w:tcPr>
            <w:tcW w:w="1464" w:type="dxa"/>
            <w:vMerge w:val="continue"/>
            <w:vAlign w:val="center"/>
          </w:tcPr>
          <w:p>
            <w:pPr>
              <w:widowControl/>
              <w:jc w:val="center"/>
              <w:rPr>
                <w:rFonts w:eastAsiaTheme="minorEastAsia"/>
                <w:szCs w:val="21"/>
              </w:rPr>
            </w:pPr>
          </w:p>
        </w:tc>
        <w:tc>
          <w:tcPr>
            <w:tcW w:w="2546" w:type="dxa"/>
            <w:vMerge w:val="continue"/>
            <w:vAlign w:val="center"/>
          </w:tcPr>
          <w:p>
            <w:pPr>
              <w:widowControl/>
              <w:jc w:val="center"/>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Merge w:val="continue"/>
            <w:vAlign w:val="center"/>
          </w:tcPr>
          <w:p>
            <w:pPr>
              <w:widowControl/>
              <w:jc w:val="center"/>
              <w:rPr>
                <w:rFonts w:eastAsiaTheme="minorEastAsia"/>
                <w:szCs w:val="21"/>
              </w:rPr>
            </w:pP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中</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易</w:t>
            </w:r>
          </w:p>
        </w:tc>
        <w:tc>
          <w:tcPr>
            <w:tcW w:w="1464" w:type="dxa"/>
            <w:vMerge w:val="restart"/>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重金属、持久性有机物污染物</w:t>
            </w:r>
          </w:p>
        </w:tc>
        <w:tc>
          <w:tcPr>
            <w:tcW w:w="2546" w:type="dxa"/>
            <w:vMerge w:val="continue"/>
            <w:vAlign w:val="center"/>
          </w:tcPr>
          <w:p>
            <w:pPr>
              <w:widowControl/>
              <w:jc w:val="center"/>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Merge w:val="continue"/>
            <w:vAlign w:val="center"/>
          </w:tcPr>
          <w:p>
            <w:pPr>
              <w:widowControl/>
              <w:jc w:val="center"/>
              <w:rPr>
                <w:rFonts w:eastAsiaTheme="minorEastAsia"/>
                <w:szCs w:val="21"/>
              </w:rPr>
            </w:pP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易</w:t>
            </w:r>
          </w:p>
        </w:tc>
        <w:tc>
          <w:tcPr>
            <w:tcW w:w="1464" w:type="dxa"/>
            <w:vMerge w:val="continue"/>
            <w:vAlign w:val="center"/>
          </w:tcPr>
          <w:p>
            <w:pPr>
              <w:widowControl/>
              <w:jc w:val="center"/>
              <w:rPr>
                <w:rFonts w:eastAsiaTheme="minorEastAsia"/>
                <w:szCs w:val="21"/>
              </w:rPr>
            </w:pPr>
          </w:p>
        </w:tc>
        <w:tc>
          <w:tcPr>
            <w:tcW w:w="2546" w:type="dxa"/>
            <w:vMerge w:val="continue"/>
            <w:vAlign w:val="center"/>
          </w:tcPr>
          <w:p>
            <w:pPr>
              <w:widowControl/>
              <w:jc w:val="center"/>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1" w:type="dxa"/>
            <w:vAlign w:val="center"/>
          </w:tcPr>
          <w:p>
            <w:pPr>
              <w:pStyle w:val="625"/>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简单</w:t>
            </w:r>
          </w:p>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防渗区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中-强</w:t>
            </w:r>
          </w:p>
        </w:tc>
        <w:tc>
          <w:tcPr>
            <w:tcW w:w="1878"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易</w:t>
            </w:r>
          </w:p>
        </w:tc>
        <w:tc>
          <w:tcPr>
            <w:tcW w:w="1464"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其他类型</w:t>
            </w:r>
          </w:p>
        </w:tc>
        <w:tc>
          <w:tcPr>
            <w:tcW w:w="2546" w:type="dxa"/>
            <w:vAlign w:val="center"/>
          </w:tcPr>
          <w:p>
            <w:pPr>
              <w:pStyle w:val="625"/>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一般地面硬化</w:t>
            </w:r>
          </w:p>
        </w:tc>
      </w:tr>
    </w:tbl>
    <w:p>
      <w:pPr>
        <w:spacing w:line="460" w:lineRule="exact"/>
        <w:ind w:firstLine="480" w:firstLineChars="200"/>
        <w:rPr>
          <w:bCs/>
          <w:sz w:val="24"/>
        </w:rPr>
      </w:pPr>
      <w:r>
        <w:rPr>
          <w:rFonts w:hint="eastAsia"/>
          <w:bCs/>
          <w:sz w:val="24"/>
        </w:rPr>
        <w:t>2、防渗区划分</w:t>
      </w:r>
    </w:p>
    <w:p>
      <w:pPr>
        <w:spacing w:line="460" w:lineRule="exact"/>
        <w:ind w:firstLine="480" w:firstLineChars="200"/>
        <w:rPr>
          <w:bCs/>
          <w:sz w:val="24"/>
        </w:rPr>
      </w:pPr>
      <w:r>
        <w:rPr>
          <w:rFonts w:hint="eastAsia"/>
          <w:bCs/>
          <w:sz w:val="24"/>
        </w:rPr>
        <w:t>（1）重点污染区防渗措施</w:t>
      </w:r>
    </w:p>
    <w:p>
      <w:pPr>
        <w:spacing w:line="460" w:lineRule="exact"/>
        <w:ind w:firstLine="480" w:firstLineChars="200"/>
        <w:rPr>
          <w:bCs/>
          <w:sz w:val="24"/>
        </w:rPr>
      </w:pPr>
      <w:r>
        <w:rPr>
          <w:rFonts w:hint="eastAsia"/>
          <w:bCs/>
          <w:sz w:val="24"/>
        </w:rPr>
        <w:t>重点防渗区指位于地下或者半地下的生产功能单元，污染地下水环境的污染物泄漏后不容易被及时发现或处理的区域和部位，以及虽可被及时发现并处理，但污染物泄漏后污染状况较严重的生产功能单元，该区域采取严格的防腐、防渗措施。</w:t>
      </w:r>
    </w:p>
    <w:p>
      <w:pPr>
        <w:spacing w:line="460" w:lineRule="exact"/>
        <w:ind w:firstLine="480" w:firstLineChars="200"/>
        <w:rPr>
          <w:bCs/>
          <w:sz w:val="24"/>
        </w:rPr>
      </w:pPr>
      <w:r>
        <w:rPr>
          <w:rFonts w:hint="eastAsia"/>
          <w:bCs/>
          <w:sz w:val="24"/>
        </w:rPr>
        <w:t>根据水文地质勘察资料，本项目所在区域的包气带防污性能为 “中” ，且根据本项目产污环节分析，本项目危废暂存间按照重点防渗区进行防治。</w:t>
      </w:r>
    </w:p>
    <w:p>
      <w:pPr>
        <w:spacing w:line="460" w:lineRule="exact"/>
        <w:ind w:firstLine="480" w:firstLineChars="200"/>
        <w:rPr>
          <w:bCs/>
          <w:sz w:val="24"/>
        </w:rPr>
      </w:pPr>
      <w:r>
        <w:rPr>
          <w:rFonts w:hint="eastAsia"/>
          <w:bCs/>
          <w:sz w:val="24"/>
        </w:rPr>
        <w:t>根据《危险废物贮存污染控制标准》（GB 18597-2023）“6.1.4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Cs/>
          <w:sz w:val="24"/>
          <w:vertAlign w:val="superscript"/>
        </w:rPr>
        <w:t>-7</w:t>
      </w:r>
      <w:r>
        <w:rPr>
          <w:rFonts w:hint="eastAsia"/>
          <w:bCs/>
          <w:sz w:val="24"/>
        </w:rPr>
        <w:t xml:space="preserve"> cm/s），或至少2 mm厚高密度聚乙烯膜等人工防渗材料（渗透系数不大于10</w:t>
      </w:r>
      <w:r>
        <w:rPr>
          <w:rFonts w:hint="eastAsia"/>
          <w:bCs/>
          <w:sz w:val="24"/>
          <w:vertAlign w:val="superscript"/>
        </w:rPr>
        <w:t xml:space="preserve">-10 </w:t>
      </w:r>
      <w:r>
        <w:rPr>
          <w:rFonts w:hint="eastAsia"/>
          <w:bCs/>
          <w:sz w:val="24"/>
        </w:rPr>
        <w:t>cm/s），或其他防渗性能等效的材料。”</w:t>
      </w:r>
    </w:p>
    <w:p>
      <w:pPr>
        <w:spacing w:line="460" w:lineRule="exact"/>
        <w:ind w:firstLine="480" w:firstLineChars="200"/>
        <w:rPr>
          <w:bCs/>
          <w:sz w:val="24"/>
        </w:rPr>
      </w:pPr>
      <w:r>
        <w:rPr>
          <w:rFonts w:hint="eastAsia"/>
          <w:bCs/>
          <w:sz w:val="24"/>
        </w:rPr>
        <w:t>本项目所设置的危废暂存间的防渗性能应满足以上防渗要求。</w:t>
      </w:r>
    </w:p>
    <w:p>
      <w:pPr>
        <w:spacing w:line="460" w:lineRule="exact"/>
        <w:ind w:firstLine="480" w:firstLineChars="200"/>
        <w:rPr>
          <w:bCs/>
          <w:sz w:val="24"/>
        </w:rPr>
      </w:pPr>
      <w:r>
        <w:rPr>
          <w:rFonts w:hint="eastAsia"/>
          <w:bCs/>
          <w:sz w:val="24"/>
        </w:rPr>
        <w:t>（2）一般防渗区</w:t>
      </w:r>
    </w:p>
    <w:p>
      <w:pPr>
        <w:spacing w:line="460" w:lineRule="exact"/>
        <w:ind w:firstLine="480" w:firstLineChars="200"/>
        <w:rPr>
          <w:bCs/>
          <w:sz w:val="24"/>
        </w:rPr>
      </w:pPr>
      <w:r>
        <w:rPr>
          <w:rFonts w:hint="eastAsia"/>
          <w:bCs/>
          <w:sz w:val="24"/>
        </w:rPr>
        <w:t>冷却水池、沉淀池、生活污水化粪池采用一般防渗方式，要求防渗性能达到渗透系数＜10</w:t>
      </w:r>
      <w:r>
        <w:rPr>
          <w:rFonts w:hint="eastAsia"/>
          <w:bCs/>
          <w:sz w:val="24"/>
          <w:vertAlign w:val="superscript"/>
        </w:rPr>
        <w:t>-7</w:t>
      </w:r>
      <w:r>
        <w:rPr>
          <w:rFonts w:hint="eastAsia"/>
          <w:bCs/>
          <w:sz w:val="24"/>
        </w:rPr>
        <w:t>cm/s的防渗性能，沉淀池、冷却水池、化粪池等已进行防渗处置，根据调查符合防渗要求。</w:t>
      </w:r>
    </w:p>
    <w:p>
      <w:pPr>
        <w:spacing w:line="460" w:lineRule="exact"/>
        <w:ind w:firstLine="480" w:firstLineChars="200"/>
        <w:rPr>
          <w:bCs/>
          <w:sz w:val="24"/>
        </w:rPr>
      </w:pPr>
      <w:r>
        <w:rPr>
          <w:rFonts w:hint="eastAsia"/>
          <w:bCs/>
          <w:sz w:val="24"/>
        </w:rPr>
        <w:t>（3）简单防渗区</w:t>
      </w:r>
    </w:p>
    <w:p>
      <w:pPr>
        <w:spacing w:line="460" w:lineRule="exact"/>
        <w:ind w:firstLine="480" w:firstLineChars="200"/>
        <w:rPr>
          <w:bCs/>
          <w:sz w:val="24"/>
        </w:rPr>
      </w:pPr>
      <w:r>
        <w:rPr>
          <w:rFonts w:hint="eastAsia"/>
          <w:bCs/>
          <w:sz w:val="24"/>
        </w:rPr>
        <w:t>生产车间、库房地面采用水泥硬化防渗，并用防渗材料进行防渗。厂区其他地面除绿化用地、预留空地外均采取灰土铺底，再在上层铺10～15cm的混凝土进行硬化。此外，要求企业应充分做好污水管道的防渗处理，杜绝污水渗漏，确保污水收集处理系统衔接良好，严格用水管理，防止污水“跑、冒、滴、漏”现象的发生，这样可以保证项目区内产生的全部废水汇集后纳管，可以很大程度的消除周边地区污染物排放对地下水环境的影响。</w:t>
      </w:r>
    </w:p>
    <w:p>
      <w:pPr>
        <w:spacing w:line="460" w:lineRule="exact"/>
        <w:ind w:firstLine="480" w:firstLineChars="200"/>
        <w:rPr>
          <w:bCs/>
          <w:sz w:val="24"/>
        </w:rPr>
      </w:pPr>
      <w:r>
        <w:rPr>
          <w:rFonts w:hint="eastAsia"/>
          <w:bCs/>
          <w:sz w:val="24"/>
        </w:rPr>
        <w:t>分区防渗图见图7.2-1。</w:t>
      </w:r>
    </w:p>
    <w:p>
      <w:pPr>
        <w:spacing w:line="460" w:lineRule="exact"/>
        <w:ind w:firstLine="480" w:firstLineChars="200"/>
        <w:rPr>
          <w:bCs/>
          <w:sz w:val="24"/>
        </w:rPr>
      </w:pPr>
      <w:r>
        <w:rPr>
          <w:rFonts w:hint="eastAsia"/>
          <w:bCs/>
          <w:sz w:val="24"/>
        </w:rPr>
        <w:t>3、废水管道防渗措施</w:t>
      </w:r>
    </w:p>
    <w:p>
      <w:pPr>
        <w:spacing w:line="460" w:lineRule="exact"/>
        <w:ind w:firstLine="480" w:firstLineChars="200"/>
        <w:rPr>
          <w:bCs/>
          <w:sz w:val="24"/>
        </w:rPr>
      </w:pPr>
      <w:r>
        <w:rPr>
          <w:rFonts w:hint="eastAsia"/>
          <w:bCs/>
          <w:sz w:val="24"/>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pPr>
        <w:spacing w:line="460" w:lineRule="exact"/>
        <w:ind w:firstLine="480" w:firstLineChars="200"/>
        <w:rPr>
          <w:bCs/>
          <w:sz w:val="24"/>
        </w:rPr>
      </w:pPr>
      <w:r>
        <w:rPr>
          <w:rFonts w:hint="eastAsia"/>
          <w:bCs/>
          <w:sz w:val="24"/>
        </w:rPr>
        <w:t>4、管理</w:t>
      </w:r>
    </w:p>
    <w:p>
      <w:pPr>
        <w:spacing w:line="460" w:lineRule="exact"/>
        <w:ind w:firstLine="480" w:firstLineChars="200"/>
        <w:rPr>
          <w:bCs/>
          <w:sz w:val="24"/>
        </w:rPr>
      </w:pPr>
      <w:r>
        <w:rPr>
          <w:rFonts w:hint="eastAsia"/>
          <w:bCs/>
          <w:sz w:val="24"/>
        </w:rPr>
        <w:t>项目运行后，配备专兼职技术人员，加强地下水环境管理及巡查，定期对沉淀池、循环水池和危废暂存间等环节进行检漏工作，确保各防渗漏措施运行的长期性、稳定性和可靠性。</w:t>
      </w:r>
    </w:p>
    <w:p>
      <w:pPr>
        <w:pStyle w:val="2"/>
        <w:ind w:firstLine="480"/>
        <w:rPr>
          <w:color w:val="auto"/>
        </w:rPr>
      </w:pPr>
      <w:r>
        <w:rPr>
          <w:rFonts w:hint="eastAsia"/>
          <w:color w:val="auto"/>
        </w:rPr>
        <w:t>7.2.5.3跟踪监测</w:t>
      </w:r>
    </w:p>
    <w:p>
      <w:pPr>
        <w:spacing w:line="460" w:lineRule="exact"/>
        <w:ind w:firstLine="480" w:firstLineChars="200"/>
        <w:rPr>
          <w:bCs/>
          <w:sz w:val="24"/>
        </w:rPr>
      </w:pPr>
      <w:r>
        <w:rPr>
          <w:rFonts w:hint="eastAsia"/>
          <w:bCs/>
          <w:sz w:val="24"/>
        </w:rPr>
        <w:t>本项目建立地下水环境监测管理体系，包括制定地下水环境影响跟踪监测计划、建立地下水环境影响跟踪监测制度、定期委托有能力的机构监测，及时发现污染，及时控制。</w:t>
      </w:r>
    </w:p>
    <w:p>
      <w:pPr>
        <w:spacing w:line="460" w:lineRule="exact"/>
        <w:ind w:firstLine="480" w:firstLineChars="200"/>
        <w:rPr>
          <w:bCs/>
          <w:sz w:val="24"/>
        </w:rPr>
      </w:pPr>
      <w:r>
        <w:rPr>
          <w:rFonts w:hint="eastAsia"/>
          <w:bCs/>
          <w:sz w:val="24"/>
        </w:rPr>
        <w:t>（1）地下水监测井布设原则</w:t>
      </w:r>
    </w:p>
    <w:p>
      <w:pPr>
        <w:spacing w:line="460" w:lineRule="exact"/>
        <w:ind w:firstLine="480" w:firstLineChars="200"/>
        <w:rPr>
          <w:bCs/>
          <w:sz w:val="24"/>
        </w:rPr>
      </w:pPr>
      <w:r>
        <w:rPr>
          <w:rFonts w:hint="eastAsia"/>
          <w:bCs/>
          <w:sz w:val="24"/>
        </w:rPr>
        <w:t>①以监测潜水为主；</w:t>
      </w:r>
    </w:p>
    <w:p>
      <w:pPr>
        <w:spacing w:line="460" w:lineRule="exact"/>
        <w:ind w:firstLine="480" w:firstLineChars="200"/>
        <w:rPr>
          <w:bCs/>
          <w:sz w:val="24"/>
        </w:rPr>
      </w:pPr>
      <w:r>
        <w:rPr>
          <w:rFonts w:hint="eastAsia"/>
          <w:bCs/>
          <w:sz w:val="24"/>
        </w:rPr>
        <w:t>②重点污染区加密监测；</w:t>
      </w:r>
    </w:p>
    <w:p>
      <w:pPr>
        <w:spacing w:line="460" w:lineRule="exact"/>
        <w:ind w:firstLine="480" w:firstLineChars="200"/>
        <w:rPr>
          <w:bCs/>
          <w:sz w:val="24"/>
        </w:rPr>
      </w:pPr>
      <w:r>
        <w:rPr>
          <w:rFonts w:hint="eastAsia"/>
          <w:bCs/>
          <w:sz w:val="24"/>
        </w:rPr>
        <w:t>③以地下水下游区为主，上游区设置背景点；</w:t>
      </w:r>
    </w:p>
    <w:p>
      <w:pPr>
        <w:spacing w:line="460" w:lineRule="exact"/>
        <w:ind w:firstLine="480" w:firstLineChars="200"/>
        <w:rPr>
          <w:bCs/>
          <w:sz w:val="24"/>
        </w:rPr>
      </w:pPr>
      <w:r>
        <w:rPr>
          <w:rFonts w:hint="eastAsia"/>
          <w:bCs/>
          <w:sz w:val="24"/>
        </w:rPr>
        <w:t>④尽量利用已有井孔。</w:t>
      </w:r>
    </w:p>
    <w:p>
      <w:pPr>
        <w:spacing w:line="460" w:lineRule="exact"/>
        <w:ind w:firstLine="480" w:firstLineChars="200"/>
        <w:rPr>
          <w:bCs/>
          <w:sz w:val="24"/>
        </w:rPr>
      </w:pPr>
      <w:r>
        <w:rPr>
          <w:rFonts w:hint="eastAsia"/>
          <w:bCs/>
          <w:sz w:val="24"/>
        </w:rPr>
        <w:t>（2）监测制度</w:t>
      </w:r>
    </w:p>
    <w:p>
      <w:pPr>
        <w:spacing w:line="460" w:lineRule="exact"/>
        <w:ind w:firstLine="480" w:firstLineChars="200"/>
        <w:rPr>
          <w:bCs/>
          <w:sz w:val="24"/>
        </w:rPr>
      </w:pPr>
      <w:r>
        <w:rPr>
          <w:rFonts w:hint="eastAsia"/>
          <w:bCs/>
          <w:sz w:val="24"/>
        </w:rPr>
        <w:t>考虑到本次评价的地下水补给来源较为单一，补给量较少的原因，含水层富水性弱，污染物在含水层中迁移速度缓慢，再加上本层含水层地下水动态受降雨影响大，监测频次初步设置为：</w:t>
      </w:r>
    </w:p>
    <w:p>
      <w:pPr>
        <w:spacing w:line="460" w:lineRule="exact"/>
        <w:ind w:firstLine="480" w:firstLineChars="200"/>
        <w:rPr>
          <w:bCs/>
          <w:sz w:val="24"/>
        </w:rPr>
      </w:pPr>
      <w:r>
        <w:rPr>
          <w:rFonts w:hint="eastAsia"/>
          <w:bCs/>
          <w:sz w:val="24"/>
        </w:rPr>
        <w:t>每年监测一次；</w:t>
      </w:r>
    </w:p>
    <w:p>
      <w:pPr>
        <w:spacing w:line="460" w:lineRule="exact"/>
        <w:ind w:firstLine="480" w:firstLineChars="200"/>
        <w:rPr>
          <w:bCs/>
          <w:sz w:val="24"/>
        </w:rPr>
      </w:pPr>
      <w:r>
        <w:rPr>
          <w:rFonts w:hint="eastAsia"/>
          <w:bCs/>
          <w:sz w:val="24"/>
        </w:rPr>
        <w:t>如发现监测值异常（特征因子浓度持续升高，或现状监测未检出的因子检出），应加密监测频次，以确定是否发生污染事故。</w:t>
      </w:r>
    </w:p>
    <w:p>
      <w:pPr>
        <w:spacing w:line="460" w:lineRule="exact"/>
        <w:ind w:firstLine="480" w:firstLineChars="200"/>
        <w:rPr>
          <w:bCs/>
          <w:sz w:val="24"/>
        </w:rPr>
      </w:pPr>
      <w:r>
        <w:rPr>
          <w:rFonts w:hint="eastAsia"/>
          <w:bCs/>
          <w:sz w:val="24"/>
        </w:rPr>
        <w:t>参照《排污单位自行监测技术指南 橡胶和塑料制品》（HJ 1207-2021）监测项目：pH、总硬度、溶解性总固体、高锰酸盐指数、氯化物、氨氮、硝酸盐、亚硝酸盐、六价铬、氟化物、石油类、苯并[a]芘、铜、锌、铁、锰、镍、砷。</w:t>
      </w:r>
    </w:p>
    <w:p>
      <w:pPr>
        <w:spacing w:line="460" w:lineRule="exact"/>
        <w:ind w:firstLine="480" w:firstLineChars="200"/>
        <w:rPr>
          <w:bCs/>
          <w:sz w:val="24"/>
        </w:rPr>
      </w:pPr>
      <w:r>
        <w:rPr>
          <w:rFonts w:hint="eastAsia"/>
          <w:bCs/>
          <w:sz w:val="24"/>
        </w:rPr>
        <w:t>地下水进行监测时的气温、地下水水位、水温、溶解氧、电导率、氧化还原电位、嗅和味、浑浊度、肉眼可见物等监测项目为每次监测的现场必测项目，同时记录井深。</w:t>
      </w:r>
    </w:p>
    <w:p>
      <w:pPr>
        <w:spacing w:line="460" w:lineRule="exact"/>
        <w:ind w:firstLine="480" w:firstLineChars="200"/>
        <w:rPr>
          <w:bCs/>
          <w:sz w:val="24"/>
        </w:rPr>
      </w:pPr>
      <w:r>
        <w:rPr>
          <w:rFonts w:hint="eastAsia"/>
          <w:bCs/>
          <w:sz w:val="24"/>
        </w:rPr>
        <w:t>监测结果应按项目有关规定及时建立档案，并及时向厂环保部门汇报，如发现异常或发生事故，应加密监测频次，改为每周监测一次，通过对比分析厂区地下水上下游监测数据，确定是否为厂区内污染物泄漏导致，然后启动地下水污染应急预案。</w:t>
      </w:r>
    </w:p>
    <w:p>
      <w:pPr>
        <w:spacing w:line="460" w:lineRule="exact"/>
        <w:ind w:firstLine="480" w:firstLineChars="200"/>
        <w:rPr>
          <w:bCs/>
          <w:sz w:val="24"/>
        </w:rPr>
      </w:pPr>
      <w:r>
        <w:rPr>
          <w:rFonts w:hint="eastAsia"/>
          <w:bCs/>
          <w:sz w:val="24"/>
        </w:rPr>
        <w:t>（3）监测井位</w:t>
      </w:r>
    </w:p>
    <w:p>
      <w:pPr>
        <w:spacing w:line="460" w:lineRule="exact"/>
        <w:ind w:firstLine="480" w:firstLineChars="200"/>
        <w:rPr>
          <w:bCs/>
          <w:sz w:val="24"/>
        </w:rPr>
      </w:pPr>
      <w:r>
        <w:rPr>
          <w:rFonts w:hint="eastAsia"/>
          <w:bCs/>
          <w:sz w:val="24"/>
        </w:rPr>
        <w:t>根据《环境影响评价技术导则 地下水环境》(HJ610-2016)，三级评价项目地下水监测井一般不少于1个，布置于场地下游。根据《工业企业土壤和地下水自行监测技术指南》（HJ1209-2021）要求，“每个企业地下水监测井（含对照点）总数原则上不应少于3个，且尽量避免在同一直线上”，因此本项目结合实际情况设置3个地下水环境质量监测点，均利用现有监测井。</w:t>
      </w:r>
    </w:p>
    <w:p>
      <w:pPr>
        <w:spacing w:line="460" w:lineRule="exact"/>
        <w:ind w:firstLine="480" w:firstLineChars="200"/>
        <w:rPr>
          <w:bCs/>
          <w:sz w:val="24"/>
        </w:rPr>
      </w:pPr>
      <w:r>
        <w:rPr>
          <w:rFonts w:hint="eastAsia"/>
          <w:bCs/>
          <w:sz w:val="24"/>
        </w:rPr>
        <w:t>项目跟踪监测井布置情况见表7.2-5。</w:t>
      </w:r>
    </w:p>
    <w:p>
      <w:pPr>
        <w:pStyle w:val="404"/>
        <w:spacing w:line="240" w:lineRule="auto"/>
        <w:ind w:firstLine="420" w:firstLineChars="200"/>
        <w:jc w:val="both"/>
        <w:rPr>
          <w:rFonts w:ascii="Times New Roman" w:hAnsi="Times New Roman" w:eastAsia="黑体" w:cs="Times New Roman"/>
          <w:b w:val="0"/>
          <w:sz w:val="21"/>
        </w:rPr>
      </w:pPr>
      <w:r>
        <w:rPr>
          <w:rFonts w:ascii="Times New Roman" w:hAnsi="Times New Roman" w:eastAsia="黑体" w:cs="Times New Roman"/>
          <w:b w:val="0"/>
          <w:sz w:val="21"/>
        </w:rPr>
        <w:t>表</w:t>
      </w:r>
      <w:r>
        <w:rPr>
          <w:rFonts w:hint="eastAsia" w:ascii="Times New Roman" w:hAnsi="Times New Roman" w:eastAsia="黑体" w:cs="Times New Roman"/>
          <w:b w:val="0"/>
          <w:sz w:val="21"/>
        </w:rPr>
        <w:t>7.2-5</w:t>
      </w:r>
      <w:r>
        <w:rPr>
          <w:rFonts w:ascii="Times New Roman" w:hAnsi="Times New Roman" w:eastAsia="黑体" w:cs="Times New Roman"/>
          <w:b w:val="0"/>
          <w:sz w:val="21"/>
        </w:rPr>
        <w:t xml:space="preserve">             项目地下水跟踪监测井布设情况表</w:t>
      </w:r>
    </w:p>
    <w:tbl>
      <w:tblPr>
        <w:tblStyle w:val="754"/>
        <w:tblW w:w="4702"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8"/>
        <w:gridCol w:w="1118"/>
        <w:gridCol w:w="1277"/>
        <w:gridCol w:w="1559"/>
        <w:gridCol w:w="1560"/>
        <w:gridCol w:w="708"/>
        <w:gridCol w:w="122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 w:type="pct"/>
            <w:tcMar>
              <w:left w:w="0" w:type="dxa"/>
              <w:right w:w="0" w:type="dxa"/>
            </w:tcMar>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编号</w:t>
            </w:r>
          </w:p>
        </w:tc>
        <w:tc>
          <w:tcPr>
            <w:tcW w:w="714"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 xml:space="preserve">点位   </w:t>
            </w:r>
            <w:r>
              <w:rPr>
                <w:rFonts w:ascii="Times New Roman" w:hAnsi="Times New Roman" w:eastAsiaTheme="minorEastAsia"/>
                <w:sz w:val="21"/>
                <w:szCs w:val="21"/>
              </w:rPr>
              <w:t>名称</w:t>
            </w:r>
          </w:p>
        </w:tc>
        <w:tc>
          <w:tcPr>
            <w:tcW w:w="815" w:type="pc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层位、井深</w:t>
            </w:r>
          </w:p>
        </w:tc>
        <w:tc>
          <w:tcPr>
            <w:tcW w:w="1991" w:type="pct"/>
            <w:gridSpan w:val="2"/>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点位、坐标</w:t>
            </w:r>
          </w:p>
        </w:tc>
        <w:tc>
          <w:tcPr>
            <w:tcW w:w="452" w:type="pc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监测频率</w:t>
            </w:r>
          </w:p>
        </w:tc>
        <w:tc>
          <w:tcPr>
            <w:tcW w:w="780"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与本项目关系</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 w:type="pct"/>
            <w:tcMar>
              <w:left w:w="0" w:type="dxa"/>
              <w:right w:w="0" w:type="dxa"/>
            </w:tcMar>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1#</w:t>
            </w:r>
          </w:p>
        </w:tc>
        <w:tc>
          <w:tcPr>
            <w:tcW w:w="714" w:type="pc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背景点</w:t>
            </w:r>
          </w:p>
        </w:tc>
        <w:tc>
          <w:tcPr>
            <w:tcW w:w="815" w:type="pct"/>
            <w:vMerge w:val="restar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第四系潜水层，井深要求超过潜水的最大地下水埋深以下2m</w:t>
            </w:r>
          </w:p>
        </w:tc>
        <w:tc>
          <w:tcPr>
            <w:tcW w:w="995"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87°19'20.17"</w:t>
            </w:r>
          </w:p>
        </w:tc>
        <w:tc>
          <w:tcPr>
            <w:tcW w:w="996"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44°13'30.83"</w:t>
            </w:r>
          </w:p>
        </w:tc>
        <w:tc>
          <w:tcPr>
            <w:tcW w:w="452" w:type="pct"/>
            <w:vMerge w:val="restar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每年监测</w:t>
            </w:r>
            <w:r>
              <w:rPr>
                <w:rFonts w:ascii="Times New Roman" w:hAnsi="Times New Roman" w:eastAsiaTheme="minorEastAsia"/>
                <w:sz w:val="21"/>
                <w:szCs w:val="21"/>
              </w:rPr>
              <w:t>一次</w:t>
            </w:r>
          </w:p>
        </w:tc>
        <w:tc>
          <w:tcPr>
            <w:tcW w:w="780"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厂区</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 w:type="pct"/>
            <w:tcMar>
              <w:left w:w="0" w:type="dxa"/>
              <w:right w:w="0" w:type="dxa"/>
            </w:tcMar>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714" w:type="pc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污染扩散监测点</w:t>
            </w:r>
            <w:r>
              <w:rPr>
                <w:rFonts w:hint="eastAsia" w:ascii="Times New Roman" w:hAnsi="Times New Roman" w:eastAsiaTheme="minorEastAsia"/>
                <w:sz w:val="21"/>
                <w:szCs w:val="21"/>
              </w:rPr>
              <w:t>1#</w:t>
            </w:r>
          </w:p>
        </w:tc>
        <w:tc>
          <w:tcPr>
            <w:tcW w:w="815" w:type="pct"/>
            <w:vMerge w:val="continue"/>
            <w:vAlign w:val="center"/>
          </w:tcPr>
          <w:p>
            <w:pPr>
              <w:pStyle w:val="625"/>
              <w:widowControl w:val="0"/>
              <w:spacing w:line="240" w:lineRule="auto"/>
              <w:jc w:val="center"/>
              <w:rPr>
                <w:rFonts w:ascii="Times New Roman" w:hAnsi="Times New Roman" w:eastAsiaTheme="minorEastAsia"/>
                <w:sz w:val="21"/>
                <w:szCs w:val="21"/>
              </w:rPr>
            </w:pPr>
          </w:p>
        </w:tc>
        <w:tc>
          <w:tcPr>
            <w:tcW w:w="995"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87°19'30.18"</w:t>
            </w:r>
          </w:p>
        </w:tc>
        <w:tc>
          <w:tcPr>
            <w:tcW w:w="996"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44°13'46.96"</w:t>
            </w:r>
          </w:p>
        </w:tc>
        <w:tc>
          <w:tcPr>
            <w:tcW w:w="452" w:type="pct"/>
            <w:vMerge w:val="continue"/>
            <w:vAlign w:val="center"/>
          </w:tcPr>
          <w:p>
            <w:pPr>
              <w:pStyle w:val="625"/>
              <w:widowControl w:val="0"/>
              <w:spacing w:line="240" w:lineRule="auto"/>
              <w:jc w:val="center"/>
              <w:rPr>
                <w:rFonts w:ascii="Times New Roman" w:hAnsi="Times New Roman" w:eastAsiaTheme="minorEastAsia"/>
                <w:sz w:val="21"/>
                <w:szCs w:val="21"/>
              </w:rPr>
            </w:pPr>
          </w:p>
        </w:tc>
        <w:tc>
          <w:tcPr>
            <w:tcW w:w="780"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北侧0.5km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 w:type="pct"/>
            <w:tcMar>
              <w:left w:w="0" w:type="dxa"/>
              <w:right w:w="0" w:type="dxa"/>
            </w:tcMar>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714" w:type="pct"/>
            <w:vAlign w:val="center"/>
          </w:tcPr>
          <w:p>
            <w:pPr>
              <w:pStyle w:val="625"/>
              <w:widowControl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污染扩散监测点</w:t>
            </w:r>
            <w:r>
              <w:rPr>
                <w:rFonts w:hint="eastAsia" w:ascii="Times New Roman" w:hAnsi="Times New Roman" w:eastAsiaTheme="minorEastAsia"/>
                <w:sz w:val="21"/>
                <w:szCs w:val="21"/>
              </w:rPr>
              <w:t>2#</w:t>
            </w:r>
          </w:p>
        </w:tc>
        <w:tc>
          <w:tcPr>
            <w:tcW w:w="815" w:type="pct"/>
            <w:vMerge w:val="continue"/>
            <w:vAlign w:val="center"/>
          </w:tcPr>
          <w:p>
            <w:pPr>
              <w:pStyle w:val="625"/>
              <w:widowControl w:val="0"/>
              <w:spacing w:line="240" w:lineRule="auto"/>
              <w:jc w:val="center"/>
              <w:rPr>
                <w:rFonts w:ascii="Times New Roman" w:hAnsi="Times New Roman" w:eastAsiaTheme="minorEastAsia"/>
                <w:sz w:val="21"/>
                <w:szCs w:val="21"/>
              </w:rPr>
            </w:pPr>
          </w:p>
        </w:tc>
        <w:tc>
          <w:tcPr>
            <w:tcW w:w="995"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 xml:space="preserve"> 87°19'44.65"</w:t>
            </w:r>
          </w:p>
        </w:tc>
        <w:tc>
          <w:tcPr>
            <w:tcW w:w="996"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44°13'27.70"</w:t>
            </w:r>
          </w:p>
        </w:tc>
        <w:tc>
          <w:tcPr>
            <w:tcW w:w="452" w:type="pct"/>
            <w:vMerge w:val="continue"/>
            <w:vAlign w:val="center"/>
          </w:tcPr>
          <w:p>
            <w:pPr>
              <w:pStyle w:val="625"/>
              <w:widowControl w:val="0"/>
              <w:spacing w:line="240" w:lineRule="auto"/>
              <w:jc w:val="center"/>
              <w:rPr>
                <w:rFonts w:ascii="Times New Roman" w:hAnsi="Times New Roman" w:eastAsiaTheme="minorEastAsia"/>
                <w:sz w:val="21"/>
                <w:szCs w:val="21"/>
              </w:rPr>
            </w:pPr>
          </w:p>
        </w:tc>
        <w:tc>
          <w:tcPr>
            <w:tcW w:w="780" w:type="pct"/>
            <w:vAlign w:val="center"/>
          </w:tcPr>
          <w:p>
            <w:pPr>
              <w:pStyle w:val="625"/>
              <w:widowControl w:val="0"/>
              <w:spacing w:line="240" w:lineRule="auto"/>
              <w:jc w:val="center"/>
              <w:rPr>
                <w:rFonts w:ascii="Times New Roman" w:hAnsi="Times New Roman" w:eastAsiaTheme="minorEastAsia"/>
                <w:sz w:val="21"/>
                <w:szCs w:val="21"/>
              </w:rPr>
            </w:pPr>
            <w:r>
              <w:rPr>
                <w:rFonts w:hint="eastAsia" w:ascii="Times New Roman" w:hAnsi="Times New Roman" w:eastAsiaTheme="minorEastAsia"/>
                <w:sz w:val="21"/>
                <w:szCs w:val="21"/>
              </w:rPr>
              <w:t>东侧0.4km</w:t>
            </w:r>
          </w:p>
        </w:tc>
      </w:tr>
    </w:tbl>
    <w:p>
      <w:pPr>
        <w:pStyle w:val="499"/>
        <w:spacing w:line="460" w:lineRule="exact"/>
        <w:ind w:firstLine="480"/>
        <w:rPr>
          <w:rFonts w:ascii="Times New Roman" w:hAnsi="Times New Roman" w:cs="Times New Roman"/>
        </w:rPr>
      </w:pPr>
    </w:p>
    <w:bookmarkEnd w:id="267"/>
    <w:bookmarkEnd w:id="268"/>
    <w:bookmarkEnd w:id="269"/>
    <w:bookmarkEnd w:id="270"/>
    <w:bookmarkEnd w:id="271"/>
    <w:bookmarkEnd w:id="272"/>
    <w:p>
      <w:pPr>
        <w:widowControl/>
        <w:jc w:val="left"/>
        <w:rPr>
          <w:sz w:val="44"/>
          <w:szCs w:val="22"/>
        </w:rPr>
      </w:pPr>
      <w:bookmarkStart w:id="287" w:name="_Toc146967278"/>
      <w:bookmarkStart w:id="288" w:name="_Toc149705177"/>
      <w:bookmarkStart w:id="289" w:name="_Toc188349480"/>
      <w:bookmarkStart w:id="290" w:name="_Toc327365518"/>
      <w:bookmarkStart w:id="291" w:name="_Toc26384"/>
      <w:bookmarkStart w:id="292" w:name="_Toc188349484"/>
      <w:bookmarkStart w:id="293" w:name="_Toc146967282"/>
      <w:bookmarkStart w:id="294" w:name="_Toc149705181"/>
      <w:r>
        <w:rPr>
          <w:szCs w:val="22"/>
        </w:rPr>
        <w:br w:type="page"/>
      </w:r>
    </w:p>
    <w:bookmarkEnd w:id="287"/>
    <w:bookmarkEnd w:id="288"/>
    <w:bookmarkEnd w:id="289"/>
    <w:bookmarkEnd w:id="290"/>
    <w:bookmarkEnd w:id="291"/>
    <w:bookmarkEnd w:id="292"/>
    <w:bookmarkEnd w:id="293"/>
    <w:bookmarkEnd w:id="294"/>
    <w:p>
      <w:pPr>
        <w:pStyle w:val="3"/>
        <w:spacing w:before="100" w:beforeAutospacing="1" w:after="100" w:afterAutospacing="1" w:line="360" w:lineRule="auto"/>
        <w:jc w:val="center"/>
      </w:pPr>
      <w:bookmarkStart w:id="295" w:name="_Toc165386240"/>
      <w:bookmarkStart w:id="296" w:name="_Toc454899407"/>
      <w:r>
        <w:rPr>
          <w:rFonts w:hint="eastAsia"/>
        </w:rPr>
        <w:t>8 环境经济损益分析</w:t>
      </w:r>
      <w:bookmarkEnd w:id="295"/>
    </w:p>
    <w:p>
      <w:pPr>
        <w:spacing w:line="460" w:lineRule="exact"/>
        <w:ind w:firstLine="480" w:firstLineChars="200"/>
        <w:rPr>
          <w:sz w:val="24"/>
        </w:rPr>
      </w:pPr>
      <w:r>
        <w:rPr>
          <w:rFonts w:hint="eastAsia"/>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pPr>
        <w:pStyle w:val="4"/>
        <w:adjustRightInd w:val="0"/>
        <w:spacing w:before="120" w:after="120" w:line="460" w:lineRule="exact"/>
        <w:textAlignment w:val="baseline"/>
        <w:rPr>
          <w:rFonts w:ascii="Times New Roman" w:hAnsi="Times New Roman"/>
          <w:b w:val="0"/>
          <w:bCs w:val="0"/>
          <w:szCs w:val="28"/>
        </w:rPr>
      </w:pPr>
      <w:bookmarkStart w:id="297" w:name="_Toc165386241"/>
      <w:r>
        <w:rPr>
          <w:rFonts w:hint="eastAsia" w:ascii="Times New Roman" w:hAnsi="Times New Roman"/>
          <w:b w:val="0"/>
          <w:bCs w:val="0"/>
          <w:szCs w:val="28"/>
        </w:rPr>
        <w:t>8.1 环保设施内容及投资估算</w:t>
      </w:r>
      <w:bookmarkEnd w:id="297"/>
    </w:p>
    <w:p>
      <w:pPr>
        <w:spacing w:line="460" w:lineRule="exact"/>
        <w:ind w:firstLine="480" w:firstLineChars="200"/>
        <w:rPr>
          <w:sz w:val="24"/>
        </w:rPr>
      </w:pPr>
      <w:r>
        <w:rPr>
          <w:rFonts w:hint="eastAsia"/>
          <w:sz w:val="24"/>
        </w:rPr>
        <w:t>本次改扩建项目计划总投资1000万元，计划用于环境保护设施项目的投资共计181万元，工程环保投资占总投资比例为18.10</w:t>
      </w:r>
      <w:r>
        <w:rPr>
          <w:sz w:val="24"/>
        </w:rPr>
        <w:t>%</w:t>
      </w:r>
      <w:r>
        <w:rPr>
          <w:rFonts w:hint="eastAsia"/>
          <w:sz w:val="24"/>
        </w:rPr>
        <w:t>。项目环保投资估算见表8.1</w:t>
      </w:r>
      <w:r>
        <w:rPr>
          <w:sz w:val="24"/>
        </w:rPr>
        <w:t>-1</w:t>
      </w:r>
      <w:r>
        <w:rPr>
          <w:rFonts w:hint="eastAsia"/>
          <w:sz w:val="24"/>
        </w:rPr>
        <w:t>。</w:t>
      </w:r>
    </w:p>
    <w:p>
      <w:pPr>
        <w:pStyle w:val="499"/>
        <w:spacing w:line="240" w:lineRule="auto"/>
        <w:ind w:firstLine="420"/>
        <w:rPr>
          <w:rFonts w:ascii="Times New Roman" w:hAnsi="Times New Roman" w:eastAsia="黑体" w:cs="Times New Roman"/>
          <w:sz w:val="21"/>
        </w:rPr>
      </w:pPr>
      <w:r>
        <w:rPr>
          <w:rFonts w:ascii="Times New Roman" w:hAnsi="Times New Roman" w:eastAsia="黑体" w:cs="Times New Roman"/>
          <w:sz w:val="21"/>
        </w:rPr>
        <w:t>表</w:t>
      </w:r>
      <w:r>
        <w:rPr>
          <w:rFonts w:hint="eastAsia" w:ascii="Times New Roman" w:hAnsi="Times New Roman" w:eastAsia="黑体" w:cs="Times New Roman"/>
          <w:sz w:val="21"/>
        </w:rPr>
        <w:t>8.1</w:t>
      </w:r>
      <w:r>
        <w:rPr>
          <w:rFonts w:ascii="Times New Roman" w:hAnsi="Times New Roman" w:eastAsia="黑体" w:cs="Times New Roman"/>
          <w:sz w:val="21"/>
        </w:rPr>
        <w:t>-1                    项目环保投资一览表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08"/>
        <w:gridCol w:w="1276"/>
        <w:gridCol w:w="4253"/>
        <w:gridCol w:w="992"/>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12"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序号</w:t>
            </w:r>
          </w:p>
        </w:tc>
        <w:tc>
          <w:tcPr>
            <w:tcW w:w="708" w:type="dxa"/>
            <w:tcBorders>
              <w:top w:val="single" w:color="auto" w:sz="12"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环境要素</w:t>
            </w:r>
          </w:p>
        </w:tc>
        <w:tc>
          <w:tcPr>
            <w:tcW w:w="1276" w:type="dxa"/>
            <w:tcBorders>
              <w:top w:val="single" w:color="auto" w:sz="12"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污染环节源</w:t>
            </w:r>
          </w:p>
        </w:tc>
        <w:tc>
          <w:tcPr>
            <w:tcW w:w="4253" w:type="dxa"/>
            <w:tcBorders>
              <w:top w:val="single" w:color="auto" w:sz="12"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治理措施</w:t>
            </w:r>
          </w:p>
        </w:tc>
        <w:tc>
          <w:tcPr>
            <w:tcW w:w="992" w:type="dxa"/>
            <w:tcBorders>
              <w:top w:val="single" w:color="auto" w:sz="12"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投资</w:t>
            </w:r>
            <w:r>
              <w:rPr>
                <w:rFonts w:eastAsiaTheme="minorEastAsia"/>
                <w:kern w:val="0"/>
                <w:sz w:val="21"/>
                <w:szCs w:val="21"/>
              </w:rPr>
              <w:t xml:space="preserve">  </w:t>
            </w:r>
            <w:r>
              <w:rPr>
                <w:rFonts w:hint="eastAsia" w:eastAsiaTheme="minorEastAsia"/>
                <w:kern w:val="0"/>
                <w:sz w:val="21"/>
                <w:szCs w:val="21"/>
              </w:rPr>
              <w:t>（万元）</w:t>
            </w:r>
          </w:p>
        </w:tc>
        <w:tc>
          <w:tcPr>
            <w:tcW w:w="673" w:type="dxa"/>
            <w:tcBorders>
              <w:top w:val="single" w:color="auto" w:sz="12" w:space="0"/>
              <w:left w:val="single" w:color="auto" w:sz="4" w:space="0"/>
              <w:bottom w:val="single" w:color="auto" w:sz="4" w:space="0"/>
              <w:right w:val="nil"/>
            </w:tcBorders>
            <w:vAlign w:val="center"/>
          </w:tcPr>
          <w:p>
            <w:pPr>
              <w:jc w:val="center"/>
              <w:rPr>
                <w:rFonts w:eastAsiaTheme="minorEastAsia"/>
                <w:kern w:val="0"/>
                <w:sz w:val="21"/>
                <w:szCs w:val="21"/>
              </w:rPr>
            </w:pPr>
            <w:r>
              <w:rPr>
                <w:rFonts w:hint="eastAsia" w:eastAsiaTheme="minorEastAsia"/>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废气</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废旧塑料储存</w:t>
            </w:r>
          </w:p>
        </w:tc>
        <w:tc>
          <w:tcPr>
            <w:tcW w:w="425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废旧塑料只封闭式库房储存</w:t>
            </w:r>
          </w:p>
        </w:tc>
        <w:tc>
          <w:tcPr>
            <w:tcW w:w="99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r>
              <w:rPr>
                <w:rFonts w:hint="eastAsia" w:eastAsiaTheme="minorEastAsia"/>
                <w:kern w:val="0"/>
                <w:sz w:val="21"/>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bCs/>
                <w:kern w:val="0"/>
                <w:sz w:val="21"/>
                <w:szCs w:val="21"/>
              </w:rPr>
              <w:t>废旧滴灌带造粒、滴灌带生产</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每台造粒机及挤出机上方分别设置1个集气罩（共设置15个集气罩），设置引风机将有机废气引至车间外设置的一套活性炭吸附+催化燃烧（CO）处置措施处置后通过1根15m高排气筒外排</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2</w:t>
            </w:r>
            <w:r>
              <w:rPr>
                <w:rFonts w:hint="eastAsia" w:eastAsiaTheme="minorEastAsia"/>
                <w:kern w:val="0"/>
                <w:sz w:val="21"/>
                <w:szCs w:val="21"/>
              </w:rPr>
              <w:t>5</w:t>
            </w:r>
          </w:p>
        </w:tc>
        <w:tc>
          <w:tcPr>
            <w:tcW w:w="673" w:type="dxa"/>
            <w:tcBorders>
              <w:top w:val="single" w:color="auto" w:sz="4" w:space="0"/>
              <w:left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废旧塑料膜造粒、PE管生产</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bCs/>
                <w:kern w:val="0"/>
                <w:sz w:val="21"/>
                <w:szCs w:val="21"/>
              </w:rPr>
            </w:pPr>
            <w:r>
              <w:rPr>
                <w:rFonts w:hint="eastAsia"/>
                <w:bCs/>
                <w:kern w:val="0"/>
                <w:sz w:val="21"/>
                <w:szCs w:val="21"/>
              </w:rPr>
              <w:t>每台熔融挤出机及造粒机上方分别设置1个集气罩（共设置9个集气罩），设置引风机将收集废气引至车间外设置的一套活性炭吸附+催化燃烧（CO）措施处置后通过1根15m高排气筒外排</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2</w:t>
            </w:r>
            <w:r>
              <w:rPr>
                <w:rFonts w:hint="eastAsia" w:eastAsiaTheme="minorEastAsia"/>
                <w:kern w:val="0"/>
                <w:sz w:val="21"/>
                <w:szCs w:val="21"/>
              </w:rPr>
              <w:t>0</w:t>
            </w:r>
          </w:p>
        </w:tc>
        <w:tc>
          <w:tcPr>
            <w:tcW w:w="0" w:type="auto"/>
            <w:tcBorders>
              <w:left w:val="single" w:color="auto" w:sz="4" w:space="0"/>
              <w:bottom w:val="single" w:color="auto" w:sz="4" w:space="0"/>
              <w:right w:val="nil"/>
            </w:tcBorders>
            <w:vAlign w:val="center"/>
          </w:tcPr>
          <w:p>
            <w:pPr>
              <w:widowControl/>
              <w:jc w:val="left"/>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生产车间</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机械通风装置</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5</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废水</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废旧塑料清洗废水</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设置2座30</w:t>
            </w:r>
            <w:r>
              <w:rPr>
                <w:rFonts w:eastAsiaTheme="minorEastAsia"/>
                <w:kern w:val="0"/>
                <w:sz w:val="21"/>
                <w:szCs w:val="21"/>
              </w:rPr>
              <w:t>0m</w:t>
            </w:r>
            <w:r>
              <w:rPr>
                <w:rFonts w:eastAsiaTheme="minorEastAsia"/>
                <w:kern w:val="0"/>
                <w:sz w:val="21"/>
                <w:szCs w:val="21"/>
                <w:vertAlign w:val="superscript"/>
              </w:rPr>
              <w:t>3</w:t>
            </w:r>
            <w:r>
              <w:rPr>
                <w:rFonts w:hint="eastAsia" w:eastAsiaTheme="minorEastAsia"/>
                <w:kern w:val="0"/>
                <w:sz w:val="21"/>
                <w:szCs w:val="21"/>
              </w:rPr>
              <w:t>防渗三级沉淀池</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30</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r>
              <w:rPr>
                <w:rFonts w:hint="eastAsia" w:eastAsiaTheme="minorEastAsia"/>
                <w:kern w:val="0"/>
                <w:sz w:val="21"/>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6</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生产过程冷却水</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设置2座10</w:t>
            </w:r>
            <w:r>
              <w:rPr>
                <w:rFonts w:eastAsiaTheme="minorEastAsia"/>
                <w:kern w:val="0"/>
                <w:sz w:val="21"/>
                <w:szCs w:val="21"/>
              </w:rPr>
              <w:t>0m</w:t>
            </w:r>
            <w:r>
              <w:rPr>
                <w:rFonts w:eastAsiaTheme="minorEastAsia"/>
                <w:kern w:val="0"/>
                <w:sz w:val="21"/>
                <w:szCs w:val="21"/>
                <w:vertAlign w:val="superscript"/>
              </w:rPr>
              <w:t>3</w:t>
            </w:r>
            <w:r>
              <w:rPr>
                <w:rFonts w:hint="eastAsia" w:eastAsiaTheme="minorEastAsia"/>
                <w:kern w:val="0"/>
                <w:sz w:val="21"/>
                <w:szCs w:val="21"/>
              </w:rPr>
              <w:t>防渗循环水池</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10</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r>
              <w:rPr>
                <w:rFonts w:hint="eastAsia" w:eastAsiaTheme="minorEastAsia"/>
                <w:kern w:val="0"/>
                <w:sz w:val="21"/>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7</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生活污水</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设置</w:t>
            </w:r>
            <w:r>
              <w:rPr>
                <w:rFonts w:eastAsiaTheme="minorEastAsia"/>
                <w:kern w:val="0"/>
                <w:sz w:val="21"/>
                <w:szCs w:val="21"/>
              </w:rPr>
              <w:t>1</w:t>
            </w:r>
            <w:r>
              <w:rPr>
                <w:rFonts w:hint="eastAsia" w:eastAsiaTheme="minorEastAsia"/>
                <w:kern w:val="0"/>
                <w:sz w:val="21"/>
                <w:szCs w:val="21"/>
              </w:rPr>
              <w:t>座一座1</w:t>
            </w:r>
            <w:r>
              <w:rPr>
                <w:rFonts w:eastAsiaTheme="minorEastAsia"/>
                <w:kern w:val="0"/>
                <w:sz w:val="21"/>
                <w:szCs w:val="21"/>
              </w:rPr>
              <w:t>00m</w:t>
            </w:r>
            <w:r>
              <w:rPr>
                <w:rFonts w:eastAsiaTheme="minorEastAsia"/>
                <w:kern w:val="0"/>
                <w:sz w:val="21"/>
                <w:szCs w:val="21"/>
                <w:vertAlign w:val="superscript"/>
              </w:rPr>
              <w:t>3</w:t>
            </w:r>
            <w:r>
              <w:rPr>
                <w:rFonts w:hint="eastAsia" w:eastAsiaTheme="minorEastAsia"/>
                <w:kern w:val="0"/>
                <w:sz w:val="21"/>
                <w:szCs w:val="21"/>
              </w:rPr>
              <w:t>防渗化粪池</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10</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固废</w:t>
            </w:r>
          </w:p>
        </w:tc>
        <w:tc>
          <w:tcPr>
            <w:tcW w:w="1276"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危废暂存间</w:t>
            </w:r>
          </w:p>
        </w:tc>
        <w:tc>
          <w:tcPr>
            <w:tcW w:w="4253"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按照《危险废物贮存污染控制标准》（GB 18597-2023）中有关规定设置一座10m</w:t>
            </w:r>
            <w:r>
              <w:rPr>
                <w:rFonts w:hint="eastAsia" w:ascii="Times New Roman" w:hAnsi="Times New Roman" w:eastAsia="宋体" w:cs="Times New Roman"/>
                <w:kern w:val="0"/>
                <w:sz w:val="21"/>
                <w:szCs w:val="21"/>
                <w:vertAlign w:val="superscript"/>
              </w:rPr>
              <w:t>2</w:t>
            </w:r>
            <w:r>
              <w:rPr>
                <w:rFonts w:hint="eastAsia" w:ascii="Times New Roman" w:hAnsi="Times New Roman" w:eastAsia="宋体" w:cs="Times New Roman"/>
                <w:kern w:val="0"/>
                <w:sz w:val="21"/>
                <w:szCs w:val="21"/>
              </w:rPr>
              <w:t>危废暂存间</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20</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生活垃圾</w:t>
            </w:r>
          </w:p>
        </w:tc>
        <w:tc>
          <w:tcPr>
            <w:tcW w:w="4253"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设置生活垃圾收集设施若干</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1</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10</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噪声</w:t>
            </w:r>
          </w:p>
        </w:tc>
        <w:tc>
          <w:tcPr>
            <w:tcW w:w="1276"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机械噪声</w:t>
            </w:r>
          </w:p>
        </w:tc>
        <w:tc>
          <w:tcPr>
            <w:tcW w:w="4253" w:type="dxa"/>
            <w:tcBorders>
              <w:top w:val="single" w:color="auto" w:sz="4" w:space="0"/>
              <w:left w:val="single" w:color="auto" w:sz="4" w:space="0"/>
              <w:bottom w:val="single" w:color="auto" w:sz="4" w:space="0"/>
              <w:right w:val="single" w:color="auto" w:sz="4" w:space="0"/>
            </w:tcBorders>
            <w:vAlign w:val="center"/>
          </w:tcPr>
          <w:p>
            <w:pPr>
              <w:pStyle w:val="547"/>
              <w:jc w:val="center"/>
              <w:rPr>
                <w:rFonts w:ascii="Times New Roman" w:cs="Times New Roman"/>
                <w:color w:val="auto"/>
                <w:sz w:val="21"/>
                <w:szCs w:val="21"/>
              </w:rPr>
            </w:pPr>
            <w:r>
              <w:rPr>
                <w:rFonts w:hint="eastAsia" w:ascii="Times New Roman" w:cs="Times New Roman"/>
                <w:color w:val="auto"/>
                <w:sz w:val="21"/>
                <w:szCs w:val="21"/>
              </w:rPr>
              <w:t>设备隔声、减振、消声等</w:t>
            </w:r>
            <w:r>
              <w:rPr>
                <w:rFonts w:ascii="Times New Roman" w:cs="Times New Roman"/>
                <w:color w:val="auto"/>
                <w:sz w:val="21"/>
                <w:szCs w:val="21"/>
              </w:rPr>
              <w:t xml:space="preserve"> </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4</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11</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绿化</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在厂区空地植树种草</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0"/>
                <w:sz w:val="21"/>
                <w:szCs w:val="21"/>
              </w:rPr>
            </w:pPr>
            <w:r>
              <w:rPr>
                <w:rFonts w:eastAsiaTheme="minorEastAsia"/>
                <w:kern w:val="0"/>
                <w:sz w:val="21"/>
                <w:szCs w:val="21"/>
              </w:rPr>
              <w:t>6</w:t>
            </w:r>
          </w:p>
        </w:tc>
        <w:tc>
          <w:tcPr>
            <w:tcW w:w="673" w:type="dxa"/>
            <w:tcBorders>
              <w:top w:val="single" w:color="auto" w:sz="4" w:space="0"/>
              <w:left w:val="single" w:color="auto" w:sz="4" w:space="0"/>
              <w:bottom w:val="single" w:color="auto" w:sz="4" w:space="0"/>
              <w:right w:val="nil"/>
            </w:tcBorders>
            <w:vAlign w:val="center"/>
          </w:tcPr>
          <w:p>
            <w:pPr>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12</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地面防渗</w:t>
            </w:r>
          </w:p>
        </w:tc>
        <w:tc>
          <w:tcPr>
            <w:tcW w:w="4253"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对厂区地面进行水泥硬化、生产车间等进行地面硬化</w:t>
            </w:r>
          </w:p>
        </w:tc>
        <w:tc>
          <w:tcPr>
            <w:tcW w:w="992"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p>
        </w:tc>
        <w:tc>
          <w:tcPr>
            <w:tcW w:w="673" w:type="dxa"/>
            <w:tcBorders>
              <w:top w:val="single" w:color="auto" w:sz="4" w:space="0"/>
              <w:left w:val="single" w:color="auto" w:sz="4" w:space="0"/>
              <w:bottom w:val="single" w:color="auto" w:sz="4" w:space="0"/>
              <w:right w:val="nil"/>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op w:val="single" w:color="auto" w:sz="4" w:space="0"/>
              <w:left w:val="nil"/>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13</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环境风险</w:t>
            </w:r>
          </w:p>
        </w:tc>
        <w:tc>
          <w:tcPr>
            <w:tcW w:w="4253"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设置1座100m</w:t>
            </w:r>
            <w:r>
              <w:rPr>
                <w:rFonts w:hint="eastAsia"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rPr>
              <w:t>事故池，编制应急预案</w:t>
            </w:r>
          </w:p>
        </w:tc>
        <w:tc>
          <w:tcPr>
            <w:tcW w:w="992" w:type="dxa"/>
            <w:tcBorders>
              <w:top w:val="single" w:color="auto" w:sz="4" w:space="0"/>
              <w:left w:val="single" w:color="auto" w:sz="4" w:space="0"/>
              <w:bottom w:val="single" w:color="auto" w:sz="4" w:space="0"/>
              <w:right w:val="single" w:color="auto" w:sz="4" w:space="0"/>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20</w:t>
            </w:r>
          </w:p>
        </w:tc>
        <w:tc>
          <w:tcPr>
            <w:tcW w:w="673" w:type="dxa"/>
            <w:tcBorders>
              <w:top w:val="single" w:color="auto" w:sz="4" w:space="0"/>
              <w:left w:val="single" w:color="auto" w:sz="4" w:space="0"/>
              <w:bottom w:val="single" w:color="auto" w:sz="4" w:space="0"/>
              <w:right w:val="nil"/>
            </w:tcBorders>
            <w:vAlign w:val="center"/>
          </w:tcPr>
          <w:p>
            <w:pPr>
              <w:pStyle w:val="499"/>
              <w:spacing w:line="240" w:lineRule="auto"/>
              <w:ind w:firstLine="0" w:firstLineChars="0"/>
              <w:jc w:val="center"/>
              <w:rPr>
                <w:rFonts w:ascii="Times New Roman" w:hAnsi="Times New Roman" w:eastAsia="宋体"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gridSpan w:val="3"/>
            <w:tcBorders>
              <w:top w:val="single" w:color="auto" w:sz="4" w:space="0"/>
              <w:left w:val="nil"/>
              <w:bottom w:val="single" w:color="auto" w:sz="12"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合计</w:t>
            </w:r>
          </w:p>
        </w:tc>
        <w:tc>
          <w:tcPr>
            <w:tcW w:w="4253" w:type="dxa"/>
            <w:tcBorders>
              <w:top w:val="single" w:color="auto" w:sz="4" w:space="0"/>
              <w:left w:val="single" w:color="auto" w:sz="4" w:space="0"/>
              <w:bottom w:val="single" w:color="auto" w:sz="12" w:space="0"/>
              <w:right w:val="single" w:color="auto" w:sz="4" w:space="0"/>
            </w:tcBorders>
            <w:vAlign w:val="center"/>
          </w:tcPr>
          <w:p>
            <w:pPr>
              <w:jc w:val="center"/>
              <w:rPr>
                <w:rFonts w:eastAsiaTheme="minorEastAsia"/>
                <w:kern w:val="0"/>
                <w:sz w:val="21"/>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Theme="minorEastAsia"/>
                <w:kern w:val="0"/>
                <w:sz w:val="21"/>
                <w:szCs w:val="21"/>
              </w:rPr>
            </w:pPr>
            <w:r>
              <w:rPr>
                <w:rFonts w:hint="eastAsia" w:eastAsiaTheme="minorEastAsia"/>
                <w:kern w:val="0"/>
                <w:sz w:val="21"/>
                <w:szCs w:val="21"/>
              </w:rPr>
              <w:t>181</w:t>
            </w:r>
          </w:p>
        </w:tc>
        <w:tc>
          <w:tcPr>
            <w:tcW w:w="673" w:type="dxa"/>
            <w:tcBorders>
              <w:top w:val="single" w:color="auto" w:sz="4" w:space="0"/>
              <w:left w:val="single" w:color="auto" w:sz="4" w:space="0"/>
              <w:bottom w:val="single" w:color="auto" w:sz="12" w:space="0"/>
              <w:right w:val="nil"/>
            </w:tcBorders>
            <w:vAlign w:val="center"/>
          </w:tcPr>
          <w:p>
            <w:pPr>
              <w:jc w:val="center"/>
              <w:rPr>
                <w:rFonts w:eastAsiaTheme="minorEastAsia"/>
                <w:kern w:val="0"/>
                <w:sz w:val="21"/>
                <w:szCs w:val="21"/>
              </w:rPr>
            </w:pPr>
          </w:p>
        </w:tc>
      </w:tr>
    </w:tbl>
    <w:p>
      <w:pPr>
        <w:pStyle w:val="4"/>
        <w:adjustRightInd w:val="0"/>
        <w:spacing w:before="120" w:after="120" w:line="460" w:lineRule="exact"/>
        <w:textAlignment w:val="baseline"/>
        <w:rPr>
          <w:rFonts w:ascii="Times New Roman" w:hAnsi="Times New Roman"/>
          <w:b w:val="0"/>
          <w:szCs w:val="28"/>
        </w:rPr>
      </w:pPr>
      <w:bookmarkStart w:id="298" w:name="_Toc165386242"/>
      <w:r>
        <w:rPr>
          <w:rFonts w:hint="eastAsia" w:ascii="Times New Roman" w:hAnsi="Times New Roman"/>
          <w:b w:val="0"/>
          <w:szCs w:val="28"/>
        </w:rPr>
        <w:t>8.2 环境效益分析</w:t>
      </w:r>
      <w:bookmarkEnd w:id="298"/>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8.2.1经济效益分析</w:t>
      </w:r>
    </w:p>
    <w:p>
      <w:pPr>
        <w:spacing w:line="460" w:lineRule="exact"/>
        <w:ind w:firstLine="480" w:firstLineChars="200"/>
        <w:rPr>
          <w:sz w:val="24"/>
        </w:rPr>
      </w:pPr>
      <w:r>
        <w:rPr>
          <w:rFonts w:hint="eastAsia"/>
          <w:sz w:val="24"/>
        </w:rPr>
        <w:t>由于能源的紧缺和不可在生，国家对物资回收利用也越来越重视，物资生产对废旧物资的依赖越来越高，使废旧物资行业得到健康发展。具有一定的经济效益，主要体现在如下几方面：</w:t>
      </w:r>
    </w:p>
    <w:p>
      <w:pPr>
        <w:spacing w:line="460" w:lineRule="exact"/>
        <w:ind w:firstLine="480" w:firstLineChars="200"/>
        <w:rPr>
          <w:sz w:val="24"/>
        </w:rPr>
      </w:pPr>
      <w:r>
        <w:rPr>
          <w:rFonts w:hint="eastAsia"/>
          <w:sz w:val="24"/>
        </w:rPr>
        <w:t>（</w:t>
      </w:r>
      <w:r>
        <w:rPr>
          <w:sz w:val="24"/>
        </w:rPr>
        <w:t>1</w:t>
      </w:r>
      <w:r>
        <w:rPr>
          <w:rFonts w:hint="eastAsia"/>
          <w:sz w:val="24"/>
        </w:rPr>
        <w:t>）增加地方税收。废旧塑料加工建设不仅可满足市场需求，而且可以带动当地相关产业的发展，具有很好的经济效益。</w:t>
      </w:r>
    </w:p>
    <w:p>
      <w:pPr>
        <w:spacing w:line="460" w:lineRule="exact"/>
        <w:ind w:firstLine="480" w:firstLineChars="200"/>
        <w:rPr>
          <w:sz w:val="24"/>
        </w:rPr>
      </w:pPr>
      <w:r>
        <w:rPr>
          <w:rFonts w:hint="eastAsia"/>
          <w:sz w:val="24"/>
        </w:rPr>
        <w:t>（</w:t>
      </w:r>
      <w:r>
        <w:rPr>
          <w:sz w:val="24"/>
        </w:rPr>
        <w:t>2</w:t>
      </w:r>
      <w:r>
        <w:rPr>
          <w:rFonts w:hint="eastAsia"/>
          <w:sz w:val="24"/>
        </w:rPr>
        <w:t>）就地消费，带旺地方经济企业的员工就地消费，增加地方的经济消费，由于区域的消费能力增加，将带动一系列相关行业的发展，从而更进一步地促进地方经济的发展。</w:t>
      </w:r>
    </w:p>
    <w:p>
      <w:pPr>
        <w:spacing w:line="460" w:lineRule="exact"/>
        <w:ind w:firstLine="480" w:firstLineChars="200"/>
        <w:rPr>
          <w:sz w:val="24"/>
        </w:rPr>
      </w:pPr>
      <w:r>
        <w:rPr>
          <w:rFonts w:hint="eastAsia"/>
          <w:sz w:val="24"/>
        </w:rPr>
        <w:t>（</w:t>
      </w:r>
      <w:r>
        <w:rPr>
          <w:sz w:val="24"/>
        </w:rPr>
        <w:t>3</w:t>
      </w:r>
      <w:r>
        <w:rPr>
          <w:rFonts w:hint="eastAsia"/>
          <w:sz w:val="24"/>
        </w:rPr>
        <w:t>）产业带动，完善产业配套。本项目的建设，将会带动相关产业的相应发展，完善了城镇的产业配套，更促进了相关镇区的经济总量以及税收。从以上分析可知，项目具有一定的经济效益，对于促进当地的经济发展起到有利的推动作用。</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8.2.2社会效益分析</w:t>
      </w:r>
    </w:p>
    <w:p>
      <w:pPr>
        <w:spacing w:line="460" w:lineRule="exact"/>
        <w:ind w:firstLine="480" w:firstLineChars="200"/>
        <w:rPr>
          <w:sz w:val="24"/>
        </w:rPr>
      </w:pPr>
      <w:r>
        <w:rPr>
          <w:rFonts w:hint="eastAsia"/>
          <w:sz w:val="24"/>
        </w:rPr>
        <w:t>本项目实施后的社会效益主要体现在以下几方面：</w:t>
      </w:r>
    </w:p>
    <w:p>
      <w:pPr>
        <w:spacing w:line="460" w:lineRule="exact"/>
        <w:ind w:firstLine="480" w:firstLineChars="200"/>
        <w:rPr>
          <w:sz w:val="24"/>
        </w:rPr>
      </w:pPr>
      <w:r>
        <w:rPr>
          <w:rFonts w:hint="eastAsia"/>
          <w:sz w:val="24"/>
        </w:rPr>
        <w:t>（</w:t>
      </w:r>
      <w:r>
        <w:rPr>
          <w:sz w:val="24"/>
        </w:rPr>
        <w:t>1</w:t>
      </w:r>
      <w:r>
        <w:rPr>
          <w:rFonts w:hint="eastAsia"/>
          <w:sz w:val="24"/>
        </w:rPr>
        <w:t>）项目建成后正常年份可上交税收，带动当地经济发展。</w:t>
      </w:r>
    </w:p>
    <w:p>
      <w:pPr>
        <w:spacing w:line="460" w:lineRule="exact"/>
        <w:ind w:firstLine="480" w:firstLineChars="200"/>
        <w:rPr>
          <w:sz w:val="24"/>
        </w:rPr>
      </w:pPr>
      <w:r>
        <w:rPr>
          <w:rFonts w:hint="eastAsia"/>
          <w:sz w:val="24"/>
        </w:rPr>
        <w:t>（</w:t>
      </w:r>
      <w:r>
        <w:rPr>
          <w:sz w:val="24"/>
        </w:rPr>
        <w:t>2</w:t>
      </w:r>
      <w:r>
        <w:rPr>
          <w:rFonts w:hint="eastAsia"/>
          <w:sz w:val="24"/>
        </w:rPr>
        <w:t>）项目的实施有利于加快昌吉州废旧塑料产业化进程，生产过程中采用国内外高新技术，尤其是针对关键生产环节，进行改造升级，从而减少原材料、动力及燃料的消耗，减少三废的排放，更好的满足广大消费者的需求。同时通过建立废旧塑料产业，有利于带动当地现代产业的发展，促进产业结构调整和广大农民群众的增收。</w:t>
      </w:r>
    </w:p>
    <w:p>
      <w:pPr>
        <w:spacing w:line="460" w:lineRule="exact"/>
        <w:ind w:firstLine="480" w:firstLineChars="200"/>
        <w:rPr>
          <w:sz w:val="24"/>
        </w:rPr>
      </w:pPr>
      <w:r>
        <w:rPr>
          <w:rFonts w:hint="eastAsia"/>
          <w:sz w:val="24"/>
        </w:rPr>
        <w:t>（</w:t>
      </w:r>
      <w:r>
        <w:rPr>
          <w:sz w:val="24"/>
        </w:rPr>
        <w:t>3</w:t>
      </w:r>
      <w:r>
        <w:rPr>
          <w:rFonts w:hint="eastAsia"/>
          <w:sz w:val="24"/>
        </w:rPr>
        <w:t>）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8.2.3环境效益分析</w:t>
      </w:r>
    </w:p>
    <w:p>
      <w:pPr>
        <w:spacing w:line="460" w:lineRule="exact"/>
        <w:ind w:firstLine="480" w:firstLineChars="200"/>
        <w:rPr>
          <w:sz w:val="24"/>
        </w:rPr>
      </w:pPr>
      <w:r>
        <w:rPr>
          <w:rFonts w:hint="eastAsia"/>
          <w:sz w:val="24"/>
        </w:rPr>
        <w:t>根据工程分析，采取各项治理措施后，拟建工程的各污染物的排放浓度均能达到相关标准的要求，有效地削减了污染物的排放量。所以拟建工程的环保投资是合理的，在实现经济效益的同时，也保护了环境。</w:t>
      </w:r>
    </w:p>
    <w:p>
      <w:pPr>
        <w:spacing w:line="460" w:lineRule="exact"/>
        <w:ind w:firstLine="480" w:firstLineChars="200"/>
        <w:rPr>
          <w:sz w:val="24"/>
        </w:rPr>
      </w:pPr>
      <w:r>
        <w:rPr>
          <w:rFonts w:hint="eastAsia"/>
          <w:sz w:val="24"/>
        </w:rPr>
        <w:t>（</w:t>
      </w:r>
      <w:r>
        <w:rPr>
          <w:sz w:val="24"/>
        </w:rPr>
        <w:t>1</w:t>
      </w:r>
      <w:r>
        <w:rPr>
          <w:rFonts w:hint="eastAsia"/>
          <w:sz w:val="24"/>
        </w:rPr>
        <w:t>）本工程利用废旧滴灌带、废旧塑料膜再次加工生产滴灌带及</w:t>
      </w:r>
      <w:r>
        <w:rPr>
          <w:sz w:val="24"/>
        </w:rPr>
        <w:t>PE管</w:t>
      </w:r>
      <w:r>
        <w:rPr>
          <w:rFonts w:hint="eastAsia"/>
          <w:sz w:val="24"/>
        </w:rPr>
        <w:t>，减少了农业固废对环境的影响，将固废重新利用，变废为宝。</w:t>
      </w:r>
    </w:p>
    <w:p>
      <w:pPr>
        <w:spacing w:line="460" w:lineRule="exact"/>
        <w:ind w:firstLine="480" w:firstLineChars="200"/>
        <w:rPr>
          <w:sz w:val="24"/>
        </w:rPr>
      </w:pPr>
      <w:r>
        <w:rPr>
          <w:rFonts w:hint="eastAsia"/>
          <w:sz w:val="24"/>
        </w:rPr>
        <w:t>（</w:t>
      </w:r>
      <w:r>
        <w:rPr>
          <w:sz w:val="24"/>
        </w:rPr>
        <w:t>2</w:t>
      </w:r>
      <w:r>
        <w:rPr>
          <w:rFonts w:hint="eastAsia"/>
          <w:sz w:val="24"/>
        </w:rPr>
        <w:t>）本工程有机废气非甲烷总烃废气经过集气罩收集+活性炭吸附+催化燃烧装置（CO）</w:t>
      </w:r>
      <w:r>
        <w:rPr>
          <w:sz w:val="24"/>
        </w:rPr>
        <w:t>处置后外排</w:t>
      </w:r>
      <w:r>
        <w:rPr>
          <w:rFonts w:hint="eastAsia"/>
          <w:sz w:val="24"/>
        </w:rPr>
        <w:t>，破碎采取湿式破碎法，采取以上措施后本项目的运营对周围大气环境影响较小。</w:t>
      </w:r>
    </w:p>
    <w:p>
      <w:pPr>
        <w:spacing w:line="460" w:lineRule="exact"/>
        <w:ind w:firstLine="480" w:firstLineChars="200"/>
        <w:rPr>
          <w:sz w:val="24"/>
        </w:rPr>
      </w:pPr>
      <w:r>
        <w:rPr>
          <w:rFonts w:hint="eastAsia"/>
          <w:sz w:val="24"/>
        </w:rPr>
        <w:t>（</w:t>
      </w:r>
      <w:r>
        <w:rPr>
          <w:sz w:val="24"/>
        </w:rPr>
        <w:t>3</w:t>
      </w:r>
      <w:r>
        <w:rPr>
          <w:rFonts w:hint="eastAsia"/>
          <w:sz w:val="24"/>
        </w:rPr>
        <w:t>）项目清洗废水、冷却水循环使用不外排，定期补充新鲜水，无生产废水排放，既节约了水资源，又减轻了对环境的污染，具有比较明显的环境效益。</w:t>
      </w:r>
    </w:p>
    <w:p>
      <w:pPr>
        <w:spacing w:line="460" w:lineRule="exact"/>
        <w:ind w:firstLine="480" w:firstLineChars="200"/>
        <w:rPr>
          <w:sz w:val="24"/>
        </w:rPr>
      </w:pPr>
      <w:r>
        <w:rPr>
          <w:rFonts w:hint="eastAsia"/>
          <w:sz w:val="24"/>
        </w:rPr>
        <w:t>（</w:t>
      </w:r>
      <w:r>
        <w:rPr>
          <w:sz w:val="24"/>
        </w:rPr>
        <w:t>4</w:t>
      </w:r>
      <w:r>
        <w:rPr>
          <w:rFonts w:hint="eastAsia"/>
          <w:sz w:val="24"/>
        </w:rPr>
        <w:t>）固体废物均得到有效的处置，对环境的影响较小，在可接受范围内。</w:t>
      </w:r>
    </w:p>
    <w:p>
      <w:pPr>
        <w:spacing w:line="460" w:lineRule="exact"/>
        <w:ind w:firstLine="480" w:firstLineChars="200"/>
        <w:rPr>
          <w:sz w:val="24"/>
        </w:rPr>
      </w:pPr>
      <w:r>
        <w:rPr>
          <w:rFonts w:hint="eastAsia"/>
          <w:sz w:val="24"/>
        </w:rPr>
        <w:t>（</w:t>
      </w:r>
      <w:r>
        <w:rPr>
          <w:sz w:val="24"/>
        </w:rPr>
        <w:t>5</w:t>
      </w:r>
      <w:r>
        <w:rPr>
          <w:rFonts w:hint="eastAsia"/>
          <w:sz w:val="24"/>
        </w:rPr>
        <w:t>）工程噪声源经采取隔声减振等消声、降噪处理措施后，对厂界噪声贡献值能达到相关的标准要求，生产噪声对外环境的影响将减轻。</w:t>
      </w:r>
    </w:p>
    <w:p>
      <w:pPr>
        <w:spacing w:line="460" w:lineRule="exact"/>
        <w:ind w:firstLine="480" w:firstLineChars="200"/>
        <w:rPr>
          <w:sz w:val="24"/>
        </w:rPr>
      </w:pPr>
      <w:r>
        <w:rPr>
          <w:rFonts w:hint="eastAsia"/>
          <w:sz w:val="24"/>
        </w:rPr>
        <w:t>综上分析，拟建工程通过采用一系列技术上可行、经济上合理的环保措施，对其生产过程中产生的废气、废水、固废及设备噪声等进行综合治理，基本实现了废物的综合利用，即增加了经济效益，又减少了工程对环境造成的污染，达到了削减污染物排放量，保护环境的目的。</w:t>
      </w:r>
    </w:p>
    <w:p>
      <w:pPr>
        <w:spacing w:line="460" w:lineRule="exact"/>
        <w:ind w:firstLine="480" w:firstLineChars="200"/>
        <w:rPr>
          <w:sz w:val="24"/>
        </w:rPr>
      </w:pPr>
      <w:r>
        <w:rPr>
          <w:rFonts w:hint="eastAsia"/>
          <w:sz w:val="24"/>
        </w:rPr>
        <w:t>由此可见，拟建项目环保措施实施后，减少了排污，环境效益和经济效益明显。</w:t>
      </w:r>
    </w:p>
    <w:p>
      <w:pPr>
        <w:pStyle w:val="4"/>
        <w:adjustRightInd w:val="0"/>
        <w:spacing w:before="120" w:after="120" w:line="460" w:lineRule="exact"/>
        <w:textAlignment w:val="baseline"/>
        <w:rPr>
          <w:rFonts w:ascii="Times New Roman" w:hAnsi="Times New Roman"/>
          <w:b w:val="0"/>
          <w:szCs w:val="28"/>
        </w:rPr>
      </w:pPr>
      <w:bookmarkStart w:id="299" w:name="_Toc165386243"/>
      <w:r>
        <w:rPr>
          <w:rFonts w:hint="eastAsia" w:ascii="Times New Roman" w:hAnsi="Times New Roman"/>
          <w:b w:val="0"/>
          <w:szCs w:val="28"/>
        </w:rPr>
        <w:t>8.3 环境经济损益分析结论</w:t>
      </w:r>
      <w:bookmarkEnd w:id="299"/>
    </w:p>
    <w:p>
      <w:pPr>
        <w:spacing w:line="460" w:lineRule="exact"/>
        <w:ind w:firstLine="480" w:firstLineChars="200"/>
        <w:rPr>
          <w:sz w:val="24"/>
        </w:rPr>
      </w:pPr>
      <w:r>
        <w:rPr>
          <w:rFonts w:hint="eastAsia"/>
          <w:sz w:val="24"/>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pPr>
        <w:spacing w:line="460" w:lineRule="exact"/>
        <w:ind w:firstLine="480" w:firstLineChars="200"/>
        <w:rPr>
          <w:sz w:val="24"/>
        </w:rPr>
      </w:pPr>
    </w:p>
    <w:p>
      <w:pPr>
        <w:spacing w:line="460" w:lineRule="exact"/>
        <w:ind w:firstLine="480" w:firstLineChars="200"/>
        <w:rPr>
          <w:sz w:val="24"/>
        </w:rPr>
      </w:pPr>
    </w:p>
    <w:p>
      <w:pPr>
        <w:widowControl/>
        <w:jc w:val="left"/>
        <w:rPr>
          <w:sz w:val="24"/>
        </w:rPr>
      </w:pPr>
      <w:r>
        <w:rPr>
          <w:sz w:val="24"/>
        </w:rPr>
        <w:br w:type="page"/>
      </w:r>
    </w:p>
    <w:p>
      <w:pPr>
        <w:pStyle w:val="3"/>
        <w:spacing w:before="100" w:beforeAutospacing="1" w:after="100" w:afterAutospacing="1" w:line="360" w:lineRule="auto"/>
        <w:jc w:val="center"/>
      </w:pPr>
      <w:bookmarkStart w:id="300" w:name="_Toc165386244"/>
      <w:r>
        <w:rPr>
          <w:rFonts w:hint="eastAsia"/>
        </w:rPr>
        <w:t xml:space="preserve">9 </w:t>
      </w:r>
      <w:r>
        <w:t>环境管理与</w:t>
      </w:r>
      <w:bookmarkEnd w:id="296"/>
      <w:r>
        <w:t>监测计划</w:t>
      </w:r>
      <w:bookmarkEnd w:id="300"/>
    </w:p>
    <w:p>
      <w:pPr>
        <w:spacing w:line="460" w:lineRule="exact"/>
        <w:ind w:firstLine="480" w:firstLineChars="200"/>
        <w:rPr>
          <w:sz w:val="24"/>
        </w:rPr>
      </w:pPr>
      <w:bookmarkStart w:id="301" w:name="_Toc309715436"/>
      <w:bookmarkStart w:id="302" w:name="_Toc454899408"/>
      <w:r>
        <w:rPr>
          <w:rFonts w:hint="eastAsia"/>
          <w:sz w:val="24"/>
        </w:rPr>
        <w:t>加强企业环境管理，加大企业环境监测力度，是严格执行建设项目环境影响评价制度和“三同时”制度，切实落实环境保护措施，严格控制污染物排放总量，有效改善生态环境的重要举措之一。因此，根据该项目污染物排放特征，污染物治理情况，有针对性地制定环境保护管理与监测计划是非常必要的。</w:t>
      </w:r>
    </w:p>
    <w:p>
      <w:pPr>
        <w:pStyle w:val="4"/>
        <w:adjustRightInd w:val="0"/>
        <w:spacing w:before="120" w:after="120" w:line="460" w:lineRule="exact"/>
        <w:textAlignment w:val="baseline"/>
        <w:rPr>
          <w:rFonts w:ascii="Times New Roman" w:hAnsi="Times New Roman"/>
          <w:b w:val="0"/>
          <w:szCs w:val="28"/>
        </w:rPr>
      </w:pPr>
      <w:bookmarkStart w:id="303" w:name="_Toc165386245"/>
      <w:r>
        <w:rPr>
          <w:rFonts w:hint="eastAsia" w:ascii="Times New Roman" w:hAnsi="Times New Roman"/>
          <w:b w:val="0"/>
          <w:szCs w:val="28"/>
        </w:rPr>
        <w:t>9.1</w:t>
      </w:r>
      <w:r>
        <w:rPr>
          <w:rFonts w:ascii="Times New Roman" w:hAnsi="Times New Roman"/>
          <w:b w:val="0"/>
          <w:szCs w:val="28"/>
        </w:rPr>
        <w:t xml:space="preserve"> 环境管理</w:t>
      </w:r>
      <w:bookmarkEnd w:id="301"/>
      <w:bookmarkEnd w:id="302"/>
      <w:bookmarkEnd w:id="303"/>
    </w:p>
    <w:p>
      <w:pPr>
        <w:spacing w:line="460" w:lineRule="exact"/>
        <w:ind w:firstLine="480" w:firstLineChars="200"/>
        <w:rPr>
          <w:sz w:val="24"/>
        </w:rPr>
      </w:pPr>
      <w:r>
        <w:rPr>
          <w:rFonts w:hint="eastAsia"/>
          <w:sz w:val="24"/>
        </w:rPr>
        <w:t>根据《中华人民共和国环境保护法》和中华人民共和国国务院令第253号《建设项目环境保护管理条例》，建设单位必须把环境保护工作纳入工作计划，建立环境保护责任制度，采取有效措施，防止环境破坏。</w:t>
      </w:r>
    </w:p>
    <w:p>
      <w:pPr>
        <w:spacing w:line="460" w:lineRule="exact"/>
        <w:ind w:firstLine="480" w:firstLineChars="200"/>
        <w:rPr>
          <w:sz w:val="24"/>
        </w:rPr>
      </w:pPr>
      <w:r>
        <w:rPr>
          <w:rFonts w:hint="eastAsia"/>
          <w:sz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生产过程产生一般固废进行回收处理及循环利用，变普通产品为“绿色”产品，努力通过环境认证，积极参与社会环境整治，推动员工和公众的环保宣传和引导，树立“绿色企业”的良好形象。</w:t>
      </w:r>
    </w:p>
    <w:p>
      <w:pPr>
        <w:spacing w:line="460" w:lineRule="exact"/>
        <w:ind w:firstLine="480" w:firstLineChars="200"/>
        <w:rPr>
          <w:sz w:val="24"/>
        </w:rPr>
      </w:pPr>
      <w:r>
        <w:rPr>
          <w:rFonts w:hint="eastAsia"/>
          <w:sz w:val="24"/>
        </w:rPr>
        <w:t>为了贯彻和执行国家和地方环境保护法律、法规、政策与标准，及时掌握和了解污染控制措施的效果，以及项目所在区域环境质量的变化情况，更好地监控环保设施的运行情况，保证企业生产管理和环境管理的正常运作，建立环境管理体系与监测制度是非常必要和重要的。</w:t>
      </w:r>
    </w:p>
    <w:p>
      <w:pPr>
        <w:spacing w:line="460" w:lineRule="exact"/>
        <w:ind w:firstLine="480" w:firstLineChars="200"/>
        <w:rPr>
          <w:sz w:val="24"/>
        </w:rPr>
      </w:pPr>
      <w:r>
        <w:rPr>
          <w:rFonts w:hint="eastAsia"/>
          <w:sz w:val="24"/>
        </w:rPr>
        <w:t>环境管理体系能够帮助企业及早发现问题，使企业在发展生产的同时节约能源、降低原材料的消耗，控制污染物排放量，减轻污染物排放对环境产生的影响，为企业创造更好的经济效益和环境效益，树立良好的社会形象。</w:t>
      </w:r>
    </w:p>
    <w:p>
      <w:pPr>
        <w:pStyle w:val="5"/>
        <w:numPr>
          <w:ilvl w:val="0"/>
          <w:numId w:val="0"/>
        </w:numPr>
        <w:adjustRightInd w:val="0"/>
        <w:spacing w:before="0" w:line="460" w:lineRule="exact"/>
        <w:ind w:left="113"/>
        <w:textAlignment w:val="baseline"/>
        <w:rPr>
          <w:rFonts w:ascii="Times New Roman"/>
          <w:szCs w:val="24"/>
        </w:rPr>
      </w:pPr>
      <w:bookmarkStart w:id="304" w:name="_Toc309715437"/>
      <w:r>
        <w:rPr>
          <w:rFonts w:hint="eastAsia" w:ascii="Times New Roman"/>
          <w:szCs w:val="24"/>
        </w:rPr>
        <w:t>9.1</w:t>
      </w:r>
      <w:r>
        <w:rPr>
          <w:rFonts w:ascii="Times New Roman"/>
          <w:szCs w:val="24"/>
        </w:rPr>
        <w:t>.1环境管理</w:t>
      </w:r>
      <w:bookmarkEnd w:id="304"/>
      <w:r>
        <w:rPr>
          <w:rFonts w:hint="eastAsia" w:ascii="Times New Roman"/>
          <w:szCs w:val="24"/>
        </w:rPr>
        <w:t>基本任务</w:t>
      </w:r>
    </w:p>
    <w:p>
      <w:pPr>
        <w:spacing w:line="460" w:lineRule="exact"/>
        <w:ind w:firstLine="480" w:firstLineChars="200"/>
        <w:rPr>
          <w:rFonts w:eastAsiaTheme="minorEastAsia"/>
          <w:sz w:val="24"/>
        </w:rPr>
      </w:pPr>
      <w:r>
        <w:rPr>
          <w:rFonts w:hint="eastAsia" w:eastAsiaTheme="minorEastAsia"/>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9.1.2环境管理基本原则</w:t>
      </w:r>
    </w:p>
    <w:p>
      <w:pPr>
        <w:spacing w:line="460" w:lineRule="exact"/>
        <w:ind w:firstLine="480" w:firstLineChars="200"/>
        <w:rPr>
          <w:rFonts w:eastAsiaTheme="minorEastAsia"/>
          <w:sz w:val="24"/>
        </w:rPr>
      </w:pPr>
      <w:r>
        <w:rPr>
          <w:rFonts w:hint="eastAsia" w:eastAsiaTheme="minorEastAsia"/>
          <w:sz w:val="24"/>
        </w:rPr>
        <w:t>本项目环境管理遵循以下原则：</w:t>
      </w:r>
    </w:p>
    <w:p>
      <w:pPr>
        <w:spacing w:line="460" w:lineRule="exact"/>
        <w:ind w:firstLine="480" w:firstLineChars="200"/>
        <w:rPr>
          <w:rFonts w:eastAsiaTheme="minorEastAsia"/>
          <w:sz w:val="24"/>
        </w:rPr>
      </w:pPr>
      <w:r>
        <w:rPr>
          <w:rFonts w:hint="eastAsia" w:eastAsiaTheme="minorEastAsia"/>
          <w:sz w:val="24"/>
        </w:rPr>
        <w:t>1、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pPr>
        <w:spacing w:line="460" w:lineRule="exact"/>
        <w:ind w:firstLine="480" w:firstLineChars="200"/>
        <w:rPr>
          <w:rFonts w:eastAsiaTheme="minorEastAsia"/>
          <w:sz w:val="24"/>
        </w:rPr>
      </w:pPr>
      <w:r>
        <w:rPr>
          <w:rFonts w:hint="eastAsia" w:eastAsiaTheme="minorEastAsia"/>
          <w:sz w:val="24"/>
        </w:rPr>
        <w:t>2、正确处理环境管理与污染防治的关系，管治结合，以管促治，把环境管理放在企业环境保护工作首位。</w:t>
      </w:r>
    </w:p>
    <w:p>
      <w:pPr>
        <w:spacing w:line="460" w:lineRule="exact"/>
        <w:ind w:firstLine="480" w:firstLineChars="200"/>
        <w:rPr>
          <w:rFonts w:eastAsiaTheme="minorEastAsia"/>
          <w:sz w:val="24"/>
        </w:rPr>
      </w:pPr>
      <w:r>
        <w:rPr>
          <w:rFonts w:hint="eastAsia" w:eastAsiaTheme="minorEastAsia"/>
          <w:sz w:val="24"/>
        </w:rPr>
        <w:t>3、专业环境管理与群众环境管理结合，企业环境管理与生产管理结合，产品质量控制与环境质量控制结合。</w:t>
      </w:r>
    </w:p>
    <w:p>
      <w:pPr>
        <w:spacing w:line="460" w:lineRule="exact"/>
        <w:ind w:firstLine="480" w:firstLineChars="200"/>
        <w:rPr>
          <w:rFonts w:eastAsiaTheme="minorEastAsia"/>
          <w:sz w:val="24"/>
        </w:rPr>
      </w:pPr>
      <w:r>
        <w:rPr>
          <w:rFonts w:hint="eastAsia" w:eastAsiaTheme="minorEastAsia"/>
          <w:sz w:val="24"/>
        </w:rPr>
        <w:t>4、企业环境管理渗透到整个生产经营活动中，贯彻在过程始终。</w:t>
      </w:r>
    </w:p>
    <w:p>
      <w:pPr>
        <w:spacing w:line="460" w:lineRule="exact"/>
        <w:ind w:firstLine="480" w:firstLineChars="200"/>
        <w:rPr>
          <w:rFonts w:eastAsiaTheme="minorEastAsia"/>
          <w:sz w:val="24"/>
        </w:rPr>
      </w:pPr>
      <w:r>
        <w:rPr>
          <w:rFonts w:hint="eastAsia" w:eastAsiaTheme="minorEastAsia"/>
          <w:sz w:val="24"/>
        </w:rPr>
        <w:t>5、坚持“谁污染，谁治理”原则，企业内部从工厂、部门、工段至班组领导和职工都要对本企业污染与治理负责，收费、罚款、赔偿损失、行政处分等处罚都要落实，实行分片包干，各负其责。</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9.1.3环境管理机构设置</w:t>
      </w:r>
    </w:p>
    <w:p>
      <w:pPr>
        <w:spacing w:line="460" w:lineRule="exact"/>
        <w:ind w:firstLine="480" w:firstLineChars="200"/>
        <w:rPr>
          <w:rFonts w:eastAsiaTheme="minorEastAsia"/>
          <w:sz w:val="24"/>
        </w:rPr>
      </w:pPr>
      <w:r>
        <w:rPr>
          <w:rFonts w:hint="eastAsia" w:eastAsiaTheme="minorEastAsia"/>
          <w:sz w:val="24"/>
        </w:rPr>
        <w:t>1、环境管理机构设置目的</w:t>
      </w:r>
    </w:p>
    <w:p>
      <w:pPr>
        <w:spacing w:line="460" w:lineRule="exact"/>
        <w:ind w:firstLine="480" w:firstLineChars="200"/>
        <w:rPr>
          <w:rFonts w:eastAsiaTheme="minorEastAsia"/>
          <w:sz w:val="24"/>
        </w:rPr>
      </w:pPr>
      <w:r>
        <w:rPr>
          <w:rFonts w:hint="eastAsia" w:eastAsiaTheme="minorEastAsia"/>
          <w:sz w:val="24"/>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设置环境管理机构，并尽相应职责。</w:t>
      </w:r>
    </w:p>
    <w:p>
      <w:pPr>
        <w:spacing w:line="460" w:lineRule="exact"/>
        <w:ind w:firstLine="480" w:firstLineChars="200"/>
        <w:rPr>
          <w:rFonts w:eastAsiaTheme="minorEastAsia"/>
          <w:sz w:val="24"/>
        </w:rPr>
      </w:pPr>
      <w:r>
        <w:rPr>
          <w:rFonts w:hint="eastAsia" w:eastAsiaTheme="minorEastAsia"/>
          <w:sz w:val="24"/>
        </w:rPr>
        <w:t>2、环境管理机构组成</w:t>
      </w:r>
    </w:p>
    <w:p>
      <w:pPr>
        <w:spacing w:line="460" w:lineRule="exact"/>
        <w:ind w:firstLine="480" w:firstLineChars="200"/>
        <w:rPr>
          <w:rFonts w:eastAsiaTheme="minorEastAsia"/>
          <w:sz w:val="24"/>
        </w:rPr>
      </w:pPr>
      <w:r>
        <w:rPr>
          <w:rFonts w:hint="eastAsia" w:eastAsiaTheme="minorEastAsia"/>
          <w:sz w:val="24"/>
        </w:rPr>
        <w:t>公司由总经理负责全面工作，并负有法律责任。分管经理为本次项目最高领导者，负责组织成立安全环保科，并聘请有环保工作经验的人员作成员（可在各工段选兼职的环保员），负责企业日常环境管理与监测的具体工作，落实上级环境管理部门下达的各项环境管理任务，审定厂内各项环境管理规章制度、环境保护年度计划和长远规划等，并协调厂内各部门的环境管理工作。</w:t>
      </w:r>
    </w:p>
    <w:p>
      <w:pPr>
        <w:spacing w:line="460" w:lineRule="exact"/>
        <w:ind w:firstLine="480" w:firstLineChars="200"/>
        <w:rPr>
          <w:rFonts w:eastAsiaTheme="minorEastAsia"/>
          <w:sz w:val="24"/>
        </w:rPr>
      </w:pPr>
      <w:r>
        <w:rPr>
          <w:rFonts w:hint="eastAsia" w:eastAsiaTheme="minorEastAsia"/>
          <w:sz w:val="24"/>
        </w:rPr>
        <w:t>本项目的环境保护管理工作应建立在厂长(经理)领导下，各生产单位安全环保人员向上级负责的体制。</w:t>
      </w:r>
    </w:p>
    <w:p>
      <w:pPr>
        <w:spacing w:line="460" w:lineRule="exact"/>
        <w:ind w:firstLine="480" w:firstLineChars="200"/>
        <w:rPr>
          <w:rFonts w:eastAsiaTheme="minorEastAsia"/>
          <w:sz w:val="24"/>
        </w:rPr>
      </w:pPr>
      <w:r>
        <w:rPr>
          <w:rFonts w:hint="eastAsia" w:eastAsiaTheme="minorEastAsia"/>
          <w:sz w:val="24"/>
        </w:rPr>
        <w:t>安全环保科是具体负责该项目环境保护工作的组织、落实、监督的职能部门，定员2人。安全环保科应在厂级主管领导的直接领导下，负责本项目建设、生产过程中的环境保护管理工作；对工厂绿化，环境监测进行日常业务管理；通过检查、统计、分析、调查及监测，监督和指导各项环保措施的落实；同时在企业生产调度、管理工作会上，针对生产运行中存在的环境问题，提出建议和解决问题的技术方案。另外，安全环保科还负责同各级环保部门的联系和协调，了解当地环保部门及政府对该厂环境保护的要求、技术指导及建议，并督促各生产单位贯彻落实。</w:t>
      </w:r>
    </w:p>
    <w:p>
      <w:pPr>
        <w:spacing w:line="460" w:lineRule="exact"/>
        <w:ind w:firstLine="480" w:firstLineChars="200"/>
        <w:rPr>
          <w:rFonts w:eastAsiaTheme="minorEastAsia"/>
          <w:sz w:val="24"/>
        </w:rPr>
      </w:pPr>
      <w:r>
        <w:rPr>
          <w:rFonts w:hint="eastAsia" w:eastAsiaTheme="minorEastAsia"/>
          <w:sz w:val="24"/>
        </w:rPr>
        <w:t>3、环境管理机构职责</w:t>
      </w:r>
    </w:p>
    <w:p>
      <w:pPr>
        <w:spacing w:line="460" w:lineRule="exact"/>
        <w:ind w:firstLine="480" w:firstLineChars="200"/>
        <w:rPr>
          <w:rFonts w:eastAsiaTheme="minorEastAsia"/>
          <w:sz w:val="24"/>
        </w:rPr>
      </w:pPr>
      <w:r>
        <w:rPr>
          <w:rFonts w:hint="eastAsia" w:eastAsiaTheme="minorEastAsia"/>
          <w:sz w:val="24"/>
        </w:rPr>
        <w:t>（1）贯彻执行国家和自治区现行各项环保方针、政策、法律法规和标准，认真执行当地生态环境部门下达各项任务；</w:t>
      </w:r>
    </w:p>
    <w:p>
      <w:pPr>
        <w:spacing w:line="460" w:lineRule="exact"/>
        <w:ind w:firstLine="480" w:firstLineChars="200"/>
        <w:rPr>
          <w:rFonts w:eastAsiaTheme="minorEastAsia"/>
          <w:sz w:val="24"/>
        </w:rPr>
      </w:pPr>
      <w:r>
        <w:rPr>
          <w:rFonts w:hint="eastAsia" w:eastAsiaTheme="minorEastAsia"/>
          <w:sz w:val="24"/>
        </w:rPr>
        <w:t>（2）组织编制本企业环境保护计划，建立本企业各项环境保护规章制度，并且经常进行监督检查；</w:t>
      </w:r>
    </w:p>
    <w:p>
      <w:pPr>
        <w:spacing w:line="460" w:lineRule="exact"/>
        <w:ind w:firstLine="480" w:firstLineChars="200"/>
        <w:rPr>
          <w:rFonts w:eastAsiaTheme="minorEastAsia"/>
          <w:sz w:val="24"/>
        </w:rPr>
      </w:pPr>
      <w:r>
        <w:rPr>
          <w:rFonts w:hint="eastAsia" w:eastAsiaTheme="minorEastAsia"/>
          <w:sz w:val="24"/>
        </w:rPr>
        <w:t>（3）参与本企业环保设施设计论证，监督环保设施安装调试，落实“三同时”措施；</w:t>
      </w:r>
    </w:p>
    <w:p>
      <w:pPr>
        <w:spacing w:line="460" w:lineRule="exact"/>
        <w:ind w:firstLine="480" w:firstLineChars="200"/>
        <w:rPr>
          <w:rFonts w:eastAsiaTheme="minorEastAsia"/>
          <w:sz w:val="24"/>
        </w:rPr>
      </w:pPr>
      <w:r>
        <w:rPr>
          <w:rFonts w:hint="eastAsia" w:eastAsiaTheme="minorEastAsia"/>
          <w:sz w:val="24"/>
        </w:rPr>
        <w:t>（4）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pPr>
        <w:spacing w:line="460" w:lineRule="exact"/>
        <w:ind w:firstLine="480" w:firstLineChars="200"/>
        <w:rPr>
          <w:rFonts w:eastAsiaTheme="minorEastAsia"/>
          <w:sz w:val="24"/>
        </w:rPr>
      </w:pPr>
      <w:r>
        <w:rPr>
          <w:rFonts w:hint="eastAsia" w:eastAsiaTheme="minorEastAsia"/>
          <w:sz w:val="24"/>
        </w:rPr>
        <w:t>（5）加强对污染治理设施的管理、检查及维护，确保污染治理设施正常运行，并将污染治理设施治理效率按照生产指标一样进行考核，防止污染事故发生；</w:t>
      </w:r>
    </w:p>
    <w:p>
      <w:pPr>
        <w:spacing w:line="460" w:lineRule="exact"/>
        <w:ind w:firstLine="480" w:firstLineChars="200"/>
        <w:rPr>
          <w:rFonts w:eastAsiaTheme="minorEastAsia"/>
          <w:sz w:val="24"/>
        </w:rPr>
      </w:pPr>
      <w:r>
        <w:rPr>
          <w:rFonts w:hint="eastAsia" w:eastAsiaTheme="minorEastAsia"/>
          <w:sz w:val="24"/>
        </w:rPr>
        <w:t>（6）学习并推广应用先进环保技术和经验，推行清洁生产，组织污染治理设施操作人员进行岗前专业技术培训；</w:t>
      </w:r>
    </w:p>
    <w:p>
      <w:pPr>
        <w:spacing w:line="460" w:lineRule="exact"/>
        <w:ind w:firstLine="480" w:firstLineChars="200"/>
        <w:rPr>
          <w:rFonts w:eastAsiaTheme="minorEastAsia"/>
          <w:sz w:val="24"/>
        </w:rPr>
      </w:pPr>
      <w:r>
        <w:rPr>
          <w:rFonts w:hint="eastAsia" w:eastAsiaTheme="minorEastAsia"/>
          <w:sz w:val="24"/>
        </w:rPr>
        <w:t>（7）加强对职工进行环保法律法规的宣传、教育和学习，增强职工环保意识。</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9.1.4环境管理规章制度</w:t>
      </w:r>
    </w:p>
    <w:p>
      <w:pPr>
        <w:spacing w:line="460" w:lineRule="exact"/>
        <w:ind w:firstLine="480" w:firstLineChars="200"/>
        <w:rPr>
          <w:rFonts w:eastAsiaTheme="minorEastAsia"/>
          <w:sz w:val="24"/>
        </w:rPr>
      </w:pPr>
      <w:r>
        <w:rPr>
          <w:rFonts w:hint="eastAsia" w:eastAsiaTheme="minorEastAsia"/>
          <w:sz w:val="24"/>
        </w:rPr>
        <w:t>1、严格执行“三同时”制度</w:t>
      </w:r>
    </w:p>
    <w:p>
      <w:pPr>
        <w:spacing w:line="460" w:lineRule="exact"/>
        <w:ind w:firstLine="480" w:firstLineChars="200"/>
        <w:rPr>
          <w:rFonts w:eastAsiaTheme="minorEastAsia"/>
          <w:sz w:val="24"/>
        </w:rPr>
      </w:pPr>
      <w:r>
        <w:rPr>
          <w:rFonts w:hint="eastAsia" w:eastAsiaTheme="minorEastAsia"/>
          <w:sz w:val="24"/>
        </w:rPr>
        <w:t>在本项目建设的不同阶段均应严格执行“三同时”制度，确保污染处理设施能够与生产设施“同时设计、同时施工、同时竣工并投入使用”。</w:t>
      </w:r>
    </w:p>
    <w:p>
      <w:pPr>
        <w:spacing w:line="460" w:lineRule="exact"/>
        <w:ind w:firstLine="480" w:firstLineChars="200"/>
        <w:rPr>
          <w:rFonts w:eastAsiaTheme="minorEastAsia"/>
          <w:sz w:val="24"/>
        </w:rPr>
      </w:pPr>
      <w:r>
        <w:rPr>
          <w:rFonts w:hint="eastAsia" w:eastAsiaTheme="minorEastAsia"/>
          <w:sz w:val="24"/>
        </w:rPr>
        <w:t>2、建立环境报告制度</w:t>
      </w:r>
    </w:p>
    <w:p>
      <w:pPr>
        <w:spacing w:line="460" w:lineRule="exact"/>
        <w:ind w:firstLine="480" w:firstLineChars="200"/>
        <w:rPr>
          <w:rFonts w:eastAsiaTheme="minorEastAsia"/>
          <w:sz w:val="24"/>
        </w:rPr>
      </w:pPr>
      <w:r>
        <w:rPr>
          <w:rFonts w:hint="eastAsia" w:eastAsiaTheme="minorEastAsia"/>
          <w:sz w:val="24"/>
        </w:rPr>
        <w:t>应按相关法律法规要求严格执行排污申报制度，此外在本项目排污发生重大变化、污染治理设施发生重大改变或实施新改扩建项目时必须及时向当地的生态环境部门申报。</w:t>
      </w:r>
    </w:p>
    <w:p>
      <w:pPr>
        <w:spacing w:line="460" w:lineRule="exact"/>
        <w:ind w:firstLine="480" w:firstLineChars="200"/>
        <w:rPr>
          <w:rFonts w:eastAsiaTheme="minorEastAsia"/>
          <w:sz w:val="24"/>
        </w:rPr>
      </w:pPr>
      <w:r>
        <w:rPr>
          <w:rFonts w:hint="eastAsia" w:eastAsiaTheme="minorEastAsia"/>
          <w:sz w:val="24"/>
        </w:rPr>
        <w:t>3、建立健全污染治理设施管理制度</w:t>
      </w:r>
    </w:p>
    <w:p>
      <w:pPr>
        <w:spacing w:line="460" w:lineRule="exact"/>
        <w:ind w:firstLine="480" w:firstLineChars="200"/>
        <w:rPr>
          <w:rFonts w:eastAsiaTheme="minorEastAsia"/>
          <w:sz w:val="24"/>
        </w:rPr>
      </w:pPr>
      <w:r>
        <w:rPr>
          <w:rFonts w:hint="eastAsia" w:eastAsiaTheme="minorEastAsia"/>
          <w:sz w:val="24"/>
        </w:rPr>
        <w:t>建立健全污染治理设施的运行、检修、维护保养等作业规程和管理制度，将污染治理设施管理与生产管理一同纳入本企业管理工作范畴，落实责任人，建立管理台帐，避免擅自拆除或闲置污染处理设施的现象发生，严禁故意不正常使用污染处理设施。</w:t>
      </w:r>
    </w:p>
    <w:p>
      <w:pPr>
        <w:spacing w:line="460" w:lineRule="exact"/>
        <w:ind w:firstLine="480" w:firstLineChars="200"/>
        <w:rPr>
          <w:rFonts w:eastAsiaTheme="minorEastAsia"/>
          <w:sz w:val="24"/>
        </w:rPr>
      </w:pPr>
      <w:r>
        <w:rPr>
          <w:rFonts w:hint="eastAsia" w:eastAsiaTheme="minorEastAsia"/>
          <w:sz w:val="24"/>
        </w:rPr>
        <w:t>4、建立环境目标管理责任制和奖惩条例</w:t>
      </w:r>
    </w:p>
    <w:p>
      <w:pPr>
        <w:spacing w:line="460" w:lineRule="exact"/>
        <w:ind w:firstLine="480" w:firstLineChars="200"/>
        <w:rPr>
          <w:rFonts w:eastAsiaTheme="minorEastAsia"/>
          <w:sz w:val="24"/>
        </w:rPr>
      </w:pPr>
      <w:r>
        <w:rPr>
          <w:rFonts w:hint="eastAsia" w:eastAsiaTheme="minorEastAsia"/>
          <w:sz w:val="24"/>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处罚。在公司内部形成注重环境管理，持续改进环境绩效的氛围。</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9.1.5环境管理措施</w:t>
      </w:r>
    </w:p>
    <w:p>
      <w:pPr>
        <w:spacing w:line="460" w:lineRule="exact"/>
        <w:ind w:firstLine="480" w:firstLineChars="200"/>
        <w:rPr>
          <w:rFonts w:eastAsiaTheme="minorEastAsia"/>
          <w:sz w:val="24"/>
        </w:rPr>
      </w:pPr>
      <w:r>
        <w:rPr>
          <w:rFonts w:hint="eastAsia" w:eastAsiaTheme="minorEastAsia"/>
          <w:sz w:val="24"/>
        </w:rPr>
        <w:t>为使环境管理工作科学化、规范化、合理化，确保各项环保措施落实到位，在管理方面采取以下措施：</w:t>
      </w:r>
    </w:p>
    <w:p>
      <w:pPr>
        <w:spacing w:line="460" w:lineRule="exact"/>
        <w:ind w:firstLine="480" w:firstLineChars="200"/>
        <w:rPr>
          <w:rFonts w:eastAsiaTheme="minorEastAsia"/>
          <w:sz w:val="24"/>
        </w:rPr>
      </w:pPr>
      <w:r>
        <w:rPr>
          <w:rFonts w:hint="eastAsia" w:eastAsiaTheme="minorEastAsia"/>
          <w:sz w:val="24"/>
        </w:rPr>
        <w:t>1、建立</w:t>
      </w:r>
      <w:r>
        <w:rPr>
          <w:rFonts w:eastAsiaTheme="minorEastAsia"/>
          <w:sz w:val="24"/>
        </w:rPr>
        <w:t xml:space="preserve">IS014000 </w:t>
      </w:r>
      <w:r>
        <w:rPr>
          <w:rFonts w:hint="eastAsia" w:eastAsiaTheme="minorEastAsia"/>
          <w:sz w:val="24"/>
        </w:rPr>
        <w:t>环境管理体系，并建议同时进行</w:t>
      </w:r>
      <w:r>
        <w:rPr>
          <w:rFonts w:eastAsiaTheme="minorEastAsia"/>
          <w:sz w:val="24"/>
        </w:rPr>
        <w:t>QHSE</w:t>
      </w:r>
      <w:r>
        <w:rPr>
          <w:rFonts w:hint="eastAsia" w:eastAsiaTheme="minorEastAsia"/>
          <w:sz w:val="24"/>
        </w:rPr>
        <w:t>（质量、健康、安全、环保）审核。</w:t>
      </w:r>
    </w:p>
    <w:p>
      <w:pPr>
        <w:spacing w:line="460" w:lineRule="exact"/>
        <w:ind w:firstLine="480" w:firstLineChars="200"/>
        <w:rPr>
          <w:rFonts w:eastAsiaTheme="minorEastAsia"/>
          <w:sz w:val="24"/>
        </w:rPr>
      </w:pPr>
      <w:r>
        <w:rPr>
          <w:rFonts w:hint="eastAsia" w:eastAsiaTheme="minorEastAsia"/>
          <w:sz w:val="24"/>
        </w:rPr>
        <w:t>2、强化对环保设施运行监督管理职能，建立完善的环保设施运行、维护、维修等技术档案，加强对环保设施操作人员技术培训，确保环保设施处于正常的运行情况，污染物排放连续达标。</w:t>
      </w:r>
    </w:p>
    <w:p>
      <w:pPr>
        <w:spacing w:line="460" w:lineRule="exact"/>
        <w:ind w:firstLine="480" w:firstLineChars="200"/>
        <w:rPr>
          <w:rFonts w:eastAsiaTheme="minorEastAsia"/>
          <w:sz w:val="24"/>
        </w:rPr>
      </w:pPr>
      <w:r>
        <w:rPr>
          <w:rFonts w:hint="eastAsia" w:eastAsiaTheme="minorEastAsia"/>
          <w:sz w:val="24"/>
        </w:rPr>
        <w:t>3、加强环境监测数据统计工作，建立完善的污染源及物料流失档案，确保污染物排放指标达到设计要求。</w:t>
      </w:r>
    </w:p>
    <w:p>
      <w:pPr>
        <w:spacing w:line="460" w:lineRule="exact"/>
        <w:ind w:firstLine="480" w:firstLineChars="200"/>
        <w:rPr>
          <w:rFonts w:eastAsiaTheme="minorEastAsia"/>
          <w:sz w:val="24"/>
        </w:rPr>
      </w:pPr>
      <w:r>
        <w:rPr>
          <w:rFonts w:hint="eastAsia" w:eastAsiaTheme="minorEastAsia"/>
          <w:sz w:val="24"/>
        </w:rPr>
        <w:t>4、制订环境保护岗位目标责任制，将环境管理纳入生产管理体系，将环境评估与经济效益评估相结合，建立严格奖惩机制。</w:t>
      </w:r>
    </w:p>
    <w:p>
      <w:pPr>
        <w:spacing w:line="460" w:lineRule="exact"/>
        <w:ind w:firstLine="480" w:firstLineChars="200"/>
        <w:rPr>
          <w:rFonts w:eastAsiaTheme="minorEastAsia"/>
          <w:sz w:val="24"/>
        </w:rPr>
      </w:pPr>
      <w:r>
        <w:rPr>
          <w:rFonts w:hint="eastAsia" w:eastAsiaTheme="minorEastAsia"/>
          <w:sz w:val="24"/>
        </w:rPr>
        <w:t>5、加强对职工进行环保法律法规的宣传、教育和学习，进行岗位培训，使职工意识到环境保护的重要意义，包括与企业生产、生存和发展的关系，企业应具有危机感和责任感，把环保工作落到实处，落实到每一位职工。</w:t>
      </w:r>
    </w:p>
    <w:p>
      <w:pPr>
        <w:pStyle w:val="5"/>
        <w:numPr>
          <w:ilvl w:val="0"/>
          <w:numId w:val="0"/>
        </w:numPr>
        <w:adjustRightInd w:val="0"/>
        <w:spacing w:before="0" w:line="460" w:lineRule="exact"/>
        <w:ind w:left="113"/>
        <w:textAlignment w:val="baseline"/>
        <w:rPr>
          <w:rFonts w:eastAsiaTheme="minorEastAsia"/>
        </w:rPr>
      </w:pPr>
      <w:r>
        <w:rPr>
          <w:rFonts w:hint="eastAsia" w:ascii="Times New Roman"/>
          <w:szCs w:val="24"/>
        </w:rPr>
        <w:t>9.1.6环境</w:t>
      </w:r>
      <w:r>
        <w:rPr>
          <w:rFonts w:ascii="Times New Roman"/>
          <w:szCs w:val="24"/>
        </w:rPr>
        <w:t>管理计划</w:t>
      </w:r>
    </w:p>
    <w:p>
      <w:pPr>
        <w:pStyle w:val="2"/>
        <w:ind w:firstLine="480"/>
        <w:rPr>
          <w:color w:val="auto"/>
        </w:rPr>
      </w:pPr>
      <w:r>
        <w:rPr>
          <w:rFonts w:hint="eastAsia"/>
          <w:color w:val="auto"/>
        </w:rPr>
        <w:t>9</w:t>
      </w:r>
      <w:r>
        <w:rPr>
          <w:color w:val="auto"/>
        </w:rPr>
        <w:t>.1.6.1建设期环境管理计划</w:t>
      </w:r>
    </w:p>
    <w:p>
      <w:pPr>
        <w:spacing w:line="460" w:lineRule="exact"/>
        <w:ind w:firstLine="480" w:firstLineChars="200"/>
        <w:rPr>
          <w:rFonts w:eastAsiaTheme="minorEastAsia"/>
          <w:sz w:val="24"/>
        </w:rPr>
      </w:pPr>
      <w:r>
        <w:rPr>
          <w:rFonts w:eastAsiaTheme="minorEastAsia"/>
          <w:sz w:val="24"/>
        </w:rPr>
        <w:t>本项目建设期环境管理计划见表</w:t>
      </w:r>
      <w:r>
        <w:rPr>
          <w:rFonts w:hint="eastAsia" w:eastAsiaTheme="minorEastAsia"/>
          <w:sz w:val="24"/>
        </w:rPr>
        <w:t>9</w:t>
      </w:r>
      <w:r>
        <w:rPr>
          <w:rFonts w:eastAsiaTheme="minorEastAsia"/>
          <w:sz w:val="24"/>
        </w:rPr>
        <w:t>.1-1。</w:t>
      </w:r>
    </w:p>
    <w:p>
      <w:pPr>
        <w:pStyle w:val="660"/>
        <w:spacing w:line="240" w:lineRule="auto"/>
        <w:ind w:firstLine="420"/>
        <w:jc w:val="both"/>
        <w:rPr>
          <w:rFonts w:eastAsia="黑体"/>
          <w:b w:val="0"/>
          <w:sz w:val="21"/>
        </w:rPr>
      </w:pPr>
      <w:r>
        <w:rPr>
          <w:rFonts w:eastAsia="黑体"/>
          <w:b w:val="0"/>
          <w:sz w:val="21"/>
        </w:rPr>
        <w:t>表</w:t>
      </w:r>
      <w:r>
        <w:rPr>
          <w:rFonts w:hint="eastAsia" w:eastAsia="黑体"/>
          <w:b w:val="0"/>
          <w:sz w:val="21"/>
        </w:rPr>
        <w:t>9</w:t>
      </w:r>
      <w:r>
        <w:rPr>
          <w:rFonts w:eastAsia="黑体"/>
          <w:b w:val="0"/>
          <w:sz w:val="21"/>
        </w:rPr>
        <w:t>.1-1                 项目建设期环境管理计划表</w:t>
      </w:r>
    </w:p>
    <w:tbl>
      <w:tblPr>
        <w:tblStyle w:val="59"/>
        <w:tblW w:w="917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5"/>
        <w:gridCol w:w="720"/>
        <w:gridCol w:w="75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建议书阶段</w:t>
            </w:r>
          </w:p>
        </w:tc>
        <w:tc>
          <w:tcPr>
            <w:tcW w:w="8270" w:type="dxa"/>
            <w:gridSpan w:val="2"/>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根据建设项目的性质、规模、厂址、环境现状等有关资料，对项目建成后可能造成的环境影响进行简要说明。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可研阶段</w:t>
            </w:r>
          </w:p>
        </w:tc>
        <w:tc>
          <w:tcPr>
            <w:tcW w:w="8270" w:type="dxa"/>
            <w:gridSpan w:val="2"/>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委托评价单位进行环境影响评价工作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8270" w:type="dxa"/>
            <w:gridSpan w:val="2"/>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进行环境现状监测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施工阶段</w:t>
            </w:r>
          </w:p>
        </w:tc>
        <w:tc>
          <w:tcPr>
            <w:tcW w:w="8270" w:type="dxa"/>
            <w:gridSpan w:val="2"/>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依法执行环保设施与主体工程“三同时”制度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建设单位环境管理职责</w:t>
            </w: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施工期间，建设单位应设专职环境管理人员，负责工程施工期（从工程施工开始至工程竣工验收期间）的环境保护工作。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统筹管理施工期间的环境保护工作；制定施工期环境管理方案与计划；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协调施工单位依照承包合同条款、环境影响报告书及其批复意见的内容开展和落实工作；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处理施工期内环境污染事故和纠纷，并及时向上级部门汇报等。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施工单位环境管理职责</w:t>
            </w: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在施工前，应按照建设单位制定的环境管理方案，编制详细的“环境管理方案”，并连同施工计划一起呈报建设单位环境管理部门，批准后方可以开工。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施工期间的各项活动需依据承包合同条款、环境影响报告书及其批复意见的内容严格执行，尽量减轻施工期对环境的污染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2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5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定期向建设单位汇报承包合同中各项环保条款的执行情况，并负责环保措施的建设进度、建设质量、运行和检测情况</w:t>
            </w:r>
          </w:p>
        </w:tc>
      </w:tr>
    </w:tbl>
    <w:p>
      <w:pPr>
        <w:pStyle w:val="2"/>
        <w:ind w:firstLine="480"/>
        <w:rPr>
          <w:color w:val="auto"/>
        </w:rPr>
      </w:pPr>
      <w:r>
        <w:rPr>
          <w:rFonts w:hint="eastAsia"/>
          <w:color w:val="auto"/>
        </w:rPr>
        <w:t>9</w:t>
      </w:r>
      <w:r>
        <w:rPr>
          <w:color w:val="auto"/>
        </w:rPr>
        <w:t>.1.6.2运营期环境管理计划</w:t>
      </w:r>
    </w:p>
    <w:p>
      <w:pPr>
        <w:spacing w:line="460" w:lineRule="exact"/>
        <w:ind w:firstLine="480" w:firstLineChars="200"/>
        <w:rPr>
          <w:rFonts w:eastAsiaTheme="minorEastAsia"/>
          <w:sz w:val="24"/>
        </w:rPr>
      </w:pPr>
      <w:r>
        <w:rPr>
          <w:rFonts w:eastAsiaTheme="minorEastAsia"/>
          <w:sz w:val="24"/>
        </w:rPr>
        <w:t>1、运营期环境管理计划</w:t>
      </w:r>
    </w:p>
    <w:p>
      <w:pPr>
        <w:spacing w:line="460" w:lineRule="exact"/>
        <w:ind w:firstLine="480" w:firstLineChars="200"/>
        <w:rPr>
          <w:rFonts w:eastAsiaTheme="minorEastAsia"/>
          <w:sz w:val="24"/>
        </w:rPr>
      </w:pPr>
      <w:r>
        <w:rPr>
          <w:rFonts w:eastAsiaTheme="minorEastAsia"/>
          <w:sz w:val="24"/>
        </w:rPr>
        <w:t>本项目运营期环境管理计划见表</w:t>
      </w:r>
      <w:r>
        <w:rPr>
          <w:rFonts w:hint="eastAsia" w:eastAsiaTheme="minorEastAsia"/>
          <w:sz w:val="24"/>
        </w:rPr>
        <w:t>9</w:t>
      </w:r>
      <w:r>
        <w:rPr>
          <w:rFonts w:eastAsiaTheme="minorEastAsia"/>
          <w:sz w:val="24"/>
        </w:rPr>
        <w:t>.1-2。</w:t>
      </w:r>
    </w:p>
    <w:p>
      <w:pPr>
        <w:pStyle w:val="660"/>
        <w:spacing w:line="240" w:lineRule="auto"/>
        <w:ind w:firstLine="420"/>
        <w:jc w:val="both"/>
        <w:rPr>
          <w:rFonts w:eastAsia="黑体"/>
          <w:b w:val="0"/>
          <w:sz w:val="21"/>
        </w:rPr>
      </w:pPr>
      <w:r>
        <w:rPr>
          <w:rFonts w:eastAsia="黑体"/>
          <w:b w:val="0"/>
          <w:sz w:val="21"/>
        </w:rPr>
        <w:t>表</w:t>
      </w:r>
      <w:r>
        <w:rPr>
          <w:rFonts w:hint="eastAsia" w:eastAsia="黑体"/>
          <w:b w:val="0"/>
          <w:sz w:val="21"/>
        </w:rPr>
        <w:t>9</w:t>
      </w:r>
      <w:r>
        <w:rPr>
          <w:rFonts w:eastAsia="黑体"/>
          <w:b w:val="0"/>
          <w:sz w:val="21"/>
        </w:rPr>
        <w:t>.1-2               项目运营期环境管理计划表</w:t>
      </w:r>
    </w:p>
    <w:tbl>
      <w:tblPr>
        <w:tblStyle w:val="59"/>
        <w:tblW w:w="917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5"/>
        <w:gridCol w:w="82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试生产阶段</w:t>
            </w: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完善准备、最大限度减少事故发生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进行多方技术论证，完善工艺方案；建立生产工序管理和生产运转卡；优化操作规程；向环保部门提交竣工验收报告。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规模生产阶段</w:t>
            </w: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加强环保设备运行检查，确保达产达标，避免超标排污。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监督检查环保措施的执行；监督检查环保设施的运行情况；监督检查污染物的监测工作。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信息反馈和群众监督</w:t>
            </w: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反馈监督信息，加强群众监督，改进污染治理工作。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827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建立奖惩制度确保环保设施正常运转；整理监测数据，技术部据此研究并改进工艺的先进性；收集附近村民意见并选代表作为监督员。</w:t>
            </w:r>
          </w:p>
        </w:tc>
      </w:tr>
    </w:tbl>
    <w:p>
      <w:pPr>
        <w:spacing w:line="460" w:lineRule="exact"/>
        <w:ind w:firstLine="480" w:firstLineChars="200"/>
        <w:rPr>
          <w:rFonts w:eastAsiaTheme="minorEastAsia"/>
          <w:sz w:val="24"/>
        </w:rPr>
      </w:pPr>
      <w:r>
        <w:rPr>
          <w:rFonts w:eastAsiaTheme="minorEastAsia"/>
          <w:sz w:val="24"/>
        </w:rPr>
        <w:t>2、运营期环境管理方案</w:t>
      </w:r>
    </w:p>
    <w:p>
      <w:pPr>
        <w:spacing w:line="460" w:lineRule="exact"/>
        <w:ind w:firstLine="480" w:firstLineChars="200"/>
        <w:rPr>
          <w:rFonts w:eastAsiaTheme="minorEastAsia"/>
          <w:sz w:val="24"/>
        </w:rPr>
      </w:pPr>
      <w:r>
        <w:rPr>
          <w:rFonts w:eastAsiaTheme="minorEastAsia"/>
          <w:sz w:val="24"/>
        </w:rPr>
        <w:t>本项目运营期环境管理方案见表</w:t>
      </w:r>
      <w:r>
        <w:rPr>
          <w:rFonts w:hint="eastAsia" w:eastAsiaTheme="minorEastAsia"/>
          <w:sz w:val="24"/>
        </w:rPr>
        <w:t>9</w:t>
      </w:r>
      <w:r>
        <w:rPr>
          <w:rFonts w:eastAsiaTheme="minorEastAsia"/>
          <w:sz w:val="24"/>
        </w:rPr>
        <w:t>.1-3。</w:t>
      </w:r>
    </w:p>
    <w:p>
      <w:pPr>
        <w:pStyle w:val="660"/>
        <w:spacing w:line="240" w:lineRule="auto"/>
        <w:ind w:firstLine="420"/>
        <w:jc w:val="both"/>
        <w:rPr>
          <w:rFonts w:eastAsia="黑体"/>
          <w:b w:val="0"/>
          <w:sz w:val="21"/>
        </w:rPr>
      </w:pPr>
      <w:r>
        <w:rPr>
          <w:rFonts w:eastAsia="黑体"/>
          <w:b w:val="0"/>
          <w:sz w:val="21"/>
        </w:rPr>
        <w:t>表</w:t>
      </w:r>
      <w:r>
        <w:rPr>
          <w:rFonts w:hint="eastAsia" w:eastAsia="黑体"/>
          <w:b w:val="0"/>
          <w:sz w:val="21"/>
        </w:rPr>
        <w:t>9</w:t>
      </w:r>
      <w:r>
        <w:rPr>
          <w:rFonts w:eastAsia="黑体"/>
          <w:b w:val="0"/>
          <w:sz w:val="21"/>
        </w:rPr>
        <w:t>.1-3                 项目运营期重点环节环境管理方案</w:t>
      </w:r>
    </w:p>
    <w:tbl>
      <w:tblPr>
        <w:tblStyle w:val="59"/>
        <w:tblW w:w="9073"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57" w:type="dxa"/>
          <w:bottom w:w="0" w:type="dxa"/>
          <w:right w:w="57" w:type="dxa"/>
        </w:tblCellMar>
      </w:tblPr>
      <w:tblGrid>
        <w:gridCol w:w="1175"/>
        <w:gridCol w:w="5261"/>
        <w:gridCol w:w="1327"/>
        <w:gridCol w:w="131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环境问题</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防治措施/设施</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实施情况</w:t>
            </w:r>
          </w:p>
        </w:tc>
        <w:tc>
          <w:tcPr>
            <w:tcW w:w="131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本次项目新增措施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废气排放</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对各废气排放源进行严格控制，采用环评报告中所要求的废气处理设施。并加强对各处理设施的维护和管理，以减少泄漏，确保证达标排放；提高车间自动化操作水平。</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执行“三同时”制度</w:t>
            </w:r>
          </w:p>
        </w:tc>
        <w:tc>
          <w:tcPr>
            <w:tcW w:w="1310"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将新增“三废”防治措施及设施纳入全厂环境管理体系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定期进行生产知识强化训练，不断提高操作人员的文化素质及环保意识。</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运营期</w:t>
            </w: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废水排放</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严格清污分流、雨污分流管理。</w:t>
            </w:r>
          </w:p>
        </w:tc>
        <w:tc>
          <w:tcPr>
            <w:tcW w:w="1327"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执行“三同时”制度</w:t>
            </w: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加强重点防渗区的跑冒滴漏管理及巡查，避免污水泄漏对周围地下水环境造成影响。加强污水收集管线及事故池的管理和维护。</w:t>
            </w:r>
          </w:p>
        </w:tc>
        <w:tc>
          <w:tcPr>
            <w:tcW w:w="1327"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固体废物</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厂区内设立</w:t>
            </w:r>
            <w:r>
              <w:rPr>
                <w:rFonts w:hint="eastAsia" w:ascii="Times New Roman" w:hAnsi="Times New Roman" w:cs="Times New Roman" w:eastAsiaTheme="minorEastAsia"/>
                <w:kern w:val="0"/>
                <w:sz w:val="21"/>
                <w:szCs w:val="21"/>
              </w:rPr>
              <w:t>危废暂存间</w:t>
            </w:r>
            <w:r>
              <w:rPr>
                <w:rFonts w:ascii="Times New Roman" w:hAnsi="Times New Roman" w:cs="Times New Roman" w:eastAsiaTheme="minorEastAsia"/>
                <w:kern w:val="0"/>
                <w:sz w:val="21"/>
                <w:szCs w:val="21"/>
              </w:rPr>
              <w:t>，固废规范收集暂存、及时清运并做好台账。</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运营期</w:t>
            </w: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噪声</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定期检查降噪隔声设备的正常运行。</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运营期</w:t>
            </w: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排污口</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按照国家《环境保护图形标志》（GB15562.1-95）与（GB1556.2-95）规定，设置国家环保局统一制作的环保图标；图标牌应设置在靠近采样点醒目处，标志牌设置高度为其上边缘距离地面约2m；将主要污染物种类、数量、浓度、排放去向，立标情况及设施运行情况记录于档案。</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执行“三同时”制度</w:t>
            </w:r>
          </w:p>
        </w:tc>
        <w:tc>
          <w:tcPr>
            <w:tcW w:w="1310"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57" w:type="dxa"/>
            <w:bottom w:w="0" w:type="dxa"/>
            <w:right w:w="57" w:type="dxa"/>
          </w:tblCellMar>
        </w:tblPrEx>
        <w:trPr>
          <w:trHeight w:val="340" w:hRule="atLeast"/>
          <w:jc w:val="center"/>
        </w:trPr>
        <w:tc>
          <w:tcPr>
            <w:tcW w:w="117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环境应急设施</w:t>
            </w:r>
          </w:p>
        </w:tc>
        <w:tc>
          <w:tcPr>
            <w:tcW w:w="5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加强突发环境事故应急系统维护、管理</w:t>
            </w:r>
          </w:p>
        </w:tc>
        <w:tc>
          <w:tcPr>
            <w:tcW w:w="13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运营期</w:t>
            </w:r>
          </w:p>
        </w:tc>
        <w:tc>
          <w:tcPr>
            <w:tcW w:w="131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将应急设施纳入全厂环境管理体系</w:t>
            </w:r>
          </w:p>
        </w:tc>
      </w:tr>
    </w:tbl>
    <w:p>
      <w:pPr>
        <w:spacing w:line="460" w:lineRule="exact"/>
        <w:ind w:firstLine="480" w:firstLineChars="200"/>
        <w:rPr>
          <w:rFonts w:eastAsiaTheme="minorEastAsia"/>
          <w:sz w:val="24"/>
        </w:rPr>
      </w:pPr>
      <w:r>
        <w:rPr>
          <w:rFonts w:hint="eastAsia" w:eastAsiaTheme="minorEastAsia"/>
          <w:sz w:val="24"/>
        </w:rPr>
        <w:t>3、危险废物管理要求</w:t>
      </w:r>
    </w:p>
    <w:p>
      <w:pPr>
        <w:spacing w:line="460" w:lineRule="exact"/>
        <w:ind w:firstLine="480" w:firstLineChars="200"/>
        <w:rPr>
          <w:rFonts w:eastAsiaTheme="minorEastAsia"/>
          <w:sz w:val="24"/>
        </w:rPr>
      </w:pPr>
      <w:r>
        <w:rPr>
          <w:rFonts w:hint="eastAsia" w:eastAsiaTheme="minorEastAsia"/>
          <w:sz w:val="24"/>
        </w:rPr>
        <w:t>本项目运营期产生的危险废物需按照《危险废物收集贮存运输技术规范》和《危险废物贮存污染控制标准》、《关于进一步加强危险废物规范化管理有关工作的通知》、《危险废物管理计划和管理台账制定导则》（</w:t>
      </w:r>
      <w:r>
        <w:rPr>
          <w:rFonts w:eastAsiaTheme="minorEastAsia"/>
          <w:sz w:val="24"/>
        </w:rPr>
        <w:t>HJ 1259</w:t>
      </w:r>
      <w:r>
        <w:rPr>
          <w:rFonts w:hint="eastAsia" w:eastAsiaTheme="minorEastAsia"/>
          <w:sz w:val="24"/>
        </w:rPr>
        <w:t>-</w:t>
      </w:r>
      <w:r>
        <w:rPr>
          <w:rFonts w:eastAsiaTheme="minorEastAsia"/>
          <w:sz w:val="24"/>
        </w:rPr>
        <w:t>2022</w:t>
      </w:r>
      <w:r>
        <w:rPr>
          <w:rFonts w:hint="eastAsia" w:eastAsiaTheme="minorEastAsia"/>
          <w:sz w:val="24"/>
        </w:rPr>
        <w:t>）等相关要求，项目在运行期间应加强对本项目产生的危险废物的管理，应做到：</w:t>
      </w:r>
    </w:p>
    <w:p>
      <w:pPr>
        <w:spacing w:line="460" w:lineRule="exact"/>
        <w:ind w:firstLine="480" w:firstLineChars="200"/>
        <w:rPr>
          <w:rFonts w:eastAsiaTheme="minorEastAsia"/>
          <w:sz w:val="24"/>
        </w:rPr>
      </w:pPr>
      <w:r>
        <w:rPr>
          <w:rFonts w:hint="eastAsia" w:eastAsiaTheme="minorEastAsia"/>
          <w:sz w:val="24"/>
        </w:rPr>
        <w:t>（1）危险废物贮存</w:t>
      </w:r>
    </w:p>
    <w:p>
      <w:pPr>
        <w:spacing w:line="460" w:lineRule="exact"/>
        <w:ind w:firstLine="480" w:firstLineChars="200"/>
        <w:rPr>
          <w:rFonts w:eastAsiaTheme="minorEastAsia"/>
          <w:sz w:val="24"/>
        </w:rPr>
      </w:pPr>
      <w:r>
        <w:rPr>
          <w:rFonts w:hint="eastAsia" w:eastAsiaTheme="minorEastAsia"/>
          <w:sz w:val="24"/>
        </w:rPr>
        <w:t>项目所产生的危险废物全部分类贮存于危废暂存间，危废暂存间的建设符合《危险废物贮存污染控制标准》（GB18597-2023）相关要求。黏土厚度应不小于1.0m，且经压实、人工改性等措施处理后的饱和渗透系数不应大于 1.0×10-7cm/s。人工合成材料应采用高密度聚乙烯膜，厚度不小于2mm。采用其他人工合成材料的，其防渗性能至少相当于2 mm高密度聚乙烯膜的防渗性能。</w:t>
      </w:r>
    </w:p>
    <w:p>
      <w:pPr>
        <w:spacing w:line="460" w:lineRule="exact"/>
        <w:ind w:firstLine="480" w:firstLineChars="200"/>
        <w:rPr>
          <w:rFonts w:eastAsiaTheme="minorEastAsia"/>
          <w:sz w:val="24"/>
        </w:rPr>
      </w:pPr>
      <w:r>
        <w:rPr>
          <w:rFonts w:hint="eastAsia" w:eastAsiaTheme="minorEastAsia"/>
          <w:sz w:val="24"/>
        </w:rPr>
        <w:t>①地面于裙角要用坚固、防渗的材料建造，建筑材料必须与危险废物相容；</w:t>
      </w:r>
    </w:p>
    <w:p>
      <w:pPr>
        <w:spacing w:line="460" w:lineRule="exact"/>
        <w:ind w:firstLine="480" w:firstLineChars="200"/>
        <w:rPr>
          <w:rFonts w:eastAsiaTheme="minorEastAsia"/>
          <w:sz w:val="24"/>
        </w:rPr>
      </w:pPr>
      <w:r>
        <w:rPr>
          <w:rFonts w:hint="eastAsia" w:eastAsiaTheme="minorEastAsia"/>
          <w:sz w:val="24"/>
        </w:rPr>
        <w:t>②危废库房内要有安全照明设施和观察窗口；</w:t>
      </w:r>
    </w:p>
    <w:p>
      <w:pPr>
        <w:spacing w:line="460" w:lineRule="exact"/>
        <w:ind w:firstLine="480" w:firstLineChars="200"/>
        <w:rPr>
          <w:rFonts w:eastAsiaTheme="minorEastAsia"/>
          <w:sz w:val="24"/>
        </w:rPr>
      </w:pPr>
      <w:r>
        <w:rPr>
          <w:rFonts w:hint="eastAsia" w:eastAsiaTheme="minorEastAsia"/>
          <w:sz w:val="24"/>
        </w:rPr>
        <w:t>③堆放危险废物的高度应根据地面承载能力确定；</w:t>
      </w:r>
    </w:p>
    <w:p>
      <w:pPr>
        <w:spacing w:line="460" w:lineRule="exact"/>
        <w:ind w:firstLine="480" w:firstLineChars="200"/>
        <w:rPr>
          <w:rFonts w:eastAsiaTheme="minorEastAsia"/>
          <w:sz w:val="24"/>
        </w:rPr>
      </w:pPr>
      <w:r>
        <w:rPr>
          <w:rFonts w:hint="eastAsia" w:eastAsiaTheme="minorEastAsia"/>
          <w:sz w:val="24"/>
        </w:rPr>
        <w:t>④衬里放在一个基础或底座上，衬里要能够覆盖危险废物可能涉及到的范围，且衬里材料与堆放的危险废物相容；</w:t>
      </w:r>
    </w:p>
    <w:p>
      <w:pPr>
        <w:spacing w:line="460" w:lineRule="exact"/>
        <w:ind w:firstLine="480" w:firstLineChars="200"/>
        <w:rPr>
          <w:rFonts w:eastAsiaTheme="minorEastAsia"/>
          <w:sz w:val="24"/>
        </w:rPr>
      </w:pPr>
      <w:r>
        <w:rPr>
          <w:rFonts w:hint="eastAsia" w:eastAsiaTheme="minorEastAsia"/>
          <w:sz w:val="24"/>
        </w:rPr>
        <w:t>⑤不同类危废分区存放；</w:t>
      </w:r>
    </w:p>
    <w:p>
      <w:pPr>
        <w:spacing w:line="460" w:lineRule="exact"/>
        <w:ind w:firstLine="480" w:firstLineChars="200"/>
        <w:rPr>
          <w:rFonts w:eastAsiaTheme="minorEastAsia"/>
          <w:sz w:val="24"/>
        </w:rPr>
      </w:pPr>
      <w:r>
        <w:rPr>
          <w:rFonts w:hint="eastAsia" w:eastAsiaTheme="minorEastAsia"/>
          <w:sz w:val="24"/>
        </w:rPr>
        <w:t>⑥危险废物堆放场所要求防风、防雨、防晒；</w:t>
      </w:r>
    </w:p>
    <w:p>
      <w:pPr>
        <w:spacing w:line="460" w:lineRule="exact"/>
        <w:ind w:firstLine="480" w:firstLineChars="200"/>
        <w:rPr>
          <w:rFonts w:eastAsiaTheme="minorEastAsia"/>
          <w:sz w:val="24"/>
        </w:rPr>
      </w:pPr>
      <w:r>
        <w:rPr>
          <w:rFonts w:hint="eastAsia" w:eastAsiaTheme="minorEastAsia"/>
          <w:sz w:val="24"/>
        </w:rPr>
        <w:t>⑦作业设备及车辆等离开贮存设施时应进行清理，防止将危险废物带出；</w:t>
      </w:r>
    </w:p>
    <w:p>
      <w:pPr>
        <w:spacing w:line="460" w:lineRule="exact"/>
        <w:ind w:firstLine="480" w:firstLineChars="200"/>
        <w:rPr>
          <w:rFonts w:eastAsiaTheme="minorEastAsia"/>
          <w:sz w:val="24"/>
        </w:rPr>
      </w:pPr>
      <w:r>
        <w:rPr>
          <w:rFonts w:hint="eastAsia" w:eastAsiaTheme="minorEastAsia"/>
          <w:sz w:val="24"/>
        </w:rPr>
        <w:t>⑧贮存库、贮存场、贮存池、贮存罐区应当设置现场视频监控系统，并确保画面清晰，视频记录保存时间至少为3个月。有条件的地区，企业视频监控系统可与当地生态环境主管部门危险废物管理信息系统联网，满足远程监控要求；</w:t>
      </w:r>
    </w:p>
    <w:p>
      <w:pPr>
        <w:spacing w:line="460" w:lineRule="exact"/>
        <w:ind w:firstLine="480" w:firstLineChars="200"/>
        <w:rPr>
          <w:rFonts w:eastAsiaTheme="minorEastAsia"/>
          <w:sz w:val="24"/>
        </w:rPr>
      </w:pPr>
      <w:r>
        <w:rPr>
          <w:rFonts w:hint="eastAsia" w:eastAsiaTheme="minorEastAsia"/>
          <w:sz w:val="24"/>
        </w:rPr>
        <w:t>⑨危险废物贮存设施运行期间，应建立管理台账，管理台账至少应保留 10 年；</w:t>
      </w:r>
    </w:p>
    <w:p>
      <w:pPr>
        <w:spacing w:line="460" w:lineRule="exact"/>
        <w:ind w:firstLine="480" w:firstLineChars="200"/>
        <w:rPr>
          <w:rFonts w:eastAsiaTheme="minorEastAsia"/>
          <w:sz w:val="24"/>
        </w:rPr>
      </w:pPr>
      <w:r>
        <w:rPr>
          <w:rFonts w:hint="eastAsia" w:eastAsiaTheme="minorEastAsia"/>
          <w:sz w:val="24"/>
        </w:rPr>
        <w:t>⑩单位应建立贮存设施环境管理制度、管理人员岗位职责制度、设施运行操作制度、人员岗位培训制度等；</w:t>
      </w:r>
    </w:p>
    <w:p>
      <w:pPr>
        <w:spacing w:line="460" w:lineRule="exact"/>
        <w:ind w:firstLine="480" w:firstLineChars="200"/>
        <w:rPr>
          <w:rFonts w:eastAsiaTheme="minorEastAsia"/>
          <w:sz w:val="24"/>
        </w:rPr>
      </w:pPr>
      <w:r>
        <w:rPr>
          <w:rFonts w:ascii="Cambria Math" w:hAnsi="Cambria Math" w:cs="Cambria Math" w:eastAsiaTheme="minorEastAsia"/>
          <w:sz w:val="24"/>
        </w:rPr>
        <w:t>⑪</w:t>
      </w:r>
      <w:r>
        <w:rPr>
          <w:rFonts w:hint="eastAsia" w:eastAsiaTheme="minorEastAsia"/>
          <w:sz w:val="24"/>
        </w:rPr>
        <w:t>项目设置的危废库按照《危险废物识别标识规范化设置要求》设置标识。</w:t>
      </w:r>
    </w:p>
    <w:p>
      <w:pPr>
        <w:spacing w:line="460" w:lineRule="exact"/>
        <w:ind w:firstLine="480" w:firstLineChars="200"/>
        <w:rPr>
          <w:rFonts w:eastAsiaTheme="minorEastAsia"/>
          <w:sz w:val="24"/>
        </w:rPr>
      </w:pPr>
      <w:r>
        <w:rPr>
          <w:rFonts w:hint="eastAsia" w:eastAsiaTheme="minorEastAsia"/>
          <w:sz w:val="24"/>
        </w:rPr>
        <w:t>（2）危废运输</w:t>
      </w:r>
    </w:p>
    <w:p>
      <w:pPr>
        <w:spacing w:line="460" w:lineRule="exact"/>
        <w:ind w:firstLine="480" w:firstLineChars="200"/>
        <w:rPr>
          <w:rFonts w:eastAsiaTheme="minorEastAsia"/>
          <w:sz w:val="24"/>
        </w:rPr>
      </w:pPr>
      <w:r>
        <w:rPr>
          <w:rFonts w:hint="eastAsia" w:eastAsiaTheme="minorEastAsia"/>
          <w:sz w:val="24"/>
        </w:rPr>
        <w:t>本项目的危险废物运输任务由有资质的单位承担，由专门的车辆密闭运输，驾驶员、操作工均持有“危险品运输资格证”，具有专业知识及处理突发事故的能力。运输、搬运过程采取专人专车并做到轻拿轻放，具体措施如下：</w:t>
      </w:r>
    </w:p>
    <w:p>
      <w:pPr>
        <w:spacing w:line="460" w:lineRule="exact"/>
        <w:ind w:firstLine="480" w:firstLineChars="200"/>
        <w:rPr>
          <w:rFonts w:eastAsiaTheme="minorEastAsia"/>
          <w:sz w:val="24"/>
        </w:rPr>
      </w:pPr>
      <w:r>
        <w:rPr>
          <w:rFonts w:hint="eastAsia" w:eastAsiaTheme="minorEastAsia"/>
          <w:sz w:val="24"/>
        </w:rPr>
        <w:t>①对驾驶员、装卸管理人员、押运人员进行有关安全知识培训，使其了解所运载的危险废物的性质、危害特新、包装容器的使用特性和发生意外时的应急措施，同时配备必要的应急处理器材和防护用品。</w:t>
      </w:r>
    </w:p>
    <w:p>
      <w:pPr>
        <w:spacing w:line="460" w:lineRule="exact"/>
        <w:ind w:firstLine="480" w:firstLineChars="200"/>
        <w:rPr>
          <w:rFonts w:eastAsiaTheme="minorEastAsia"/>
          <w:sz w:val="24"/>
        </w:rPr>
      </w:pPr>
      <w:r>
        <w:rPr>
          <w:rFonts w:hint="eastAsia" w:eastAsiaTheme="minorEastAsia"/>
          <w:sz w:val="24"/>
        </w:rPr>
        <w:t>②运输、装卸危险废物时，依照有关法律、法规、规章的规定和国家标准的要求并按照危险废物的危险特性，采取必要的安全防护措施。加强防水、防压等措施，严格禁止抛洒滴漏，杜绝在运输过程中造成环境的二次污染。</w:t>
      </w:r>
    </w:p>
    <w:p>
      <w:pPr>
        <w:spacing w:line="460" w:lineRule="exact"/>
        <w:ind w:firstLine="480" w:firstLineChars="200"/>
        <w:rPr>
          <w:rFonts w:eastAsiaTheme="minorEastAsia"/>
          <w:sz w:val="24"/>
        </w:rPr>
      </w:pPr>
      <w:r>
        <w:rPr>
          <w:rFonts w:hint="eastAsia" w:eastAsiaTheme="minorEastAsia"/>
          <w:sz w:val="24"/>
        </w:rPr>
        <w:t>③通过公路运输危险废物时，配备押运人员，并随时处于押运人员的监管之下，不超装、超载，不进入危险废物运输车辆禁止通行的区域；运输危险废物途中遇有无法正常运输的情况时，向当地有关部门报告。</w:t>
      </w:r>
    </w:p>
    <w:p>
      <w:pPr>
        <w:spacing w:line="460" w:lineRule="exact"/>
        <w:ind w:firstLine="480" w:firstLineChars="200"/>
        <w:rPr>
          <w:rFonts w:eastAsiaTheme="minorEastAsia"/>
          <w:sz w:val="24"/>
        </w:rPr>
      </w:pPr>
      <w:r>
        <w:rPr>
          <w:rFonts w:hint="eastAsia" w:eastAsiaTheme="minorEastAsia"/>
          <w:sz w:val="24"/>
        </w:rPr>
        <w:t>④危险废物收运车辆的行驶严格按照当地公安部门与交通部门协商确定的行驶路线和行驶时段行驶。危险废物的收集频次依据危险废物的产生量、危险废物产生单位到废物处理厂的距离、危险废物处理厂能力、库存情况等确定。以定期收集为主，兼顾应急收集。运输路线力求最短、对沿路影响最小，避免转运过程中产生二次污染。危废运输路线将最大程度的避开市区、人口密集区、环境敏感区运输。</w:t>
      </w:r>
    </w:p>
    <w:p>
      <w:pPr>
        <w:spacing w:line="460" w:lineRule="exact"/>
        <w:ind w:firstLine="480" w:firstLineChars="200"/>
        <w:rPr>
          <w:rFonts w:eastAsiaTheme="minorEastAsia"/>
          <w:sz w:val="24"/>
        </w:rPr>
      </w:pPr>
      <w:r>
        <w:rPr>
          <w:rFonts w:hint="eastAsia" w:eastAsiaTheme="minorEastAsia"/>
          <w:sz w:val="24"/>
        </w:rPr>
        <w:t>⑤所有运输车辆按规定的行驶路线运输，车辆安装GPS定位设施，司机配备专用移动通讯工具，一旦发生紧急事故，可及时就地报警。</w:t>
      </w:r>
    </w:p>
    <w:p>
      <w:pPr>
        <w:spacing w:line="460" w:lineRule="exact"/>
        <w:ind w:firstLine="480" w:firstLineChars="200"/>
        <w:rPr>
          <w:rFonts w:eastAsiaTheme="minorEastAsia"/>
          <w:sz w:val="24"/>
        </w:rPr>
      </w:pPr>
      <w:r>
        <w:rPr>
          <w:rFonts w:hint="eastAsia" w:eastAsiaTheme="minorEastAsia"/>
          <w:sz w:val="24"/>
        </w:rPr>
        <w:t>⑥危废转运前需提前在线填报危废管理计划、办理危废转运电子联单。</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9.1.7环境</w:t>
      </w:r>
      <w:r>
        <w:rPr>
          <w:rFonts w:ascii="Times New Roman"/>
          <w:szCs w:val="24"/>
        </w:rPr>
        <w:t>管理台账</w:t>
      </w:r>
    </w:p>
    <w:p>
      <w:pPr>
        <w:spacing w:line="460" w:lineRule="exact"/>
        <w:ind w:firstLine="480" w:firstLineChars="200"/>
        <w:rPr>
          <w:rFonts w:eastAsiaTheme="minorEastAsia"/>
          <w:sz w:val="24"/>
        </w:rPr>
      </w:pPr>
      <w:r>
        <w:rPr>
          <w:rFonts w:hint="eastAsia" w:eastAsiaTheme="minorEastAsia"/>
          <w:sz w:val="24"/>
        </w:rPr>
        <w:t>根据《排污单位环境管理台账及排污许可执行报告技术规范总则》和《排污许可证申请与核发技术规范 废弃资源加工工业》（HJ 1034-2019）、《排污许可证申请与核发技术规范 橡胶和塑料制品工业》（HJ 1122-2020）要求建设单位建立环境管理台账记录制度，落实环境管理台账记录的责任部门和责任人，明确工作职责，包括台账的记录、整理、维护和管理等，并对环境管理台账的真实性、完整性和规范性负责。</w:t>
      </w:r>
    </w:p>
    <w:p>
      <w:pPr>
        <w:spacing w:line="460" w:lineRule="exact"/>
        <w:ind w:firstLine="480" w:firstLineChars="200"/>
        <w:rPr>
          <w:rFonts w:eastAsiaTheme="minorEastAsia"/>
          <w:sz w:val="24"/>
        </w:rPr>
      </w:pPr>
      <w:r>
        <w:rPr>
          <w:rFonts w:hint="eastAsia" w:eastAsiaTheme="minorEastAsia"/>
          <w:sz w:val="24"/>
        </w:rPr>
        <w:t>环境管理台账应按照电子化储存和纸质储存两种形式同步管理。环境管理台账应记录基本信息、生产设施运行管理信息和污染防治设施运行管理信息、监测记录信息和其他环境管理信息等。</w:t>
      </w:r>
    </w:p>
    <w:p>
      <w:pPr>
        <w:spacing w:line="460" w:lineRule="exact"/>
        <w:ind w:firstLine="480" w:firstLineChars="200"/>
        <w:rPr>
          <w:rFonts w:eastAsiaTheme="minorEastAsia"/>
          <w:sz w:val="24"/>
        </w:rPr>
      </w:pPr>
      <w:r>
        <w:rPr>
          <w:rFonts w:hint="eastAsia" w:eastAsiaTheme="minorEastAsia"/>
          <w:sz w:val="24"/>
        </w:rPr>
        <w:t>1、基本信息</w:t>
      </w:r>
    </w:p>
    <w:p>
      <w:pPr>
        <w:spacing w:line="460" w:lineRule="exact"/>
        <w:ind w:firstLine="480" w:firstLineChars="200"/>
        <w:rPr>
          <w:rFonts w:eastAsiaTheme="minorEastAsia"/>
          <w:sz w:val="24"/>
        </w:rPr>
      </w:pPr>
      <w:r>
        <w:rPr>
          <w:rFonts w:hint="eastAsia" w:eastAsiaTheme="minorEastAsia"/>
          <w:sz w:val="24"/>
        </w:rPr>
        <w:t>基本信息主要包括括企业排污单位名称基本信息、生产设施基本信息、污染治理设施基本信息。 如排污单位工艺、设施调整等发生变化的，应在基本信息台账记录表中进行相应修改，并将变化内容进行说明同时纳入执行报告中。</w:t>
      </w:r>
    </w:p>
    <w:p>
      <w:pPr>
        <w:spacing w:line="460" w:lineRule="exact"/>
        <w:ind w:firstLine="480" w:firstLineChars="200"/>
        <w:rPr>
          <w:rFonts w:eastAsiaTheme="minorEastAsia"/>
          <w:sz w:val="24"/>
        </w:rPr>
      </w:pPr>
      <w:r>
        <w:rPr>
          <w:rFonts w:eastAsiaTheme="minorEastAsia"/>
          <w:sz w:val="24"/>
        </w:rPr>
        <w:t>2</w:t>
      </w:r>
      <w:r>
        <w:rPr>
          <w:rFonts w:hint="eastAsia" w:eastAsiaTheme="minorEastAsia"/>
          <w:sz w:val="24"/>
        </w:rPr>
        <w:t>、生产设施运行管理信息</w:t>
      </w:r>
    </w:p>
    <w:p>
      <w:pPr>
        <w:spacing w:line="460" w:lineRule="exact"/>
        <w:ind w:firstLine="480" w:firstLineChars="200"/>
        <w:rPr>
          <w:rFonts w:eastAsiaTheme="minorEastAsia"/>
          <w:sz w:val="24"/>
        </w:rPr>
      </w:pPr>
      <w:r>
        <w:rPr>
          <w:rFonts w:hint="eastAsia" w:eastAsiaTheme="minorEastAsia"/>
          <w:sz w:val="24"/>
        </w:rPr>
        <w:t xml:space="preserve">排污单位应定期记录生产设施运行状况并留档保存，应按班次至少记录以下内容： </w:t>
      </w:r>
    </w:p>
    <w:p>
      <w:pPr>
        <w:spacing w:line="460" w:lineRule="exact"/>
        <w:ind w:firstLine="480" w:firstLineChars="200"/>
        <w:rPr>
          <w:rFonts w:eastAsiaTheme="minorEastAsia"/>
          <w:sz w:val="24"/>
        </w:rPr>
      </w:pPr>
      <w:r>
        <w:rPr>
          <w:rFonts w:hint="eastAsia" w:eastAsiaTheme="minorEastAsia"/>
          <w:sz w:val="24"/>
        </w:rPr>
        <w:t xml:space="preserve">（1）生产运行情况包括生产设施（设备）、公用单元和全厂运行情况，重点记录排污许可证中相关信息的实际情况及与污染物治理、排放相关的主要运行参数。正常情况各生产单元主要生产设施（设备）的累计生产时间，主要产品产量，原辅材料使用情况等数据。 </w:t>
      </w:r>
    </w:p>
    <w:p>
      <w:pPr>
        <w:spacing w:line="460" w:lineRule="exact"/>
        <w:ind w:firstLine="480" w:firstLineChars="200"/>
        <w:rPr>
          <w:rFonts w:eastAsiaTheme="minorEastAsia"/>
          <w:sz w:val="24"/>
        </w:rPr>
      </w:pPr>
      <w:r>
        <w:rPr>
          <w:rFonts w:hint="eastAsia" w:eastAsiaTheme="minorEastAsia"/>
          <w:sz w:val="24"/>
        </w:rPr>
        <w:t xml:space="preserve">（2）产品产量：记录统计时段内主要产品产量。 </w:t>
      </w:r>
    </w:p>
    <w:p>
      <w:pPr>
        <w:spacing w:line="460" w:lineRule="exact"/>
        <w:ind w:firstLine="480" w:firstLineChars="200"/>
        <w:rPr>
          <w:rFonts w:eastAsiaTheme="minorEastAsia"/>
          <w:sz w:val="24"/>
        </w:rPr>
      </w:pPr>
      <w:r>
        <w:rPr>
          <w:rFonts w:hint="eastAsia" w:eastAsiaTheme="minorEastAsia"/>
          <w:sz w:val="24"/>
        </w:rPr>
        <w:t>（3）含挥发性有机物原辅材料：记录名称、单位、用量、挥发性有机物含量。</w:t>
      </w:r>
    </w:p>
    <w:p>
      <w:pPr>
        <w:spacing w:line="460" w:lineRule="exact"/>
        <w:ind w:firstLine="480" w:firstLineChars="200"/>
        <w:rPr>
          <w:rFonts w:eastAsiaTheme="minorEastAsia"/>
          <w:sz w:val="24"/>
        </w:rPr>
      </w:pPr>
      <w:r>
        <w:rPr>
          <w:rFonts w:eastAsiaTheme="minorEastAsia"/>
          <w:sz w:val="24"/>
        </w:rPr>
        <w:t>3</w:t>
      </w:r>
      <w:r>
        <w:rPr>
          <w:rFonts w:hint="eastAsia" w:eastAsiaTheme="minorEastAsia"/>
          <w:sz w:val="24"/>
        </w:rPr>
        <w:t>、污染防治设施运行管理信息</w:t>
      </w:r>
    </w:p>
    <w:p>
      <w:pPr>
        <w:spacing w:line="460" w:lineRule="exact"/>
        <w:ind w:firstLine="480" w:firstLineChars="200"/>
        <w:rPr>
          <w:rFonts w:eastAsiaTheme="minorEastAsia"/>
          <w:sz w:val="24"/>
        </w:rPr>
      </w:pPr>
      <w:r>
        <w:rPr>
          <w:rFonts w:hint="eastAsia" w:eastAsiaTheme="minorEastAsia"/>
          <w:sz w:val="24"/>
        </w:rPr>
        <w:t xml:space="preserve">（1）正常情况：污染防治设施运行信息应按照设施类别分别记录设施的实际运行相关参数和维护记录。 </w:t>
      </w:r>
    </w:p>
    <w:p>
      <w:pPr>
        <w:spacing w:line="460" w:lineRule="exact"/>
        <w:ind w:firstLine="480" w:firstLineChars="200"/>
        <w:rPr>
          <w:rFonts w:eastAsiaTheme="minorEastAsia"/>
          <w:sz w:val="24"/>
        </w:rPr>
      </w:pPr>
      <w:r>
        <w:rPr>
          <w:rFonts w:hint="eastAsia" w:eastAsiaTheme="minorEastAsia"/>
          <w:sz w:val="24"/>
        </w:rPr>
        <w:t xml:space="preserve">①有组织废气治理设施记录设施运行时间、运行参数、污染排放情况等。 </w:t>
      </w:r>
    </w:p>
    <w:p>
      <w:pPr>
        <w:spacing w:line="460" w:lineRule="exact"/>
        <w:ind w:firstLine="480" w:firstLineChars="200"/>
        <w:rPr>
          <w:rFonts w:eastAsiaTheme="minorEastAsia"/>
          <w:sz w:val="24"/>
        </w:rPr>
      </w:pPr>
      <w:r>
        <w:rPr>
          <w:rFonts w:hint="eastAsia" w:eastAsiaTheme="minorEastAsia"/>
          <w:sz w:val="24"/>
        </w:rPr>
        <w:t xml:space="preserve">②无组织废气排放控制记录措施执行情况。 </w:t>
      </w:r>
    </w:p>
    <w:p>
      <w:pPr>
        <w:spacing w:line="460" w:lineRule="exact"/>
        <w:ind w:firstLine="480" w:firstLineChars="200"/>
        <w:rPr>
          <w:rFonts w:eastAsiaTheme="minorEastAsia"/>
          <w:sz w:val="24"/>
        </w:rPr>
      </w:pPr>
      <w:r>
        <w:rPr>
          <w:rFonts w:hint="eastAsia" w:eastAsiaTheme="minorEastAsia"/>
          <w:sz w:val="24"/>
        </w:rPr>
        <w:t>（2）非正常情况：污染防治设施非正常信息按工况记录，每工况期记录一次，内容应记录起止时段设施名称、编号、非正常起始时刻、非正常终止时刻、污染物排放量、排放浓度、事件原因、是否报告、应对措施等。</w:t>
      </w:r>
    </w:p>
    <w:p>
      <w:pPr>
        <w:spacing w:line="460" w:lineRule="exact"/>
        <w:ind w:firstLine="480" w:firstLineChars="200"/>
        <w:rPr>
          <w:rFonts w:eastAsiaTheme="minorEastAsia"/>
          <w:sz w:val="24"/>
        </w:rPr>
      </w:pPr>
      <w:r>
        <w:rPr>
          <w:rFonts w:eastAsiaTheme="minorEastAsia"/>
          <w:sz w:val="24"/>
        </w:rPr>
        <w:t>4</w:t>
      </w:r>
      <w:r>
        <w:rPr>
          <w:rFonts w:hint="eastAsia" w:eastAsiaTheme="minorEastAsia"/>
          <w:sz w:val="24"/>
        </w:rPr>
        <w:t>、监测记录信息</w:t>
      </w:r>
    </w:p>
    <w:p>
      <w:pPr>
        <w:spacing w:line="460" w:lineRule="exact"/>
        <w:ind w:firstLine="480" w:firstLineChars="200"/>
        <w:rPr>
          <w:rFonts w:eastAsiaTheme="minorEastAsia"/>
          <w:sz w:val="24"/>
        </w:rPr>
      </w:pPr>
      <w:r>
        <w:rPr>
          <w:rFonts w:hint="eastAsia" w:eastAsiaTheme="minorEastAsia"/>
          <w:sz w:val="24"/>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及超标排放的超标原因。</w:t>
      </w:r>
    </w:p>
    <w:p>
      <w:pPr>
        <w:spacing w:line="460" w:lineRule="exact"/>
        <w:ind w:firstLine="480" w:firstLineChars="200"/>
        <w:rPr>
          <w:rFonts w:eastAsiaTheme="minorEastAsia"/>
          <w:sz w:val="24"/>
        </w:rPr>
      </w:pPr>
      <w:r>
        <w:rPr>
          <w:rFonts w:eastAsiaTheme="minorEastAsia"/>
          <w:sz w:val="24"/>
        </w:rPr>
        <w:t>5</w:t>
      </w:r>
      <w:r>
        <w:rPr>
          <w:rFonts w:hint="eastAsia" w:eastAsiaTheme="minorEastAsia"/>
          <w:sz w:val="24"/>
        </w:rPr>
        <w:t>、其他环境管理信息</w:t>
      </w:r>
    </w:p>
    <w:p>
      <w:pPr>
        <w:spacing w:line="460" w:lineRule="exact"/>
        <w:ind w:firstLine="480" w:firstLineChars="200"/>
        <w:rPr>
          <w:rFonts w:eastAsiaTheme="minorEastAsia"/>
          <w:sz w:val="24"/>
        </w:rPr>
      </w:pPr>
      <w:r>
        <w:rPr>
          <w:rFonts w:hint="eastAsia" w:eastAsiaTheme="minorEastAsia"/>
          <w:sz w:val="24"/>
        </w:rPr>
        <w:t xml:space="preserve">排污单位在特殊时段应记录管理要求、执行情况（包括特殊时段生产设施运行管理信和污染防治设施运行管理信息）。 </w:t>
      </w:r>
    </w:p>
    <w:p>
      <w:pPr>
        <w:spacing w:line="460" w:lineRule="exact"/>
        <w:ind w:firstLine="480" w:firstLineChars="200"/>
        <w:rPr>
          <w:rFonts w:eastAsiaTheme="minorEastAsia"/>
          <w:sz w:val="24"/>
        </w:rPr>
      </w:pPr>
      <w:r>
        <w:rPr>
          <w:rFonts w:hint="eastAsia" w:eastAsiaTheme="minorEastAsia"/>
          <w:sz w:val="24"/>
        </w:rPr>
        <w:t>排污单位还应根据环境管理要求和排污单位自行监测内容需求，自行增补记录。</w:t>
      </w:r>
    </w:p>
    <w:p>
      <w:pPr>
        <w:spacing w:line="460" w:lineRule="exact"/>
        <w:ind w:firstLine="480" w:firstLineChars="200"/>
        <w:rPr>
          <w:rFonts w:eastAsiaTheme="minorEastAsia"/>
          <w:sz w:val="24"/>
        </w:rPr>
      </w:pPr>
      <w:r>
        <w:rPr>
          <w:rFonts w:eastAsiaTheme="minorEastAsia"/>
          <w:sz w:val="24"/>
        </w:rPr>
        <w:t>6</w:t>
      </w:r>
      <w:r>
        <w:rPr>
          <w:rFonts w:hint="eastAsia" w:eastAsiaTheme="minorEastAsia"/>
          <w:sz w:val="24"/>
        </w:rPr>
        <w:t>、记录频次</w:t>
      </w:r>
    </w:p>
    <w:p>
      <w:pPr>
        <w:spacing w:line="460" w:lineRule="exact"/>
        <w:ind w:firstLine="480" w:firstLineChars="200"/>
        <w:rPr>
          <w:rFonts w:eastAsiaTheme="minorEastAsia"/>
          <w:sz w:val="24"/>
        </w:rPr>
      </w:pPr>
      <w:r>
        <w:rPr>
          <w:rFonts w:hint="eastAsia" w:eastAsiaTheme="minorEastAsia"/>
          <w:sz w:val="24"/>
        </w:rPr>
        <w:t>（1）基本信息</w:t>
      </w:r>
    </w:p>
    <w:p>
      <w:pPr>
        <w:spacing w:line="460" w:lineRule="exact"/>
        <w:ind w:firstLine="480" w:firstLineChars="200"/>
        <w:rPr>
          <w:rFonts w:eastAsiaTheme="minorEastAsia"/>
          <w:sz w:val="24"/>
        </w:rPr>
      </w:pPr>
      <w:r>
        <w:rPr>
          <w:rFonts w:hint="eastAsia" w:eastAsiaTheme="minorEastAsia"/>
          <w:sz w:val="24"/>
        </w:rPr>
        <w:t>对于未发生变化的基本信息，按年记录，1次/年；对于发生变化的基本信息，在发生变化时记录1次。</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）生产设施运行管理信息</w:t>
      </w:r>
    </w:p>
    <w:p>
      <w:pPr>
        <w:spacing w:line="460" w:lineRule="exact"/>
        <w:ind w:firstLine="480" w:firstLineChars="200"/>
        <w:rPr>
          <w:rFonts w:eastAsiaTheme="minorEastAsia"/>
          <w:sz w:val="24"/>
        </w:rPr>
      </w:pPr>
      <w:r>
        <w:rPr>
          <w:rFonts w:hint="eastAsia" w:eastAsiaTheme="minorEastAsia"/>
          <w:sz w:val="24"/>
        </w:rPr>
        <w:t xml:space="preserve">1）正常工况 </w:t>
      </w:r>
    </w:p>
    <w:p>
      <w:pPr>
        <w:spacing w:line="460" w:lineRule="exact"/>
        <w:ind w:firstLine="480" w:firstLineChars="200"/>
        <w:rPr>
          <w:rFonts w:eastAsiaTheme="minorEastAsia"/>
          <w:sz w:val="24"/>
        </w:rPr>
      </w:pPr>
      <w:r>
        <w:rPr>
          <w:rFonts w:hint="eastAsia" w:eastAsiaTheme="minorEastAsia"/>
          <w:sz w:val="24"/>
        </w:rPr>
        <w:t xml:space="preserve">①生产运行状况：按照排污单位生产批次记录，每批次记录1次。 </w:t>
      </w:r>
    </w:p>
    <w:p>
      <w:pPr>
        <w:spacing w:line="460" w:lineRule="exact"/>
        <w:ind w:firstLine="480" w:firstLineChars="200"/>
        <w:rPr>
          <w:rFonts w:eastAsiaTheme="minorEastAsia"/>
          <w:sz w:val="24"/>
        </w:rPr>
      </w:pPr>
      <w:r>
        <w:rPr>
          <w:rFonts w:hint="eastAsia" w:eastAsiaTheme="minorEastAsia"/>
          <w:sz w:val="24"/>
        </w:rPr>
        <w:t xml:space="preserve">②产品产量：连续性生产的排污单位产品产量按照批次记录，每批次记录 1 次。周期性生产的设施按照一个周期进行记录，周期小于1 日的按照1 日记录。 </w:t>
      </w:r>
    </w:p>
    <w:p>
      <w:pPr>
        <w:spacing w:line="460" w:lineRule="exact"/>
        <w:ind w:firstLine="480" w:firstLineChars="200"/>
        <w:rPr>
          <w:rFonts w:eastAsiaTheme="minorEastAsia"/>
          <w:sz w:val="24"/>
        </w:rPr>
      </w:pPr>
      <w:r>
        <w:rPr>
          <w:rFonts w:hint="eastAsia" w:eastAsiaTheme="minorEastAsia"/>
          <w:sz w:val="24"/>
        </w:rPr>
        <w:t xml:space="preserve">③原辅材料、涂料用量：按照批次记录，每批次记录1 次。 </w:t>
      </w:r>
    </w:p>
    <w:p>
      <w:pPr>
        <w:spacing w:line="460" w:lineRule="exact"/>
        <w:ind w:firstLine="480" w:firstLineChars="200"/>
        <w:rPr>
          <w:rFonts w:eastAsiaTheme="minorEastAsia"/>
          <w:sz w:val="24"/>
        </w:rPr>
      </w:pPr>
      <w:r>
        <w:rPr>
          <w:rFonts w:eastAsiaTheme="minorEastAsia"/>
          <w:sz w:val="24"/>
        </w:rPr>
        <w:t>2</w:t>
      </w:r>
      <w:r>
        <w:rPr>
          <w:rFonts w:hint="eastAsia" w:eastAsiaTheme="minorEastAsia"/>
          <w:sz w:val="24"/>
        </w:rPr>
        <w:t>）非正常工况：按照工况期记录，每工况期记录 1次。</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）污染防治设施运行管理信息</w:t>
      </w:r>
    </w:p>
    <w:p>
      <w:pPr>
        <w:spacing w:line="460" w:lineRule="exact"/>
        <w:ind w:firstLine="480" w:firstLineChars="200"/>
        <w:rPr>
          <w:rFonts w:eastAsiaTheme="minorEastAsia"/>
          <w:sz w:val="24"/>
        </w:rPr>
      </w:pPr>
      <w:r>
        <w:rPr>
          <w:rFonts w:hint="eastAsia" w:eastAsiaTheme="minorEastAsia"/>
          <w:sz w:val="24"/>
        </w:rPr>
        <w:t xml:space="preserve">1）正常情况： </w:t>
      </w:r>
    </w:p>
    <w:p>
      <w:pPr>
        <w:spacing w:line="460" w:lineRule="exact"/>
        <w:ind w:firstLine="480" w:firstLineChars="200"/>
        <w:rPr>
          <w:rFonts w:eastAsiaTheme="minorEastAsia"/>
          <w:sz w:val="24"/>
        </w:rPr>
      </w:pPr>
      <w:r>
        <w:rPr>
          <w:rFonts w:hint="eastAsia" w:eastAsiaTheme="minorEastAsia"/>
          <w:sz w:val="24"/>
        </w:rPr>
        <w:t xml:space="preserve">①污染防治设施运行状况：每日记录1次。 </w:t>
      </w:r>
    </w:p>
    <w:p>
      <w:pPr>
        <w:spacing w:line="460" w:lineRule="exact"/>
        <w:ind w:firstLine="480" w:firstLineChars="200"/>
        <w:rPr>
          <w:rFonts w:eastAsiaTheme="minorEastAsia"/>
          <w:sz w:val="24"/>
        </w:rPr>
      </w:pPr>
      <w:r>
        <w:rPr>
          <w:rFonts w:hint="eastAsia" w:eastAsiaTheme="minorEastAsia"/>
          <w:sz w:val="24"/>
        </w:rPr>
        <w:t xml:space="preserve">②采取无组织废气污染控制措施的信息记录频次原则不小于1日。 </w:t>
      </w:r>
    </w:p>
    <w:p>
      <w:pPr>
        <w:spacing w:line="460" w:lineRule="exact"/>
        <w:ind w:firstLine="480" w:firstLineChars="200"/>
        <w:rPr>
          <w:rFonts w:eastAsiaTheme="minorEastAsia"/>
          <w:sz w:val="24"/>
        </w:rPr>
      </w:pPr>
      <w:r>
        <w:rPr>
          <w:rFonts w:hint="eastAsia" w:eastAsiaTheme="minorEastAsia"/>
          <w:sz w:val="24"/>
        </w:rPr>
        <w:t>③污染物产排污情况：连续排放污染物的，按日记录，每日记录1次。非连续排放污染物的，按照产排污阶段记录，每个产排污阶段记录1次。</w:t>
      </w:r>
    </w:p>
    <w:p>
      <w:pPr>
        <w:spacing w:line="460" w:lineRule="exact"/>
        <w:ind w:firstLine="480" w:firstLineChars="200"/>
        <w:rPr>
          <w:rFonts w:eastAsiaTheme="minorEastAsia"/>
          <w:sz w:val="24"/>
        </w:rPr>
      </w:pPr>
      <w:r>
        <w:rPr>
          <w:rFonts w:hint="eastAsia" w:eastAsiaTheme="minorEastAsia"/>
          <w:sz w:val="24"/>
        </w:rPr>
        <w:t>2）异常情况：按照非正常情况期记录，每非正常情况期记录1次，包括起止时间、污染物排放浓度、非正常原因、应对措施、是否报告等。</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4</w:t>
      </w:r>
      <w:r>
        <w:rPr>
          <w:rFonts w:hint="eastAsia" w:eastAsiaTheme="minorEastAsia"/>
          <w:sz w:val="24"/>
        </w:rPr>
        <w:t>）监测记录信息</w:t>
      </w:r>
    </w:p>
    <w:p>
      <w:pPr>
        <w:spacing w:line="460" w:lineRule="exact"/>
        <w:ind w:firstLine="480" w:firstLineChars="200"/>
        <w:rPr>
          <w:rFonts w:eastAsiaTheme="minorEastAsia"/>
          <w:sz w:val="24"/>
        </w:rPr>
      </w:pPr>
      <w:r>
        <w:rPr>
          <w:rFonts w:hint="eastAsia" w:eastAsiaTheme="minorEastAsia"/>
          <w:sz w:val="24"/>
        </w:rPr>
        <w:t>监测数据的记录频次与本次环境管理监测规定的废气、废水监测频次一致。</w:t>
      </w:r>
    </w:p>
    <w:p>
      <w:pPr>
        <w:spacing w:line="460" w:lineRule="exact"/>
        <w:ind w:firstLine="480" w:firstLineChars="200"/>
        <w:rPr>
          <w:rFonts w:eastAsiaTheme="minorEastAsia"/>
          <w:sz w:val="24"/>
        </w:rPr>
      </w:pPr>
      <w:r>
        <w:rPr>
          <w:rFonts w:hint="eastAsia" w:eastAsiaTheme="minorEastAsia"/>
          <w:sz w:val="24"/>
        </w:rPr>
        <w:t>（</w:t>
      </w:r>
      <w:r>
        <w:rPr>
          <w:rFonts w:eastAsiaTheme="minorEastAsia"/>
          <w:sz w:val="24"/>
        </w:rPr>
        <w:t>5</w:t>
      </w:r>
      <w:r>
        <w:rPr>
          <w:rFonts w:hint="eastAsia" w:eastAsiaTheme="minorEastAsia"/>
          <w:sz w:val="24"/>
        </w:rPr>
        <w:t>）其他环境管理信息</w:t>
      </w:r>
    </w:p>
    <w:p>
      <w:pPr>
        <w:spacing w:line="460" w:lineRule="exact"/>
        <w:ind w:firstLine="480" w:firstLineChars="200"/>
        <w:rPr>
          <w:rFonts w:eastAsiaTheme="minorEastAsia"/>
          <w:sz w:val="24"/>
        </w:rPr>
      </w:pPr>
      <w:r>
        <w:rPr>
          <w:rFonts w:hint="eastAsia" w:eastAsiaTheme="minorEastAsia"/>
          <w:sz w:val="24"/>
        </w:rPr>
        <w:t>重污染天气和应对期间特殊时段的台账记录频次原则上与正常生产记录频次一致，涉及特殊时段停产的排污单位或生产工序，该期间原则上仅对起始和结束当天进行1次记录，地方生态环境主管部门有特殊要求的，从其规定。</w:t>
      </w:r>
    </w:p>
    <w:p>
      <w:pPr>
        <w:spacing w:line="460" w:lineRule="exact"/>
        <w:ind w:firstLine="480" w:firstLineChars="200"/>
        <w:rPr>
          <w:rFonts w:eastAsiaTheme="minorEastAsia"/>
          <w:sz w:val="24"/>
        </w:rPr>
      </w:pPr>
      <w:r>
        <w:rPr>
          <w:rFonts w:eastAsiaTheme="minorEastAsia"/>
          <w:sz w:val="24"/>
        </w:rPr>
        <w:t>7</w:t>
      </w:r>
      <w:r>
        <w:rPr>
          <w:rFonts w:hint="eastAsia" w:eastAsiaTheme="minorEastAsia"/>
          <w:sz w:val="24"/>
        </w:rPr>
        <w:t>、记录存储及保存</w:t>
      </w:r>
    </w:p>
    <w:p>
      <w:pPr>
        <w:spacing w:line="460" w:lineRule="exact"/>
        <w:ind w:firstLine="480" w:firstLineChars="200"/>
        <w:rPr>
          <w:rFonts w:eastAsiaTheme="minorEastAsia"/>
          <w:sz w:val="24"/>
        </w:rPr>
      </w:pPr>
      <w:r>
        <w:rPr>
          <w:rFonts w:hint="eastAsia" w:eastAsiaTheme="minorEastAsia"/>
          <w:sz w:val="24"/>
        </w:rPr>
        <w:t xml:space="preserve">台账应按照电子化储存或纸质储存两种形式管理。台账保存期限不得少于3年。电子台账根据地方生态环境主管部门管理要求定期上传，纸质台账由排污单位留存备查。 </w:t>
      </w:r>
    </w:p>
    <w:p>
      <w:pPr>
        <w:spacing w:line="460" w:lineRule="exact"/>
        <w:ind w:firstLine="480" w:firstLineChars="200"/>
        <w:rPr>
          <w:rFonts w:eastAsiaTheme="minorEastAsia"/>
          <w:sz w:val="24"/>
        </w:rPr>
      </w:pPr>
      <w:r>
        <w:rPr>
          <w:rFonts w:hint="eastAsia" w:eastAsiaTheme="minorEastAsia"/>
          <w:sz w:val="24"/>
        </w:rPr>
        <w:t xml:space="preserve">纸质台账应存放于保护袋、卷夹或保护盒等保存媒介中，专人保存于专门的档案保存地点，并由相关人员签字。档案保存应采取防光、防热、防潮、防细菌及防污染等措施。纸质类档案如有破损应随时修补。 </w:t>
      </w:r>
    </w:p>
    <w:p>
      <w:pPr>
        <w:spacing w:line="460" w:lineRule="exact"/>
        <w:ind w:firstLine="480" w:firstLineChars="200"/>
        <w:rPr>
          <w:rFonts w:eastAsiaTheme="minorEastAsia"/>
          <w:sz w:val="24"/>
        </w:rPr>
      </w:pPr>
      <w:r>
        <w:rPr>
          <w:rFonts w:hint="eastAsia" w:eastAsiaTheme="minorEastAsia"/>
          <w:sz w:val="24"/>
        </w:rPr>
        <w:t>电子台账保存于专门存贮设备中，并保留备份数据。存贮设备由专人负责管理，定期进行维护。电子台账根据地方生态环境主管部门管理要求定期上传，纸质台账由排污单位留存备查。</w:t>
      </w:r>
    </w:p>
    <w:p>
      <w:pPr>
        <w:pStyle w:val="4"/>
        <w:adjustRightInd w:val="0"/>
        <w:spacing w:before="120" w:after="120" w:line="460" w:lineRule="exact"/>
        <w:textAlignment w:val="baseline"/>
        <w:rPr>
          <w:rFonts w:ascii="Times New Roman" w:hAnsi="Times New Roman"/>
          <w:b w:val="0"/>
          <w:szCs w:val="28"/>
        </w:rPr>
      </w:pPr>
      <w:bookmarkStart w:id="305" w:name="_Toc309715440"/>
      <w:bookmarkStart w:id="306" w:name="_Toc454899410"/>
      <w:bookmarkStart w:id="307" w:name="_Toc165386246"/>
      <w:r>
        <w:rPr>
          <w:rFonts w:hint="eastAsia" w:ascii="Times New Roman" w:hAnsi="Times New Roman"/>
          <w:b w:val="0"/>
          <w:szCs w:val="28"/>
        </w:rPr>
        <w:t>9.2</w:t>
      </w:r>
      <w:r>
        <w:rPr>
          <w:rFonts w:ascii="Times New Roman" w:hAnsi="Times New Roman"/>
          <w:b w:val="0"/>
          <w:szCs w:val="28"/>
        </w:rPr>
        <w:t xml:space="preserve"> 环境</w:t>
      </w:r>
      <w:bookmarkEnd w:id="305"/>
      <w:bookmarkEnd w:id="306"/>
      <w:r>
        <w:rPr>
          <w:rFonts w:ascii="Times New Roman" w:hAnsi="Times New Roman"/>
          <w:b w:val="0"/>
          <w:szCs w:val="28"/>
        </w:rPr>
        <w:t>监测</w:t>
      </w:r>
      <w:bookmarkEnd w:id="307"/>
    </w:p>
    <w:p>
      <w:pPr>
        <w:pStyle w:val="5"/>
        <w:numPr>
          <w:ilvl w:val="0"/>
          <w:numId w:val="0"/>
        </w:numPr>
        <w:adjustRightInd w:val="0"/>
        <w:spacing w:before="0" w:line="460" w:lineRule="exact"/>
        <w:ind w:left="113"/>
        <w:textAlignment w:val="baseline"/>
        <w:rPr>
          <w:rFonts w:ascii="Times New Roman"/>
          <w:szCs w:val="24"/>
        </w:rPr>
      </w:pPr>
      <w:bookmarkStart w:id="308" w:name="_Toc309715441"/>
      <w:r>
        <w:rPr>
          <w:rFonts w:hint="eastAsia" w:ascii="Times New Roman"/>
          <w:szCs w:val="24"/>
        </w:rPr>
        <w:t>9.2</w:t>
      </w:r>
      <w:r>
        <w:rPr>
          <w:rFonts w:ascii="Times New Roman"/>
          <w:szCs w:val="24"/>
        </w:rPr>
        <w:t>.1</w:t>
      </w:r>
      <w:bookmarkEnd w:id="308"/>
      <w:r>
        <w:rPr>
          <w:rFonts w:hint="eastAsia" w:ascii="Times New Roman"/>
          <w:szCs w:val="24"/>
        </w:rPr>
        <w:t>环境监测目的</w:t>
      </w:r>
    </w:p>
    <w:p>
      <w:pPr>
        <w:spacing w:line="460" w:lineRule="exact"/>
        <w:ind w:firstLine="480" w:firstLineChars="200"/>
        <w:rPr>
          <w:rFonts w:eastAsiaTheme="minorEastAsia"/>
          <w:sz w:val="24"/>
        </w:rPr>
      </w:pPr>
      <w:r>
        <w:rPr>
          <w:rFonts w:hint="eastAsia" w:eastAsiaTheme="minorEastAsia"/>
          <w:sz w:val="24"/>
        </w:rPr>
        <w:t>通过对工程运行中环保设施进行监控，掌握废气、废水、噪声等污染源排放是否符合国家或地方排放标准的要求，做到达标排放，同时对废气、废水、固体废物及噪声防治设施进行监督检查，保证正常运行。</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9.2.2监测计划</w:t>
      </w:r>
    </w:p>
    <w:p>
      <w:pPr>
        <w:spacing w:line="460" w:lineRule="exact"/>
        <w:ind w:firstLine="480" w:firstLineChars="200"/>
        <w:textAlignment w:val="baseline"/>
        <w:rPr>
          <w:sz w:val="24"/>
        </w:rPr>
      </w:pPr>
      <w:bookmarkStart w:id="309" w:name="_Toc309715442"/>
      <w:r>
        <w:rPr>
          <w:rFonts w:hint="eastAsia"/>
          <w:sz w:val="24"/>
        </w:rPr>
        <w:t>根据生产特征和污染物的排放特征，依据国家颁布的环境质量标准，污染物排放标准及地方环保部门的要求，根据</w:t>
      </w:r>
      <w:r>
        <w:rPr>
          <w:rFonts w:hint="eastAsia"/>
          <w:bCs/>
          <w:sz w:val="24"/>
        </w:rPr>
        <w:t>《排污许可证申请与核发技术规范</w:t>
      </w:r>
      <w:r>
        <w:rPr>
          <w:bCs/>
          <w:sz w:val="24"/>
        </w:rPr>
        <w:t xml:space="preserve"> </w:t>
      </w:r>
      <w:r>
        <w:rPr>
          <w:rFonts w:hint="eastAsia"/>
          <w:bCs/>
          <w:sz w:val="24"/>
        </w:rPr>
        <w:t>废弃资源加工工业》（</w:t>
      </w:r>
      <w:r>
        <w:rPr>
          <w:bCs/>
          <w:sz w:val="24"/>
        </w:rPr>
        <w:t>HJ1034-2019</w:t>
      </w:r>
      <w:r>
        <w:rPr>
          <w:rFonts w:hint="eastAsia"/>
          <w:bCs/>
          <w:sz w:val="24"/>
        </w:rPr>
        <w:t>）和《排污许可证申请与核发技术规范</w:t>
      </w:r>
      <w:r>
        <w:rPr>
          <w:bCs/>
          <w:sz w:val="24"/>
        </w:rPr>
        <w:t xml:space="preserve"> </w:t>
      </w:r>
      <w:r>
        <w:rPr>
          <w:rFonts w:hint="eastAsia"/>
          <w:bCs/>
          <w:sz w:val="24"/>
        </w:rPr>
        <w:t>橡胶及塑料制品业》（</w:t>
      </w:r>
      <w:r>
        <w:rPr>
          <w:bCs/>
          <w:sz w:val="24"/>
        </w:rPr>
        <w:t>HJ1122-2020</w:t>
      </w:r>
      <w:r>
        <w:rPr>
          <w:rFonts w:hint="eastAsia"/>
          <w:bCs/>
          <w:sz w:val="24"/>
        </w:rPr>
        <w:t>）、《排污单位自行</w:t>
      </w:r>
      <w:r>
        <w:rPr>
          <w:bCs/>
          <w:sz w:val="24"/>
        </w:rPr>
        <w:t>监测技术指南</w:t>
      </w:r>
      <w:r>
        <w:rPr>
          <w:rFonts w:hint="eastAsia"/>
          <w:bCs/>
          <w:sz w:val="24"/>
        </w:rPr>
        <w:t xml:space="preserve"> 橡胶和塑料制品业》（HJ</w:t>
      </w:r>
      <w:r>
        <w:rPr>
          <w:bCs/>
          <w:sz w:val="24"/>
        </w:rPr>
        <w:t xml:space="preserve"> </w:t>
      </w:r>
      <w:r>
        <w:rPr>
          <w:rFonts w:hint="eastAsia"/>
          <w:bCs/>
          <w:sz w:val="24"/>
        </w:rPr>
        <w:t>1207-2021）中相关要求，</w:t>
      </w:r>
      <w:r>
        <w:rPr>
          <w:rFonts w:hint="eastAsia"/>
          <w:sz w:val="24"/>
        </w:rPr>
        <w:t>制定拟建工程的监测计划和工作方案，监测工作可委托有资质的检（监）测机构承担。</w:t>
      </w:r>
    </w:p>
    <w:p>
      <w:pPr>
        <w:spacing w:line="460" w:lineRule="exact"/>
        <w:ind w:firstLine="480" w:firstLineChars="200"/>
        <w:textAlignment w:val="baseline"/>
        <w:rPr>
          <w:sz w:val="24"/>
        </w:rPr>
      </w:pPr>
      <w:r>
        <w:rPr>
          <w:rFonts w:hint="eastAsia"/>
          <w:sz w:val="24"/>
        </w:rPr>
        <w:t>本项目污染物监测计划详见表9.2-1</w:t>
      </w:r>
    </w:p>
    <w:p>
      <w:pPr>
        <w:pStyle w:val="660"/>
        <w:spacing w:line="240" w:lineRule="auto"/>
        <w:ind w:firstLine="420"/>
        <w:jc w:val="both"/>
        <w:rPr>
          <w:rFonts w:eastAsia="黑体"/>
          <w:b w:val="0"/>
          <w:sz w:val="21"/>
        </w:rPr>
      </w:pPr>
      <w:r>
        <w:rPr>
          <w:rFonts w:eastAsia="黑体"/>
          <w:b w:val="0"/>
          <w:sz w:val="21"/>
        </w:rPr>
        <w:t>表</w:t>
      </w:r>
      <w:r>
        <w:rPr>
          <w:rFonts w:hint="eastAsia" w:eastAsia="黑体"/>
          <w:b w:val="0"/>
          <w:sz w:val="21"/>
        </w:rPr>
        <w:t>9.2</w:t>
      </w:r>
      <w:r>
        <w:rPr>
          <w:rFonts w:eastAsia="黑体"/>
          <w:b w:val="0"/>
          <w:sz w:val="21"/>
        </w:rPr>
        <w:t>-1                   环境保护监测内容一览表</w:t>
      </w:r>
    </w:p>
    <w:tbl>
      <w:tblPr>
        <w:tblStyle w:val="6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417"/>
        <w:gridCol w:w="1418"/>
        <w:gridCol w:w="1701"/>
        <w:gridCol w:w="1168"/>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op w:val="single" w:color="auto" w:sz="12" w:space="0"/>
              <w:left w:val="nil"/>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分类</w:t>
            </w:r>
          </w:p>
        </w:tc>
        <w:tc>
          <w:tcPr>
            <w:tcW w:w="851" w:type="dxa"/>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检测对象</w:t>
            </w:r>
          </w:p>
        </w:tc>
        <w:tc>
          <w:tcPr>
            <w:tcW w:w="1417" w:type="dxa"/>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污染源</w:t>
            </w:r>
          </w:p>
        </w:tc>
        <w:tc>
          <w:tcPr>
            <w:tcW w:w="1418" w:type="dxa"/>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监测项目</w:t>
            </w:r>
          </w:p>
        </w:tc>
        <w:tc>
          <w:tcPr>
            <w:tcW w:w="1701" w:type="dxa"/>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监测位置</w:t>
            </w:r>
          </w:p>
        </w:tc>
        <w:tc>
          <w:tcPr>
            <w:tcW w:w="1168" w:type="dxa"/>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采样频次</w:t>
            </w:r>
          </w:p>
        </w:tc>
        <w:tc>
          <w:tcPr>
            <w:tcW w:w="1206" w:type="dxa"/>
            <w:tcBorders>
              <w:top w:val="single" w:color="auto" w:sz="12"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75" w:type="dxa"/>
            <w:vMerge w:val="restart"/>
            <w:tcBorders>
              <w:top w:val="single" w:color="auto" w:sz="4" w:space="0"/>
              <w:left w:val="nil"/>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废气</w:t>
            </w:r>
          </w:p>
        </w:tc>
        <w:tc>
          <w:tcPr>
            <w:tcW w:w="851" w:type="dxa"/>
            <w:vMerge w:val="restart"/>
            <w:tcBorders>
              <w:top w:val="single" w:color="auto" w:sz="4" w:space="0"/>
              <w:left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有组织排放</w:t>
            </w:r>
          </w:p>
        </w:tc>
        <w:tc>
          <w:tcPr>
            <w:tcW w:w="1417" w:type="dxa"/>
            <w:vMerge w:val="restart"/>
            <w:tcBorders>
              <w:top w:val="single" w:color="auto" w:sz="4" w:space="0"/>
              <w:left w:val="single" w:color="auto" w:sz="4" w:space="0"/>
              <w:right w:val="single" w:color="auto" w:sz="4" w:space="0"/>
            </w:tcBorders>
            <w:vAlign w:val="center"/>
          </w:tcPr>
          <w:p>
            <w:pPr>
              <w:jc w:val="center"/>
              <w:rPr>
                <w:rFonts w:eastAsiaTheme="minorEastAsia"/>
                <w:kern w:val="0"/>
                <w:sz w:val="21"/>
                <w:szCs w:val="21"/>
              </w:rPr>
            </w:pPr>
            <w:r>
              <w:rPr>
                <w:rFonts w:hint="eastAsia"/>
                <w:bCs/>
                <w:kern w:val="0"/>
                <w:sz w:val="21"/>
                <w:szCs w:val="21"/>
              </w:rPr>
              <w:t>废旧滴灌带造粒及滴灌带生产有机废气排气筒（DA001）</w:t>
            </w: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非甲烷总烃</w:t>
            </w:r>
          </w:p>
        </w:tc>
        <w:tc>
          <w:tcPr>
            <w:tcW w:w="1701" w:type="dxa"/>
            <w:vMerge w:val="restart"/>
            <w:tcBorders>
              <w:top w:val="single" w:color="auto" w:sz="4" w:space="0"/>
              <w:left w:val="single" w:color="auto" w:sz="4" w:space="0"/>
              <w:right w:val="single" w:color="auto" w:sz="4" w:space="0"/>
            </w:tcBorders>
            <w:vAlign w:val="center"/>
          </w:tcPr>
          <w:p>
            <w:pPr>
              <w:pStyle w:val="227"/>
              <w:spacing w:line="240" w:lineRule="auto"/>
              <w:ind w:firstLine="42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排气筒外排口</w:t>
            </w: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半年</w:t>
            </w:r>
          </w:p>
        </w:tc>
        <w:tc>
          <w:tcPr>
            <w:tcW w:w="1206" w:type="dxa"/>
            <w:vMerge w:val="restart"/>
            <w:tcBorders>
              <w:top w:val="single" w:color="auto" w:sz="4" w:space="0"/>
              <w:left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有资质监测单位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 w:val="21"/>
                <w:szCs w:val="21"/>
              </w:rPr>
            </w:pPr>
          </w:p>
        </w:tc>
        <w:tc>
          <w:tcPr>
            <w:tcW w:w="851" w:type="dxa"/>
            <w:vMerge w:val="continue"/>
            <w:tcBorders>
              <w:left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417" w:type="dxa"/>
            <w:vMerge w:val="continue"/>
            <w:tcBorders>
              <w:left w:val="single" w:color="auto" w:sz="4" w:space="0"/>
              <w:bottom w:val="single" w:color="auto" w:sz="4" w:space="0"/>
              <w:right w:val="single" w:color="auto" w:sz="4" w:space="0"/>
            </w:tcBorders>
            <w:vAlign w:val="center"/>
          </w:tcPr>
          <w:p>
            <w:pPr>
              <w:jc w:val="center"/>
              <w:rPr>
                <w:bCs/>
                <w:kern w:val="0"/>
                <w:sz w:val="2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臭气浓度</w:t>
            </w:r>
          </w:p>
        </w:tc>
        <w:tc>
          <w:tcPr>
            <w:tcW w:w="1701" w:type="dxa"/>
            <w:vMerge w:val="continue"/>
            <w:tcBorders>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半年</w:t>
            </w:r>
          </w:p>
        </w:tc>
        <w:tc>
          <w:tcPr>
            <w:tcW w:w="1206" w:type="dxa"/>
            <w:vMerge w:val="continue"/>
            <w:tcBorders>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 w:val="21"/>
                <w:szCs w:val="21"/>
              </w:rPr>
            </w:pPr>
          </w:p>
        </w:tc>
        <w:tc>
          <w:tcPr>
            <w:tcW w:w="851" w:type="dxa"/>
            <w:vMerge w:val="continue"/>
            <w:tcBorders>
              <w:left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417" w:type="dxa"/>
            <w:vMerge w:val="restart"/>
            <w:tcBorders>
              <w:top w:val="single" w:color="auto" w:sz="4" w:space="0"/>
              <w:left w:val="single" w:color="auto" w:sz="4" w:space="0"/>
              <w:right w:val="single" w:color="auto" w:sz="4" w:space="0"/>
            </w:tcBorders>
            <w:vAlign w:val="center"/>
          </w:tcPr>
          <w:p>
            <w:pPr>
              <w:jc w:val="center"/>
              <w:rPr>
                <w:bCs/>
                <w:kern w:val="0"/>
                <w:sz w:val="21"/>
                <w:szCs w:val="21"/>
              </w:rPr>
            </w:pPr>
            <w:r>
              <w:rPr>
                <w:rFonts w:hint="eastAsia"/>
                <w:bCs/>
                <w:kern w:val="0"/>
                <w:sz w:val="21"/>
                <w:szCs w:val="21"/>
              </w:rPr>
              <w:t>废旧塑料膜造粒及PE管生产有机废气排气筒（DA002）</w:t>
            </w: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非甲烷总烃</w:t>
            </w:r>
          </w:p>
        </w:tc>
        <w:tc>
          <w:tcPr>
            <w:tcW w:w="1701" w:type="dxa"/>
            <w:vMerge w:val="restart"/>
            <w:tcBorders>
              <w:top w:val="single" w:color="auto" w:sz="4" w:space="0"/>
              <w:left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排气筒外排口</w:t>
            </w: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半年</w:t>
            </w:r>
          </w:p>
        </w:tc>
        <w:tc>
          <w:tcPr>
            <w:tcW w:w="1206" w:type="dxa"/>
            <w:vMerge w:val="restart"/>
            <w:tcBorders>
              <w:top w:val="single" w:color="auto" w:sz="4" w:space="0"/>
              <w:left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有资质监测单位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 w:val="20"/>
                <w:szCs w:val="21"/>
              </w:rPr>
            </w:pPr>
          </w:p>
        </w:tc>
        <w:tc>
          <w:tcPr>
            <w:tcW w:w="851" w:type="dxa"/>
            <w:vMerge w:val="continue"/>
            <w:tcBorders>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417" w:type="dxa"/>
            <w:vMerge w:val="continue"/>
            <w:tcBorders>
              <w:left w:val="single" w:color="auto" w:sz="4" w:space="0"/>
              <w:bottom w:val="single" w:color="auto" w:sz="4" w:space="0"/>
              <w:right w:val="single" w:color="auto" w:sz="4" w:space="0"/>
            </w:tcBorders>
            <w:vAlign w:val="center"/>
          </w:tcPr>
          <w:p>
            <w:pPr>
              <w:jc w:val="center"/>
              <w:rPr>
                <w:bCs/>
                <w:kern w:val="0"/>
                <w:sz w:val="2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臭气浓度</w:t>
            </w:r>
          </w:p>
        </w:tc>
        <w:tc>
          <w:tcPr>
            <w:tcW w:w="1701" w:type="dxa"/>
            <w:vMerge w:val="continue"/>
            <w:tcBorders>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年</w:t>
            </w:r>
          </w:p>
        </w:tc>
        <w:tc>
          <w:tcPr>
            <w:tcW w:w="1206" w:type="dxa"/>
            <w:vMerge w:val="continue"/>
            <w:tcBorders>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 w:val="21"/>
                <w:szCs w:val="21"/>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无组织排放</w:t>
            </w:r>
          </w:p>
        </w:tc>
        <w:tc>
          <w:tcPr>
            <w:tcW w:w="1417"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w:t>
            </w: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非甲烷总烃、颗粒物、</w:t>
            </w:r>
            <w:r>
              <w:rPr>
                <w:rFonts w:ascii="Times New Roman" w:hAnsi="Times New Roman" w:cs="Times New Roman" w:eastAsiaTheme="minorEastAsia"/>
                <w:kern w:val="0"/>
                <w:sz w:val="21"/>
                <w:szCs w:val="21"/>
              </w:rPr>
              <w:t>臭气浓度</w:t>
            </w:r>
          </w:p>
        </w:tc>
        <w:tc>
          <w:tcPr>
            <w:tcW w:w="170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厂界上风向</w:t>
            </w:r>
            <w:r>
              <w:rPr>
                <w:rFonts w:ascii="Times New Roman" w:hAnsi="Times New Roman" w:cs="Times New Roman" w:eastAsiaTheme="minorEastAsia"/>
                <w:kern w:val="0"/>
                <w:sz w:val="21"/>
                <w:szCs w:val="21"/>
              </w:rPr>
              <w:t>10m</w:t>
            </w:r>
            <w:r>
              <w:rPr>
                <w:rFonts w:hint="eastAsia" w:ascii="Times New Roman" w:hAnsi="Times New Roman" w:cs="Times New Roman" w:eastAsiaTheme="minorEastAsia"/>
                <w:kern w:val="0"/>
                <w:sz w:val="21"/>
                <w:szCs w:val="21"/>
              </w:rPr>
              <w:t>处</w:t>
            </w: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个点，下风向</w:t>
            </w:r>
            <w:r>
              <w:rPr>
                <w:rFonts w:ascii="Times New Roman" w:hAnsi="Times New Roman" w:cs="Times New Roman" w:eastAsiaTheme="minorEastAsia"/>
                <w:kern w:val="0"/>
                <w:sz w:val="21"/>
                <w:szCs w:val="21"/>
              </w:rPr>
              <w:t>10m</w:t>
            </w:r>
            <w:r>
              <w:rPr>
                <w:rFonts w:hint="eastAsia" w:ascii="Times New Roman" w:hAnsi="Times New Roman" w:cs="Times New Roman" w:eastAsiaTheme="minorEastAsia"/>
                <w:kern w:val="0"/>
                <w:sz w:val="21"/>
                <w:szCs w:val="21"/>
              </w:rPr>
              <w:t>内</w:t>
            </w:r>
            <w:r>
              <w:rPr>
                <w:rFonts w:ascii="Times New Roman" w:hAnsi="Times New Roman" w:cs="Times New Roman" w:eastAsiaTheme="minorEastAsia"/>
                <w:kern w:val="0"/>
                <w:sz w:val="21"/>
                <w:szCs w:val="21"/>
              </w:rPr>
              <w:t>3</w:t>
            </w:r>
            <w:r>
              <w:rPr>
                <w:rFonts w:hint="eastAsia" w:ascii="Times New Roman" w:hAnsi="Times New Roman" w:cs="Times New Roman" w:eastAsiaTheme="minorEastAsia"/>
                <w:kern w:val="0"/>
                <w:sz w:val="21"/>
                <w:szCs w:val="21"/>
              </w:rPr>
              <w:t>个点</w:t>
            </w: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年</w:t>
            </w:r>
          </w:p>
        </w:tc>
        <w:tc>
          <w:tcPr>
            <w:tcW w:w="1206" w:type="dxa"/>
            <w:tcBorders>
              <w:top w:val="single" w:color="auto" w:sz="4"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有资质监测单位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 w:val="2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厂房</w:t>
            </w:r>
          </w:p>
        </w:tc>
        <w:tc>
          <w:tcPr>
            <w:tcW w:w="141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非甲烷总烃</w:t>
            </w:r>
          </w:p>
        </w:tc>
        <w:tc>
          <w:tcPr>
            <w:tcW w:w="170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厂房外设置监控点</w:t>
            </w:r>
          </w:p>
        </w:tc>
        <w:tc>
          <w:tcPr>
            <w:tcW w:w="116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年</w:t>
            </w:r>
          </w:p>
        </w:tc>
        <w:tc>
          <w:tcPr>
            <w:tcW w:w="1206" w:type="dxa"/>
            <w:tcBorders>
              <w:top w:val="single" w:color="auto" w:sz="4"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有资质监测单位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op w:val="single" w:color="auto" w:sz="4" w:space="0"/>
              <w:left w:val="nil"/>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噪声</w:t>
            </w:r>
          </w:p>
        </w:tc>
        <w:tc>
          <w:tcPr>
            <w:tcW w:w="851"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w:t>
            </w:r>
          </w:p>
        </w:tc>
        <w:tc>
          <w:tcPr>
            <w:tcW w:w="1417"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w:t>
            </w:r>
          </w:p>
        </w:tc>
        <w:tc>
          <w:tcPr>
            <w:tcW w:w="1418"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等效</w:t>
            </w:r>
            <w:r>
              <w:rPr>
                <w:rFonts w:ascii="Times New Roman" w:hAnsi="Times New Roman" w:cs="Times New Roman" w:eastAsiaTheme="minorEastAsia"/>
                <w:kern w:val="0"/>
                <w:sz w:val="21"/>
                <w:szCs w:val="21"/>
              </w:rPr>
              <w:t>A</w:t>
            </w:r>
            <w:r>
              <w:rPr>
                <w:rFonts w:hint="eastAsia" w:ascii="Times New Roman" w:hAnsi="Times New Roman" w:cs="Times New Roman" w:eastAsiaTheme="minorEastAsia"/>
                <w:kern w:val="0"/>
                <w:sz w:val="21"/>
                <w:szCs w:val="21"/>
              </w:rPr>
              <w:t>声级</w:t>
            </w:r>
          </w:p>
        </w:tc>
        <w:tc>
          <w:tcPr>
            <w:tcW w:w="1701"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w:t>
            </w:r>
          </w:p>
        </w:tc>
        <w:tc>
          <w:tcPr>
            <w:tcW w:w="1168"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r>
              <w:rPr>
                <w:rFonts w:hint="eastAsia" w:ascii="Times New Roman" w:hAnsi="Times New Roman" w:cs="Times New Roman" w:eastAsiaTheme="minorEastAsia"/>
                <w:kern w:val="0"/>
                <w:sz w:val="21"/>
                <w:szCs w:val="21"/>
              </w:rPr>
              <w:t>次</w:t>
            </w:r>
            <w:r>
              <w:rPr>
                <w:rFonts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rPr>
              <w:t>季度</w:t>
            </w:r>
          </w:p>
        </w:tc>
        <w:tc>
          <w:tcPr>
            <w:tcW w:w="1206" w:type="dxa"/>
            <w:tcBorders>
              <w:top w:val="single" w:color="auto" w:sz="4" w:space="0"/>
              <w:left w:val="single" w:color="auto" w:sz="4" w:space="0"/>
              <w:bottom w:val="single" w:color="auto" w:sz="12"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有资质监测单位</w:t>
            </w:r>
          </w:p>
        </w:tc>
      </w:tr>
      <w:bookmarkEnd w:id="309"/>
    </w:tbl>
    <w:p>
      <w:pPr>
        <w:spacing w:line="460" w:lineRule="exact"/>
        <w:ind w:firstLine="480" w:firstLineChars="200"/>
        <w:textAlignment w:val="baseline"/>
        <w:rPr>
          <w:sz w:val="24"/>
        </w:rPr>
      </w:pPr>
      <w:bookmarkStart w:id="310" w:name="_Toc363496105"/>
      <w:bookmarkStart w:id="311" w:name="_Toc399327777"/>
      <w:bookmarkStart w:id="312" w:name="_Toc399496929"/>
      <w:bookmarkStart w:id="313" w:name="_Toc410121582"/>
    </w:p>
    <w:p>
      <w:pPr>
        <w:spacing w:line="460" w:lineRule="exact"/>
        <w:ind w:firstLine="480" w:firstLineChars="200"/>
        <w:textAlignment w:val="baseline"/>
        <w:rPr>
          <w:sz w:val="24"/>
        </w:rPr>
      </w:pPr>
      <w:r>
        <w:rPr>
          <w:sz w:val="24"/>
        </w:rPr>
        <w:t>本项目环境质量监测计划见表</w:t>
      </w:r>
      <w:r>
        <w:rPr>
          <w:rFonts w:hint="eastAsia"/>
          <w:sz w:val="24"/>
        </w:rPr>
        <w:t>9</w:t>
      </w:r>
      <w:r>
        <w:rPr>
          <w:sz w:val="24"/>
        </w:rPr>
        <w:t>.2-2。</w:t>
      </w:r>
    </w:p>
    <w:p>
      <w:pPr>
        <w:pStyle w:val="660"/>
        <w:spacing w:line="240" w:lineRule="auto"/>
        <w:ind w:firstLine="420"/>
        <w:jc w:val="both"/>
        <w:rPr>
          <w:rFonts w:eastAsia="黑体"/>
          <w:b w:val="0"/>
          <w:sz w:val="21"/>
        </w:rPr>
      </w:pPr>
      <w:r>
        <w:rPr>
          <w:rFonts w:eastAsia="黑体"/>
          <w:b w:val="0"/>
          <w:sz w:val="21"/>
        </w:rPr>
        <w:t>表</w:t>
      </w:r>
      <w:r>
        <w:rPr>
          <w:rFonts w:hint="eastAsia" w:eastAsia="黑体"/>
          <w:b w:val="0"/>
          <w:sz w:val="21"/>
        </w:rPr>
        <w:t>9.2-2</w:t>
      </w:r>
      <w:r>
        <w:rPr>
          <w:rFonts w:eastAsia="黑体"/>
          <w:b w:val="0"/>
          <w:sz w:val="21"/>
        </w:rPr>
        <w:t xml:space="preserve">  </w:t>
      </w:r>
      <w:r>
        <w:rPr>
          <w:rFonts w:hint="eastAsia" w:eastAsia="黑体"/>
          <w:b w:val="0"/>
          <w:sz w:val="21"/>
        </w:rPr>
        <w:t xml:space="preserve">              </w:t>
      </w:r>
      <w:r>
        <w:rPr>
          <w:rFonts w:eastAsia="黑体"/>
          <w:b w:val="0"/>
          <w:sz w:val="21"/>
        </w:rPr>
        <w:t xml:space="preserve">  环境监测工作内容一览表</w:t>
      </w:r>
    </w:p>
    <w:tbl>
      <w:tblPr>
        <w:tblStyle w:val="59"/>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866"/>
        <w:gridCol w:w="1701"/>
        <w:gridCol w:w="1134"/>
        <w:gridCol w:w="2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类别</w:t>
            </w:r>
          </w:p>
        </w:tc>
        <w:tc>
          <w:tcPr>
            <w:tcW w:w="2866" w:type="dxa"/>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监测点位</w:t>
            </w:r>
          </w:p>
        </w:tc>
        <w:tc>
          <w:tcPr>
            <w:tcW w:w="1701" w:type="dxa"/>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监测指标</w:t>
            </w:r>
          </w:p>
        </w:tc>
        <w:tc>
          <w:tcPr>
            <w:tcW w:w="1134" w:type="dxa"/>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监测频次</w:t>
            </w:r>
          </w:p>
        </w:tc>
        <w:tc>
          <w:tcPr>
            <w:tcW w:w="2143" w:type="dxa"/>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执行环境质量标准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环境空气</w:t>
            </w:r>
          </w:p>
        </w:tc>
        <w:tc>
          <w:tcPr>
            <w:tcW w:w="2866"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厂区上下风向各设1个监测点</w:t>
            </w:r>
          </w:p>
        </w:tc>
        <w:tc>
          <w:tcPr>
            <w:tcW w:w="1701"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非甲烷总烃</w:t>
            </w:r>
          </w:p>
        </w:tc>
        <w:tc>
          <w:tcPr>
            <w:tcW w:w="1134"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1次/年</w:t>
            </w:r>
          </w:p>
        </w:tc>
        <w:tc>
          <w:tcPr>
            <w:tcW w:w="2143"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执行</w:t>
            </w:r>
            <w:r>
              <w:rPr>
                <w:rFonts w:hint="eastAsia" w:ascii="Times New Roman" w:hAnsi="Times New Roman" w:cs="Times New Roman" w:eastAsiaTheme="minorEastAsia"/>
                <w:sz w:val="21"/>
                <w:szCs w:val="21"/>
              </w:rPr>
              <w:t>《大气污染物综合排放标准详解》</w:t>
            </w:r>
            <w:r>
              <w:rPr>
                <w:rFonts w:ascii="Times New Roman" w:hAnsi="Times New Roman" w:cs="Times New Roman" w:eastAsiaTheme="minorEastAsia"/>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地下水</w:t>
            </w:r>
          </w:p>
        </w:tc>
        <w:tc>
          <w:tcPr>
            <w:tcW w:w="2866" w:type="dxa"/>
            <w:shd w:val="clear" w:color="auto" w:fill="auto"/>
            <w:vAlign w:val="center"/>
          </w:tcPr>
          <w:p>
            <w:pPr>
              <w:jc w:val="center"/>
              <w:rPr>
                <w:rFonts w:eastAsiaTheme="minorEastAsia"/>
                <w:szCs w:val="21"/>
              </w:rPr>
            </w:pPr>
            <w:r>
              <w:rPr>
                <w:rFonts w:eastAsiaTheme="minorEastAsia"/>
                <w:szCs w:val="21"/>
              </w:rPr>
              <w:t>建设项目场地上游布设1个对照点（厂区：</w:t>
            </w:r>
            <w:r>
              <w:rPr>
                <w:rFonts w:hint="eastAsia"/>
                <w:szCs w:val="21"/>
              </w:rPr>
              <w:t>N</w:t>
            </w:r>
            <w:r>
              <w:rPr>
                <w:szCs w:val="21"/>
              </w:rPr>
              <w:t>4</w:t>
            </w:r>
            <w:r>
              <w:rPr>
                <w:rFonts w:hint="eastAsia"/>
                <w:szCs w:val="21"/>
              </w:rPr>
              <w:t>4</w:t>
            </w:r>
            <w:r>
              <w:rPr>
                <w:szCs w:val="21"/>
              </w:rPr>
              <w:t>°</w:t>
            </w:r>
            <w:r>
              <w:rPr>
                <w:rFonts w:hint="eastAsia"/>
                <w:szCs w:val="21"/>
              </w:rPr>
              <w:t>13</w:t>
            </w:r>
            <w:r>
              <w:rPr>
                <w:szCs w:val="21"/>
              </w:rPr>
              <w:t>'</w:t>
            </w:r>
            <w:r>
              <w:rPr>
                <w:rFonts w:hint="eastAsia"/>
                <w:szCs w:val="21"/>
              </w:rPr>
              <w:t>30.83</w:t>
            </w:r>
            <w:r>
              <w:rPr>
                <w:szCs w:val="21"/>
              </w:rPr>
              <w:t>"</w:t>
            </w:r>
            <w:r>
              <w:rPr>
                <w:rFonts w:hint="eastAsia"/>
                <w:szCs w:val="21"/>
              </w:rPr>
              <w:t>；E</w:t>
            </w:r>
            <w:r>
              <w:rPr>
                <w:szCs w:val="21"/>
              </w:rPr>
              <w:t>8</w:t>
            </w:r>
            <w:r>
              <w:rPr>
                <w:rFonts w:hint="eastAsia"/>
                <w:szCs w:val="21"/>
              </w:rPr>
              <w:t>7</w:t>
            </w:r>
            <w:r>
              <w:rPr>
                <w:szCs w:val="21"/>
              </w:rPr>
              <w:t>°</w:t>
            </w:r>
            <w:r>
              <w:rPr>
                <w:rFonts w:hint="eastAsia"/>
                <w:szCs w:val="21"/>
              </w:rPr>
              <w:t>19</w:t>
            </w:r>
            <w:r>
              <w:rPr>
                <w:szCs w:val="21"/>
              </w:rPr>
              <w:t>'</w:t>
            </w:r>
            <w:r>
              <w:rPr>
                <w:rFonts w:hint="eastAsia"/>
                <w:szCs w:val="21"/>
              </w:rPr>
              <w:t>20.17</w:t>
            </w:r>
            <w:r>
              <w:rPr>
                <w:szCs w:val="21"/>
              </w:rPr>
              <w:t>"</w:t>
            </w:r>
            <w:r>
              <w:rPr>
                <w:rFonts w:eastAsiaTheme="minorEastAsia"/>
                <w:szCs w:val="21"/>
              </w:rPr>
              <w:t>）、下游布设2个污染扩散监测点（</w:t>
            </w:r>
            <w:r>
              <w:rPr>
                <w:rFonts w:hint="eastAsia" w:eastAsiaTheme="minorEastAsia"/>
                <w:szCs w:val="21"/>
              </w:rPr>
              <w:t>北</w:t>
            </w:r>
            <w:r>
              <w:rPr>
                <w:rFonts w:eastAsiaTheme="minorEastAsia"/>
                <w:szCs w:val="21"/>
              </w:rPr>
              <w:t>侧</w:t>
            </w:r>
            <w:r>
              <w:rPr>
                <w:rFonts w:hint="eastAsia" w:eastAsiaTheme="minorEastAsia"/>
                <w:szCs w:val="21"/>
              </w:rPr>
              <w:t>0.5</w:t>
            </w:r>
            <w:r>
              <w:rPr>
                <w:rFonts w:eastAsiaTheme="minorEastAsia"/>
                <w:szCs w:val="21"/>
              </w:rPr>
              <w:t>km：</w:t>
            </w:r>
            <w:r>
              <w:rPr>
                <w:rFonts w:hint="eastAsia"/>
                <w:szCs w:val="21"/>
              </w:rPr>
              <w:t>N</w:t>
            </w:r>
            <w:r>
              <w:rPr>
                <w:szCs w:val="21"/>
              </w:rPr>
              <w:t>4</w:t>
            </w:r>
            <w:r>
              <w:rPr>
                <w:rFonts w:hint="eastAsia"/>
                <w:szCs w:val="21"/>
              </w:rPr>
              <w:t>4</w:t>
            </w:r>
            <w:r>
              <w:rPr>
                <w:szCs w:val="21"/>
              </w:rPr>
              <w:t>°</w:t>
            </w:r>
            <w:r>
              <w:rPr>
                <w:rFonts w:hint="eastAsia"/>
                <w:szCs w:val="21"/>
              </w:rPr>
              <w:t>13</w:t>
            </w:r>
            <w:r>
              <w:rPr>
                <w:szCs w:val="21"/>
              </w:rPr>
              <w:t>'</w:t>
            </w:r>
            <w:r>
              <w:rPr>
                <w:rFonts w:hint="eastAsia"/>
                <w:szCs w:val="21"/>
              </w:rPr>
              <w:t>46.96</w:t>
            </w:r>
            <w:r>
              <w:rPr>
                <w:szCs w:val="21"/>
              </w:rPr>
              <w:t>"</w:t>
            </w:r>
            <w:r>
              <w:rPr>
                <w:rFonts w:hint="eastAsia"/>
                <w:szCs w:val="21"/>
              </w:rPr>
              <w:t>；E</w:t>
            </w:r>
            <w:r>
              <w:rPr>
                <w:szCs w:val="21"/>
              </w:rPr>
              <w:t>8</w:t>
            </w:r>
            <w:r>
              <w:rPr>
                <w:rFonts w:hint="eastAsia"/>
                <w:szCs w:val="21"/>
              </w:rPr>
              <w:t>7</w:t>
            </w:r>
            <w:r>
              <w:rPr>
                <w:szCs w:val="21"/>
              </w:rPr>
              <w:t>°</w:t>
            </w:r>
            <w:r>
              <w:rPr>
                <w:rFonts w:hint="eastAsia"/>
                <w:szCs w:val="21"/>
              </w:rPr>
              <w:t>19</w:t>
            </w:r>
            <w:r>
              <w:rPr>
                <w:szCs w:val="21"/>
              </w:rPr>
              <w:t>'</w:t>
            </w:r>
            <w:r>
              <w:rPr>
                <w:rFonts w:hint="eastAsia"/>
                <w:szCs w:val="21"/>
              </w:rPr>
              <w:t>30.18</w:t>
            </w:r>
            <w:r>
              <w:rPr>
                <w:szCs w:val="21"/>
              </w:rPr>
              <w:t>"，</w:t>
            </w:r>
            <w:r>
              <w:rPr>
                <w:rFonts w:hint="eastAsia"/>
                <w:szCs w:val="21"/>
              </w:rPr>
              <w:t>东侧0.4</w:t>
            </w:r>
            <w:r>
              <w:rPr>
                <w:szCs w:val="21"/>
              </w:rPr>
              <w:t>km：</w:t>
            </w:r>
            <w:r>
              <w:rPr>
                <w:rFonts w:hint="eastAsia"/>
                <w:szCs w:val="21"/>
              </w:rPr>
              <w:t>N</w:t>
            </w:r>
            <w:r>
              <w:t xml:space="preserve"> </w:t>
            </w:r>
            <w:r>
              <w:rPr>
                <w:rFonts w:hint="eastAsia"/>
                <w:szCs w:val="21"/>
              </w:rPr>
              <w:t>44</w:t>
            </w:r>
            <w:r>
              <w:rPr>
                <w:szCs w:val="21"/>
              </w:rPr>
              <w:t>°</w:t>
            </w:r>
            <w:r>
              <w:rPr>
                <w:rFonts w:hint="eastAsia"/>
                <w:szCs w:val="21"/>
              </w:rPr>
              <w:t>13</w:t>
            </w:r>
            <w:r>
              <w:rPr>
                <w:szCs w:val="21"/>
              </w:rPr>
              <w:t>'</w:t>
            </w:r>
            <w:r>
              <w:rPr>
                <w:rFonts w:hint="eastAsia"/>
                <w:szCs w:val="21"/>
              </w:rPr>
              <w:t>27.70</w:t>
            </w:r>
            <w:r>
              <w:rPr>
                <w:szCs w:val="21"/>
              </w:rPr>
              <w:t>"</w:t>
            </w:r>
            <w:r>
              <w:rPr>
                <w:rFonts w:hint="eastAsia"/>
                <w:szCs w:val="21"/>
              </w:rPr>
              <w:t>；E</w:t>
            </w:r>
            <w:r>
              <w:t xml:space="preserve"> </w:t>
            </w:r>
            <w:r>
              <w:rPr>
                <w:szCs w:val="21"/>
              </w:rPr>
              <w:t>8</w:t>
            </w:r>
            <w:r>
              <w:rPr>
                <w:rFonts w:hint="eastAsia"/>
                <w:szCs w:val="21"/>
              </w:rPr>
              <w:t>7</w:t>
            </w:r>
            <w:r>
              <w:rPr>
                <w:szCs w:val="21"/>
              </w:rPr>
              <w:t>°</w:t>
            </w:r>
            <w:r>
              <w:rPr>
                <w:rFonts w:hint="eastAsia"/>
                <w:szCs w:val="21"/>
              </w:rPr>
              <w:t>19</w:t>
            </w:r>
            <w:r>
              <w:rPr>
                <w:szCs w:val="21"/>
              </w:rPr>
              <w:t>'</w:t>
            </w:r>
            <w:r>
              <w:rPr>
                <w:rFonts w:hint="eastAsia"/>
                <w:szCs w:val="21"/>
              </w:rPr>
              <w:t>44.65</w:t>
            </w:r>
            <w:r>
              <w:rPr>
                <w:szCs w:val="21"/>
              </w:rPr>
              <w:t>"</w:t>
            </w:r>
            <w:r>
              <w:rPr>
                <w:rFonts w:eastAsiaTheme="minorEastAsia"/>
                <w:szCs w:val="21"/>
              </w:rPr>
              <w:t>），共设置3个监测点</w:t>
            </w:r>
          </w:p>
        </w:tc>
        <w:tc>
          <w:tcPr>
            <w:tcW w:w="1701"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pH、总硬度、溶解性总固体、高锰酸盐指数、氯化物、氨氮、硝酸盐、亚硝酸盐、六价铬、氟化物、石油类、苯并[a]芘、铜、锌、铁、锰、镍、砷。</w:t>
            </w:r>
          </w:p>
        </w:tc>
        <w:tc>
          <w:tcPr>
            <w:tcW w:w="1134"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1次/</w:t>
            </w:r>
            <w:r>
              <w:rPr>
                <w:rFonts w:hint="eastAsia" w:ascii="Times New Roman" w:hAnsi="Times New Roman" w:cs="Times New Roman" w:eastAsiaTheme="minorEastAsia"/>
                <w:sz w:val="21"/>
                <w:szCs w:val="21"/>
              </w:rPr>
              <w:t>半</w:t>
            </w:r>
            <w:r>
              <w:rPr>
                <w:rFonts w:ascii="Times New Roman" w:hAnsi="Times New Roman" w:cs="Times New Roman" w:eastAsiaTheme="minorEastAsia"/>
                <w:sz w:val="21"/>
                <w:szCs w:val="21"/>
              </w:rPr>
              <w:t>年，如果出现异常，加密监测频次，根据具体情况进行调整</w:t>
            </w:r>
          </w:p>
        </w:tc>
        <w:tc>
          <w:tcPr>
            <w:tcW w:w="2143" w:type="dxa"/>
            <w:shd w:val="clear" w:color="auto" w:fill="auto"/>
            <w:vAlign w:val="center"/>
          </w:tcPr>
          <w:p>
            <w:pPr>
              <w:pStyle w:val="227"/>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《地下水质量标准》（GB/T14848-2017）</w:t>
            </w:r>
            <w:r>
              <w:rPr>
                <w:rFonts w:ascii="Times New Roman" w:hAnsi="Times New Roman" w:cs="Times New Roman"/>
                <w:sz w:val="21"/>
                <w:szCs w:val="21"/>
              </w:rPr>
              <w:t>Ⅲ</w:t>
            </w:r>
            <w:r>
              <w:rPr>
                <w:rFonts w:ascii="Times New Roman" w:hAnsi="Times New Roman" w:cs="Times New Roman" w:eastAsiaTheme="minorEastAsia"/>
                <w:sz w:val="21"/>
                <w:szCs w:val="21"/>
              </w:rPr>
              <w:t>类标准</w:t>
            </w:r>
          </w:p>
        </w:tc>
      </w:tr>
    </w:tbl>
    <w:p>
      <w:pPr>
        <w:spacing w:line="460" w:lineRule="exact"/>
        <w:ind w:firstLine="480" w:firstLineChars="200"/>
        <w:textAlignment w:val="baseline"/>
        <w:rPr>
          <w:sz w:val="24"/>
        </w:rPr>
      </w:pPr>
      <w:r>
        <w:rPr>
          <w:rFonts w:hint="eastAsia"/>
          <w:sz w:val="24"/>
        </w:rPr>
        <w:t>上述各监测项目的监测计划应严格按照国家有关监测技术规范执行。本项目建成投产验收时污染监测和正常运营期间定期污染监测工作可委托相应环境监测部门定期进行，并将监测结果上报生态环境主管部门。</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9.2.3污染源监控措施</w:t>
      </w:r>
    </w:p>
    <w:p>
      <w:pPr>
        <w:spacing w:line="460" w:lineRule="exact"/>
        <w:ind w:firstLine="480" w:firstLineChars="200"/>
        <w:textAlignment w:val="baseline"/>
        <w:rPr>
          <w:sz w:val="24"/>
        </w:rPr>
      </w:pPr>
      <w:r>
        <w:rPr>
          <w:rFonts w:hint="eastAsia"/>
          <w:sz w:val="24"/>
        </w:rPr>
        <w:t>在废气处理装置的进出口设置永久采样口，用法兰或盖板等封闭，便于在监测时开启使用。</w:t>
      </w:r>
    </w:p>
    <w:p>
      <w:pPr>
        <w:pStyle w:val="4"/>
        <w:adjustRightInd w:val="0"/>
        <w:spacing w:before="120" w:after="120" w:line="460" w:lineRule="exact"/>
        <w:textAlignment w:val="baseline"/>
        <w:rPr>
          <w:rFonts w:ascii="Times New Roman" w:hAnsi="Times New Roman"/>
          <w:b w:val="0"/>
          <w:szCs w:val="28"/>
        </w:rPr>
      </w:pPr>
      <w:bookmarkStart w:id="314" w:name="_Toc165386247"/>
      <w:r>
        <w:rPr>
          <w:rFonts w:hint="eastAsia" w:ascii="Times New Roman" w:hAnsi="Times New Roman"/>
          <w:b w:val="0"/>
          <w:szCs w:val="28"/>
        </w:rPr>
        <w:t>9.3 污染物排放清单</w:t>
      </w:r>
      <w:bookmarkEnd w:id="314"/>
    </w:p>
    <w:p>
      <w:pPr>
        <w:spacing w:line="460" w:lineRule="exact"/>
        <w:ind w:firstLine="480" w:firstLineChars="200"/>
        <w:textAlignment w:val="baseline"/>
        <w:rPr>
          <w:sz w:val="24"/>
        </w:rPr>
      </w:pPr>
      <w:r>
        <w:rPr>
          <w:sz w:val="24"/>
        </w:rPr>
        <w:t>1</w:t>
      </w:r>
      <w:r>
        <w:rPr>
          <w:rFonts w:hint="eastAsia"/>
          <w:sz w:val="24"/>
        </w:rPr>
        <w:t>、工程组成</w:t>
      </w:r>
    </w:p>
    <w:p>
      <w:pPr>
        <w:spacing w:line="460" w:lineRule="exact"/>
        <w:ind w:firstLine="480" w:firstLineChars="200"/>
        <w:textAlignment w:val="baseline"/>
        <w:rPr>
          <w:sz w:val="24"/>
        </w:rPr>
      </w:pPr>
      <w:r>
        <w:rPr>
          <w:rFonts w:hint="eastAsia"/>
          <w:sz w:val="24"/>
        </w:rPr>
        <w:t>工程主要内容有：扩建1条废旧滴灌带造粒生产线、1条废旧塑料膜造粒生产线、</w:t>
      </w:r>
      <w:r>
        <w:rPr>
          <w:sz w:val="24"/>
        </w:rPr>
        <w:t>1</w:t>
      </w:r>
      <w:r>
        <w:rPr>
          <w:rFonts w:hint="eastAsia"/>
          <w:sz w:val="24"/>
        </w:rPr>
        <w:t>0条滴灌带生产线、5条</w:t>
      </w:r>
      <w:r>
        <w:rPr>
          <w:sz w:val="24"/>
        </w:rPr>
        <w:t>PE管</w:t>
      </w:r>
      <w:r>
        <w:rPr>
          <w:rFonts w:hint="eastAsia"/>
          <w:sz w:val="24"/>
        </w:rPr>
        <w:t>生产线及配套公用辅助设施。</w:t>
      </w:r>
    </w:p>
    <w:p>
      <w:pPr>
        <w:spacing w:line="460" w:lineRule="exact"/>
        <w:ind w:firstLine="480" w:firstLineChars="200"/>
        <w:textAlignment w:val="baseline"/>
        <w:rPr>
          <w:sz w:val="24"/>
        </w:rPr>
      </w:pPr>
      <w:r>
        <w:rPr>
          <w:rFonts w:hint="eastAsia"/>
          <w:sz w:val="24"/>
        </w:rPr>
        <w:t>环保工程包括废气、废水、噪声治理措施，固废暂存设施等。</w:t>
      </w:r>
    </w:p>
    <w:p>
      <w:pPr>
        <w:spacing w:line="460" w:lineRule="exact"/>
        <w:ind w:firstLine="480" w:firstLineChars="200"/>
        <w:textAlignment w:val="baseline"/>
        <w:rPr>
          <w:sz w:val="24"/>
        </w:rPr>
      </w:pPr>
      <w:r>
        <w:rPr>
          <w:sz w:val="24"/>
        </w:rPr>
        <w:t>2</w:t>
      </w:r>
      <w:r>
        <w:rPr>
          <w:rFonts w:hint="eastAsia"/>
          <w:sz w:val="24"/>
        </w:rPr>
        <w:t>、原辅材料</w:t>
      </w:r>
    </w:p>
    <w:p>
      <w:pPr>
        <w:spacing w:line="460" w:lineRule="exact"/>
        <w:ind w:firstLine="480" w:firstLineChars="200"/>
        <w:textAlignment w:val="baseline"/>
        <w:rPr>
          <w:sz w:val="24"/>
        </w:rPr>
      </w:pPr>
      <w:r>
        <w:rPr>
          <w:rFonts w:hint="eastAsia"/>
          <w:sz w:val="24"/>
        </w:rPr>
        <w:t>本项目原辅材料见表9</w:t>
      </w:r>
      <w:r>
        <w:rPr>
          <w:sz w:val="24"/>
        </w:rPr>
        <w:t>.3-1</w:t>
      </w:r>
      <w:r>
        <w:rPr>
          <w:rFonts w:hint="eastAsia"/>
          <w:sz w:val="24"/>
        </w:rPr>
        <w:t>。</w:t>
      </w:r>
    </w:p>
    <w:p>
      <w:pPr>
        <w:pStyle w:val="499"/>
        <w:spacing w:line="240" w:lineRule="auto"/>
        <w:ind w:firstLine="420"/>
        <w:rPr>
          <w:rFonts w:ascii="Times New Roman" w:hAnsi="Times New Roman" w:eastAsia="黑体" w:cs="Times New Roman"/>
          <w:sz w:val="21"/>
          <w:lang w:bidi="en-US"/>
        </w:rPr>
      </w:pPr>
      <w:r>
        <w:rPr>
          <w:rFonts w:hint="eastAsia" w:ascii="Times New Roman" w:hAnsi="Times New Roman" w:eastAsia="黑体" w:cs="Times New Roman"/>
          <w:sz w:val="21"/>
          <w:lang w:bidi="en-US"/>
        </w:rPr>
        <w:t>表9.3-1                主要原辅材料品种、年需要量一览表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51"/>
        <w:gridCol w:w="1984"/>
        <w:gridCol w:w="975"/>
        <w:gridCol w:w="1197"/>
        <w:gridCol w:w="1427"/>
        <w:gridCol w:w="1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序号</w:t>
            </w:r>
          </w:p>
        </w:tc>
        <w:tc>
          <w:tcPr>
            <w:tcW w:w="851" w:type="dxa"/>
            <w:vAlign w:val="center"/>
          </w:tcPr>
          <w:p>
            <w:pPr>
              <w:adjustRightInd w:val="0"/>
              <w:snapToGrid w:val="0"/>
              <w:jc w:val="center"/>
              <w:rPr>
                <w:bCs/>
                <w:kern w:val="0"/>
                <w:sz w:val="21"/>
                <w:szCs w:val="21"/>
              </w:rPr>
            </w:pPr>
            <w:r>
              <w:rPr>
                <w:rFonts w:hint="eastAsia"/>
                <w:bCs/>
                <w:kern w:val="0"/>
                <w:sz w:val="21"/>
                <w:szCs w:val="21"/>
              </w:rPr>
              <w:t>项目</w:t>
            </w:r>
          </w:p>
        </w:tc>
        <w:tc>
          <w:tcPr>
            <w:tcW w:w="1984" w:type="dxa"/>
            <w:vAlign w:val="center"/>
          </w:tcPr>
          <w:p>
            <w:pPr>
              <w:adjustRightInd w:val="0"/>
              <w:snapToGrid w:val="0"/>
              <w:jc w:val="center"/>
              <w:rPr>
                <w:bCs/>
                <w:kern w:val="0"/>
                <w:sz w:val="21"/>
                <w:szCs w:val="21"/>
              </w:rPr>
            </w:pPr>
            <w:r>
              <w:rPr>
                <w:rFonts w:hint="eastAsia"/>
                <w:bCs/>
                <w:kern w:val="0"/>
                <w:sz w:val="21"/>
                <w:szCs w:val="21"/>
              </w:rPr>
              <w:t>名称</w:t>
            </w:r>
          </w:p>
        </w:tc>
        <w:tc>
          <w:tcPr>
            <w:tcW w:w="975" w:type="dxa"/>
            <w:vAlign w:val="center"/>
          </w:tcPr>
          <w:p>
            <w:pPr>
              <w:adjustRightInd w:val="0"/>
              <w:snapToGrid w:val="0"/>
              <w:jc w:val="center"/>
              <w:rPr>
                <w:bCs/>
                <w:kern w:val="0"/>
                <w:sz w:val="21"/>
                <w:szCs w:val="21"/>
              </w:rPr>
            </w:pPr>
            <w:r>
              <w:rPr>
                <w:rFonts w:hint="eastAsia"/>
                <w:bCs/>
                <w:kern w:val="0"/>
                <w:sz w:val="21"/>
                <w:szCs w:val="21"/>
              </w:rPr>
              <w:t>单位</w:t>
            </w:r>
          </w:p>
        </w:tc>
        <w:tc>
          <w:tcPr>
            <w:tcW w:w="1197" w:type="dxa"/>
            <w:vAlign w:val="center"/>
          </w:tcPr>
          <w:p>
            <w:pPr>
              <w:adjustRightInd w:val="0"/>
              <w:snapToGrid w:val="0"/>
              <w:jc w:val="center"/>
              <w:rPr>
                <w:bCs/>
                <w:kern w:val="0"/>
                <w:sz w:val="21"/>
                <w:szCs w:val="21"/>
              </w:rPr>
            </w:pPr>
            <w:r>
              <w:rPr>
                <w:rFonts w:hint="eastAsia"/>
                <w:bCs/>
                <w:kern w:val="0"/>
                <w:sz w:val="21"/>
                <w:szCs w:val="21"/>
              </w:rPr>
              <w:t>数量</w:t>
            </w:r>
          </w:p>
        </w:tc>
        <w:tc>
          <w:tcPr>
            <w:tcW w:w="1427" w:type="dxa"/>
            <w:vAlign w:val="center"/>
          </w:tcPr>
          <w:p>
            <w:pPr>
              <w:adjustRightInd w:val="0"/>
              <w:snapToGrid w:val="0"/>
              <w:jc w:val="center"/>
              <w:rPr>
                <w:bCs/>
                <w:kern w:val="0"/>
                <w:sz w:val="21"/>
                <w:szCs w:val="21"/>
              </w:rPr>
            </w:pPr>
            <w:r>
              <w:rPr>
                <w:rFonts w:hint="eastAsia"/>
                <w:bCs/>
                <w:kern w:val="0"/>
                <w:sz w:val="21"/>
                <w:szCs w:val="21"/>
              </w:rPr>
              <w:t>来源</w:t>
            </w:r>
          </w:p>
        </w:tc>
        <w:tc>
          <w:tcPr>
            <w:tcW w:w="1131" w:type="dxa"/>
            <w:vAlign w:val="center"/>
          </w:tcPr>
          <w:p>
            <w:pPr>
              <w:adjustRightInd w:val="0"/>
              <w:snapToGrid w:val="0"/>
              <w:jc w:val="center"/>
              <w:rPr>
                <w:bCs/>
                <w:kern w:val="0"/>
                <w:sz w:val="21"/>
                <w:szCs w:val="21"/>
              </w:rPr>
            </w:pPr>
            <w:r>
              <w:rPr>
                <w:rFonts w:hint="eastAsia"/>
                <w:bCs/>
                <w:kern w:val="0"/>
                <w:sz w:val="21"/>
                <w:szCs w:val="21"/>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1</w:t>
            </w:r>
          </w:p>
        </w:tc>
        <w:tc>
          <w:tcPr>
            <w:tcW w:w="851" w:type="dxa"/>
            <w:vMerge w:val="restart"/>
            <w:vAlign w:val="center"/>
          </w:tcPr>
          <w:p>
            <w:pPr>
              <w:adjustRightInd w:val="0"/>
              <w:snapToGrid w:val="0"/>
              <w:jc w:val="center"/>
              <w:rPr>
                <w:bCs/>
                <w:kern w:val="0"/>
                <w:sz w:val="21"/>
                <w:szCs w:val="21"/>
              </w:rPr>
            </w:pPr>
            <w:r>
              <w:rPr>
                <w:rFonts w:hint="eastAsia"/>
                <w:bCs/>
                <w:kern w:val="0"/>
                <w:sz w:val="21"/>
                <w:szCs w:val="21"/>
              </w:rPr>
              <w:t>滴灌带、</w:t>
            </w:r>
            <w:r>
              <w:rPr>
                <w:bCs/>
                <w:kern w:val="0"/>
                <w:sz w:val="21"/>
                <w:szCs w:val="21"/>
              </w:rPr>
              <w:t>PE管</w:t>
            </w:r>
          </w:p>
        </w:tc>
        <w:tc>
          <w:tcPr>
            <w:tcW w:w="1984" w:type="dxa"/>
            <w:vAlign w:val="center"/>
          </w:tcPr>
          <w:p>
            <w:pPr>
              <w:adjustRightInd w:val="0"/>
              <w:snapToGrid w:val="0"/>
              <w:jc w:val="center"/>
              <w:rPr>
                <w:bCs/>
                <w:kern w:val="0"/>
                <w:sz w:val="21"/>
                <w:szCs w:val="21"/>
              </w:rPr>
            </w:pPr>
            <w:r>
              <w:rPr>
                <w:rFonts w:hint="eastAsia"/>
                <w:bCs/>
                <w:kern w:val="0"/>
                <w:sz w:val="21"/>
                <w:szCs w:val="21"/>
              </w:rPr>
              <w:t>废旧滴灌带</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3500</w:t>
            </w:r>
          </w:p>
        </w:tc>
        <w:tc>
          <w:tcPr>
            <w:tcW w:w="1427" w:type="dxa"/>
            <w:vAlign w:val="center"/>
          </w:tcPr>
          <w:p>
            <w:pPr>
              <w:adjustRightInd w:val="0"/>
              <w:snapToGrid w:val="0"/>
              <w:jc w:val="center"/>
              <w:rPr>
                <w:bCs/>
                <w:kern w:val="0"/>
                <w:sz w:val="21"/>
                <w:szCs w:val="21"/>
              </w:rPr>
            </w:pPr>
            <w:r>
              <w:rPr>
                <w:rFonts w:hint="eastAsia"/>
                <w:bCs/>
                <w:kern w:val="0"/>
                <w:sz w:val="21"/>
                <w:szCs w:val="21"/>
              </w:rPr>
              <w:t>当地农户</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0"/>
                <w:szCs w:val="21"/>
              </w:rPr>
            </w:pPr>
            <w:r>
              <w:rPr>
                <w:rFonts w:hint="eastAsia"/>
                <w:bCs/>
                <w:kern w:val="0"/>
                <w:sz w:val="20"/>
                <w:szCs w:val="21"/>
              </w:rPr>
              <w:t>2</w:t>
            </w:r>
          </w:p>
        </w:tc>
        <w:tc>
          <w:tcPr>
            <w:tcW w:w="851" w:type="dxa"/>
            <w:vMerge w:val="continue"/>
            <w:vAlign w:val="center"/>
          </w:tcPr>
          <w:p>
            <w:pPr>
              <w:adjustRightInd w:val="0"/>
              <w:snapToGrid w:val="0"/>
              <w:jc w:val="center"/>
              <w:rPr>
                <w:bCs/>
                <w:kern w:val="0"/>
                <w:sz w:val="20"/>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废旧塑料膜</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2000</w:t>
            </w:r>
          </w:p>
        </w:tc>
        <w:tc>
          <w:tcPr>
            <w:tcW w:w="1427" w:type="dxa"/>
            <w:vAlign w:val="center"/>
          </w:tcPr>
          <w:p>
            <w:pPr>
              <w:adjustRightInd w:val="0"/>
              <w:snapToGrid w:val="0"/>
              <w:jc w:val="center"/>
              <w:rPr>
                <w:bCs/>
                <w:kern w:val="0"/>
                <w:sz w:val="21"/>
                <w:szCs w:val="21"/>
              </w:rPr>
            </w:pPr>
            <w:r>
              <w:rPr>
                <w:rFonts w:hint="eastAsia"/>
                <w:bCs/>
                <w:kern w:val="0"/>
                <w:sz w:val="21"/>
                <w:szCs w:val="21"/>
              </w:rPr>
              <w:t>当地农户</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3</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聚乙烯颗粒新料</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1050</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4</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抗老化剂</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163</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5</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黑色母料</w:t>
            </w:r>
          </w:p>
        </w:tc>
        <w:tc>
          <w:tcPr>
            <w:tcW w:w="975" w:type="dxa"/>
            <w:vAlign w:val="center"/>
          </w:tcPr>
          <w:p>
            <w:pPr>
              <w:adjustRightInd w:val="0"/>
              <w:snapToGrid w:val="0"/>
              <w:jc w:val="center"/>
              <w:rPr>
                <w:bCs/>
                <w:kern w:val="0"/>
                <w:sz w:val="21"/>
                <w:szCs w:val="21"/>
              </w:rPr>
            </w:pPr>
            <w:r>
              <w:rPr>
                <w:rFonts w:hint="eastAsia"/>
                <w:bCs/>
                <w:kern w:val="0"/>
                <w:sz w:val="21"/>
                <w:szCs w:val="21"/>
              </w:rPr>
              <w:t>t/a</w:t>
            </w:r>
          </w:p>
        </w:tc>
        <w:tc>
          <w:tcPr>
            <w:tcW w:w="1197" w:type="dxa"/>
            <w:vAlign w:val="center"/>
          </w:tcPr>
          <w:p>
            <w:pPr>
              <w:adjustRightInd w:val="0"/>
              <w:snapToGrid w:val="0"/>
              <w:jc w:val="center"/>
              <w:rPr>
                <w:bCs/>
                <w:kern w:val="0"/>
                <w:sz w:val="21"/>
                <w:szCs w:val="21"/>
              </w:rPr>
            </w:pPr>
            <w:r>
              <w:rPr>
                <w:rFonts w:hint="eastAsia"/>
                <w:bCs/>
                <w:kern w:val="0"/>
                <w:sz w:val="21"/>
                <w:szCs w:val="21"/>
              </w:rPr>
              <w:t>163</w:t>
            </w:r>
          </w:p>
        </w:tc>
        <w:tc>
          <w:tcPr>
            <w:tcW w:w="1427" w:type="dxa"/>
            <w:vAlign w:val="center"/>
          </w:tcPr>
          <w:p>
            <w:pPr>
              <w:adjustRightInd w:val="0"/>
              <w:snapToGrid w:val="0"/>
              <w:jc w:val="center"/>
              <w:rPr>
                <w:bCs/>
                <w:kern w:val="0"/>
                <w:sz w:val="21"/>
                <w:szCs w:val="21"/>
              </w:rPr>
            </w:pPr>
            <w:r>
              <w:rPr>
                <w:rFonts w:hint="eastAsia"/>
                <w:bCs/>
                <w:kern w:val="0"/>
                <w:sz w:val="21"/>
                <w:szCs w:val="21"/>
              </w:rPr>
              <w:t>择优采购</w:t>
            </w:r>
          </w:p>
        </w:tc>
        <w:tc>
          <w:tcPr>
            <w:tcW w:w="1131" w:type="dxa"/>
            <w:vAlign w:val="center"/>
          </w:tcPr>
          <w:p>
            <w:pPr>
              <w:adjustRightInd w:val="0"/>
              <w:snapToGrid w:val="0"/>
              <w:jc w:val="center"/>
              <w:rPr>
                <w:bCs/>
                <w:kern w:val="0"/>
                <w:sz w:val="21"/>
                <w:szCs w:val="21"/>
              </w:rPr>
            </w:pPr>
            <w:r>
              <w:rPr>
                <w:rFonts w:hint="eastAsia"/>
                <w:bCs/>
                <w:kern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6</w:t>
            </w:r>
          </w:p>
        </w:tc>
        <w:tc>
          <w:tcPr>
            <w:tcW w:w="851" w:type="dxa"/>
            <w:vMerge w:val="restart"/>
            <w:vAlign w:val="center"/>
          </w:tcPr>
          <w:p>
            <w:pPr>
              <w:adjustRightInd w:val="0"/>
              <w:snapToGrid w:val="0"/>
              <w:jc w:val="center"/>
              <w:rPr>
                <w:bCs/>
                <w:kern w:val="0"/>
                <w:sz w:val="21"/>
                <w:szCs w:val="21"/>
              </w:rPr>
            </w:pPr>
            <w:r>
              <w:rPr>
                <w:rFonts w:hint="eastAsia"/>
                <w:bCs/>
                <w:kern w:val="0"/>
                <w:sz w:val="21"/>
                <w:szCs w:val="21"/>
              </w:rPr>
              <w:t>能源</w:t>
            </w:r>
          </w:p>
        </w:tc>
        <w:tc>
          <w:tcPr>
            <w:tcW w:w="1984" w:type="dxa"/>
            <w:vAlign w:val="center"/>
          </w:tcPr>
          <w:p>
            <w:pPr>
              <w:adjustRightInd w:val="0"/>
              <w:snapToGrid w:val="0"/>
              <w:jc w:val="center"/>
              <w:rPr>
                <w:bCs/>
                <w:kern w:val="0"/>
                <w:sz w:val="21"/>
                <w:szCs w:val="21"/>
              </w:rPr>
            </w:pPr>
            <w:r>
              <w:rPr>
                <w:rFonts w:hint="eastAsia"/>
                <w:bCs/>
                <w:kern w:val="0"/>
                <w:sz w:val="21"/>
                <w:szCs w:val="21"/>
              </w:rPr>
              <w:t>新鲜水</w:t>
            </w:r>
          </w:p>
        </w:tc>
        <w:tc>
          <w:tcPr>
            <w:tcW w:w="975" w:type="dxa"/>
            <w:vAlign w:val="center"/>
          </w:tcPr>
          <w:p>
            <w:pPr>
              <w:adjustRightInd w:val="0"/>
              <w:snapToGrid w:val="0"/>
              <w:jc w:val="center"/>
              <w:rPr>
                <w:bCs/>
                <w:kern w:val="0"/>
                <w:sz w:val="21"/>
                <w:szCs w:val="21"/>
              </w:rPr>
            </w:pPr>
            <w:r>
              <w:rPr>
                <w:bCs/>
                <w:kern w:val="0"/>
                <w:sz w:val="21"/>
                <w:szCs w:val="21"/>
              </w:rPr>
              <w:t>m</w:t>
            </w:r>
            <w:r>
              <w:rPr>
                <w:bCs/>
                <w:kern w:val="0"/>
                <w:sz w:val="21"/>
                <w:szCs w:val="21"/>
                <w:vertAlign w:val="superscript"/>
              </w:rPr>
              <w:t>3</w:t>
            </w:r>
            <w:r>
              <w:rPr>
                <w:bCs/>
                <w:kern w:val="0"/>
                <w:sz w:val="21"/>
                <w:szCs w:val="21"/>
              </w:rPr>
              <w:t>/a</w:t>
            </w:r>
          </w:p>
        </w:tc>
        <w:tc>
          <w:tcPr>
            <w:tcW w:w="1197" w:type="dxa"/>
            <w:vAlign w:val="center"/>
          </w:tcPr>
          <w:p>
            <w:pPr>
              <w:adjustRightInd w:val="0"/>
              <w:snapToGrid w:val="0"/>
              <w:jc w:val="center"/>
              <w:rPr>
                <w:bCs/>
                <w:kern w:val="0"/>
                <w:sz w:val="21"/>
                <w:szCs w:val="21"/>
                <w:highlight w:val="yellow"/>
              </w:rPr>
            </w:pPr>
            <w:r>
              <w:rPr>
                <w:rFonts w:hint="eastAsia"/>
                <w:bCs/>
                <w:kern w:val="0"/>
                <w:sz w:val="21"/>
                <w:szCs w:val="21"/>
              </w:rPr>
              <w:t>2012.4</w:t>
            </w:r>
          </w:p>
        </w:tc>
        <w:tc>
          <w:tcPr>
            <w:tcW w:w="1427" w:type="dxa"/>
            <w:vAlign w:val="center"/>
          </w:tcPr>
          <w:p>
            <w:pPr>
              <w:adjustRightInd w:val="0"/>
              <w:snapToGrid w:val="0"/>
              <w:jc w:val="center"/>
              <w:rPr>
                <w:bCs/>
                <w:kern w:val="0"/>
                <w:sz w:val="21"/>
                <w:szCs w:val="21"/>
              </w:rPr>
            </w:pPr>
            <w:r>
              <w:rPr>
                <w:rFonts w:hint="eastAsia"/>
                <w:bCs/>
                <w:kern w:val="0"/>
                <w:sz w:val="21"/>
                <w:szCs w:val="21"/>
              </w:rPr>
              <w:t>园区水井</w:t>
            </w:r>
          </w:p>
        </w:tc>
        <w:tc>
          <w:tcPr>
            <w:tcW w:w="1131" w:type="dxa"/>
            <w:vAlign w:val="center"/>
          </w:tcPr>
          <w:p>
            <w:pPr>
              <w:adjustRightInd w:val="0"/>
              <w:snapToGrid w:val="0"/>
              <w:jc w:val="center"/>
              <w:rPr>
                <w:bCs/>
                <w:kern w:val="0"/>
                <w:sz w:val="21"/>
                <w:szCs w:val="21"/>
              </w:rPr>
            </w:pPr>
            <w:r>
              <w:rPr>
                <w:rFonts w:hint="eastAsia"/>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Align w:val="center"/>
          </w:tcPr>
          <w:p>
            <w:pPr>
              <w:adjustRightInd w:val="0"/>
              <w:snapToGrid w:val="0"/>
              <w:jc w:val="center"/>
              <w:rPr>
                <w:bCs/>
                <w:kern w:val="0"/>
                <w:sz w:val="21"/>
                <w:szCs w:val="21"/>
              </w:rPr>
            </w:pPr>
            <w:r>
              <w:rPr>
                <w:rFonts w:hint="eastAsia"/>
                <w:bCs/>
                <w:kern w:val="0"/>
                <w:sz w:val="21"/>
                <w:szCs w:val="21"/>
              </w:rPr>
              <w:t>7</w:t>
            </w:r>
          </w:p>
        </w:tc>
        <w:tc>
          <w:tcPr>
            <w:tcW w:w="851" w:type="dxa"/>
            <w:vMerge w:val="continue"/>
            <w:vAlign w:val="center"/>
          </w:tcPr>
          <w:p>
            <w:pPr>
              <w:adjustRightInd w:val="0"/>
              <w:snapToGrid w:val="0"/>
              <w:jc w:val="center"/>
              <w:rPr>
                <w:bCs/>
                <w:kern w:val="0"/>
                <w:sz w:val="21"/>
                <w:szCs w:val="21"/>
              </w:rPr>
            </w:pPr>
          </w:p>
        </w:tc>
        <w:tc>
          <w:tcPr>
            <w:tcW w:w="1984" w:type="dxa"/>
            <w:vAlign w:val="center"/>
          </w:tcPr>
          <w:p>
            <w:pPr>
              <w:adjustRightInd w:val="0"/>
              <w:snapToGrid w:val="0"/>
              <w:jc w:val="center"/>
              <w:rPr>
                <w:bCs/>
                <w:kern w:val="0"/>
                <w:sz w:val="21"/>
                <w:szCs w:val="21"/>
              </w:rPr>
            </w:pPr>
            <w:r>
              <w:rPr>
                <w:rFonts w:hint="eastAsia"/>
                <w:bCs/>
                <w:kern w:val="0"/>
                <w:sz w:val="21"/>
                <w:szCs w:val="21"/>
              </w:rPr>
              <w:t>电</w:t>
            </w:r>
          </w:p>
        </w:tc>
        <w:tc>
          <w:tcPr>
            <w:tcW w:w="975" w:type="dxa"/>
            <w:vAlign w:val="center"/>
          </w:tcPr>
          <w:p>
            <w:pPr>
              <w:adjustRightInd w:val="0"/>
              <w:snapToGrid w:val="0"/>
              <w:jc w:val="center"/>
              <w:rPr>
                <w:bCs/>
                <w:kern w:val="0"/>
                <w:sz w:val="21"/>
                <w:szCs w:val="21"/>
              </w:rPr>
            </w:pPr>
            <w:r>
              <w:rPr>
                <w:bCs/>
                <w:kern w:val="0"/>
                <w:sz w:val="21"/>
                <w:szCs w:val="21"/>
              </w:rPr>
              <w:t>kW</w:t>
            </w:r>
            <w:r>
              <w:rPr>
                <w:rFonts w:hint="eastAsia"/>
                <w:bCs/>
                <w:kern w:val="0"/>
                <w:sz w:val="21"/>
                <w:szCs w:val="21"/>
              </w:rPr>
              <w:t>•h</w:t>
            </w:r>
            <w:r>
              <w:rPr>
                <w:bCs/>
                <w:kern w:val="0"/>
                <w:sz w:val="21"/>
                <w:szCs w:val="21"/>
              </w:rPr>
              <w:t>/a</w:t>
            </w:r>
          </w:p>
        </w:tc>
        <w:tc>
          <w:tcPr>
            <w:tcW w:w="1197" w:type="dxa"/>
            <w:vAlign w:val="center"/>
          </w:tcPr>
          <w:p>
            <w:pPr>
              <w:adjustRightInd w:val="0"/>
              <w:snapToGrid w:val="0"/>
              <w:jc w:val="center"/>
              <w:rPr>
                <w:bCs/>
                <w:kern w:val="0"/>
                <w:sz w:val="21"/>
                <w:szCs w:val="21"/>
                <w:highlight w:val="yellow"/>
              </w:rPr>
            </w:pPr>
            <w:r>
              <w:rPr>
                <w:rFonts w:hint="eastAsia"/>
                <w:bCs/>
                <w:kern w:val="0"/>
                <w:sz w:val="21"/>
                <w:szCs w:val="21"/>
              </w:rPr>
              <w:t>980000</w:t>
            </w:r>
          </w:p>
        </w:tc>
        <w:tc>
          <w:tcPr>
            <w:tcW w:w="1427" w:type="dxa"/>
            <w:vAlign w:val="center"/>
          </w:tcPr>
          <w:p>
            <w:pPr>
              <w:adjustRightInd w:val="0"/>
              <w:snapToGrid w:val="0"/>
              <w:jc w:val="center"/>
              <w:rPr>
                <w:bCs/>
                <w:kern w:val="0"/>
                <w:sz w:val="21"/>
                <w:szCs w:val="21"/>
              </w:rPr>
            </w:pPr>
            <w:r>
              <w:rPr>
                <w:rFonts w:hint="eastAsia"/>
                <w:bCs/>
                <w:kern w:val="0"/>
                <w:sz w:val="21"/>
                <w:szCs w:val="21"/>
              </w:rPr>
              <w:t>电网</w:t>
            </w:r>
          </w:p>
        </w:tc>
        <w:tc>
          <w:tcPr>
            <w:tcW w:w="1131" w:type="dxa"/>
            <w:vAlign w:val="center"/>
          </w:tcPr>
          <w:p>
            <w:pPr>
              <w:adjustRightInd w:val="0"/>
              <w:snapToGrid w:val="0"/>
              <w:jc w:val="center"/>
              <w:rPr>
                <w:bCs/>
                <w:kern w:val="0"/>
                <w:sz w:val="21"/>
                <w:szCs w:val="21"/>
              </w:rPr>
            </w:pPr>
            <w:r>
              <w:rPr>
                <w:rFonts w:hint="eastAsia"/>
                <w:bCs/>
                <w:kern w:val="0"/>
                <w:sz w:val="21"/>
                <w:szCs w:val="21"/>
              </w:rPr>
              <w:t>/</w:t>
            </w:r>
          </w:p>
        </w:tc>
      </w:tr>
    </w:tbl>
    <w:p>
      <w:pPr>
        <w:spacing w:line="460" w:lineRule="exact"/>
        <w:ind w:firstLine="480" w:firstLineChars="200"/>
        <w:textAlignment w:val="baseline"/>
        <w:rPr>
          <w:sz w:val="24"/>
        </w:rPr>
      </w:pPr>
      <w:r>
        <w:rPr>
          <w:sz w:val="24"/>
        </w:rPr>
        <w:t>3</w:t>
      </w:r>
      <w:r>
        <w:rPr>
          <w:rFonts w:hint="eastAsia"/>
          <w:sz w:val="24"/>
        </w:rPr>
        <w:t>、污染物排放信息</w:t>
      </w:r>
    </w:p>
    <w:p>
      <w:pPr>
        <w:spacing w:line="460" w:lineRule="exact"/>
        <w:ind w:firstLine="480" w:firstLineChars="200"/>
        <w:textAlignment w:val="baseline"/>
        <w:rPr>
          <w:sz w:val="24"/>
        </w:rPr>
      </w:pPr>
      <w:r>
        <w:rPr>
          <w:rFonts w:hint="eastAsia"/>
          <w:sz w:val="24"/>
        </w:rPr>
        <w:t>本项目污染物排放信息见表9</w:t>
      </w:r>
      <w:r>
        <w:rPr>
          <w:sz w:val="24"/>
        </w:rPr>
        <w:t>.3-2</w:t>
      </w:r>
      <w:r>
        <w:rPr>
          <w:rFonts w:hint="eastAsia"/>
          <w:sz w:val="24"/>
        </w:rPr>
        <w:t>。排放口信息按照根据国家标准《环境保护图形标志排放口（源）》和国家环保总局《排污口规范化整治要求（试行）》的文件要求进行设置。</w:t>
      </w:r>
    </w:p>
    <w:p>
      <w:pPr>
        <w:spacing w:line="460" w:lineRule="exact"/>
        <w:ind w:firstLine="480" w:firstLineChars="200"/>
        <w:textAlignment w:val="baseline"/>
        <w:rPr>
          <w:sz w:val="24"/>
        </w:rPr>
      </w:pPr>
    </w:p>
    <w:p>
      <w:pPr>
        <w:spacing w:line="460" w:lineRule="exact"/>
        <w:ind w:firstLine="480" w:firstLineChars="200"/>
        <w:textAlignment w:val="baseline"/>
        <w:rPr>
          <w:sz w:val="24"/>
        </w:rPr>
        <w:sectPr>
          <w:pgSz w:w="11906" w:h="16838"/>
          <w:pgMar w:top="1440" w:right="1701" w:bottom="1440" w:left="1985" w:header="851" w:footer="992" w:gutter="0"/>
          <w:cols w:space="720" w:num="1"/>
          <w:docGrid w:linePitch="312" w:charSpace="0"/>
        </w:sectPr>
      </w:pPr>
    </w:p>
    <w:p>
      <w:pPr>
        <w:pStyle w:val="660"/>
        <w:spacing w:line="240" w:lineRule="auto"/>
        <w:ind w:firstLine="420"/>
        <w:jc w:val="both"/>
        <w:rPr>
          <w:rFonts w:eastAsia="黑体"/>
          <w:b w:val="0"/>
          <w:sz w:val="21"/>
        </w:rPr>
      </w:pPr>
      <w:r>
        <w:rPr>
          <w:rFonts w:hint="eastAsia" w:eastAsia="黑体"/>
          <w:b w:val="0"/>
          <w:sz w:val="21"/>
        </w:rPr>
        <w:t>表9</w:t>
      </w:r>
      <w:r>
        <w:rPr>
          <w:rFonts w:eastAsia="黑体"/>
          <w:b w:val="0"/>
          <w:sz w:val="21"/>
        </w:rPr>
        <w:t xml:space="preserve">.3-2                                              </w:t>
      </w:r>
      <w:r>
        <w:rPr>
          <w:rFonts w:hint="eastAsia" w:eastAsia="黑体"/>
          <w:b w:val="0"/>
          <w:sz w:val="21"/>
        </w:rPr>
        <w:t>污染物排放清单</w:t>
      </w:r>
    </w:p>
    <w:tbl>
      <w:tblPr>
        <w:tblStyle w:val="59"/>
        <w:tblW w:w="141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9"/>
        <w:gridCol w:w="1134"/>
        <w:gridCol w:w="851"/>
        <w:gridCol w:w="708"/>
        <w:gridCol w:w="2552"/>
        <w:gridCol w:w="1134"/>
        <w:gridCol w:w="709"/>
        <w:gridCol w:w="708"/>
        <w:gridCol w:w="1054"/>
        <w:gridCol w:w="80"/>
        <w:gridCol w:w="993"/>
        <w:gridCol w:w="2126"/>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12" w:space="0"/>
              <w:left w:val="nil"/>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污染物类型</w:t>
            </w:r>
          </w:p>
        </w:tc>
        <w:tc>
          <w:tcPr>
            <w:tcW w:w="709"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工程</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组成</w:t>
            </w:r>
          </w:p>
        </w:tc>
        <w:tc>
          <w:tcPr>
            <w:tcW w:w="1134"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产污</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环节</w:t>
            </w:r>
          </w:p>
        </w:tc>
        <w:tc>
          <w:tcPr>
            <w:tcW w:w="851"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污染物</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类型</w:t>
            </w:r>
          </w:p>
        </w:tc>
        <w:tc>
          <w:tcPr>
            <w:tcW w:w="708"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排放形式</w:t>
            </w:r>
          </w:p>
        </w:tc>
        <w:tc>
          <w:tcPr>
            <w:tcW w:w="2552"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拟采取的环境保护措施</w:t>
            </w:r>
          </w:p>
        </w:tc>
        <w:tc>
          <w:tcPr>
            <w:tcW w:w="1134"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排放浓度</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mg/m</w:t>
            </w:r>
            <w:r>
              <w:rPr>
                <w:rFonts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w:t>
            </w:r>
          </w:p>
        </w:tc>
        <w:tc>
          <w:tcPr>
            <w:tcW w:w="709"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排放量</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t/a</w:t>
            </w:r>
            <w:r>
              <w:rPr>
                <w:rFonts w:hint="eastAsia" w:ascii="Times New Roman" w:hAnsi="Times New Roman" w:cs="Times New Roman" w:eastAsiaTheme="minorEastAsia"/>
                <w:kern w:val="0"/>
                <w:sz w:val="21"/>
                <w:szCs w:val="21"/>
              </w:rPr>
              <w:t>）　</w:t>
            </w:r>
          </w:p>
        </w:tc>
        <w:tc>
          <w:tcPr>
            <w:tcW w:w="708"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总量指标</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t/a</w:t>
            </w:r>
            <w:r>
              <w:rPr>
                <w:rFonts w:hint="eastAsia" w:ascii="Times New Roman" w:hAnsi="Times New Roman" w:cs="Times New Roman" w:eastAsiaTheme="minorEastAsia"/>
                <w:kern w:val="0"/>
                <w:sz w:val="21"/>
                <w:szCs w:val="21"/>
              </w:rPr>
              <w:t>）</w:t>
            </w:r>
          </w:p>
        </w:tc>
        <w:tc>
          <w:tcPr>
            <w:tcW w:w="2127" w:type="dxa"/>
            <w:gridSpan w:val="3"/>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排放标准</w:t>
            </w:r>
          </w:p>
        </w:tc>
        <w:tc>
          <w:tcPr>
            <w:tcW w:w="2126" w:type="dxa"/>
            <w:vMerge w:val="restart"/>
            <w:tcBorders>
              <w:top w:val="single" w:color="auto" w:sz="12"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执行标准</w:t>
            </w:r>
          </w:p>
        </w:tc>
        <w:tc>
          <w:tcPr>
            <w:tcW w:w="704" w:type="dxa"/>
            <w:vMerge w:val="restart"/>
            <w:tcBorders>
              <w:top w:val="single" w:color="auto" w:sz="12"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环境风险防范措施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12"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851"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2552"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排放浓度</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mg/m</w:t>
            </w:r>
            <w:r>
              <w:rPr>
                <w:rFonts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排放量（</w:t>
            </w:r>
            <w:r>
              <w:rPr>
                <w:rFonts w:ascii="Times New Roman" w:hAnsi="Times New Roman" w:cs="Times New Roman" w:eastAsiaTheme="minorEastAsia"/>
                <w:kern w:val="0"/>
                <w:sz w:val="21"/>
                <w:szCs w:val="21"/>
              </w:rPr>
              <w:t>kg/h</w:t>
            </w:r>
            <w:r>
              <w:rPr>
                <w:rFonts w:hint="eastAsia" w:ascii="Times New Roman" w:hAnsi="Times New Roman" w:cs="Times New Roman" w:eastAsiaTheme="minorEastAsia"/>
                <w:kern w:val="0"/>
                <w:sz w:val="21"/>
                <w:szCs w:val="21"/>
              </w:rPr>
              <w:t>）</w:t>
            </w:r>
          </w:p>
        </w:tc>
        <w:tc>
          <w:tcPr>
            <w:tcW w:w="2126"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12"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nil"/>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大气</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污染</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物</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废旧塑料储存</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颗粒物</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废旧塑料储存于封闭式库房内</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少量</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《合成树脂工业污染物排放标准》（</w:t>
            </w:r>
            <w:r>
              <w:rPr>
                <w:rFonts w:ascii="Times New Roman" w:hAnsi="Times New Roman" w:cs="Times New Roman" w:eastAsiaTheme="minorEastAsia"/>
                <w:kern w:val="0"/>
                <w:sz w:val="21"/>
                <w:szCs w:val="21"/>
              </w:rPr>
              <w:t>GB 31572-2015</w:t>
            </w:r>
            <w:r>
              <w:rPr>
                <w:rFonts w:hint="eastAsia" w:ascii="Times New Roman" w:hAnsi="Times New Roman" w:cs="Times New Roman" w:eastAsiaTheme="minorEastAsia"/>
                <w:kern w:val="0"/>
                <w:sz w:val="21"/>
                <w:szCs w:val="21"/>
              </w:rPr>
              <w:t>）中表</w:t>
            </w:r>
            <w:r>
              <w:rPr>
                <w:rFonts w:ascii="Times New Roman" w:hAnsi="Times New Roman" w:cs="Times New Roman" w:eastAsiaTheme="minorEastAsia"/>
                <w:kern w:val="0"/>
                <w:sz w:val="21"/>
                <w:szCs w:val="21"/>
              </w:rPr>
              <w:t>9</w:t>
            </w:r>
            <w:r>
              <w:rPr>
                <w:rFonts w:hint="eastAsia" w:ascii="Times New Roman" w:hAnsi="Times New Roman" w:cs="Times New Roman" w:eastAsiaTheme="minorEastAsia"/>
                <w:kern w:val="0"/>
                <w:sz w:val="21"/>
                <w:szCs w:val="21"/>
              </w:rPr>
              <w:t>企业边界大气污染物浓度限值要求</w:t>
            </w:r>
          </w:p>
        </w:tc>
        <w:tc>
          <w:tcPr>
            <w:tcW w:w="704" w:type="dxa"/>
            <w:vMerge w:val="restart"/>
            <w:tcBorders>
              <w:top w:val="single" w:color="auto" w:sz="4"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加强管理</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保障污染</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防治设施</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稳定运行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车间</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废旧滴灌带造粒</w:t>
            </w:r>
            <w:r>
              <w:rPr>
                <w:bCs/>
                <w:szCs w:val="21"/>
              </w:rPr>
              <w:t>、</w:t>
            </w:r>
            <w:r>
              <w:rPr>
                <w:rFonts w:hint="eastAsia"/>
                <w:bCs/>
                <w:szCs w:val="21"/>
              </w:rPr>
              <w:t>滴灌带生产（包括</w:t>
            </w:r>
            <w:r>
              <w:rPr>
                <w:bCs/>
                <w:szCs w:val="21"/>
              </w:rPr>
              <w:t>现有工程</w:t>
            </w:r>
            <w:r>
              <w:rPr>
                <w:rFonts w:hint="eastAsia"/>
                <w:bCs/>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非甲烷总烃</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每台造粒机及挤出机上方分别设置1个集气罩（共设置15个集气罩），设置引风机将有机废气引至车间外设置的一套活性炭吸附+催化燃烧（CO）处置措施处置后通过1根15m高排气筒（DA001）外排</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4.38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0.99</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0.99</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126" w:type="dxa"/>
            <w:vMerge w:val="restart"/>
            <w:tcBorders>
              <w:top w:val="single" w:color="auto" w:sz="4" w:space="0"/>
              <w:left w:val="single" w:color="auto" w:sz="4" w:space="0"/>
              <w:right w:val="single" w:color="auto" w:sz="4" w:space="0"/>
            </w:tcBorders>
            <w:vAlign w:val="center"/>
          </w:tcPr>
          <w:p>
            <w:pPr>
              <w:pStyle w:val="227"/>
              <w:spacing w:line="240" w:lineRule="auto"/>
              <w:ind w:firstLine="42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《合成树脂工业污染物排放标准》（GB31572-2015）表5大气污染物特别排放限值</w:t>
            </w: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滴灌带、</w:t>
            </w:r>
            <w:r>
              <w:rPr>
                <w:bCs/>
                <w:szCs w:val="21"/>
              </w:rPr>
              <w:t>PE管</w:t>
            </w:r>
            <w:r>
              <w:rPr>
                <w:rFonts w:hint="eastAsia"/>
                <w:bCs/>
                <w:szCs w:val="21"/>
              </w:rPr>
              <w:t>熔融挤出</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bCs/>
                <w:kern w:val="0"/>
                <w:sz w:val="21"/>
                <w:szCs w:val="21"/>
              </w:rPr>
              <w:t>非甲烷总烃</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有组织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每台熔融挤出机及造粒机上方分别设置1个集气罩（共设置9个集气罩），设置引风机将收集废气引至车间外设置的一套活性炭吸附+催化燃烧（CO）措施处置后通过1根15m高排气筒（DA002）外排</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4.13</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0.56</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0.56</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left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生产车间</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废旧滴灌带及废旧塑料膜堆存</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颗粒物</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封闭式库房</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少量</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《合成树脂工业污染物排放标准》（</w:t>
            </w:r>
            <w:r>
              <w:rPr>
                <w:rFonts w:ascii="Times New Roman" w:hAnsi="Times New Roman" w:cs="Times New Roman" w:eastAsiaTheme="minorEastAsia"/>
                <w:kern w:val="0"/>
                <w:sz w:val="21"/>
                <w:szCs w:val="21"/>
              </w:rPr>
              <w:t>GB 31572-2015</w:t>
            </w:r>
            <w:r>
              <w:rPr>
                <w:rFonts w:hint="eastAsia" w:ascii="Times New Roman" w:hAnsi="Times New Roman" w:cs="Times New Roman" w:eastAsiaTheme="minorEastAsia"/>
                <w:kern w:val="0"/>
                <w:sz w:val="21"/>
                <w:szCs w:val="21"/>
              </w:rPr>
              <w:t>）中表</w:t>
            </w:r>
            <w:r>
              <w:rPr>
                <w:rFonts w:ascii="Times New Roman" w:hAnsi="Times New Roman" w:cs="Times New Roman" w:eastAsiaTheme="minorEastAsia"/>
                <w:kern w:val="0"/>
                <w:sz w:val="21"/>
                <w:szCs w:val="21"/>
              </w:rPr>
              <w:t>9</w:t>
            </w:r>
            <w:r>
              <w:rPr>
                <w:rFonts w:hint="eastAsia" w:ascii="Times New Roman" w:hAnsi="Times New Roman" w:cs="Times New Roman" w:eastAsiaTheme="minorEastAsia"/>
                <w:kern w:val="0"/>
                <w:sz w:val="21"/>
                <w:szCs w:val="21"/>
              </w:rPr>
              <w:t>企业边界大气污染物浓度限值要求</w:t>
            </w: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滴灌带生产均料器</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颗粒物</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加强车间通风</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少量</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pStyle w:val="227"/>
              <w:ind w:firstLine="420"/>
              <w:jc w:val="center"/>
              <w:rPr>
                <w:rFonts w:ascii="Times New Roman" w:hAnsi="Times New Roman" w:cs="Times New Roman" w:eastAsiaTheme="minorEastAsia"/>
                <w:kern w:val="0"/>
                <w:sz w:val="21"/>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PE</w:t>
            </w:r>
            <w:r>
              <w:rPr>
                <w:bCs/>
                <w:szCs w:val="21"/>
              </w:rPr>
              <w:t>管</w:t>
            </w:r>
            <w:r>
              <w:rPr>
                <w:rFonts w:hint="eastAsia"/>
                <w:bCs/>
                <w:szCs w:val="21"/>
              </w:rPr>
              <w:t>生产均料器</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颗粒物</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加强车间通风</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少量</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pStyle w:val="227"/>
              <w:ind w:firstLine="420"/>
              <w:jc w:val="center"/>
              <w:rPr>
                <w:rFonts w:ascii="Times New Roman" w:hAnsi="Times New Roman" w:cs="Times New Roman" w:eastAsiaTheme="minorEastAsia"/>
                <w:kern w:val="0"/>
                <w:sz w:val="21"/>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废旧滴灌带造粒及滴灌带生产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非甲烷总烃</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0.73</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pStyle w:val="227"/>
              <w:ind w:firstLine="420"/>
              <w:jc w:val="center"/>
              <w:rPr>
                <w:rFonts w:ascii="Times New Roman" w:hAnsi="Times New Roman" w:cs="Times New Roman" w:eastAsiaTheme="minorEastAsia"/>
                <w:kern w:val="0"/>
                <w:sz w:val="21"/>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废旧塑料膜造粒及</w:t>
            </w:r>
            <w:r>
              <w:rPr>
                <w:bCs/>
                <w:szCs w:val="21"/>
              </w:rPr>
              <w:t>PE管</w:t>
            </w:r>
            <w:r>
              <w:rPr>
                <w:rFonts w:hint="eastAsia"/>
                <w:bCs/>
                <w:szCs w:val="21"/>
              </w:rPr>
              <w:t>熔融挤出</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非甲烷总烃</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无组织</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0.41</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4.0</w:t>
            </w:r>
          </w:p>
        </w:tc>
        <w:tc>
          <w:tcPr>
            <w:tcW w:w="993"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0" w:type="dxa"/>
            <w:gridSpan w:val="14"/>
            <w:tcBorders>
              <w:top w:val="single" w:color="auto" w:sz="4" w:space="0"/>
              <w:left w:val="nil"/>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　废气总量控制指标</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VOCS</w:t>
            </w:r>
            <w:r>
              <w:rPr>
                <w:rFonts w:hint="eastAsia" w:ascii="Times New Roman" w:hAnsi="Times New Roman" w:cs="Times New Roman" w:eastAsiaTheme="minorEastAsia"/>
                <w:kern w:val="0"/>
                <w:sz w:val="21"/>
                <w:szCs w:val="21"/>
              </w:rPr>
              <w:t>（以非甲烷总烃计）：1.55</w:t>
            </w:r>
            <w:r>
              <w:rPr>
                <w:rFonts w:ascii="Times New Roman" w:hAnsi="Times New Roman" w:cs="Times New Roman" w:eastAsiaTheme="minorEastAsia"/>
                <w:kern w:val="0"/>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nil"/>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水污</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染物　</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生产区</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废旧塑料喷淋及清洗废水</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喷淋及清洗废水</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不外排</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设置2座300m</w:t>
            </w:r>
            <w:r>
              <w:rPr>
                <w:rFonts w:hint="eastAsia"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防渗三级沉淀池沉淀后回用</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4" w:type="dxa"/>
            <w:vMerge w:val="restart"/>
            <w:tcBorders>
              <w:top w:val="single" w:color="auto" w:sz="4" w:space="0"/>
              <w:left w:val="single" w:color="auto" w:sz="4" w:space="0"/>
              <w:bottom w:val="single" w:color="auto" w:sz="4"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做好场区</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防渗，以防污染地下水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生产冷却水</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冷却循环水</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不外排</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设置2座100m</w:t>
            </w:r>
            <w:r>
              <w:rPr>
                <w:rFonts w:hint="eastAsia"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冷却水池冷却后循环使用</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生活污水</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COD</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BOD</w:t>
            </w:r>
            <w:r>
              <w:rPr>
                <w:rFonts w:ascii="Times New Roman" w:hAnsi="Times New Roman" w:cs="Times New Roman" w:eastAsiaTheme="minorEastAsia"/>
                <w:kern w:val="0"/>
                <w:sz w:val="21"/>
                <w:szCs w:val="21"/>
                <w:vertAlign w:val="subscript"/>
              </w:rPr>
              <w:t>5</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SS</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NH</w:t>
            </w:r>
            <w:r>
              <w:rPr>
                <w:rFonts w:ascii="Times New Roman" w:hAnsi="Times New Roman" w:cs="Times New Roman" w:eastAsiaTheme="minorEastAsia"/>
                <w:kern w:val="0"/>
                <w:sz w:val="21"/>
                <w:szCs w:val="21"/>
                <w:vertAlign w:val="subscript"/>
              </w:rPr>
              <w:t>3</w:t>
            </w:r>
            <w:r>
              <w:rPr>
                <w:rFonts w:ascii="Times New Roman" w:hAnsi="Times New Roman" w:cs="Times New Roman" w:eastAsiaTheme="minorEastAsia"/>
                <w:kern w:val="0"/>
                <w:sz w:val="21"/>
                <w:szCs w:val="21"/>
              </w:rPr>
              <w:t>-N</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经一座100</w:t>
            </w:r>
            <w:r>
              <w:rPr>
                <w:rFonts w:ascii="Times New Roman" w:hAnsi="Times New Roman" w:cs="Times New Roman" w:eastAsiaTheme="minorEastAsia"/>
                <w:kern w:val="0"/>
                <w:sz w:val="21"/>
                <w:szCs w:val="21"/>
              </w:rPr>
              <w:t>m</w:t>
            </w:r>
            <w:r>
              <w:rPr>
                <w:rFonts w:hint="eastAsia" w:ascii="Times New Roman" w:hAnsi="Times New Roman" w:cs="Times New Roman" w:eastAsiaTheme="minorEastAsia"/>
                <w:kern w:val="0"/>
                <w:sz w:val="21"/>
                <w:szCs w:val="21"/>
              </w:rPr>
              <w:t>³的防渗化粪池暂存后定期拉运至农业园区污水处理厂处置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4"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nil"/>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固体废物</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办公生活</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垃圾</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生活垃圾</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生活垃圾集中收集后交由当地环卫部门处置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1.44</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《一般工业固体废物贮存和填埋污染控制标准》（GB18599-2020）</w:t>
            </w:r>
          </w:p>
        </w:tc>
        <w:tc>
          <w:tcPr>
            <w:tcW w:w="704" w:type="dxa"/>
            <w:vMerge w:val="restart"/>
            <w:tcBorders>
              <w:top w:val="single" w:color="auto" w:sz="4" w:space="0"/>
              <w:left w:val="single" w:color="auto" w:sz="4" w:space="0"/>
              <w:bottom w:val="single" w:color="auto" w:sz="12" w:space="0"/>
              <w:right w:val="nil"/>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做好场区</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防渗，以防污染地下水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生产车间</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szCs w:val="21"/>
              </w:rPr>
              <w:t>沉淀池泥沙</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一般固废</w:t>
            </w:r>
          </w:p>
        </w:tc>
        <w:tc>
          <w:tcPr>
            <w:tcW w:w="2552"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bCs/>
                <w:kern w:val="0"/>
                <w:szCs w:val="21"/>
              </w:rPr>
            </w:pPr>
            <w:r>
              <w:rPr>
                <w:rFonts w:hint="eastAsia"/>
                <w:bCs/>
                <w:szCs w:val="21"/>
              </w:rPr>
              <w:t>待生产季完成后统一清掏，</w:t>
            </w:r>
            <w:r>
              <w:rPr>
                <w:rFonts w:hint="eastAsia"/>
                <w:bCs/>
                <w:kern w:val="0"/>
                <w:szCs w:val="21"/>
              </w:rPr>
              <w:t>送一般固废填埋场处置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kern w:val="0"/>
                <w:szCs w:val="21"/>
              </w:rPr>
              <w:t>364.53</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szCs w:val="21"/>
              </w:rPr>
              <w:t>废滤网</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一般固废</w:t>
            </w:r>
          </w:p>
        </w:tc>
        <w:tc>
          <w:tcPr>
            <w:tcW w:w="2552"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bCs/>
                <w:kern w:val="0"/>
                <w:szCs w:val="21"/>
              </w:rPr>
            </w:pPr>
            <w:r>
              <w:rPr>
                <w:rFonts w:hint="eastAsia"/>
                <w:bCs/>
                <w:szCs w:val="21"/>
              </w:rPr>
              <w:t>收集后送固废填埋场处置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kern w:val="0"/>
                <w:szCs w:val="21"/>
              </w:rPr>
              <w:t>2.30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szCs w:val="21"/>
              </w:rPr>
              <w:t>滴灌带不合格品</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一般固废</w:t>
            </w:r>
          </w:p>
        </w:tc>
        <w:tc>
          <w:tcPr>
            <w:tcW w:w="2552"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bCs/>
                <w:kern w:val="0"/>
                <w:szCs w:val="21"/>
              </w:rPr>
            </w:pPr>
            <w:r>
              <w:rPr>
                <w:rFonts w:hint="eastAsia"/>
                <w:bCs/>
                <w:kern w:val="0"/>
                <w:szCs w:val="21"/>
              </w:rPr>
              <w:t>收集后进入废旧滴灌带造粒工序再生造粒</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kern w:val="0"/>
                <w:szCs w:val="21"/>
              </w:rPr>
              <w:t>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kern w:val="0"/>
                <w:szCs w:val="21"/>
              </w:rPr>
            </w:pPr>
            <w:r>
              <w:rPr>
                <w:rFonts w:hint="eastAsia"/>
                <w:bCs/>
                <w:szCs w:val="21"/>
              </w:rPr>
              <w:t>PE管不合格品</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一般固废</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rPr>
              <w:t>收集后进入废旧滴灌带造粒工序再生造粒</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restart"/>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危废暂存间</w:t>
            </w: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废活</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性炭</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暂存于危废暂存间，定期交由有资质的单位处置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0.67</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restart"/>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《危险废物贮存污染控制标准》（</w:t>
            </w:r>
            <w:r>
              <w:rPr>
                <w:rFonts w:ascii="Times New Roman" w:hAnsi="Times New Roman" w:cs="Times New Roman" w:eastAsiaTheme="minorEastAsia"/>
                <w:kern w:val="0"/>
                <w:sz w:val="21"/>
                <w:szCs w:val="21"/>
              </w:rPr>
              <w:t>GB18597-2001</w:t>
            </w:r>
            <w:r>
              <w:rPr>
                <w:rFonts w:hint="eastAsia" w:ascii="Times New Roman" w:hAnsi="Times New Roman" w:cs="Times New Roman" w:eastAsiaTheme="minorEastAsia"/>
                <w:kern w:val="0"/>
                <w:sz w:val="21"/>
                <w:szCs w:val="21"/>
              </w:rPr>
              <w:t>）及其</w:t>
            </w:r>
            <w:r>
              <w:rPr>
                <w:rFonts w:ascii="Times New Roman" w:hAnsi="Times New Roman" w:cs="Times New Roman" w:eastAsiaTheme="minorEastAsia"/>
                <w:kern w:val="0"/>
                <w:sz w:val="21"/>
                <w:szCs w:val="21"/>
              </w:rPr>
              <w:t>2013</w:t>
            </w:r>
            <w:r>
              <w:rPr>
                <w:rFonts w:hint="eastAsia" w:ascii="Times New Roman" w:hAnsi="Times New Roman" w:cs="Times New Roman" w:eastAsiaTheme="minorEastAsia"/>
                <w:kern w:val="0"/>
                <w:sz w:val="21"/>
                <w:szCs w:val="21"/>
              </w:rPr>
              <w:t>年修改单</w:t>
            </w: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Theme="minorEastAsia"/>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废催</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化剂</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w:t>
            </w:r>
          </w:p>
        </w:tc>
        <w:tc>
          <w:tcPr>
            <w:tcW w:w="2552"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暂存于危废暂存间，定期交由有资质的单位处置</w:t>
            </w:r>
          </w:p>
        </w:tc>
        <w:tc>
          <w:tcPr>
            <w:tcW w:w="113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0.33</w:t>
            </w:r>
          </w:p>
        </w:tc>
        <w:tc>
          <w:tcPr>
            <w:tcW w:w="708"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nil"/>
              <w:bottom w:val="single" w:color="auto" w:sz="12" w:space="0"/>
              <w:right w:val="single" w:color="auto" w:sz="4" w:space="0"/>
            </w:tcBorders>
            <w:vAlign w:val="center"/>
          </w:tcPr>
          <w:p>
            <w:pPr>
              <w:widowControl/>
              <w:jc w:val="left"/>
              <w:rPr>
                <w:rFonts w:eastAsiaTheme="minorEastAsia"/>
                <w:kern w:val="0"/>
                <w:szCs w:val="21"/>
              </w:rPr>
            </w:pPr>
          </w:p>
        </w:tc>
        <w:tc>
          <w:tcPr>
            <w:tcW w:w="1843" w:type="dxa"/>
            <w:gridSpan w:val="2"/>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Theme="minorEastAsia"/>
                <w:kern w:val="0"/>
                <w:szCs w:val="21"/>
              </w:rPr>
            </w:pPr>
          </w:p>
        </w:tc>
        <w:tc>
          <w:tcPr>
            <w:tcW w:w="851"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废润</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滑油</w:t>
            </w:r>
          </w:p>
        </w:tc>
        <w:tc>
          <w:tcPr>
            <w:tcW w:w="708"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w:t>
            </w:r>
          </w:p>
        </w:tc>
        <w:tc>
          <w:tcPr>
            <w:tcW w:w="2552"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暂存于危废暂存间，定期交由有资质的单位处置</w:t>
            </w:r>
          </w:p>
        </w:tc>
        <w:tc>
          <w:tcPr>
            <w:tcW w:w="1134"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709"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0.6</w:t>
            </w:r>
          </w:p>
        </w:tc>
        <w:tc>
          <w:tcPr>
            <w:tcW w:w="708"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54" w:type="dxa"/>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1073" w:type="dxa"/>
            <w:gridSpan w:val="2"/>
            <w:tcBorders>
              <w:top w:val="single" w:color="auto" w:sz="4" w:space="0"/>
              <w:left w:val="single" w:color="auto" w:sz="4" w:space="0"/>
              <w:bottom w:val="single" w:color="auto" w:sz="12" w:space="0"/>
              <w:right w:val="single" w:color="auto" w:sz="4" w:space="0"/>
            </w:tcBorders>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c>
          <w:tcPr>
            <w:tcW w:w="2126"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Theme="minorEastAsia"/>
                <w:kern w:val="0"/>
                <w:szCs w:val="21"/>
              </w:rPr>
            </w:pPr>
          </w:p>
        </w:tc>
        <w:tc>
          <w:tcPr>
            <w:tcW w:w="704" w:type="dxa"/>
            <w:vMerge w:val="continue"/>
            <w:tcBorders>
              <w:top w:val="single" w:color="auto" w:sz="4" w:space="0"/>
              <w:left w:val="single" w:color="auto" w:sz="4" w:space="0"/>
              <w:bottom w:val="single" w:color="auto" w:sz="12" w:space="0"/>
              <w:right w:val="nil"/>
            </w:tcBorders>
            <w:vAlign w:val="center"/>
          </w:tcPr>
          <w:p>
            <w:pPr>
              <w:widowControl/>
              <w:jc w:val="left"/>
              <w:rPr>
                <w:rFonts w:eastAsiaTheme="minorEastAsia"/>
                <w:kern w:val="0"/>
                <w:szCs w:val="21"/>
              </w:rPr>
            </w:pPr>
          </w:p>
        </w:tc>
      </w:tr>
    </w:tbl>
    <w:p>
      <w:pPr>
        <w:pStyle w:val="660"/>
        <w:spacing w:line="240" w:lineRule="auto"/>
        <w:ind w:firstLine="420"/>
        <w:jc w:val="both"/>
        <w:rPr>
          <w:rFonts w:eastAsia="黑体"/>
          <w:b w:val="0"/>
          <w:sz w:val="21"/>
        </w:rPr>
      </w:pPr>
    </w:p>
    <w:p>
      <w:pPr>
        <w:spacing w:line="460" w:lineRule="exact"/>
        <w:ind w:firstLine="480" w:firstLineChars="200"/>
        <w:textAlignment w:val="baseline"/>
        <w:rPr>
          <w:sz w:val="24"/>
        </w:rPr>
        <w:sectPr>
          <w:pgSz w:w="16838" w:h="11906" w:orient="landscape"/>
          <w:pgMar w:top="1985" w:right="1440" w:bottom="1701" w:left="1440" w:header="851" w:footer="992" w:gutter="0"/>
          <w:cols w:space="720" w:num="1"/>
          <w:docGrid w:linePitch="312" w:charSpace="0"/>
        </w:sectPr>
      </w:pPr>
    </w:p>
    <w:p>
      <w:pPr>
        <w:pStyle w:val="4"/>
        <w:adjustRightInd w:val="0"/>
        <w:spacing w:before="120" w:after="120" w:line="460" w:lineRule="exact"/>
        <w:textAlignment w:val="baseline"/>
        <w:rPr>
          <w:rFonts w:ascii="Times New Roman" w:hAnsi="Times New Roman"/>
          <w:b w:val="0"/>
          <w:szCs w:val="28"/>
        </w:rPr>
      </w:pPr>
      <w:bookmarkStart w:id="315" w:name="_Toc165386248"/>
      <w:r>
        <w:rPr>
          <w:rFonts w:hint="eastAsia" w:ascii="Times New Roman" w:hAnsi="Times New Roman"/>
          <w:b w:val="0"/>
          <w:szCs w:val="28"/>
        </w:rPr>
        <w:t xml:space="preserve">9.4 </w:t>
      </w:r>
      <w:r>
        <w:rPr>
          <w:rFonts w:ascii="Times New Roman" w:hAnsi="Times New Roman"/>
          <w:b w:val="0"/>
          <w:szCs w:val="28"/>
        </w:rPr>
        <w:t>排污口规范化管理</w:t>
      </w:r>
      <w:bookmarkEnd w:id="310"/>
      <w:bookmarkEnd w:id="311"/>
      <w:bookmarkEnd w:id="312"/>
      <w:bookmarkEnd w:id="313"/>
      <w:bookmarkEnd w:id="315"/>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9.4</w:t>
      </w:r>
      <w:r>
        <w:rPr>
          <w:rFonts w:ascii="Times New Roman"/>
          <w:szCs w:val="24"/>
        </w:rPr>
        <w:t>.1排污口规范化设置</w:t>
      </w:r>
    </w:p>
    <w:p>
      <w:pPr>
        <w:spacing w:line="460" w:lineRule="exact"/>
        <w:ind w:firstLine="480" w:firstLineChars="200"/>
        <w:textAlignment w:val="baseline"/>
        <w:rPr>
          <w:sz w:val="24"/>
        </w:rPr>
      </w:pPr>
      <w:r>
        <w:rPr>
          <w:sz w:val="24"/>
        </w:rPr>
        <w:t>根据国家标准《环境保护图形标志 排放口（源）》和国家环境保护总局《污染物规范化治理要求（试行）》的文件要求，企业所有排放口（包括水、气、声、渣）必须按照“便于采样、便于计量检测、便于日常现场监督检查”的原则和规范，设置与之相适应的环境保护图形标志牌，绘制企业排放口分布图，同时对污水排放口安装流量计和工业废水处理装置在线监测系统。</w:t>
      </w:r>
    </w:p>
    <w:p>
      <w:pPr>
        <w:spacing w:line="460" w:lineRule="exact"/>
        <w:ind w:firstLine="480" w:firstLineChars="200"/>
        <w:textAlignment w:val="baseline"/>
        <w:rPr>
          <w:sz w:val="24"/>
        </w:rPr>
      </w:pPr>
      <w:r>
        <w:rPr>
          <w:rFonts w:hint="eastAsia"/>
          <w:sz w:val="24"/>
        </w:rPr>
        <w:t>企业废气排放口、废水排污口、噪声排放源和固体废物贮存、处置场所应适于采样、监测计量等工作条件，排污单位应按所在地生态环境主管部门的要求设立标志。</w:t>
      </w:r>
    </w:p>
    <w:p>
      <w:pPr>
        <w:spacing w:line="460" w:lineRule="exact"/>
        <w:ind w:firstLine="480" w:firstLineChars="200"/>
        <w:textAlignment w:val="baseline"/>
        <w:rPr>
          <w:sz w:val="24"/>
        </w:rPr>
      </w:pPr>
      <w:r>
        <w:rPr>
          <w:sz w:val="24"/>
        </w:rPr>
        <w:t>1、废气烟囱（烟囱）规范化</w:t>
      </w:r>
    </w:p>
    <w:p>
      <w:pPr>
        <w:spacing w:line="460" w:lineRule="exact"/>
        <w:ind w:firstLine="480" w:firstLineChars="200"/>
        <w:textAlignment w:val="baseline"/>
        <w:rPr>
          <w:sz w:val="24"/>
        </w:rPr>
      </w:pPr>
      <w:r>
        <w:rPr>
          <w:sz w:val="24"/>
        </w:rPr>
        <w:t>烟囱的采样口的设置应符合《污染源监测技术规范》要求，废气排气筒设置便于采样，监测的采样口和采样平台，附近设置环境保护标志。</w:t>
      </w:r>
    </w:p>
    <w:p>
      <w:pPr>
        <w:spacing w:line="460" w:lineRule="exact"/>
        <w:ind w:firstLine="480" w:firstLineChars="200"/>
        <w:textAlignment w:val="baseline"/>
        <w:rPr>
          <w:sz w:val="24"/>
        </w:rPr>
      </w:pPr>
      <w:r>
        <w:rPr>
          <w:sz w:val="24"/>
        </w:rPr>
        <w:t>本项目</w:t>
      </w:r>
      <w:r>
        <w:rPr>
          <w:rFonts w:hint="eastAsia"/>
          <w:sz w:val="24"/>
        </w:rPr>
        <w:t>各</w:t>
      </w:r>
      <w:r>
        <w:rPr>
          <w:sz w:val="24"/>
        </w:rPr>
        <w:t>排气筒应按要求</w:t>
      </w:r>
      <w:r>
        <w:rPr>
          <w:rFonts w:hint="eastAsia"/>
          <w:sz w:val="24"/>
        </w:rPr>
        <w:t>安装</w:t>
      </w:r>
      <w:r>
        <w:rPr>
          <w:sz w:val="24"/>
        </w:rPr>
        <w:t>标志牌，排气筒设置便于采样、监测的采样口和采样监测平台。同时在污染治理设施进出口分别设置采样口，在排气筒附近设置醒目的环境保护图形标志牌。采样孔、点数目和位置按《固定污染源排气中颗粒物测定与气态污染物采样方法》（GB/T16157-1996）和《污染源统一监测分析方法（废气部分）》（[82]城环监字第66号）的规定设置，排气筒高度符合国家大气污染物排放标准的有关规定，排气筒设置符合相关要求。</w:t>
      </w:r>
    </w:p>
    <w:p>
      <w:pPr>
        <w:spacing w:line="460" w:lineRule="exact"/>
        <w:ind w:firstLine="480" w:firstLineChars="200"/>
        <w:textAlignment w:val="baseline"/>
        <w:rPr>
          <w:sz w:val="24"/>
        </w:rPr>
      </w:pPr>
      <w:r>
        <w:rPr>
          <w:sz w:val="24"/>
        </w:rPr>
        <w:t>2、废水排放口规范化</w:t>
      </w:r>
    </w:p>
    <w:p>
      <w:pPr>
        <w:spacing w:line="460" w:lineRule="exact"/>
        <w:ind w:firstLine="480" w:firstLineChars="200"/>
        <w:textAlignment w:val="baseline"/>
        <w:rPr>
          <w:sz w:val="24"/>
        </w:rPr>
      </w:pPr>
      <w:r>
        <w:rPr>
          <w:sz w:val="24"/>
        </w:rPr>
        <w:t>本次项目无生产废水外排。</w:t>
      </w:r>
    </w:p>
    <w:p>
      <w:pPr>
        <w:spacing w:line="460" w:lineRule="exact"/>
        <w:ind w:firstLine="480" w:firstLineChars="200"/>
        <w:textAlignment w:val="baseline"/>
        <w:rPr>
          <w:sz w:val="24"/>
        </w:rPr>
      </w:pPr>
      <w:r>
        <w:rPr>
          <w:sz w:val="24"/>
        </w:rPr>
        <w:t>3、固体废物贮存、堆放场规范化</w:t>
      </w:r>
    </w:p>
    <w:p>
      <w:pPr>
        <w:spacing w:line="460" w:lineRule="exact"/>
        <w:ind w:firstLine="480" w:firstLineChars="200"/>
        <w:textAlignment w:val="baseline"/>
        <w:rPr>
          <w:sz w:val="24"/>
        </w:rPr>
      </w:pPr>
      <w:r>
        <w:rPr>
          <w:sz w:val="24"/>
        </w:rPr>
        <w:t>本项目产生的固体废弃物将储存于封闭式危废</w:t>
      </w:r>
      <w:r>
        <w:rPr>
          <w:rFonts w:hint="eastAsia"/>
          <w:sz w:val="24"/>
        </w:rPr>
        <w:t>暂存间</w:t>
      </w:r>
      <w:r>
        <w:rPr>
          <w:sz w:val="24"/>
        </w:rPr>
        <w:t>，一般性污染物排放口或固体废物贮存堆放场地设置提示性环境保护图形标志牌。并全部具有防扬撒、防流失、防渗漏等措施，贮存(堆放)处进出路口应设置标志牌，排污口标记按照《环境保护图形标志-排放口（源）》（GB15562.1-1995）和《环境保护图形标志-固体废物贮存（处置）场》（GB15562.2-1995）标准执行。</w:t>
      </w:r>
    </w:p>
    <w:p>
      <w:pPr>
        <w:spacing w:line="460" w:lineRule="exact"/>
        <w:ind w:firstLine="480" w:firstLineChars="200"/>
        <w:textAlignment w:val="baseline"/>
        <w:rPr>
          <w:sz w:val="24"/>
        </w:rPr>
      </w:pPr>
      <w:r>
        <w:rPr>
          <w:sz w:val="24"/>
        </w:rPr>
        <w:t>4、排污口设置标志牌要求</w:t>
      </w:r>
    </w:p>
    <w:p>
      <w:pPr>
        <w:spacing w:line="460" w:lineRule="exact"/>
        <w:ind w:firstLine="480" w:firstLineChars="200"/>
        <w:textAlignment w:val="baseline"/>
        <w:rPr>
          <w:sz w:val="24"/>
        </w:rPr>
      </w:pPr>
      <w:r>
        <w:rPr>
          <w:rFonts w:hint="eastAsia"/>
          <w:sz w:val="24"/>
        </w:rPr>
        <w:t>本项目应按《环境保护图形标志-排放口（源）》（GB15562.1-1995）、《环境保护图形标志-固体废物贮存（处置）场》（GB 15562.2-1995）及其修改单定的图形，在各气、声排污口（源）挂牌标识，做到各排污口（源）的环保标志明显，便于企业管理和公众监督。</w:t>
      </w:r>
    </w:p>
    <w:p>
      <w:pPr>
        <w:spacing w:line="460" w:lineRule="exact"/>
        <w:ind w:firstLine="480" w:firstLineChars="200"/>
        <w:textAlignment w:val="baseline"/>
        <w:rPr>
          <w:sz w:val="24"/>
        </w:rPr>
      </w:pPr>
      <w:r>
        <w:rPr>
          <w:rFonts w:hint="eastAsia"/>
          <w:sz w:val="24"/>
        </w:rPr>
        <w:t>列入总量控制污染物的排污口为管理的重点，排污口应便于采样与计量监测，便于日常现场监督检查。排污口位置必须合理确定，按要求规范化管理。</w:t>
      </w:r>
    </w:p>
    <w:p>
      <w:pPr>
        <w:spacing w:line="460" w:lineRule="exact"/>
        <w:ind w:firstLine="480" w:firstLineChars="200"/>
        <w:textAlignment w:val="baseline"/>
        <w:rPr>
          <w:sz w:val="24"/>
        </w:rPr>
      </w:pPr>
      <w:r>
        <w:rPr>
          <w:rFonts w:hint="eastAsia"/>
          <w:sz w:val="24"/>
        </w:rPr>
        <w:t>污染物排放口的环保图形标志牌应设置在靠近采样点的醒目位置处，标志牌设置高度为其上缘距地面约2m。排污口附近1m 范围内无建筑物，设立式标志牌。</w:t>
      </w:r>
    </w:p>
    <w:p>
      <w:pPr>
        <w:spacing w:line="460" w:lineRule="exact"/>
        <w:ind w:firstLine="480" w:firstLineChars="200"/>
        <w:textAlignment w:val="baseline"/>
        <w:rPr>
          <w:sz w:val="24"/>
        </w:rPr>
      </w:pPr>
      <w:r>
        <w:rPr>
          <w:rFonts w:hint="eastAsia"/>
          <w:sz w:val="24"/>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spacing w:line="460" w:lineRule="exact"/>
        <w:ind w:firstLine="480" w:firstLineChars="200"/>
        <w:textAlignment w:val="baseline"/>
        <w:rPr>
          <w:sz w:val="24"/>
        </w:rPr>
      </w:pPr>
      <w:r>
        <w:rPr>
          <w:rFonts w:hint="eastAsia"/>
          <w:sz w:val="24"/>
        </w:rPr>
        <w:t>危险废物的容器和包装物，以及收集、贮存、利用、处置危险废物的设施、场所使用的环境保护识别标志的设置，按照《危险废物识别标志设置技术规范》（HJ 1276-2022）设置。</w:t>
      </w:r>
    </w:p>
    <w:p>
      <w:pPr>
        <w:spacing w:line="460" w:lineRule="exact"/>
        <w:ind w:firstLine="480" w:firstLineChars="200"/>
        <w:textAlignment w:val="baseline"/>
        <w:rPr>
          <w:sz w:val="24"/>
        </w:rPr>
      </w:pPr>
      <w:r>
        <w:rPr>
          <w:rFonts w:hint="eastAsia"/>
          <w:sz w:val="24"/>
        </w:rPr>
        <w:t>环境保护图形标志具体设置图形见表9.4-1。危险废物识别标志见表9.4-2，危险特性警示图形见表9.4-3。</w:t>
      </w:r>
    </w:p>
    <w:p>
      <w:pPr>
        <w:pStyle w:val="660"/>
        <w:spacing w:line="240" w:lineRule="auto"/>
        <w:ind w:firstLine="420"/>
        <w:jc w:val="both"/>
        <w:rPr>
          <w:rFonts w:eastAsia="黑体"/>
          <w:b w:val="0"/>
          <w:sz w:val="21"/>
        </w:rPr>
      </w:pPr>
      <w:r>
        <w:rPr>
          <w:rFonts w:hint="eastAsia" w:eastAsia="黑体"/>
          <w:b w:val="0"/>
          <w:sz w:val="21"/>
        </w:rPr>
        <w:t>表9.4-1               环境保护图形标志设置图形表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127"/>
        <w:gridCol w:w="2232"/>
        <w:gridCol w:w="1642"/>
        <w:gridCol w:w="1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序号</w:t>
            </w: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提示图形符号</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背景颜色：绿色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图形颜色：白色</w:t>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警告图形符号</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背景颜色：黄色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图形颜色：黑色</w:t>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名称</w:t>
            </w:r>
          </w:p>
        </w:tc>
        <w:tc>
          <w:tcPr>
            <w:tcW w:w="1643"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w:t>
            </w: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56640" cy="1485265"/>
                  <wp:effectExtent l="0" t="0" r="0" b="635"/>
                  <wp:docPr id="1868126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26393" name="图片 1"/>
                          <pic:cNvPicPr>
                            <a:picLocks noChangeAspect="1"/>
                          </pic:cNvPicPr>
                        </pic:nvPicPr>
                        <pic:blipFill>
                          <a:blip r:embed="rId64"/>
                          <a:stretch>
                            <a:fillRect/>
                          </a:stretch>
                        </pic:blipFill>
                        <pic:spPr>
                          <a:xfrm>
                            <a:off x="0" y="0"/>
                            <a:ext cx="1057143" cy="1485714"/>
                          </a:xfrm>
                          <a:prstGeom prst="rect">
                            <a:avLst/>
                          </a:prstGeom>
                        </pic:spPr>
                      </pic:pic>
                    </a:graphicData>
                  </a:graphic>
                </wp:inline>
              </w:drawing>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18540" cy="1466215"/>
                  <wp:effectExtent l="0" t="0" r="0" b="635"/>
                  <wp:docPr id="1763434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4384" name="图片 1"/>
                          <pic:cNvPicPr>
                            <a:picLocks noChangeAspect="1"/>
                          </pic:cNvPicPr>
                        </pic:nvPicPr>
                        <pic:blipFill>
                          <a:blip r:embed="rId65"/>
                          <a:stretch>
                            <a:fillRect/>
                          </a:stretch>
                        </pic:blipFill>
                        <pic:spPr>
                          <a:xfrm>
                            <a:off x="0" y="0"/>
                            <a:ext cx="1019048" cy="1466667"/>
                          </a:xfrm>
                          <a:prstGeom prst="rect">
                            <a:avLst/>
                          </a:prstGeom>
                        </pic:spPr>
                      </pic:pic>
                    </a:graphicData>
                  </a:graphic>
                </wp:inline>
              </w:drawing>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废气排放口</w:t>
            </w:r>
          </w:p>
        </w:tc>
        <w:tc>
          <w:tcPr>
            <w:tcW w:w="1643"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表示废气向大气排放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2</w:t>
            </w: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66165" cy="1466215"/>
                  <wp:effectExtent l="0" t="0" r="635" b="635"/>
                  <wp:docPr id="895972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2805" name="图片 1"/>
                          <pic:cNvPicPr>
                            <a:picLocks noChangeAspect="1"/>
                          </pic:cNvPicPr>
                        </pic:nvPicPr>
                        <pic:blipFill>
                          <a:blip r:embed="rId66"/>
                          <a:stretch>
                            <a:fillRect/>
                          </a:stretch>
                        </pic:blipFill>
                        <pic:spPr>
                          <a:xfrm>
                            <a:off x="0" y="0"/>
                            <a:ext cx="1066667" cy="1466667"/>
                          </a:xfrm>
                          <a:prstGeom prst="rect">
                            <a:avLst/>
                          </a:prstGeom>
                        </pic:spPr>
                      </pic:pic>
                    </a:graphicData>
                  </a:graphic>
                </wp:inline>
              </w:drawing>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28065" cy="1485265"/>
                  <wp:effectExtent l="0" t="0" r="635" b="635"/>
                  <wp:docPr id="1818725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25421" name="图片 1"/>
                          <pic:cNvPicPr>
                            <a:picLocks noChangeAspect="1"/>
                          </pic:cNvPicPr>
                        </pic:nvPicPr>
                        <pic:blipFill>
                          <a:blip r:embed="rId67"/>
                          <a:stretch>
                            <a:fillRect/>
                          </a:stretch>
                        </pic:blipFill>
                        <pic:spPr>
                          <a:xfrm>
                            <a:off x="0" y="0"/>
                            <a:ext cx="1028571" cy="1485714"/>
                          </a:xfrm>
                          <a:prstGeom prst="rect">
                            <a:avLst/>
                          </a:prstGeom>
                        </pic:spPr>
                      </pic:pic>
                    </a:graphicData>
                  </a:graphic>
                </wp:inline>
              </w:drawing>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废水排放口</w:t>
            </w:r>
          </w:p>
        </w:tc>
        <w:tc>
          <w:tcPr>
            <w:tcW w:w="1643"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表示废水向水体排放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3</w:t>
            </w: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09015" cy="1475740"/>
                  <wp:effectExtent l="0" t="0" r="635" b="0"/>
                  <wp:docPr id="925099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99428" name="图片 1"/>
                          <pic:cNvPicPr>
                            <a:picLocks noChangeAspect="1"/>
                          </pic:cNvPicPr>
                        </pic:nvPicPr>
                        <pic:blipFill>
                          <a:blip r:embed="rId68"/>
                          <a:stretch>
                            <a:fillRect/>
                          </a:stretch>
                        </pic:blipFill>
                        <pic:spPr>
                          <a:xfrm>
                            <a:off x="0" y="0"/>
                            <a:ext cx="1009524" cy="1476190"/>
                          </a:xfrm>
                          <a:prstGeom prst="rect">
                            <a:avLst/>
                          </a:prstGeom>
                        </pic:spPr>
                      </pic:pic>
                    </a:graphicData>
                  </a:graphic>
                </wp:inline>
              </w:drawing>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09015" cy="1475740"/>
                  <wp:effectExtent l="0" t="0" r="635" b="0"/>
                  <wp:docPr id="619608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8936" name="图片 1"/>
                          <pic:cNvPicPr>
                            <a:picLocks noChangeAspect="1"/>
                          </pic:cNvPicPr>
                        </pic:nvPicPr>
                        <pic:blipFill>
                          <a:blip r:embed="rId69"/>
                          <a:stretch>
                            <a:fillRect/>
                          </a:stretch>
                        </pic:blipFill>
                        <pic:spPr>
                          <a:xfrm>
                            <a:off x="0" y="0"/>
                            <a:ext cx="1009524" cy="1476190"/>
                          </a:xfrm>
                          <a:prstGeom prst="rect">
                            <a:avLst/>
                          </a:prstGeom>
                        </pic:spPr>
                      </pic:pic>
                    </a:graphicData>
                  </a:graphic>
                </wp:inline>
              </w:drawing>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一般固体废物储存</w:t>
            </w:r>
          </w:p>
        </w:tc>
        <w:tc>
          <w:tcPr>
            <w:tcW w:w="1643"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表示固废储存场所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00125" cy="1586230"/>
                  <wp:effectExtent l="0" t="0" r="9525" b="0"/>
                  <wp:docPr id="1982355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55914" name="图片 1"/>
                          <pic:cNvPicPr>
                            <a:picLocks noChangeAspect="1"/>
                          </pic:cNvPicPr>
                        </pic:nvPicPr>
                        <pic:blipFill>
                          <a:blip r:embed="rId70"/>
                          <a:stretch>
                            <a:fillRect/>
                          </a:stretch>
                        </pic:blipFill>
                        <pic:spPr>
                          <a:xfrm>
                            <a:off x="0" y="0"/>
                            <a:ext cx="1019037" cy="1615902"/>
                          </a:xfrm>
                          <a:prstGeom prst="rect">
                            <a:avLst/>
                          </a:prstGeom>
                        </pic:spPr>
                      </pic:pic>
                    </a:graphicData>
                  </a:graphic>
                </wp:inline>
              </w:drawing>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危险废物储存</w:t>
            </w:r>
          </w:p>
        </w:tc>
        <w:tc>
          <w:tcPr>
            <w:tcW w:w="1643" w:type="dxa"/>
            <w:vMerge w:val="continue"/>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w:t>
            </w:r>
          </w:p>
        </w:tc>
        <w:tc>
          <w:tcPr>
            <w:tcW w:w="2127"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980440" cy="1466215"/>
                  <wp:effectExtent l="0" t="0" r="0" b="635"/>
                  <wp:docPr id="1173566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66540" name="图片 1"/>
                          <pic:cNvPicPr>
                            <a:picLocks noChangeAspect="1"/>
                          </pic:cNvPicPr>
                        </pic:nvPicPr>
                        <pic:blipFill>
                          <a:blip r:embed="rId71"/>
                          <a:stretch>
                            <a:fillRect/>
                          </a:stretch>
                        </pic:blipFill>
                        <pic:spPr>
                          <a:xfrm>
                            <a:off x="0" y="0"/>
                            <a:ext cx="980952" cy="1466667"/>
                          </a:xfrm>
                          <a:prstGeom prst="rect">
                            <a:avLst/>
                          </a:prstGeom>
                        </pic:spPr>
                      </pic:pic>
                    </a:graphicData>
                  </a:graphic>
                </wp:inline>
              </w:drawing>
            </w:r>
          </w:p>
        </w:tc>
        <w:tc>
          <w:tcPr>
            <w:tcW w:w="223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018540" cy="1485265"/>
                  <wp:effectExtent l="0" t="0" r="0" b="635"/>
                  <wp:docPr id="810201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1274" name="图片 1"/>
                          <pic:cNvPicPr>
                            <a:picLocks noChangeAspect="1"/>
                          </pic:cNvPicPr>
                        </pic:nvPicPr>
                        <pic:blipFill>
                          <a:blip r:embed="rId72"/>
                          <a:stretch>
                            <a:fillRect/>
                          </a:stretch>
                        </pic:blipFill>
                        <pic:spPr>
                          <a:xfrm>
                            <a:off x="0" y="0"/>
                            <a:ext cx="1019048" cy="1485714"/>
                          </a:xfrm>
                          <a:prstGeom prst="rect">
                            <a:avLst/>
                          </a:prstGeom>
                        </pic:spPr>
                      </pic:pic>
                    </a:graphicData>
                  </a:graphic>
                </wp:inline>
              </w:drawing>
            </w:r>
          </w:p>
        </w:tc>
        <w:tc>
          <w:tcPr>
            <w:tcW w:w="164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噪声源</w:t>
            </w:r>
          </w:p>
        </w:tc>
        <w:tc>
          <w:tcPr>
            <w:tcW w:w="1643"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表示噪声向外环境排放</w:t>
            </w:r>
          </w:p>
        </w:tc>
      </w:tr>
    </w:tbl>
    <w:p>
      <w:pPr>
        <w:pStyle w:val="660"/>
        <w:spacing w:line="240" w:lineRule="auto"/>
        <w:ind w:firstLine="420"/>
        <w:jc w:val="both"/>
        <w:rPr>
          <w:rFonts w:eastAsia="黑体"/>
          <w:b w:val="0"/>
          <w:sz w:val="21"/>
        </w:rPr>
      </w:pPr>
    </w:p>
    <w:p>
      <w:pPr>
        <w:pStyle w:val="660"/>
        <w:spacing w:line="240" w:lineRule="auto"/>
        <w:ind w:firstLine="420"/>
        <w:jc w:val="both"/>
        <w:rPr>
          <w:rFonts w:eastAsia="黑体"/>
          <w:b w:val="0"/>
          <w:sz w:val="21"/>
        </w:rPr>
      </w:pPr>
      <w:r>
        <w:rPr>
          <w:rFonts w:hint="eastAsia" w:eastAsia="黑体"/>
          <w:b w:val="0"/>
          <w:sz w:val="21"/>
        </w:rPr>
        <w:t>表9.4-2                危险废物识别标志表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5"/>
        <w:gridCol w:w="4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危险废物标签设置示意图</w:t>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附着式危险废物贮存分区标志设置示意图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449830" cy="1950720"/>
                  <wp:effectExtent l="0" t="0" r="7620" b="0"/>
                  <wp:docPr id="1665486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6805" name="图片 1"/>
                          <pic:cNvPicPr>
                            <a:picLocks noChangeAspect="1"/>
                          </pic:cNvPicPr>
                        </pic:nvPicPr>
                        <pic:blipFill>
                          <a:blip r:embed="rId73"/>
                          <a:stretch>
                            <a:fillRect/>
                          </a:stretch>
                        </pic:blipFill>
                        <pic:spPr>
                          <a:xfrm>
                            <a:off x="0" y="0"/>
                            <a:ext cx="2488545" cy="1981513"/>
                          </a:xfrm>
                          <a:prstGeom prst="rect">
                            <a:avLst/>
                          </a:prstGeom>
                        </pic:spPr>
                      </pic:pic>
                    </a:graphicData>
                  </a:graphic>
                </wp:inline>
              </w:drawing>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472690" cy="1940560"/>
                  <wp:effectExtent l="0" t="0" r="3810" b="2540"/>
                  <wp:docPr id="34983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36423" name="图片 1"/>
                          <pic:cNvPicPr>
                            <a:picLocks noChangeAspect="1"/>
                          </pic:cNvPicPr>
                        </pic:nvPicPr>
                        <pic:blipFill>
                          <a:blip r:embed="rId74"/>
                          <a:stretch>
                            <a:fillRect/>
                          </a:stretch>
                        </pic:blipFill>
                        <pic:spPr>
                          <a:xfrm>
                            <a:off x="0" y="0"/>
                            <a:ext cx="2500893" cy="1962584"/>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附着式危险废物设施标志设施示意图</w:t>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危险废物标签样式示意图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432050" cy="1539240"/>
                  <wp:effectExtent l="0" t="0" r="6350" b="3810"/>
                  <wp:docPr id="1461833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3129" name="图片 1"/>
                          <pic:cNvPicPr>
                            <a:picLocks noChangeAspect="1"/>
                          </pic:cNvPicPr>
                        </pic:nvPicPr>
                        <pic:blipFill>
                          <a:blip r:embed="rId75"/>
                          <a:stretch>
                            <a:fillRect/>
                          </a:stretch>
                        </pic:blipFill>
                        <pic:spPr>
                          <a:xfrm>
                            <a:off x="0" y="0"/>
                            <a:ext cx="2445255" cy="1547388"/>
                          </a:xfrm>
                          <a:prstGeom prst="rect">
                            <a:avLst/>
                          </a:prstGeom>
                        </pic:spPr>
                      </pic:pic>
                    </a:graphicData>
                  </a:graphic>
                </wp:inline>
              </w:drawing>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811020" cy="1804670"/>
                  <wp:effectExtent l="0" t="0" r="0" b="5080"/>
                  <wp:docPr id="1372321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21271" name="图片 1"/>
                          <pic:cNvPicPr>
                            <a:picLocks noChangeAspect="1"/>
                          </pic:cNvPicPr>
                        </pic:nvPicPr>
                        <pic:blipFill>
                          <a:blip r:embed="rId76"/>
                          <a:stretch>
                            <a:fillRect/>
                          </a:stretch>
                        </pic:blipFill>
                        <pic:spPr>
                          <a:xfrm>
                            <a:off x="0" y="0"/>
                            <a:ext cx="1831658" cy="1824972"/>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危险废物贮存分区标志样式示意图</w:t>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危险废物贮存设施标志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328545" cy="1962785"/>
                  <wp:effectExtent l="0" t="0" r="0" b="0"/>
                  <wp:docPr id="1346455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5183" name="图片 1"/>
                          <pic:cNvPicPr>
                            <a:picLocks noChangeAspect="1"/>
                          </pic:cNvPicPr>
                        </pic:nvPicPr>
                        <pic:blipFill>
                          <a:blip r:embed="rId77"/>
                          <a:stretch>
                            <a:fillRect/>
                          </a:stretch>
                        </pic:blipFill>
                        <pic:spPr>
                          <a:xfrm>
                            <a:off x="0" y="0"/>
                            <a:ext cx="2365181" cy="1993638"/>
                          </a:xfrm>
                          <a:prstGeom prst="rect">
                            <a:avLst/>
                          </a:prstGeom>
                        </pic:spPr>
                      </pic:pic>
                    </a:graphicData>
                  </a:graphic>
                </wp:inline>
              </w:drawing>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562860" cy="1612265"/>
                  <wp:effectExtent l="0" t="0" r="8890" b="6985"/>
                  <wp:docPr id="1460410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0053" name="图片 1"/>
                          <pic:cNvPicPr>
                            <a:picLocks noChangeAspect="1"/>
                          </pic:cNvPicPr>
                        </pic:nvPicPr>
                        <pic:blipFill>
                          <a:blip r:embed="rId78"/>
                          <a:stretch>
                            <a:fillRect/>
                          </a:stretch>
                        </pic:blipFill>
                        <pic:spPr>
                          <a:xfrm>
                            <a:off x="0" y="0"/>
                            <a:ext cx="2599274" cy="1635257"/>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危险废物利用设施标志</w:t>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危险废物处置设施标志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5"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430145" cy="1517650"/>
                  <wp:effectExtent l="0" t="0" r="8255" b="6350"/>
                  <wp:docPr id="1746444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44674" name="图片 1"/>
                          <pic:cNvPicPr>
                            <a:picLocks noChangeAspect="1"/>
                          </pic:cNvPicPr>
                        </pic:nvPicPr>
                        <pic:blipFill>
                          <a:blip r:embed="rId79"/>
                          <a:stretch>
                            <a:fillRect/>
                          </a:stretch>
                        </pic:blipFill>
                        <pic:spPr>
                          <a:xfrm>
                            <a:off x="0" y="0"/>
                            <a:ext cx="2451099" cy="1531005"/>
                          </a:xfrm>
                          <a:prstGeom prst="rect">
                            <a:avLst/>
                          </a:prstGeom>
                        </pic:spPr>
                      </pic:pic>
                    </a:graphicData>
                  </a:graphic>
                </wp:inline>
              </w:drawing>
            </w:r>
          </w:p>
        </w:tc>
        <w:tc>
          <w:tcPr>
            <w:tcW w:w="410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2541905" cy="1578610"/>
                  <wp:effectExtent l="0" t="0" r="0" b="2540"/>
                  <wp:docPr id="991504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04039" name="图片 1"/>
                          <pic:cNvPicPr>
                            <a:picLocks noChangeAspect="1"/>
                          </pic:cNvPicPr>
                        </pic:nvPicPr>
                        <pic:blipFill>
                          <a:blip r:embed="rId80"/>
                          <a:stretch>
                            <a:fillRect/>
                          </a:stretch>
                        </pic:blipFill>
                        <pic:spPr>
                          <a:xfrm>
                            <a:off x="0" y="0"/>
                            <a:ext cx="2583613" cy="1604348"/>
                          </a:xfrm>
                          <a:prstGeom prst="rect">
                            <a:avLst/>
                          </a:prstGeom>
                        </pic:spPr>
                      </pic:pic>
                    </a:graphicData>
                  </a:graphic>
                </wp:inline>
              </w:drawing>
            </w:r>
          </w:p>
        </w:tc>
      </w:tr>
    </w:tbl>
    <w:p>
      <w:pPr>
        <w:pStyle w:val="660"/>
        <w:spacing w:line="240" w:lineRule="auto"/>
        <w:ind w:firstLine="420"/>
        <w:jc w:val="both"/>
        <w:rPr>
          <w:rFonts w:eastAsia="黑体"/>
          <w:b w:val="0"/>
          <w:sz w:val="21"/>
        </w:rPr>
      </w:pPr>
    </w:p>
    <w:p>
      <w:pPr>
        <w:pStyle w:val="660"/>
        <w:spacing w:line="240" w:lineRule="auto"/>
        <w:ind w:firstLine="420"/>
        <w:jc w:val="both"/>
        <w:rPr>
          <w:rFonts w:eastAsia="黑体"/>
          <w:b w:val="0"/>
          <w:sz w:val="21"/>
        </w:rPr>
      </w:pPr>
      <w:r>
        <w:rPr>
          <w:rFonts w:hint="eastAsia" w:eastAsia="黑体"/>
          <w:b w:val="0"/>
          <w:sz w:val="21"/>
        </w:rPr>
        <w:t>表9.4-3                    危险特性警示图形</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701"/>
        <w:gridCol w:w="3402"/>
        <w:gridCol w:w="2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序号</w:t>
            </w:r>
          </w:p>
        </w:tc>
        <w:tc>
          <w:tcPr>
            <w:tcW w:w="170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危险特性</w:t>
            </w:r>
          </w:p>
        </w:tc>
        <w:tc>
          <w:tcPr>
            <w:tcW w:w="340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警示图形</w:t>
            </w:r>
          </w:p>
        </w:tc>
        <w:tc>
          <w:tcPr>
            <w:tcW w:w="239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w:t>
            </w:r>
          </w:p>
        </w:tc>
        <w:tc>
          <w:tcPr>
            <w:tcW w:w="170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腐蚀性</w:t>
            </w:r>
          </w:p>
        </w:tc>
        <w:tc>
          <w:tcPr>
            <w:tcW w:w="340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628140" cy="1570990"/>
                  <wp:effectExtent l="0" t="0" r="0" b="0"/>
                  <wp:docPr id="1112684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84654" name="图片 1"/>
                          <pic:cNvPicPr>
                            <a:picLocks noChangeAspect="1"/>
                          </pic:cNvPicPr>
                        </pic:nvPicPr>
                        <pic:blipFill>
                          <a:blip r:embed="rId81"/>
                          <a:stretch>
                            <a:fillRect/>
                          </a:stretch>
                        </pic:blipFill>
                        <pic:spPr>
                          <a:xfrm>
                            <a:off x="0" y="0"/>
                            <a:ext cx="1628571" cy="1571429"/>
                          </a:xfrm>
                          <a:prstGeom prst="rect">
                            <a:avLst/>
                          </a:prstGeom>
                        </pic:spPr>
                      </pic:pic>
                    </a:graphicData>
                  </a:graphic>
                </wp:inline>
              </w:drawing>
            </w:r>
          </w:p>
        </w:tc>
        <w:tc>
          <w:tcPr>
            <w:tcW w:w="239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符号：黑色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底色：上白下黑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2</w:t>
            </w:r>
          </w:p>
        </w:tc>
        <w:tc>
          <w:tcPr>
            <w:tcW w:w="170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毒性</w:t>
            </w:r>
          </w:p>
        </w:tc>
        <w:tc>
          <w:tcPr>
            <w:tcW w:w="340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694815" cy="1580515"/>
                  <wp:effectExtent l="0" t="0" r="635" b="635"/>
                  <wp:docPr id="1754845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5880" name="图片 1"/>
                          <pic:cNvPicPr>
                            <a:picLocks noChangeAspect="1"/>
                          </pic:cNvPicPr>
                        </pic:nvPicPr>
                        <pic:blipFill>
                          <a:blip r:embed="rId82"/>
                          <a:stretch>
                            <a:fillRect/>
                          </a:stretch>
                        </pic:blipFill>
                        <pic:spPr>
                          <a:xfrm>
                            <a:off x="0" y="0"/>
                            <a:ext cx="1695238" cy="1580952"/>
                          </a:xfrm>
                          <a:prstGeom prst="rect">
                            <a:avLst/>
                          </a:prstGeom>
                        </pic:spPr>
                      </pic:pic>
                    </a:graphicData>
                  </a:graphic>
                </wp:inline>
              </w:drawing>
            </w:r>
          </w:p>
        </w:tc>
        <w:tc>
          <w:tcPr>
            <w:tcW w:w="239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符号：黑色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底色：被色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3</w:t>
            </w:r>
          </w:p>
        </w:tc>
        <w:tc>
          <w:tcPr>
            <w:tcW w:w="170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易燃性</w:t>
            </w:r>
          </w:p>
        </w:tc>
        <w:tc>
          <w:tcPr>
            <w:tcW w:w="340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504315" cy="1494790"/>
                  <wp:effectExtent l="0" t="0" r="635" b="0"/>
                  <wp:docPr id="1573157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57077" name="图片 1"/>
                          <pic:cNvPicPr>
                            <a:picLocks noChangeAspect="1"/>
                          </pic:cNvPicPr>
                        </pic:nvPicPr>
                        <pic:blipFill>
                          <a:blip r:embed="rId83"/>
                          <a:stretch>
                            <a:fillRect/>
                          </a:stretch>
                        </pic:blipFill>
                        <pic:spPr>
                          <a:xfrm>
                            <a:off x="0" y="0"/>
                            <a:ext cx="1504762" cy="1495238"/>
                          </a:xfrm>
                          <a:prstGeom prst="rect">
                            <a:avLst/>
                          </a:prstGeom>
                        </pic:spPr>
                      </pic:pic>
                    </a:graphicData>
                  </a:graphic>
                </wp:inline>
              </w:drawing>
            </w:r>
          </w:p>
        </w:tc>
        <w:tc>
          <w:tcPr>
            <w:tcW w:w="239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符号：黑色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底色：红色   （RGB：225,0,0）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w:t>
            </w:r>
          </w:p>
        </w:tc>
        <w:tc>
          <w:tcPr>
            <w:tcW w:w="170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反应性</w:t>
            </w:r>
          </w:p>
        </w:tc>
        <w:tc>
          <w:tcPr>
            <w:tcW w:w="340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kern w:val="0"/>
              </w:rPr>
              <w:drawing>
                <wp:inline distT="0" distB="0" distL="0" distR="0">
                  <wp:extent cx="1656715" cy="1590040"/>
                  <wp:effectExtent l="0" t="0" r="635" b="0"/>
                  <wp:docPr id="2093635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35987" name="图片 1"/>
                          <pic:cNvPicPr>
                            <a:picLocks noChangeAspect="1"/>
                          </pic:cNvPicPr>
                        </pic:nvPicPr>
                        <pic:blipFill>
                          <a:blip r:embed="rId84"/>
                          <a:stretch>
                            <a:fillRect/>
                          </a:stretch>
                        </pic:blipFill>
                        <pic:spPr>
                          <a:xfrm>
                            <a:off x="0" y="0"/>
                            <a:ext cx="1657143" cy="1590476"/>
                          </a:xfrm>
                          <a:prstGeom prst="rect">
                            <a:avLst/>
                          </a:prstGeom>
                        </pic:spPr>
                      </pic:pic>
                    </a:graphicData>
                  </a:graphic>
                </wp:inline>
              </w:drawing>
            </w:r>
          </w:p>
        </w:tc>
        <w:tc>
          <w:tcPr>
            <w:tcW w:w="239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符号：黑色</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底色：黄色   （RGB：225,225,0）</w:t>
            </w:r>
          </w:p>
        </w:tc>
      </w:tr>
    </w:tbl>
    <w:p>
      <w:pPr>
        <w:spacing w:line="460" w:lineRule="exact"/>
        <w:ind w:firstLine="480" w:firstLineChars="200"/>
        <w:textAlignment w:val="baseline"/>
        <w:rPr>
          <w:sz w:val="24"/>
        </w:rPr>
      </w:pP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9.4</w:t>
      </w:r>
      <w:r>
        <w:rPr>
          <w:rFonts w:ascii="Times New Roman"/>
          <w:szCs w:val="24"/>
        </w:rPr>
        <w:t>.2排污口规范化管理</w:t>
      </w:r>
    </w:p>
    <w:p>
      <w:pPr>
        <w:spacing w:line="460" w:lineRule="exact"/>
        <w:ind w:firstLine="480" w:firstLineChars="200"/>
        <w:rPr>
          <w:sz w:val="24"/>
        </w:rPr>
      </w:pPr>
      <w:r>
        <w:rPr>
          <w:rFonts w:hint="eastAsia"/>
          <w:sz w:val="24"/>
        </w:rPr>
        <w:t>昌吉市昊慧盛塑料制品厂</w:t>
      </w:r>
      <w:r>
        <w:rPr>
          <w:sz w:val="24"/>
        </w:rPr>
        <w:t>应按照有关规定设置与管理排污口。</w:t>
      </w:r>
    </w:p>
    <w:p>
      <w:pPr>
        <w:spacing w:line="460" w:lineRule="exact"/>
        <w:ind w:firstLine="480" w:firstLineChars="200"/>
        <w:rPr>
          <w:sz w:val="24"/>
        </w:rPr>
      </w:pPr>
      <w:r>
        <w:rPr>
          <w:sz w:val="24"/>
        </w:rPr>
        <w:t>1、本工程建成后应按要求使用国家环保总局统一印制的《中华人民共和国规范化排污口标志登记证》，并按要求填写有关内容；</w:t>
      </w:r>
    </w:p>
    <w:p>
      <w:pPr>
        <w:spacing w:line="460" w:lineRule="exact"/>
        <w:ind w:firstLine="480" w:firstLineChars="200"/>
        <w:rPr>
          <w:sz w:val="24"/>
        </w:rPr>
      </w:pPr>
      <w:r>
        <w:rPr>
          <w:sz w:val="24"/>
        </w:rPr>
        <w:t>2、根据排污口管理档案内容的要求，本工程建成投产后，应将主要污染物的种类、数量、浓度、排放去向、立标情况及设施运行情况记录于档案。</w:t>
      </w:r>
    </w:p>
    <w:p>
      <w:pPr>
        <w:spacing w:line="460" w:lineRule="exact"/>
        <w:ind w:firstLine="480" w:firstLineChars="200"/>
        <w:rPr>
          <w:sz w:val="24"/>
        </w:rPr>
      </w:pPr>
      <w:r>
        <w:rPr>
          <w:sz w:val="24"/>
        </w:rPr>
        <w:t>3、本次项目实施后，企业应将“三废”排放纳入排污口管理体系，及时更新各排污口排放的污染物种类、数量、排放方式等内容，并登记上报生态环境管理部门，以便进行项目实施后的“三同时”验收和排放口的规范化管理。</w:t>
      </w:r>
    </w:p>
    <w:p>
      <w:pPr>
        <w:spacing w:line="460" w:lineRule="exact"/>
        <w:ind w:firstLine="480" w:firstLineChars="200"/>
        <w:textAlignment w:val="baseline"/>
        <w:rPr>
          <w:sz w:val="24"/>
        </w:rPr>
      </w:pPr>
      <w:r>
        <w:rPr>
          <w:rFonts w:hint="eastAsia"/>
          <w:sz w:val="24"/>
        </w:rPr>
        <w:t>本项目排污口规范化管理具体要求见表9.4-4。</w:t>
      </w:r>
    </w:p>
    <w:p>
      <w:pPr>
        <w:pStyle w:val="660"/>
        <w:spacing w:line="240" w:lineRule="auto"/>
        <w:ind w:firstLine="420"/>
        <w:jc w:val="both"/>
        <w:rPr>
          <w:rFonts w:eastAsia="黑体"/>
          <w:b w:val="0"/>
          <w:sz w:val="21"/>
        </w:rPr>
      </w:pPr>
      <w:r>
        <w:rPr>
          <w:rFonts w:hint="eastAsia" w:eastAsia="黑体"/>
          <w:b w:val="0"/>
          <w:sz w:val="21"/>
        </w:rPr>
        <w:t>表9.4-4              排污口规范化管理要求一览表</w:t>
      </w:r>
    </w:p>
    <w:tbl>
      <w:tblPr>
        <w:tblStyle w:val="60"/>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项目</w:t>
            </w:r>
          </w:p>
        </w:tc>
        <w:tc>
          <w:tcPr>
            <w:tcW w:w="7796"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主要要求内容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基本原则</w:t>
            </w:r>
          </w:p>
        </w:tc>
        <w:tc>
          <w:tcPr>
            <w:tcW w:w="7796" w:type="dxa"/>
            <w:vAlign w:val="center"/>
          </w:tcPr>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①凡向环境排放污染物的一切排污口必须进行规范化管理；</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②将总量控制的污染物排污口及行业特征污染物排放口列为管理的重点；</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③排污口设置应便于采样和计量监测，便于日常现场监督和检查；</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④如实向环保行政主管部门申报排污口位置，排污种类、数量、浓度与排放去向等。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技术要求</w:t>
            </w:r>
          </w:p>
        </w:tc>
        <w:tc>
          <w:tcPr>
            <w:tcW w:w="7796" w:type="dxa"/>
            <w:vAlign w:val="center"/>
          </w:tcPr>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①排污口位置必须按照环监（</w:t>
            </w:r>
            <w:r>
              <w:rPr>
                <w:rFonts w:ascii="Times New Roman" w:hAnsi="Times New Roman" w:cs="Times New Roman" w:eastAsiaTheme="minorEastAsia"/>
                <w:kern w:val="0"/>
                <w:sz w:val="21"/>
                <w:szCs w:val="21"/>
              </w:rPr>
              <w:t>1996</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 xml:space="preserve">470 </w:t>
            </w:r>
            <w:r>
              <w:rPr>
                <w:rFonts w:hint="eastAsia" w:ascii="Times New Roman" w:hAnsi="Times New Roman" w:cs="Times New Roman" w:eastAsiaTheme="minorEastAsia"/>
                <w:kern w:val="0"/>
                <w:sz w:val="21"/>
                <w:szCs w:val="21"/>
              </w:rPr>
              <w:t>号文要求合理确定，实行规范化管理；</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②具体设置应符合《污染源监测技术规范》的规定与要求；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立标管理</w:t>
            </w:r>
          </w:p>
        </w:tc>
        <w:tc>
          <w:tcPr>
            <w:tcW w:w="7796" w:type="dxa"/>
            <w:vAlign w:val="center"/>
          </w:tcPr>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①排污口必须按照国家《环境保护图形标志》相关规定，设置环保图形标志牌；</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②标志牌设置位置应距排污口及固体废物贮存（处置）场或采样点较近且醒目处，设置高度一般为标志牌上缘距离地面约</w:t>
            </w:r>
            <w:r>
              <w:rPr>
                <w:rFonts w:ascii="Times New Roman" w:hAnsi="Times New Roman" w:cs="Times New Roman" w:eastAsiaTheme="minorEastAsia"/>
                <w:kern w:val="0"/>
                <w:sz w:val="21"/>
                <w:szCs w:val="21"/>
              </w:rPr>
              <w:t>2m</w:t>
            </w:r>
            <w:r>
              <w:rPr>
                <w:rFonts w:hint="eastAsia" w:ascii="Times New Roman" w:hAnsi="Times New Roman" w:cs="Times New Roman" w:eastAsiaTheme="minorEastAsia"/>
                <w:kern w:val="0"/>
                <w:sz w:val="21"/>
                <w:szCs w:val="21"/>
              </w:rPr>
              <w:t>；</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③重点排污单位排污口设立式标志牌，一般单位排污口可设立式或平面固定式提示性环保图形标志牌；</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④对危险物贮存、处置场所，必须设置警告性环境保护图形标志牌。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建档管理</w:t>
            </w:r>
          </w:p>
        </w:tc>
        <w:tc>
          <w:tcPr>
            <w:tcW w:w="7796" w:type="dxa"/>
            <w:vAlign w:val="center"/>
          </w:tcPr>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①使用《中华人民共和国规范化排污口标志登记证》，并按要求填写有关内容；</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②严格按照环境管理监控计划及排污口管理内容要求，在工程建成后将主要污染物种类、数量、排放浓度与去向，立标及环保设施运行情况记录在案，并及时上报；</w:t>
            </w:r>
          </w:p>
          <w:p>
            <w:pPr>
              <w:pStyle w:val="227"/>
              <w:spacing w:line="240" w:lineRule="auto"/>
              <w:ind w:firstLine="0" w:firstLineChars="0"/>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③选派有专业技能环保人员对排污口进行管理，做到责任明确、奖罚分明。</w:t>
            </w:r>
          </w:p>
        </w:tc>
      </w:tr>
    </w:tbl>
    <w:p>
      <w:pPr>
        <w:spacing w:line="440" w:lineRule="exact"/>
        <w:jc w:val="center"/>
        <w:rPr>
          <w:rFonts w:eastAsia="黑体"/>
        </w:rPr>
      </w:pPr>
    </w:p>
    <w:p>
      <w:pPr>
        <w:pStyle w:val="4"/>
        <w:adjustRightInd w:val="0"/>
        <w:spacing w:before="120" w:after="120" w:line="460" w:lineRule="exact"/>
        <w:textAlignment w:val="baseline"/>
        <w:rPr>
          <w:rFonts w:ascii="Times New Roman" w:hAnsi="Times New Roman"/>
          <w:b w:val="0"/>
          <w:szCs w:val="28"/>
        </w:rPr>
      </w:pPr>
      <w:bookmarkStart w:id="316" w:name="_Toc165386249"/>
      <w:r>
        <w:rPr>
          <w:rFonts w:hint="eastAsia" w:ascii="Times New Roman" w:hAnsi="Times New Roman"/>
          <w:b w:val="0"/>
          <w:szCs w:val="28"/>
        </w:rPr>
        <w:t>9.5 环境影响评价制度与排污许可制衔接分析</w:t>
      </w:r>
      <w:bookmarkEnd w:id="316"/>
    </w:p>
    <w:p>
      <w:pPr>
        <w:spacing w:line="460" w:lineRule="exact"/>
        <w:ind w:firstLine="480" w:firstLineChars="200"/>
        <w:rPr>
          <w:sz w:val="24"/>
        </w:rPr>
      </w:pPr>
      <w:r>
        <w:rPr>
          <w:rFonts w:hint="eastAsia"/>
          <w:sz w:val="24"/>
        </w:rPr>
        <w:t>根据环办环评[2017]84号《关于做好环境影响评价制度与排污许可制衔接相关工作的通知》，为贯彻落实《国务院办公厅关于印发控制污染物排放许可制实施方案的通知》（国办发〔2016〕81 号）和《环境保护部关于印发〈“十三五”环境影响评价改革实施方案〉的通知》（环环评〔2016〕95 号），推进环境质量改善，依据《排污许可管理条例》（国令第736号）做好建设项目环境影响评价制度与排污许可制有机衔接相关工作。</w:t>
      </w:r>
    </w:p>
    <w:p>
      <w:pPr>
        <w:spacing w:line="460" w:lineRule="exact"/>
        <w:ind w:firstLine="480" w:firstLineChars="200"/>
        <w:rPr>
          <w:sz w:val="24"/>
        </w:rPr>
      </w:pPr>
      <w:r>
        <w:rPr>
          <w:rFonts w:hint="eastAsia"/>
          <w:sz w:val="24"/>
        </w:rPr>
        <w:t>建设项目发生实际排污行为之前，排污单位应当按照国家环境保护相关法律法规以及《排污许可证申请与核发技术规范 废弃资源加工工业》（HJ1034-2019）和《排污许可证申请与核发技术规范 橡胶及塑料制品业》（HJ1122-2020）中相关规定申请排污许可证，不得无证排污或不按证排污。污染物排放相关的主要内容应当纳入排污许可证。</w:t>
      </w:r>
    </w:p>
    <w:p>
      <w:pPr>
        <w:spacing w:line="460" w:lineRule="exact"/>
        <w:ind w:firstLine="480" w:firstLineChars="200"/>
        <w:rPr>
          <w:sz w:val="24"/>
        </w:rPr>
      </w:pPr>
      <w:r>
        <w:rPr>
          <w:rFonts w:hint="eastAsia"/>
          <w:sz w:val="24"/>
        </w:rPr>
        <w:t>昌吉市昊慧盛塑料制品厂于2023年5月6日完成固定污染源排污登记，登记编号：92652300MA795HWK9B001Y。</w:t>
      </w:r>
    </w:p>
    <w:p>
      <w:pPr>
        <w:spacing w:line="460" w:lineRule="exact"/>
        <w:ind w:firstLine="480" w:firstLineChars="200"/>
        <w:rPr>
          <w:sz w:val="24"/>
        </w:rPr>
      </w:pPr>
      <w:r>
        <w:rPr>
          <w:rFonts w:hint="eastAsia"/>
          <w:sz w:val="24"/>
        </w:rPr>
        <w:t>因此建设方应按照国家相关要求对排污许可证信息进行变更。排污许可证的申请、受理、审核、发放、变更、延续、注销、撤销、遗失补办应当在全国排污许可证管理信息平台上进行。排污单位自行监测、执行报告及环境保护主管部门监管执法信息应当在全国排污许可证管理信息平台上记载，并按照本办法规定在全国排污许可证管理信息平台上公开。</w:t>
      </w:r>
    </w:p>
    <w:p>
      <w:pPr>
        <w:spacing w:line="460" w:lineRule="exact"/>
        <w:ind w:firstLine="480" w:firstLineChars="200"/>
        <w:rPr>
          <w:sz w:val="24"/>
        </w:rPr>
      </w:pPr>
      <w:r>
        <w:rPr>
          <w:rFonts w:hint="eastAsia"/>
          <w:sz w:val="24"/>
        </w:rPr>
        <w:t>排污单位应当按照排污许可证规定的关于执行报告内容和频次的要求，编制排污许可证执行报告。排污许可证执行报告包括年度执行报告、季度执行报告和月执行报告。</w:t>
      </w:r>
    </w:p>
    <w:p>
      <w:pPr>
        <w:spacing w:line="460" w:lineRule="exact"/>
        <w:ind w:firstLine="480" w:firstLineChars="200"/>
        <w:rPr>
          <w:sz w:val="24"/>
        </w:rPr>
      </w:pPr>
      <w:r>
        <w:rPr>
          <w:rFonts w:hint="eastAsia"/>
          <w:sz w:val="24"/>
        </w:rPr>
        <w:t>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w:t>
      </w:r>
    </w:p>
    <w:p>
      <w:pPr>
        <w:spacing w:line="460" w:lineRule="exact"/>
        <w:ind w:firstLine="480" w:firstLineChars="200"/>
        <w:rPr>
          <w:sz w:val="24"/>
        </w:rPr>
      </w:pPr>
      <w:r>
        <w:rPr>
          <w:rFonts w:hint="eastAsia"/>
          <w:sz w:val="24"/>
        </w:rPr>
        <w:t xml:space="preserve">年度执行报告至少应当包括以下内容： </w:t>
      </w:r>
    </w:p>
    <w:p>
      <w:pPr>
        <w:spacing w:line="460" w:lineRule="exact"/>
        <w:ind w:firstLine="480" w:firstLineChars="200"/>
        <w:rPr>
          <w:sz w:val="24"/>
        </w:rPr>
      </w:pPr>
      <w:r>
        <w:rPr>
          <w:rFonts w:hint="eastAsia"/>
          <w:sz w:val="24"/>
        </w:rPr>
        <w:t xml:space="preserve">1、排污单位基本信息； </w:t>
      </w:r>
    </w:p>
    <w:p>
      <w:pPr>
        <w:spacing w:line="460" w:lineRule="exact"/>
        <w:ind w:firstLine="480" w:firstLineChars="200"/>
        <w:rPr>
          <w:sz w:val="24"/>
        </w:rPr>
      </w:pPr>
      <w:r>
        <w:rPr>
          <w:rFonts w:hint="eastAsia"/>
          <w:sz w:val="24"/>
        </w:rPr>
        <w:t xml:space="preserve">2、污染防治设施正常和异常情况； </w:t>
      </w:r>
    </w:p>
    <w:p>
      <w:pPr>
        <w:spacing w:line="460" w:lineRule="exact"/>
        <w:ind w:firstLine="480" w:firstLineChars="200"/>
        <w:rPr>
          <w:sz w:val="24"/>
        </w:rPr>
      </w:pPr>
      <w:r>
        <w:rPr>
          <w:rFonts w:hint="eastAsia"/>
          <w:sz w:val="24"/>
        </w:rPr>
        <w:t xml:space="preserve">3、自行监测执行情况； </w:t>
      </w:r>
    </w:p>
    <w:p>
      <w:pPr>
        <w:spacing w:line="460" w:lineRule="exact"/>
        <w:ind w:firstLine="480" w:firstLineChars="200"/>
        <w:rPr>
          <w:sz w:val="24"/>
        </w:rPr>
      </w:pPr>
      <w:r>
        <w:rPr>
          <w:rFonts w:hint="eastAsia"/>
          <w:sz w:val="24"/>
        </w:rPr>
        <w:t xml:space="preserve">4、环境管理台账记录执行情况； </w:t>
      </w:r>
    </w:p>
    <w:p>
      <w:pPr>
        <w:spacing w:line="460" w:lineRule="exact"/>
        <w:ind w:firstLine="480" w:firstLineChars="200"/>
        <w:rPr>
          <w:sz w:val="24"/>
        </w:rPr>
      </w:pPr>
      <w:r>
        <w:rPr>
          <w:rFonts w:hint="eastAsia"/>
          <w:sz w:val="24"/>
        </w:rPr>
        <w:t xml:space="preserve">5、实际排放情况及合规判定分析； </w:t>
      </w:r>
    </w:p>
    <w:p>
      <w:pPr>
        <w:spacing w:line="460" w:lineRule="exact"/>
        <w:ind w:firstLine="480" w:firstLineChars="200"/>
        <w:rPr>
          <w:sz w:val="24"/>
        </w:rPr>
      </w:pPr>
      <w:r>
        <w:rPr>
          <w:rFonts w:hint="eastAsia"/>
          <w:sz w:val="24"/>
        </w:rPr>
        <w:t xml:space="preserve">6、信息公开情况； </w:t>
      </w:r>
    </w:p>
    <w:p>
      <w:pPr>
        <w:spacing w:line="460" w:lineRule="exact"/>
        <w:ind w:firstLine="480" w:firstLineChars="200"/>
        <w:rPr>
          <w:sz w:val="24"/>
        </w:rPr>
      </w:pPr>
      <w:r>
        <w:rPr>
          <w:rFonts w:hint="eastAsia"/>
          <w:sz w:val="24"/>
        </w:rPr>
        <w:t>7、排污单位内部环境管理体系建设与运</w:t>
      </w:r>
    </w:p>
    <w:p>
      <w:pPr>
        <w:spacing w:line="460" w:lineRule="exact"/>
        <w:ind w:firstLine="480" w:firstLineChars="200"/>
        <w:rPr>
          <w:sz w:val="24"/>
        </w:rPr>
      </w:pPr>
      <w:r>
        <w:rPr>
          <w:rFonts w:hint="eastAsia"/>
          <w:sz w:val="24"/>
        </w:rPr>
        <w:t>8、其他排污许可证规定的内容执行情况</w:t>
      </w:r>
    </w:p>
    <w:p>
      <w:pPr>
        <w:spacing w:line="460" w:lineRule="exact"/>
        <w:ind w:firstLine="480" w:firstLineChars="200"/>
        <w:rPr>
          <w:sz w:val="24"/>
        </w:rPr>
      </w:pPr>
      <w:r>
        <w:rPr>
          <w:rFonts w:hint="eastAsia"/>
          <w:sz w:val="24"/>
        </w:rPr>
        <w:t xml:space="preserve">9、其他需要说明的问题； </w:t>
      </w:r>
    </w:p>
    <w:p>
      <w:pPr>
        <w:spacing w:line="460" w:lineRule="exact"/>
        <w:ind w:firstLine="480" w:firstLineChars="200"/>
        <w:rPr>
          <w:sz w:val="24"/>
        </w:rPr>
      </w:pPr>
      <w:r>
        <w:rPr>
          <w:rFonts w:hint="eastAsia"/>
          <w:sz w:val="24"/>
        </w:rPr>
        <w:t xml:space="preserve">10、结论； </w:t>
      </w:r>
    </w:p>
    <w:p>
      <w:pPr>
        <w:spacing w:line="460" w:lineRule="exact"/>
        <w:ind w:firstLine="480" w:firstLineChars="200"/>
        <w:rPr>
          <w:sz w:val="24"/>
        </w:rPr>
      </w:pPr>
      <w:r>
        <w:rPr>
          <w:rFonts w:hint="eastAsia"/>
          <w:sz w:val="24"/>
        </w:rPr>
        <w:t>11、附图附件要求。</w:t>
      </w:r>
    </w:p>
    <w:p>
      <w:pPr>
        <w:spacing w:line="460" w:lineRule="exact"/>
        <w:ind w:firstLine="480" w:firstLineChars="200"/>
        <w:rPr>
          <w:sz w:val="24"/>
        </w:rPr>
      </w:pPr>
      <w:r>
        <w:rPr>
          <w:rFonts w:hint="eastAsia"/>
          <w:sz w:val="24"/>
        </w:rPr>
        <w:t>季度执行报告：</w:t>
      </w:r>
    </w:p>
    <w:p>
      <w:pPr>
        <w:spacing w:line="460" w:lineRule="exact"/>
        <w:ind w:firstLine="480" w:firstLineChars="200"/>
        <w:rPr>
          <w:sz w:val="24"/>
        </w:rPr>
      </w:pPr>
      <w:r>
        <w:rPr>
          <w:rFonts w:hint="eastAsia"/>
          <w:sz w:val="24"/>
        </w:rPr>
        <w:t>排污单位季度执行报告应至少包括污染物实际排放浓度（或排放速率）和排放量、合规判定分析、超标排放或污染防治设施异常情况说明等内容。</w:t>
      </w:r>
    </w:p>
    <w:p>
      <w:pPr>
        <w:spacing w:line="460" w:lineRule="exact"/>
        <w:ind w:firstLine="480" w:firstLineChars="200"/>
        <w:rPr>
          <w:sz w:val="24"/>
        </w:rPr>
      </w:pPr>
      <w:r>
        <w:rPr>
          <w:rFonts w:hint="eastAsia"/>
          <w:sz w:val="24"/>
        </w:rPr>
        <w:t>建设项目竣工环境保护验收报告中与污染物排放相关的主要内容，应当由排污单位记载在该项目验收完成当年排污许可证年度执行报告中。排污单位发生污染事故排放时，应当依照相关法律法规规章的规定及时报告。</w:t>
      </w:r>
    </w:p>
    <w:p>
      <w:pPr>
        <w:pStyle w:val="4"/>
        <w:adjustRightInd w:val="0"/>
        <w:spacing w:before="120" w:after="120" w:line="460" w:lineRule="exact"/>
        <w:textAlignment w:val="baseline"/>
        <w:rPr>
          <w:rFonts w:ascii="Times New Roman" w:hAnsi="Times New Roman"/>
          <w:b w:val="0"/>
          <w:szCs w:val="28"/>
        </w:rPr>
      </w:pPr>
      <w:bookmarkStart w:id="317" w:name="_Toc165386250"/>
      <w:r>
        <w:rPr>
          <w:rFonts w:hint="eastAsia" w:ascii="Times New Roman" w:hAnsi="Times New Roman"/>
          <w:b w:val="0"/>
          <w:szCs w:val="28"/>
        </w:rPr>
        <w:t>9.6 企业环境信息公开</w:t>
      </w:r>
      <w:bookmarkEnd w:id="317"/>
    </w:p>
    <w:p>
      <w:pPr>
        <w:spacing w:line="460" w:lineRule="exact"/>
        <w:ind w:firstLine="480" w:firstLineChars="200"/>
        <w:rPr>
          <w:sz w:val="24"/>
        </w:rPr>
      </w:pPr>
      <w:r>
        <w:rPr>
          <w:rFonts w:hint="eastAsia"/>
          <w:sz w:val="24"/>
        </w:rPr>
        <w:t>根据《企业事业单位环境信息公开办法》（环境保护部第</w:t>
      </w:r>
      <w:r>
        <w:rPr>
          <w:sz w:val="24"/>
        </w:rPr>
        <w:t>31</w:t>
      </w:r>
      <w:r>
        <w:rPr>
          <w:rFonts w:hint="eastAsia"/>
          <w:sz w:val="24"/>
        </w:rPr>
        <w:t>号）相关规定，企业事业单位应当建立健全本单位环境信息公开制度，制定机构负责本单位环境信息公开日常工作。根据企业特点，</w:t>
      </w:r>
      <w:r>
        <w:rPr>
          <w:rFonts w:hint="eastAsia"/>
          <w:bCs/>
          <w:sz w:val="24"/>
          <w:lang w:bidi="en-US"/>
        </w:rPr>
        <w:t>昌吉市昊慧盛塑料制品厂</w:t>
      </w:r>
      <w:r>
        <w:rPr>
          <w:rFonts w:hint="eastAsia"/>
          <w:sz w:val="24"/>
        </w:rPr>
        <w:t>应在公司网站或本单位的资料索取点、信息公开栏、信息亭、电子屏幕或其他便于公众及时、准确获得信息的场所和方式公开下列信息：</w:t>
      </w:r>
    </w:p>
    <w:p>
      <w:pPr>
        <w:spacing w:line="460" w:lineRule="exact"/>
        <w:ind w:firstLine="480" w:firstLineChars="200"/>
        <w:rPr>
          <w:sz w:val="24"/>
        </w:rPr>
      </w:pPr>
      <w:r>
        <w:rPr>
          <w:rFonts w:hint="eastAsia"/>
          <w:sz w:val="24"/>
        </w:rPr>
        <w:t>1、项目基础信息：包括单位名称、组织机构代码、法定代表人、生产地址、联系方式，以及生产经营和管理服务的主要内容、产品及规模。</w:t>
      </w:r>
    </w:p>
    <w:p>
      <w:pPr>
        <w:spacing w:line="460" w:lineRule="exact"/>
        <w:ind w:firstLine="480" w:firstLineChars="200"/>
        <w:rPr>
          <w:sz w:val="24"/>
        </w:rPr>
      </w:pPr>
      <w:r>
        <w:rPr>
          <w:rFonts w:hint="eastAsia"/>
          <w:sz w:val="24"/>
        </w:rPr>
        <w:t>2、排污信息：包括主要污染物及特征污染物的名称、排放方式、排放口数量和分布情况、排放浓度和总量、超标情况，及执行的污染物排放标准、核定的排放总量。</w:t>
      </w:r>
    </w:p>
    <w:p>
      <w:pPr>
        <w:spacing w:line="460" w:lineRule="exact"/>
        <w:ind w:firstLine="480" w:firstLineChars="200"/>
        <w:rPr>
          <w:sz w:val="24"/>
        </w:rPr>
      </w:pPr>
      <w:r>
        <w:rPr>
          <w:rFonts w:hint="eastAsia"/>
          <w:sz w:val="24"/>
        </w:rPr>
        <w:t>3、防治污染设施的建设和运行情况。</w:t>
      </w:r>
    </w:p>
    <w:p>
      <w:pPr>
        <w:spacing w:line="460" w:lineRule="exact"/>
        <w:ind w:firstLine="480" w:firstLineChars="200"/>
        <w:rPr>
          <w:sz w:val="24"/>
        </w:rPr>
      </w:pPr>
      <w:r>
        <w:rPr>
          <w:rFonts w:hint="eastAsia"/>
          <w:sz w:val="24"/>
        </w:rPr>
        <w:t>4、建设项目环境影响评价及其他环境保护行政许可情况。</w:t>
      </w:r>
    </w:p>
    <w:p>
      <w:pPr>
        <w:spacing w:line="460" w:lineRule="exact"/>
        <w:ind w:firstLine="480" w:firstLineChars="200"/>
        <w:rPr>
          <w:sz w:val="24"/>
        </w:rPr>
      </w:pPr>
      <w:r>
        <w:rPr>
          <w:rFonts w:hint="eastAsia"/>
          <w:sz w:val="24"/>
        </w:rPr>
        <w:t>5、突发环境事件应急预案。</w:t>
      </w:r>
    </w:p>
    <w:p>
      <w:pPr>
        <w:spacing w:line="460" w:lineRule="exact"/>
        <w:ind w:firstLine="480" w:firstLineChars="200"/>
        <w:rPr>
          <w:sz w:val="24"/>
        </w:rPr>
      </w:pPr>
      <w:r>
        <w:rPr>
          <w:rFonts w:hint="eastAsia"/>
          <w:sz w:val="24"/>
        </w:rPr>
        <w:t>6、其他应当公开的环境信息。</w:t>
      </w:r>
    </w:p>
    <w:p>
      <w:pPr>
        <w:spacing w:line="460" w:lineRule="exact"/>
        <w:ind w:firstLine="480" w:firstLineChars="200"/>
        <w:rPr>
          <w:sz w:val="24"/>
        </w:rPr>
      </w:pPr>
      <w:r>
        <w:rPr>
          <w:rFonts w:hint="eastAsia"/>
          <w:sz w:val="24"/>
        </w:rPr>
        <w:t>如若公司的环境信息发生变更或有新生成时，应在环境信息生成或者变更之日起三十日内予以公开。环境保护主管部门应当宣传和引导公众监督企业事业单位环境信息公开工作。</w:t>
      </w:r>
    </w:p>
    <w:p>
      <w:pPr>
        <w:pStyle w:val="4"/>
        <w:adjustRightInd w:val="0"/>
        <w:spacing w:before="120" w:after="120" w:line="460" w:lineRule="exact"/>
        <w:textAlignment w:val="baseline"/>
        <w:rPr>
          <w:rFonts w:ascii="Times New Roman" w:hAnsi="Times New Roman"/>
          <w:b w:val="0"/>
          <w:szCs w:val="28"/>
        </w:rPr>
      </w:pPr>
      <w:bookmarkStart w:id="318" w:name="_Toc454899409"/>
      <w:bookmarkStart w:id="319" w:name="_Toc165386251"/>
      <w:r>
        <w:rPr>
          <w:rFonts w:hint="eastAsia" w:ascii="Times New Roman" w:hAnsi="Times New Roman"/>
          <w:b w:val="0"/>
          <w:szCs w:val="28"/>
        </w:rPr>
        <w:t>9</w:t>
      </w:r>
      <w:r>
        <w:rPr>
          <w:rFonts w:ascii="Times New Roman" w:hAnsi="Times New Roman"/>
          <w:b w:val="0"/>
          <w:szCs w:val="28"/>
        </w:rPr>
        <w:t>.</w:t>
      </w:r>
      <w:bookmarkEnd w:id="318"/>
      <w:r>
        <w:rPr>
          <w:rFonts w:ascii="Times New Roman" w:hAnsi="Times New Roman"/>
          <w:b w:val="0"/>
          <w:szCs w:val="28"/>
        </w:rPr>
        <w:t>7</w:t>
      </w:r>
      <w:r>
        <w:rPr>
          <w:rFonts w:hint="eastAsia" w:ascii="Times New Roman" w:hAnsi="Times New Roman"/>
          <w:b w:val="0"/>
          <w:szCs w:val="28"/>
        </w:rPr>
        <w:t xml:space="preserve"> 竣工验收管理</w:t>
      </w:r>
      <w:bookmarkEnd w:id="319"/>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w:t>
      </w:r>
      <w:r>
        <w:rPr>
          <w:rFonts w:ascii="Times New Roman"/>
          <w:szCs w:val="24"/>
        </w:rPr>
        <w:t>7</w:t>
      </w:r>
      <w:r>
        <w:rPr>
          <w:rFonts w:hint="eastAsia" w:ascii="Times New Roman"/>
          <w:szCs w:val="24"/>
        </w:rPr>
        <w:t>.1竣工验收管理及要求</w:t>
      </w:r>
    </w:p>
    <w:p>
      <w:pPr>
        <w:spacing w:line="460" w:lineRule="exact"/>
        <w:ind w:firstLine="480" w:firstLineChars="200"/>
        <w:rPr>
          <w:sz w:val="24"/>
        </w:rPr>
      </w:pPr>
      <w:r>
        <w:rPr>
          <w:rFonts w:hint="eastAsia"/>
          <w:sz w:val="24"/>
        </w:rPr>
        <w:t>根据《“十三五”环境影响评价改革实施方案》指出取消环保竣工验收行政许可。建立环评、“三同时”和排污许可衔接的管理机制。对建设项目环评文件及其批复中污染物排放控制有关要求，在排污许可证中载明。将企业落实“三同时”作为申领排污许可证的前提。鼓励建设单位委托具备相应技术条件的第三方机构开展建设期环境监理。建设项目在投入生产或者使用前，建设单位应当依据环评文件及其审批意见，委托第三方机构编制建设项目环境保护设施竣工验收报告，向社会公开并向环保部门备案。</w:t>
      </w:r>
    </w:p>
    <w:p>
      <w:pPr>
        <w:spacing w:line="460" w:lineRule="exact"/>
        <w:ind w:firstLine="480" w:firstLineChars="200"/>
        <w:rPr>
          <w:sz w:val="24"/>
        </w:rPr>
      </w:pPr>
      <w:r>
        <w:rPr>
          <w:rFonts w:hint="eastAsia"/>
          <w:sz w:val="24"/>
        </w:rPr>
        <w:t>申请环境保护竣工验收条件为：</w:t>
      </w:r>
    </w:p>
    <w:p>
      <w:pPr>
        <w:spacing w:line="460" w:lineRule="exact"/>
        <w:ind w:firstLine="480" w:firstLineChars="200"/>
        <w:rPr>
          <w:sz w:val="24"/>
        </w:rPr>
      </w:pPr>
      <w:r>
        <w:rPr>
          <w:rFonts w:hint="eastAsia"/>
          <w:sz w:val="24"/>
        </w:rPr>
        <w:t>①建设项目建设前期环境保护审查、审批手续完备，技术资料与环境保护档案齐全。</w:t>
      </w:r>
    </w:p>
    <w:p>
      <w:pPr>
        <w:spacing w:line="460" w:lineRule="exact"/>
        <w:ind w:firstLine="480" w:firstLineChars="200"/>
        <w:rPr>
          <w:sz w:val="24"/>
        </w:rPr>
      </w:pPr>
      <w:r>
        <w:rPr>
          <w:rFonts w:hint="eastAsia"/>
          <w:sz w:val="24"/>
        </w:rPr>
        <w:t>②环境保护设施按批准的环境影响报告书和设计要求建成，环境保护设施经负荷试车检测合格，其污染防治能力适应主体工程的需要。</w:t>
      </w:r>
    </w:p>
    <w:p>
      <w:pPr>
        <w:spacing w:line="460" w:lineRule="exact"/>
        <w:ind w:firstLine="480" w:firstLineChars="200"/>
        <w:rPr>
          <w:sz w:val="24"/>
        </w:rPr>
      </w:pPr>
      <w:r>
        <w:rPr>
          <w:rFonts w:hint="eastAsia"/>
          <w:sz w:val="24"/>
        </w:rPr>
        <w:t>③环境保护设施安装质量符合国家和有关部门颁发的专业工程验收规范、规程和检验评定标准。</w:t>
      </w:r>
    </w:p>
    <w:p>
      <w:pPr>
        <w:spacing w:line="460" w:lineRule="exact"/>
        <w:ind w:firstLine="480" w:firstLineChars="200"/>
        <w:rPr>
          <w:sz w:val="24"/>
        </w:rPr>
      </w:pPr>
      <w:r>
        <w:rPr>
          <w:rFonts w:hint="eastAsia"/>
          <w:sz w:val="24"/>
        </w:rPr>
        <w:t>④具备环境保护设施运转条件，包括经培训的环境保护设施岗位操作人员的到位、管理制度的建设、原材料、动力的落实等，且符合交付使用的其他条件。</w:t>
      </w:r>
    </w:p>
    <w:p>
      <w:pPr>
        <w:spacing w:line="460" w:lineRule="exact"/>
        <w:ind w:firstLine="480" w:firstLineChars="200"/>
        <w:rPr>
          <w:sz w:val="24"/>
        </w:rPr>
      </w:pPr>
      <w:r>
        <w:rPr>
          <w:rFonts w:hint="eastAsia"/>
          <w:sz w:val="24"/>
        </w:rPr>
        <w:t>⑤外排污染物符合批准的设计和环境影响报告书中提出的总量控制要求。</w:t>
      </w:r>
    </w:p>
    <w:p>
      <w:pPr>
        <w:spacing w:line="460" w:lineRule="exact"/>
        <w:ind w:firstLine="480" w:firstLineChars="200"/>
        <w:rPr>
          <w:sz w:val="24"/>
        </w:rPr>
      </w:pPr>
      <w:r>
        <w:rPr>
          <w:rFonts w:hint="eastAsia"/>
          <w:sz w:val="24"/>
        </w:rPr>
        <w:t>⑥各项生态保护措施按环境影响报告书规定的要求落实，建设过程中受到破坏并且可恢复的环境已经得到修整。</w:t>
      </w:r>
    </w:p>
    <w:p>
      <w:pPr>
        <w:spacing w:line="460" w:lineRule="exact"/>
        <w:ind w:firstLine="480" w:firstLineChars="200"/>
        <w:rPr>
          <w:sz w:val="24"/>
        </w:rPr>
      </w:pPr>
      <w:r>
        <w:rPr>
          <w:rFonts w:hint="eastAsia"/>
          <w:sz w:val="24"/>
        </w:rPr>
        <w:t>⑦环境监测项目、点位、机构设置及人员配备符合环境影响报告书和有关规定的要求。</w:t>
      </w:r>
    </w:p>
    <w:p>
      <w:pPr>
        <w:spacing w:line="460" w:lineRule="exact"/>
        <w:ind w:firstLine="480" w:firstLineChars="200"/>
        <w:rPr>
          <w:sz w:val="24"/>
        </w:rPr>
      </w:pPr>
      <w:r>
        <w:rPr>
          <w:rFonts w:hint="eastAsia"/>
          <w:sz w:val="24"/>
        </w:rPr>
        <w:t>⑧需对清洁生产进行指标考核，已按规定要求完成。</w:t>
      </w:r>
    </w:p>
    <w:p>
      <w:pPr>
        <w:spacing w:line="460" w:lineRule="exact"/>
        <w:ind w:firstLine="480" w:firstLineChars="200"/>
        <w:rPr>
          <w:sz w:val="24"/>
        </w:rPr>
      </w:pPr>
      <w:r>
        <w:rPr>
          <w:rFonts w:hint="eastAsia"/>
          <w:sz w:val="24"/>
        </w:rPr>
        <w:t>⑨环境影响报告书提出的污染物削减措施满足污染物排放总量控制要求，其措施得到落实。</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9.</w:t>
      </w:r>
      <w:r>
        <w:rPr>
          <w:rFonts w:ascii="Times New Roman"/>
          <w:szCs w:val="24"/>
        </w:rPr>
        <w:t>7</w:t>
      </w:r>
      <w:r>
        <w:rPr>
          <w:rFonts w:hint="eastAsia" w:ascii="Times New Roman"/>
          <w:szCs w:val="24"/>
        </w:rPr>
        <w:t>.2环境保护“三同时”验收</w:t>
      </w:r>
    </w:p>
    <w:p>
      <w:pPr>
        <w:spacing w:line="460" w:lineRule="exact"/>
        <w:ind w:firstLine="480" w:firstLineChars="200"/>
        <w:rPr>
          <w:sz w:val="24"/>
        </w:rPr>
      </w:pPr>
      <w:r>
        <w:rPr>
          <w:rFonts w:hint="eastAsia"/>
          <w:sz w:val="24"/>
        </w:rPr>
        <w:t>根据建设项目环境管理的要求，建设项目在投入生产或者使用前，依据环评文件及其审批意见，自行或委托第三方机构编制建设项目环境保护设施竣工验收报告，向社会公开并向环保部门备案。根据《建设项目竣工环境保护验收技术指南 污染影响类》（环境保护部公告2018年第9号）项目运营期“三同时”环保设施验收一览表见表9</w:t>
      </w:r>
      <w:r>
        <w:rPr>
          <w:sz w:val="24"/>
        </w:rPr>
        <w:t>.7-1</w:t>
      </w:r>
      <w:r>
        <w:rPr>
          <w:rFonts w:hint="eastAsia"/>
          <w:sz w:val="24"/>
        </w:rPr>
        <w:t>。</w:t>
      </w:r>
    </w:p>
    <w:p>
      <w:pPr>
        <w:ind w:firstLine="420" w:firstLineChars="200"/>
        <w:rPr>
          <w:rFonts w:eastAsia="黑体"/>
          <w:szCs w:val="21"/>
        </w:rPr>
      </w:pPr>
      <w:bookmarkStart w:id="320" w:name="_Hlk168304422"/>
      <w:r>
        <w:rPr>
          <w:rFonts w:hint="eastAsia" w:eastAsia="黑体"/>
          <w:szCs w:val="21"/>
        </w:rPr>
        <w:t>表9.</w:t>
      </w:r>
      <w:r>
        <w:rPr>
          <w:rFonts w:eastAsia="黑体"/>
          <w:szCs w:val="21"/>
        </w:rPr>
        <w:t>7</w:t>
      </w:r>
      <w:r>
        <w:rPr>
          <w:rFonts w:hint="eastAsia" w:eastAsia="黑体"/>
          <w:szCs w:val="21"/>
        </w:rPr>
        <w:t>-1      项目环境保护设施“三同时”验收一览表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0"/>
        <w:gridCol w:w="3261"/>
        <w:gridCol w:w="2409"/>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类别</w:t>
            </w: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污染</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工序</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主要设施</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处理效果</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废气</w:t>
            </w: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废旧塑料储存</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废旧塑料设置封闭式库房储存</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vertAlign w:val="superscript"/>
              </w:rPr>
            </w:pPr>
            <w:r>
              <w:rPr>
                <w:rFonts w:hint="eastAsia" w:ascii="Times New Roman" w:hAnsi="Times New Roman" w:cs="Times New Roman" w:eastAsiaTheme="minorEastAsia"/>
                <w:kern w:val="0"/>
                <w:sz w:val="21"/>
                <w:szCs w:val="21"/>
              </w:rPr>
              <w:t>厂界颗粒物满足《合成树脂工业污染物排放标准》（</w:t>
            </w:r>
            <w:r>
              <w:rPr>
                <w:rFonts w:ascii="Times New Roman" w:hAnsi="Times New Roman" w:cs="Times New Roman" w:eastAsiaTheme="minorEastAsia"/>
                <w:kern w:val="0"/>
                <w:sz w:val="21"/>
                <w:szCs w:val="21"/>
              </w:rPr>
              <w:t>GB31572-2015</w:t>
            </w:r>
            <w:r>
              <w:rPr>
                <w:rFonts w:hint="eastAsia" w:ascii="Times New Roman" w:hAnsi="Times New Roman" w:cs="Times New Roman" w:eastAsiaTheme="minorEastAsia"/>
                <w:kern w:val="0"/>
                <w:sz w:val="21"/>
                <w:szCs w:val="21"/>
              </w:rPr>
              <w:t>）表</w:t>
            </w:r>
            <w:r>
              <w:rPr>
                <w:rFonts w:ascii="Times New Roman" w:hAnsi="Times New Roman" w:cs="Times New Roman" w:eastAsiaTheme="minorEastAsia"/>
                <w:kern w:val="0"/>
                <w:sz w:val="21"/>
                <w:szCs w:val="21"/>
              </w:rPr>
              <w:t>9</w:t>
            </w:r>
            <w:r>
              <w:rPr>
                <w:rFonts w:hint="eastAsia" w:ascii="Times New Roman" w:hAnsi="Times New Roman" w:cs="Times New Roman" w:eastAsiaTheme="minorEastAsia"/>
                <w:kern w:val="0"/>
                <w:sz w:val="21"/>
                <w:szCs w:val="21"/>
              </w:rPr>
              <w:t>中浓度限值</w:t>
            </w:r>
            <w:r>
              <w:rPr>
                <w:rFonts w:ascii="Times New Roman" w:hAnsi="Times New Roman" w:cs="Times New Roman" w:eastAsiaTheme="minorEastAsia"/>
                <w:kern w:val="0"/>
                <w:sz w:val="21"/>
                <w:szCs w:val="21"/>
              </w:rPr>
              <w:t>1.0mg/m</w:t>
            </w:r>
            <w:r>
              <w:rPr>
                <w:rFonts w:ascii="Times New Roman" w:hAnsi="Times New Roman" w:cs="Times New Roman" w:eastAsiaTheme="minorEastAsia"/>
                <w:kern w:val="0"/>
                <w:sz w:val="21"/>
                <w:szCs w:val="21"/>
                <w:vertAlign w:val="superscript"/>
              </w:rPr>
              <w:t>3</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《合成树脂工业污染物排放标准》（</w:t>
            </w:r>
            <w:r>
              <w:rPr>
                <w:rFonts w:ascii="Times New Roman" w:hAnsi="Times New Roman" w:cs="Times New Roman" w:eastAsiaTheme="minorEastAsia"/>
                <w:kern w:val="0"/>
                <w:sz w:val="21"/>
                <w:szCs w:val="21"/>
              </w:rPr>
              <w:t>GB31572-2015</w:t>
            </w:r>
            <w:r>
              <w:rPr>
                <w:rFonts w:hint="eastAsia" w:ascii="Times New Roman" w:hAnsi="Times New Roman" w:cs="Times New Roman" w:eastAsiaTheme="minorEastAsia"/>
                <w:kern w:val="0"/>
                <w:sz w:val="21"/>
                <w:szCs w:val="21"/>
              </w:rPr>
              <w:t>）表</w:t>
            </w:r>
            <w:r>
              <w:rPr>
                <w:rFonts w:ascii="Times New Roman" w:hAnsi="Times New Roman" w:cs="Times New Roman" w:eastAsiaTheme="minorEastAsia"/>
                <w:kern w:val="0"/>
                <w:sz w:val="21"/>
                <w:szCs w:val="21"/>
              </w:rPr>
              <w:t>9</w:t>
            </w:r>
            <w:r>
              <w:rPr>
                <w:rFonts w:hint="eastAsia" w:ascii="Times New Roman" w:hAnsi="Times New Roman" w:cs="Times New Roman" w:eastAsiaTheme="minorEastAsia"/>
                <w:kern w:val="0"/>
                <w:sz w:val="21"/>
                <w:szCs w:val="21"/>
              </w:rPr>
              <w:t>中标准要求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jc w:val="center"/>
              <w:rPr>
                <w:rFonts w:eastAsiaTheme="minorEastAsia"/>
                <w:kern w:val="0"/>
                <w:sz w:val="21"/>
                <w:szCs w:val="21"/>
              </w:rPr>
            </w:pPr>
            <w:r>
              <w:rPr>
                <w:rFonts w:hint="eastAsia" w:eastAsiaTheme="minorEastAsia"/>
                <w:bCs/>
                <w:kern w:val="0"/>
                <w:sz w:val="21"/>
                <w:szCs w:val="21"/>
              </w:rPr>
              <w:t>废旧滴灌带造粒、滴灌带生产</w:t>
            </w:r>
          </w:p>
        </w:tc>
        <w:tc>
          <w:tcPr>
            <w:tcW w:w="3261" w:type="dxa"/>
            <w:vAlign w:val="center"/>
          </w:tcPr>
          <w:p>
            <w:pPr>
              <w:jc w:val="center"/>
              <w:rPr>
                <w:bCs/>
                <w:kern w:val="0"/>
                <w:sz w:val="21"/>
                <w:szCs w:val="21"/>
              </w:rPr>
            </w:pPr>
            <w:r>
              <w:rPr>
                <w:rFonts w:hint="eastAsia"/>
                <w:bCs/>
                <w:kern w:val="0"/>
                <w:sz w:val="21"/>
                <w:szCs w:val="21"/>
              </w:rPr>
              <w:t>每台造粒机及挤出机上方分别设置1个集气罩（共设置15个集气罩），设置引风机将有机废气引至车间外设置的一套活性炭吸附+催化燃烧（CO）处置措施处置后通过1根15m高排气筒外排</w:t>
            </w:r>
          </w:p>
        </w:tc>
        <w:tc>
          <w:tcPr>
            <w:tcW w:w="2409" w:type="dxa"/>
            <w:vMerge w:val="restart"/>
            <w:vAlign w:val="center"/>
          </w:tcPr>
          <w:p>
            <w:pPr>
              <w:widowControl/>
              <w:jc w:val="center"/>
              <w:rPr>
                <w:rFonts w:eastAsiaTheme="minorEastAsia"/>
                <w:kern w:val="0"/>
                <w:sz w:val="21"/>
                <w:szCs w:val="21"/>
              </w:rPr>
            </w:pPr>
            <w:r>
              <w:rPr>
                <w:rFonts w:hint="eastAsia" w:eastAsiaTheme="minorEastAsia"/>
                <w:kern w:val="0"/>
                <w:sz w:val="21"/>
                <w:szCs w:val="21"/>
              </w:rPr>
              <w:t>有组织非甲烷总烃满足《合成树脂工业污染物排放标准》（</w:t>
            </w:r>
            <w:r>
              <w:rPr>
                <w:rFonts w:eastAsiaTheme="minorEastAsia"/>
                <w:kern w:val="0"/>
                <w:sz w:val="21"/>
                <w:szCs w:val="21"/>
              </w:rPr>
              <w:t>GB31572-2015</w:t>
            </w:r>
            <w:r>
              <w:rPr>
                <w:rFonts w:hint="eastAsia" w:eastAsiaTheme="minorEastAsia"/>
                <w:kern w:val="0"/>
                <w:sz w:val="21"/>
                <w:szCs w:val="21"/>
              </w:rPr>
              <w:t>）表</w:t>
            </w:r>
            <w:r>
              <w:rPr>
                <w:rFonts w:eastAsiaTheme="minorEastAsia"/>
                <w:kern w:val="0"/>
                <w:sz w:val="21"/>
                <w:szCs w:val="21"/>
              </w:rPr>
              <w:t>5</w:t>
            </w:r>
            <w:r>
              <w:rPr>
                <w:rFonts w:hint="eastAsia" w:eastAsiaTheme="minorEastAsia"/>
                <w:kern w:val="0"/>
                <w:sz w:val="21"/>
                <w:szCs w:val="21"/>
              </w:rPr>
              <w:t>特别排放限值要求浓度</w:t>
            </w:r>
            <w:r>
              <w:rPr>
                <w:rFonts w:eastAsiaTheme="minorEastAsia"/>
                <w:kern w:val="0"/>
                <w:sz w:val="21"/>
                <w:szCs w:val="21"/>
              </w:rPr>
              <w:t>60mg/m</w:t>
            </w:r>
            <w:r>
              <w:rPr>
                <w:rFonts w:eastAsiaTheme="minorEastAsia"/>
                <w:kern w:val="0"/>
                <w:sz w:val="21"/>
                <w:szCs w:val="21"/>
                <w:vertAlign w:val="superscript"/>
              </w:rPr>
              <w:t>3</w:t>
            </w:r>
            <w:r>
              <w:rPr>
                <w:rFonts w:hint="eastAsia" w:eastAsiaTheme="minorEastAsia"/>
                <w:kern w:val="0"/>
                <w:sz w:val="21"/>
                <w:szCs w:val="21"/>
              </w:rPr>
              <w:t>，</w:t>
            </w:r>
            <w:r>
              <w:rPr>
                <w:rFonts w:eastAsiaTheme="minorEastAsia"/>
                <w:kern w:val="0"/>
                <w:sz w:val="21"/>
                <w:szCs w:val="21"/>
              </w:rPr>
              <w:t>臭气浓度满足</w:t>
            </w:r>
            <w:r>
              <w:rPr>
                <w:rFonts w:hint="eastAsia" w:eastAsiaTheme="minorEastAsia"/>
                <w:kern w:val="0"/>
                <w:sz w:val="21"/>
                <w:szCs w:val="21"/>
              </w:rPr>
              <w:t>《恶臭污染物排放标准》（GB14554-93）中表2限值2000（无量纲）</w:t>
            </w:r>
          </w:p>
        </w:tc>
        <w:tc>
          <w:tcPr>
            <w:tcW w:w="1524" w:type="dxa"/>
            <w:vMerge w:val="restart"/>
            <w:vAlign w:val="center"/>
          </w:tcPr>
          <w:p>
            <w:pPr>
              <w:widowControl/>
              <w:jc w:val="center"/>
              <w:rPr>
                <w:rFonts w:eastAsiaTheme="minorEastAsia"/>
                <w:kern w:val="0"/>
                <w:sz w:val="21"/>
                <w:szCs w:val="21"/>
              </w:rPr>
            </w:pPr>
            <w:r>
              <w:rPr>
                <w:rFonts w:hint="eastAsia" w:eastAsiaTheme="minorEastAsia"/>
                <w:kern w:val="0"/>
                <w:sz w:val="21"/>
                <w:szCs w:val="21"/>
              </w:rPr>
              <w:t>《合成树脂工业污染物排放标准》（</w:t>
            </w:r>
            <w:r>
              <w:rPr>
                <w:rFonts w:eastAsiaTheme="minorEastAsia"/>
                <w:kern w:val="0"/>
                <w:sz w:val="21"/>
                <w:szCs w:val="21"/>
              </w:rPr>
              <w:t>GB31572-2015</w:t>
            </w:r>
            <w:r>
              <w:rPr>
                <w:rFonts w:hint="eastAsia" w:eastAsiaTheme="minorEastAsia"/>
                <w:kern w:val="0"/>
                <w:sz w:val="21"/>
                <w:szCs w:val="21"/>
              </w:rPr>
              <w:t>）表</w:t>
            </w:r>
            <w:r>
              <w:rPr>
                <w:rFonts w:eastAsiaTheme="minorEastAsia"/>
                <w:kern w:val="0"/>
                <w:sz w:val="21"/>
                <w:szCs w:val="21"/>
              </w:rPr>
              <w:t>5</w:t>
            </w:r>
            <w:r>
              <w:rPr>
                <w:rFonts w:hint="eastAsia" w:eastAsiaTheme="minorEastAsia"/>
                <w:kern w:val="0"/>
                <w:sz w:val="21"/>
                <w:szCs w:val="21"/>
              </w:rPr>
              <w:t>特别排放限值；《恶臭污染物排放标准》（GB14554-93）中表2限值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jc w:val="center"/>
              <w:rPr>
                <w:bCs/>
                <w:kern w:val="0"/>
                <w:sz w:val="21"/>
                <w:szCs w:val="21"/>
              </w:rPr>
            </w:pPr>
            <w:r>
              <w:rPr>
                <w:rFonts w:hint="eastAsia"/>
                <w:bCs/>
                <w:kern w:val="0"/>
                <w:sz w:val="21"/>
                <w:szCs w:val="21"/>
              </w:rPr>
              <w:t>废旧塑料膜造粒、PE管生产</w:t>
            </w:r>
          </w:p>
        </w:tc>
        <w:tc>
          <w:tcPr>
            <w:tcW w:w="3261" w:type="dxa"/>
            <w:vAlign w:val="center"/>
          </w:tcPr>
          <w:p>
            <w:pPr>
              <w:jc w:val="center"/>
              <w:rPr>
                <w:bCs/>
                <w:kern w:val="0"/>
                <w:sz w:val="21"/>
                <w:szCs w:val="21"/>
              </w:rPr>
            </w:pPr>
            <w:r>
              <w:rPr>
                <w:rFonts w:hint="eastAsia"/>
                <w:bCs/>
                <w:kern w:val="0"/>
                <w:sz w:val="21"/>
                <w:szCs w:val="21"/>
              </w:rPr>
              <w:t>每台熔融挤出机及造粒机上方分别设置1个集气罩（共设置9个集气罩），设置引风机将收集废气引至车间外设置的一套活性炭吸附+催化燃烧（CO）措施处置后通过1根15m高排气筒外排</w:t>
            </w: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生产车间</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生产车间加强通风</w:t>
            </w:r>
          </w:p>
        </w:tc>
        <w:tc>
          <w:tcPr>
            <w:tcW w:w="2409" w:type="dxa"/>
            <w:vAlign w:val="center"/>
          </w:tcPr>
          <w:p>
            <w:pPr>
              <w:widowControl/>
              <w:jc w:val="center"/>
              <w:rPr>
                <w:rFonts w:eastAsiaTheme="minorEastAsia"/>
                <w:kern w:val="0"/>
                <w:sz w:val="21"/>
                <w:szCs w:val="21"/>
              </w:rPr>
            </w:pPr>
            <w:r>
              <w:rPr>
                <w:rFonts w:hint="eastAsia" w:eastAsiaTheme="minorEastAsia"/>
                <w:kern w:val="0"/>
                <w:sz w:val="21"/>
                <w:szCs w:val="21"/>
              </w:rPr>
              <w:t>厂房外无组织非甲烷总烃监测值满足《挥发性有机物无组织排放控制标准》（</w:t>
            </w:r>
            <w:r>
              <w:rPr>
                <w:rFonts w:eastAsiaTheme="minorEastAsia"/>
                <w:kern w:val="0"/>
                <w:sz w:val="21"/>
                <w:szCs w:val="21"/>
              </w:rPr>
              <w:t>GB37822-2019</w:t>
            </w:r>
            <w:r>
              <w:rPr>
                <w:rFonts w:hint="eastAsia" w:eastAsiaTheme="minorEastAsia"/>
                <w:kern w:val="0"/>
                <w:sz w:val="21"/>
                <w:szCs w:val="21"/>
              </w:rPr>
              <w:t>）附录</w:t>
            </w:r>
            <w:r>
              <w:rPr>
                <w:rFonts w:eastAsiaTheme="minorEastAsia"/>
                <w:kern w:val="0"/>
                <w:sz w:val="21"/>
                <w:szCs w:val="21"/>
              </w:rPr>
              <w:t>A.1</w:t>
            </w:r>
            <w:r>
              <w:rPr>
                <w:rFonts w:hint="eastAsia" w:eastAsiaTheme="minorEastAsia"/>
                <w:kern w:val="0"/>
                <w:sz w:val="21"/>
                <w:szCs w:val="21"/>
              </w:rPr>
              <w:t>限值</w:t>
            </w:r>
          </w:p>
        </w:tc>
        <w:tc>
          <w:tcPr>
            <w:tcW w:w="1524" w:type="dxa"/>
            <w:vAlign w:val="center"/>
          </w:tcPr>
          <w:p>
            <w:pPr>
              <w:widowControl/>
              <w:jc w:val="center"/>
              <w:rPr>
                <w:rFonts w:eastAsiaTheme="minorEastAsia"/>
                <w:kern w:val="0"/>
                <w:sz w:val="21"/>
                <w:szCs w:val="21"/>
              </w:rPr>
            </w:pPr>
            <w:r>
              <w:rPr>
                <w:rFonts w:hint="eastAsia" w:eastAsiaTheme="minorEastAsia"/>
                <w:kern w:val="0"/>
                <w:sz w:val="21"/>
                <w:szCs w:val="21"/>
              </w:rPr>
              <w:t>《挥发性有机物无组织排放控制标准》（</w:t>
            </w:r>
            <w:r>
              <w:rPr>
                <w:rFonts w:eastAsiaTheme="minorEastAsia"/>
                <w:kern w:val="0"/>
                <w:sz w:val="21"/>
                <w:szCs w:val="21"/>
              </w:rPr>
              <w:t>GB37822-2019</w:t>
            </w:r>
            <w:r>
              <w:rPr>
                <w:rFonts w:hint="eastAsia" w:eastAsiaTheme="minorEastAsia"/>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p>
        </w:tc>
        <w:tc>
          <w:tcPr>
            <w:tcW w:w="2409" w:type="dxa"/>
            <w:vAlign w:val="center"/>
          </w:tcPr>
          <w:p>
            <w:pPr>
              <w:widowControl/>
              <w:jc w:val="center"/>
              <w:rPr>
                <w:rFonts w:eastAsiaTheme="minorEastAsia"/>
                <w:kern w:val="0"/>
                <w:sz w:val="21"/>
                <w:szCs w:val="21"/>
              </w:rPr>
            </w:pPr>
            <w:r>
              <w:rPr>
                <w:rFonts w:hint="eastAsia" w:eastAsiaTheme="minorEastAsia"/>
                <w:kern w:val="0"/>
                <w:sz w:val="21"/>
                <w:szCs w:val="21"/>
              </w:rPr>
              <w:t>厂界无组织非甲烷总烃满足《合成树脂工业污染物排放标准》（</w:t>
            </w:r>
            <w:r>
              <w:rPr>
                <w:rFonts w:eastAsiaTheme="minorEastAsia"/>
                <w:kern w:val="0"/>
                <w:sz w:val="21"/>
                <w:szCs w:val="21"/>
              </w:rPr>
              <w:t>GB31572-2015</w:t>
            </w:r>
            <w:r>
              <w:rPr>
                <w:rFonts w:hint="eastAsia" w:eastAsiaTheme="minorEastAsia"/>
                <w:kern w:val="0"/>
                <w:sz w:val="21"/>
                <w:szCs w:val="21"/>
              </w:rPr>
              <w:t>）表</w:t>
            </w:r>
            <w:r>
              <w:rPr>
                <w:rFonts w:eastAsiaTheme="minorEastAsia"/>
                <w:kern w:val="0"/>
                <w:sz w:val="21"/>
                <w:szCs w:val="21"/>
              </w:rPr>
              <w:t>9</w:t>
            </w:r>
            <w:r>
              <w:rPr>
                <w:rFonts w:hint="eastAsia" w:eastAsiaTheme="minorEastAsia"/>
                <w:kern w:val="0"/>
                <w:sz w:val="21"/>
                <w:szCs w:val="21"/>
              </w:rPr>
              <w:t>浓度限值</w:t>
            </w:r>
            <w:r>
              <w:rPr>
                <w:rFonts w:eastAsiaTheme="minorEastAsia"/>
                <w:kern w:val="0"/>
                <w:sz w:val="21"/>
                <w:szCs w:val="21"/>
              </w:rPr>
              <w:t>4.0mg/m</w:t>
            </w:r>
            <w:r>
              <w:rPr>
                <w:rFonts w:eastAsiaTheme="minorEastAsia"/>
                <w:kern w:val="0"/>
                <w:sz w:val="21"/>
                <w:szCs w:val="21"/>
                <w:vertAlign w:val="superscript"/>
              </w:rPr>
              <w:t>3</w:t>
            </w:r>
            <w:r>
              <w:rPr>
                <w:rFonts w:hint="eastAsia" w:eastAsiaTheme="minorEastAsia"/>
                <w:kern w:val="0"/>
                <w:sz w:val="21"/>
                <w:szCs w:val="21"/>
              </w:rPr>
              <w:t>；颗粒物满足《合成树脂工业污染物排放标准》（</w:t>
            </w:r>
            <w:r>
              <w:rPr>
                <w:rFonts w:eastAsiaTheme="minorEastAsia"/>
                <w:kern w:val="0"/>
                <w:sz w:val="21"/>
                <w:szCs w:val="21"/>
              </w:rPr>
              <w:t>GB31572-2015</w:t>
            </w:r>
            <w:r>
              <w:rPr>
                <w:rFonts w:hint="eastAsia" w:eastAsiaTheme="minorEastAsia"/>
                <w:kern w:val="0"/>
                <w:sz w:val="21"/>
                <w:szCs w:val="21"/>
              </w:rPr>
              <w:t>）表</w:t>
            </w:r>
            <w:r>
              <w:rPr>
                <w:rFonts w:eastAsiaTheme="minorEastAsia"/>
                <w:kern w:val="0"/>
                <w:sz w:val="21"/>
                <w:szCs w:val="21"/>
              </w:rPr>
              <w:t>9</w:t>
            </w:r>
            <w:r>
              <w:rPr>
                <w:rFonts w:hint="eastAsia" w:eastAsiaTheme="minorEastAsia"/>
                <w:kern w:val="0"/>
                <w:sz w:val="21"/>
                <w:szCs w:val="21"/>
              </w:rPr>
              <w:t>浓度限值</w:t>
            </w:r>
            <w:r>
              <w:rPr>
                <w:rFonts w:eastAsiaTheme="minorEastAsia"/>
                <w:kern w:val="0"/>
                <w:sz w:val="21"/>
                <w:szCs w:val="21"/>
              </w:rPr>
              <w:t>1.0mg/m</w:t>
            </w:r>
            <w:r>
              <w:rPr>
                <w:rFonts w:eastAsiaTheme="minorEastAsia"/>
                <w:kern w:val="0"/>
                <w:sz w:val="21"/>
                <w:szCs w:val="21"/>
                <w:vertAlign w:val="superscript"/>
              </w:rPr>
              <w:t>3</w:t>
            </w:r>
            <w:r>
              <w:rPr>
                <w:rFonts w:hint="eastAsia" w:eastAsiaTheme="minorEastAsia"/>
                <w:kern w:val="0"/>
                <w:sz w:val="21"/>
                <w:szCs w:val="21"/>
              </w:rPr>
              <w:t>；</w:t>
            </w:r>
            <w:r>
              <w:rPr>
                <w:rFonts w:eastAsiaTheme="minorEastAsia"/>
                <w:kern w:val="0"/>
                <w:sz w:val="21"/>
                <w:szCs w:val="21"/>
              </w:rPr>
              <w:t>臭气浓度满足</w:t>
            </w:r>
            <w:r>
              <w:rPr>
                <w:rFonts w:hint="eastAsia" w:eastAsiaTheme="minorEastAsia"/>
                <w:kern w:val="0"/>
                <w:sz w:val="21"/>
                <w:szCs w:val="21"/>
              </w:rPr>
              <w:t>《恶臭污染物排放标准》（GB14554-93）中表</w:t>
            </w:r>
            <w:r>
              <w:rPr>
                <w:rFonts w:eastAsiaTheme="minorEastAsia"/>
                <w:kern w:val="0"/>
                <w:sz w:val="21"/>
                <w:szCs w:val="21"/>
              </w:rPr>
              <w:t>1</w:t>
            </w:r>
            <w:r>
              <w:rPr>
                <w:rFonts w:hint="eastAsia" w:eastAsiaTheme="minorEastAsia"/>
                <w:kern w:val="0"/>
                <w:sz w:val="21"/>
                <w:szCs w:val="21"/>
              </w:rPr>
              <w:t>限值20（无量纲）</w:t>
            </w:r>
          </w:p>
        </w:tc>
        <w:tc>
          <w:tcPr>
            <w:tcW w:w="1524" w:type="dxa"/>
            <w:vAlign w:val="center"/>
          </w:tcPr>
          <w:p>
            <w:pPr>
              <w:widowControl/>
              <w:jc w:val="center"/>
              <w:rPr>
                <w:rFonts w:eastAsiaTheme="minorEastAsia"/>
                <w:kern w:val="0"/>
                <w:sz w:val="21"/>
                <w:szCs w:val="21"/>
              </w:rPr>
            </w:pPr>
            <w:r>
              <w:rPr>
                <w:rFonts w:hint="eastAsia" w:eastAsiaTheme="minorEastAsia"/>
                <w:kern w:val="0"/>
                <w:sz w:val="21"/>
                <w:szCs w:val="21"/>
              </w:rPr>
              <w:t>《合成树脂工业污染物排放标准》（</w:t>
            </w:r>
            <w:r>
              <w:rPr>
                <w:rFonts w:eastAsiaTheme="minorEastAsia"/>
                <w:kern w:val="0"/>
                <w:sz w:val="21"/>
                <w:szCs w:val="21"/>
              </w:rPr>
              <w:t>GB31572-2015</w:t>
            </w:r>
            <w:r>
              <w:rPr>
                <w:rFonts w:hint="eastAsia" w:eastAsiaTheme="minorEastAsia"/>
                <w:kern w:val="0"/>
                <w:sz w:val="21"/>
                <w:szCs w:val="21"/>
              </w:rPr>
              <w:t>）表</w:t>
            </w:r>
            <w:r>
              <w:rPr>
                <w:rFonts w:eastAsiaTheme="minorEastAsia"/>
                <w:kern w:val="0"/>
                <w:sz w:val="21"/>
                <w:szCs w:val="21"/>
              </w:rPr>
              <w:t>9</w:t>
            </w:r>
            <w:r>
              <w:rPr>
                <w:rFonts w:hint="eastAsia" w:eastAsiaTheme="minorEastAsia"/>
                <w:kern w:val="0"/>
                <w:sz w:val="21"/>
                <w:szCs w:val="21"/>
              </w:rPr>
              <w:t>；《恶臭污染物排放标准》（GB14554-93）中表1限值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废水</w:t>
            </w:r>
          </w:p>
        </w:tc>
        <w:tc>
          <w:tcPr>
            <w:tcW w:w="850"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废水</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废旧塑料清洗废水设置2座30</w:t>
            </w:r>
            <w:r>
              <w:rPr>
                <w:rFonts w:ascii="Times New Roman" w:hAnsi="Times New Roman" w:cs="Times New Roman" w:eastAsiaTheme="minorEastAsia"/>
                <w:kern w:val="0"/>
                <w:sz w:val="21"/>
                <w:szCs w:val="21"/>
              </w:rPr>
              <w:t>0m</w:t>
            </w:r>
            <w:r>
              <w:rPr>
                <w:rFonts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防渗三级沉淀池沉淀后回用</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沉淀后回用，不外排</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Merge w:val="continue"/>
            <w:vAlign w:val="center"/>
          </w:tcPr>
          <w:p>
            <w:pPr>
              <w:widowControl/>
              <w:jc w:val="center"/>
              <w:rPr>
                <w:rFonts w:eastAsiaTheme="minorEastAsia"/>
                <w:kern w:val="0"/>
                <w:sz w:val="21"/>
                <w:szCs w:val="21"/>
              </w:rPr>
            </w:pP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生产过程冷却水设置2座100</w:t>
            </w:r>
            <w:r>
              <w:rPr>
                <w:rFonts w:ascii="Times New Roman" w:hAnsi="Times New Roman" w:cs="Times New Roman" w:eastAsiaTheme="minorEastAsia"/>
                <w:kern w:val="0"/>
                <w:sz w:val="21"/>
                <w:szCs w:val="21"/>
              </w:rPr>
              <w:t>m</w:t>
            </w:r>
            <w:r>
              <w:rPr>
                <w:rFonts w:ascii="Times New Roman" w:hAnsi="Times New Roman" w:cs="Times New Roman" w:eastAsiaTheme="minorEastAsia"/>
                <w:kern w:val="0"/>
                <w:sz w:val="21"/>
                <w:szCs w:val="21"/>
                <w:vertAlign w:val="superscript"/>
              </w:rPr>
              <w:t>3</w:t>
            </w:r>
            <w:r>
              <w:rPr>
                <w:rFonts w:hint="eastAsia" w:ascii="Times New Roman" w:hAnsi="Times New Roman" w:cs="Times New Roman" w:eastAsiaTheme="minorEastAsia"/>
                <w:kern w:val="0"/>
                <w:sz w:val="21"/>
                <w:szCs w:val="21"/>
              </w:rPr>
              <w:t>防渗冷却循环池冷却后循环使用</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冷却后循环使用，不外排</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污水</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生活污水经一座100</w:t>
            </w:r>
            <w:r>
              <w:rPr>
                <w:rFonts w:ascii="Times New Roman" w:hAnsi="Times New Roman" w:cs="Times New Roman" w:eastAsiaTheme="minorEastAsia"/>
                <w:kern w:val="0"/>
                <w:sz w:val="21"/>
                <w:szCs w:val="21"/>
              </w:rPr>
              <w:t>m</w:t>
            </w:r>
            <w:r>
              <w:rPr>
                <w:rFonts w:hint="eastAsia" w:ascii="Times New Roman" w:hAnsi="Times New Roman" w:cs="Times New Roman" w:eastAsiaTheme="minorEastAsia"/>
                <w:kern w:val="0"/>
                <w:sz w:val="21"/>
                <w:szCs w:val="21"/>
              </w:rPr>
              <w:t>³的防渗化粪池暂存后定期拉运至农业园污水处理厂处置</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按照环评要求执行</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按照环评要求执行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固体废物</w:t>
            </w:r>
          </w:p>
        </w:tc>
        <w:tc>
          <w:tcPr>
            <w:tcW w:w="850" w:type="dxa"/>
            <w:vAlign w:val="center"/>
          </w:tcPr>
          <w:p>
            <w:pPr>
              <w:jc w:val="center"/>
              <w:rPr>
                <w:bCs/>
                <w:kern w:val="0"/>
                <w:sz w:val="21"/>
                <w:szCs w:val="21"/>
              </w:rPr>
            </w:pPr>
            <w:r>
              <w:rPr>
                <w:rFonts w:hint="eastAsia"/>
                <w:bCs/>
                <w:kern w:val="0"/>
                <w:sz w:val="21"/>
                <w:szCs w:val="21"/>
              </w:rPr>
              <w:t>沉淀池泥沙</w:t>
            </w:r>
          </w:p>
        </w:tc>
        <w:tc>
          <w:tcPr>
            <w:tcW w:w="3261" w:type="dxa"/>
            <w:vAlign w:val="center"/>
          </w:tcPr>
          <w:p>
            <w:pPr>
              <w:jc w:val="center"/>
              <w:rPr>
                <w:bCs/>
                <w:kern w:val="0"/>
                <w:sz w:val="21"/>
                <w:szCs w:val="21"/>
              </w:rPr>
            </w:pPr>
            <w:r>
              <w:rPr>
                <w:rFonts w:hint="eastAsia"/>
                <w:bCs/>
                <w:kern w:val="0"/>
                <w:sz w:val="21"/>
                <w:szCs w:val="21"/>
              </w:rPr>
              <w:t>待生产季完成后统一清掏，送一般固废填埋场处置</w:t>
            </w:r>
          </w:p>
        </w:tc>
        <w:tc>
          <w:tcPr>
            <w:tcW w:w="2409"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合理处置，不外排</w:t>
            </w:r>
          </w:p>
        </w:tc>
        <w:tc>
          <w:tcPr>
            <w:tcW w:w="1524"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符合《一般工业固体废物贮存和填埋污染控制标准》（GB18599-2020）中的相关规定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jc w:val="center"/>
              <w:rPr>
                <w:bCs/>
                <w:kern w:val="0"/>
                <w:sz w:val="21"/>
                <w:szCs w:val="21"/>
              </w:rPr>
            </w:pPr>
            <w:r>
              <w:rPr>
                <w:rFonts w:hint="eastAsia"/>
                <w:bCs/>
                <w:kern w:val="0"/>
                <w:sz w:val="21"/>
                <w:szCs w:val="21"/>
              </w:rPr>
              <w:t>废滤网</w:t>
            </w:r>
          </w:p>
        </w:tc>
        <w:tc>
          <w:tcPr>
            <w:tcW w:w="3261" w:type="dxa"/>
            <w:vAlign w:val="center"/>
          </w:tcPr>
          <w:p>
            <w:pPr>
              <w:jc w:val="center"/>
              <w:rPr>
                <w:bCs/>
                <w:kern w:val="0"/>
                <w:sz w:val="21"/>
                <w:szCs w:val="21"/>
              </w:rPr>
            </w:pPr>
            <w:r>
              <w:rPr>
                <w:rFonts w:hint="eastAsia"/>
                <w:bCs/>
                <w:kern w:val="0"/>
                <w:sz w:val="21"/>
                <w:szCs w:val="21"/>
              </w:rPr>
              <w:t>收集后送固废填埋场处置</w:t>
            </w: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jc w:val="center"/>
              <w:rPr>
                <w:bCs/>
                <w:kern w:val="0"/>
                <w:sz w:val="21"/>
                <w:szCs w:val="21"/>
              </w:rPr>
            </w:pPr>
            <w:r>
              <w:rPr>
                <w:rFonts w:hint="eastAsia"/>
                <w:bCs/>
                <w:kern w:val="0"/>
                <w:sz w:val="21"/>
                <w:szCs w:val="21"/>
              </w:rPr>
              <w:t>滴灌带不合格品</w:t>
            </w:r>
          </w:p>
        </w:tc>
        <w:tc>
          <w:tcPr>
            <w:tcW w:w="3261" w:type="dxa"/>
            <w:vMerge w:val="restart"/>
            <w:vAlign w:val="center"/>
          </w:tcPr>
          <w:p>
            <w:pPr>
              <w:jc w:val="center"/>
              <w:rPr>
                <w:bCs/>
                <w:kern w:val="0"/>
                <w:sz w:val="21"/>
                <w:szCs w:val="21"/>
              </w:rPr>
            </w:pPr>
            <w:r>
              <w:rPr>
                <w:rFonts w:hint="eastAsia"/>
                <w:bCs/>
                <w:kern w:val="0"/>
                <w:sz w:val="21"/>
                <w:szCs w:val="21"/>
              </w:rPr>
              <w:t>收集后进入废旧滴灌带造粒工序再生造粒</w:t>
            </w: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jc w:val="center"/>
              <w:rPr>
                <w:bCs/>
                <w:kern w:val="0"/>
                <w:sz w:val="21"/>
                <w:szCs w:val="21"/>
              </w:rPr>
            </w:pPr>
            <w:r>
              <w:rPr>
                <w:rFonts w:hint="eastAsia"/>
                <w:bCs/>
                <w:kern w:val="0"/>
                <w:sz w:val="21"/>
                <w:szCs w:val="21"/>
              </w:rPr>
              <w:t>PE管不合格品</w:t>
            </w:r>
          </w:p>
        </w:tc>
        <w:tc>
          <w:tcPr>
            <w:tcW w:w="3261" w:type="dxa"/>
            <w:vMerge w:val="continue"/>
            <w:vAlign w:val="center"/>
          </w:tcPr>
          <w:p>
            <w:pPr>
              <w:widowControl/>
              <w:jc w:val="center"/>
              <w:rPr>
                <w:bCs/>
                <w:kern w:val="0"/>
                <w:sz w:val="21"/>
                <w:szCs w:val="21"/>
              </w:rPr>
            </w:pP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废活性炭</w:t>
            </w:r>
          </w:p>
        </w:tc>
        <w:tc>
          <w:tcPr>
            <w:tcW w:w="3261"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设置危废暂存间，集中收集后暂存，定期交由有资质单位处置</w:t>
            </w:r>
          </w:p>
        </w:tc>
        <w:tc>
          <w:tcPr>
            <w:tcW w:w="2409"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全部暂存危废暂存间，定期交由有资质单位处置</w:t>
            </w:r>
          </w:p>
        </w:tc>
        <w:tc>
          <w:tcPr>
            <w:tcW w:w="1524" w:type="dxa"/>
            <w:vMerge w:val="restart"/>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《危险废物贮存污染控制标准》（GB 18597-2023）中有关规定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w:t>
            </w:r>
            <w:r>
              <w:rPr>
                <w:rFonts w:ascii="Times New Roman" w:hAnsi="Times New Roman" w:cs="Times New Roman" w:eastAsiaTheme="minorEastAsia"/>
                <w:kern w:val="0"/>
                <w:sz w:val="21"/>
                <w:szCs w:val="21"/>
              </w:rPr>
              <w:t>催化剂</w:t>
            </w:r>
          </w:p>
        </w:tc>
        <w:tc>
          <w:tcPr>
            <w:tcW w:w="3261" w:type="dxa"/>
            <w:vMerge w:val="continue"/>
            <w:vAlign w:val="center"/>
          </w:tcPr>
          <w:p>
            <w:pPr>
              <w:widowControl/>
              <w:jc w:val="center"/>
              <w:rPr>
                <w:rFonts w:eastAsiaTheme="minorEastAsia"/>
                <w:kern w:val="0"/>
                <w:sz w:val="21"/>
                <w:szCs w:val="21"/>
              </w:rPr>
            </w:pP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废润滑油及桶</w:t>
            </w:r>
          </w:p>
        </w:tc>
        <w:tc>
          <w:tcPr>
            <w:tcW w:w="3261" w:type="dxa"/>
            <w:vMerge w:val="continue"/>
            <w:vAlign w:val="center"/>
          </w:tcPr>
          <w:p>
            <w:pPr>
              <w:widowControl/>
              <w:jc w:val="center"/>
              <w:rPr>
                <w:rFonts w:eastAsiaTheme="minorEastAsia"/>
                <w:kern w:val="0"/>
                <w:sz w:val="21"/>
                <w:szCs w:val="21"/>
              </w:rPr>
            </w:pPr>
          </w:p>
        </w:tc>
        <w:tc>
          <w:tcPr>
            <w:tcW w:w="2409" w:type="dxa"/>
            <w:vMerge w:val="continue"/>
            <w:vAlign w:val="center"/>
          </w:tcPr>
          <w:p>
            <w:pPr>
              <w:widowControl/>
              <w:jc w:val="center"/>
              <w:rPr>
                <w:rFonts w:eastAsiaTheme="minorEastAsia"/>
                <w:kern w:val="0"/>
                <w:sz w:val="21"/>
                <w:szCs w:val="21"/>
              </w:rPr>
            </w:pPr>
          </w:p>
        </w:tc>
        <w:tc>
          <w:tcPr>
            <w:tcW w:w="1524" w:type="dxa"/>
            <w:vMerge w:val="continue"/>
            <w:vAlign w:val="center"/>
          </w:tcPr>
          <w:p>
            <w:pPr>
              <w:widowControl/>
              <w:jc w:val="center"/>
              <w:rPr>
                <w:rFonts w:eastAsiaTheme="minorEastAsia"/>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pPr>
              <w:widowControl/>
              <w:jc w:val="center"/>
              <w:rPr>
                <w:rFonts w:eastAsiaTheme="minorEastAsia"/>
                <w:kern w:val="0"/>
                <w:sz w:val="21"/>
                <w:szCs w:val="21"/>
              </w:rPr>
            </w:pP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生活</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垃圾</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设置垃圾收集设施，集中收集后交由环卫部门</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集中处置</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噪声</w:t>
            </w:r>
          </w:p>
        </w:tc>
        <w:tc>
          <w:tcPr>
            <w:tcW w:w="850"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生产</w:t>
            </w:r>
            <w:r>
              <w:rPr>
                <w:rFonts w:ascii="Times New Roman" w:hAnsi="Times New Roman" w:cs="Times New Roman" w:eastAsiaTheme="minorEastAsia"/>
                <w:kern w:val="0"/>
                <w:sz w:val="21"/>
                <w:szCs w:val="21"/>
              </w:rPr>
              <w:t xml:space="preserve"> </w:t>
            </w:r>
            <w:r>
              <w:rPr>
                <w:rFonts w:hint="eastAsia" w:ascii="Times New Roman" w:hAnsi="Times New Roman" w:cs="Times New Roman" w:eastAsiaTheme="minorEastAsia"/>
                <w:kern w:val="0"/>
                <w:sz w:val="21"/>
                <w:szCs w:val="21"/>
              </w:rPr>
              <w:t>设备</w:t>
            </w:r>
          </w:p>
        </w:tc>
        <w:tc>
          <w:tcPr>
            <w:tcW w:w="3261"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采取基础减振、隔声罩、消声器等措施；生产设备尽量安装在车间内</w:t>
            </w:r>
          </w:p>
        </w:tc>
        <w:tc>
          <w:tcPr>
            <w:tcW w:w="2409"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厂界噪声：</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昼间</w:t>
            </w:r>
            <w:r>
              <w:rPr>
                <w:rFonts w:ascii="Times New Roman" w:hAnsi="Times New Roman" w:cs="Times New Roman" w:eastAsiaTheme="minorEastAsia"/>
                <w:kern w:val="0"/>
                <w:sz w:val="21"/>
                <w:szCs w:val="21"/>
              </w:rPr>
              <w:t>≤6</w:t>
            </w:r>
            <w:r>
              <w:rPr>
                <w:rFonts w:hint="eastAsia" w:ascii="Times New Roman" w:hAnsi="Times New Roman" w:cs="Times New Roman" w:eastAsiaTheme="minorEastAsia"/>
                <w:kern w:val="0"/>
                <w:sz w:val="21"/>
                <w:szCs w:val="21"/>
              </w:rPr>
              <w:t>5</w:t>
            </w:r>
            <w:r>
              <w:rPr>
                <w:rFonts w:ascii="Times New Roman" w:hAnsi="Times New Roman" w:cs="Times New Roman" w:eastAsiaTheme="minorEastAsia"/>
                <w:kern w:val="0"/>
                <w:sz w:val="21"/>
                <w:szCs w:val="21"/>
              </w:rPr>
              <w:t>dB</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A</w:t>
            </w:r>
            <w:r>
              <w:rPr>
                <w:rFonts w:hint="eastAsia" w:ascii="Times New Roman" w:hAnsi="Times New Roman" w:cs="Times New Roman" w:eastAsiaTheme="minorEastAsia"/>
                <w:kern w:val="0"/>
                <w:sz w:val="21"/>
                <w:szCs w:val="21"/>
              </w:rPr>
              <w:t>）</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夜间</w:t>
            </w:r>
            <w:r>
              <w:rPr>
                <w:rFonts w:ascii="Times New Roman" w:hAnsi="Times New Roman" w:cs="Times New Roman" w:eastAsiaTheme="minorEastAsia"/>
                <w:kern w:val="0"/>
                <w:sz w:val="21"/>
                <w:szCs w:val="21"/>
              </w:rPr>
              <w:t>≤5</w:t>
            </w:r>
            <w:r>
              <w:rPr>
                <w:rFonts w:hint="eastAsia" w:ascii="Times New Roman" w:hAnsi="Times New Roman" w:cs="Times New Roman" w:eastAsiaTheme="minorEastAsia"/>
                <w:kern w:val="0"/>
                <w:sz w:val="21"/>
                <w:szCs w:val="21"/>
              </w:rPr>
              <w:t>5</w:t>
            </w:r>
            <w:r>
              <w:rPr>
                <w:rFonts w:ascii="Times New Roman" w:hAnsi="Times New Roman" w:cs="Times New Roman" w:eastAsiaTheme="minorEastAsia"/>
                <w:kern w:val="0"/>
                <w:sz w:val="21"/>
                <w:szCs w:val="21"/>
              </w:rPr>
              <w:t>dB</w:t>
            </w: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A</w:t>
            </w:r>
            <w:r>
              <w:rPr>
                <w:rFonts w:hint="eastAsia" w:ascii="Times New Roman" w:hAnsi="Times New Roman" w:cs="Times New Roman" w:eastAsiaTheme="minorEastAsia"/>
                <w:kern w:val="0"/>
                <w:sz w:val="21"/>
                <w:szCs w:val="21"/>
              </w:rPr>
              <w:t>）</w:t>
            </w:r>
          </w:p>
        </w:tc>
        <w:tc>
          <w:tcPr>
            <w:tcW w:w="1524" w:type="dxa"/>
            <w:vAlign w:val="center"/>
          </w:tcPr>
          <w:p>
            <w:pPr>
              <w:pStyle w:val="227"/>
              <w:spacing w:line="240" w:lineRule="auto"/>
              <w:ind w:firstLine="0" w:firstLineChars="0"/>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符合《工业企业厂界环境噪声排放标准》</w:t>
            </w:r>
          </w:p>
          <w:p>
            <w:pPr>
              <w:pStyle w:val="227"/>
              <w:spacing w:line="240" w:lineRule="auto"/>
              <w:ind w:firstLine="0" w:firstLineChars="0"/>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(GB12348-2008)</w:t>
            </w:r>
            <w:r>
              <w:rPr>
                <w:rFonts w:hint="eastAsia" w:ascii="Times New Roman" w:hAnsi="Times New Roman" w:cs="Times New Roman" w:eastAsiaTheme="minorEastAsia"/>
                <w:kern w:val="0"/>
                <w:sz w:val="21"/>
                <w:szCs w:val="21"/>
              </w:rPr>
              <w:t>中3类标准</w:t>
            </w:r>
          </w:p>
        </w:tc>
      </w:tr>
      <w:bookmarkEnd w:id="320"/>
    </w:tbl>
    <w:p>
      <w:pPr>
        <w:spacing w:line="460" w:lineRule="exact"/>
        <w:ind w:firstLine="480" w:firstLineChars="200"/>
        <w:rPr>
          <w:sz w:val="24"/>
        </w:rPr>
      </w:pPr>
    </w:p>
    <w:p>
      <w:pPr>
        <w:pStyle w:val="3"/>
        <w:spacing w:before="100" w:beforeAutospacing="1" w:after="100" w:afterAutospacing="1" w:line="360" w:lineRule="auto"/>
        <w:jc w:val="center"/>
      </w:pPr>
      <w:bookmarkStart w:id="321" w:name="_Toc454899423"/>
      <w:bookmarkStart w:id="322" w:name="_Toc309715508"/>
      <w:r>
        <w:br w:type="column"/>
      </w:r>
      <w:bookmarkStart w:id="323" w:name="_Toc165386252"/>
      <w:r>
        <w:rPr>
          <w:rFonts w:hint="eastAsia"/>
        </w:rPr>
        <w:t xml:space="preserve">10  </w:t>
      </w:r>
      <w:r>
        <w:t>环境影响评价结论</w:t>
      </w:r>
      <w:bookmarkEnd w:id="321"/>
      <w:bookmarkEnd w:id="322"/>
      <w:bookmarkEnd w:id="323"/>
    </w:p>
    <w:p>
      <w:pPr>
        <w:pStyle w:val="4"/>
        <w:adjustRightInd w:val="0"/>
        <w:spacing w:before="120" w:after="120" w:line="460" w:lineRule="exact"/>
        <w:textAlignment w:val="baseline"/>
        <w:rPr>
          <w:rFonts w:ascii="Times New Roman" w:hAnsi="Times New Roman"/>
          <w:b w:val="0"/>
          <w:szCs w:val="28"/>
        </w:rPr>
      </w:pPr>
      <w:bookmarkStart w:id="324" w:name="_Toc165386253"/>
      <w:bookmarkStart w:id="325" w:name="_Toc309715510"/>
      <w:r>
        <w:rPr>
          <w:rFonts w:hint="eastAsia" w:ascii="Times New Roman" w:hAnsi="Times New Roman"/>
          <w:b w:val="0"/>
          <w:szCs w:val="28"/>
        </w:rPr>
        <w:t>10</w:t>
      </w:r>
      <w:r>
        <w:rPr>
          <w:rFonts w:ascii="Times New Roman" w:hAnsi="Times New Roman"/>
          <w:b w:val="0"/>
          <w:szCs w:val="28"/>
        </w:rPr>
        <w:t>.1</w:t>
      </w:r>
      <w:r>
        <w:rPr>
          <w:rFonts w:hint="eastAsia" w:ascii="Times New Roman" w:hAnsi="Times New Roman"/>
          <w:b w:val="0"/>
          <w:szCs w:val="28"/>
        </w:rPr>
        <w:t xml:space="preserve"> </w:t>
      </w:r>
      <w:r>
        <w:rPr>
          <w:rFonts w:ascii="Times New Roman" w:hAnsi="Times New Roman"/>
          <w:b w:val="0"/>
          <w:szCs w:val="28"/>
        </w:rPr>
        <w:t>结论</w:t>
      </w:r>
      <w:bookmarkEnd w:id="324"/>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w:t>
      </w:r>
      <w:r>
        <w:rPr>
          <w:rFonts w:ascii="Times New Roman"/>
          <w:szCs w:val="24"/>
        </w:rPr>
        <w:t>.1.1 项目概况</w:t>
      </w:r>
    </w:p>
    <w:p>
      <w:pPr>
        <w:spacing w:line="460" w:lineRule="exact"/>
        <w:ind w:firstLine="480" w:firstLineChars="200"/>
        <w:rPr>
          <w:sz w:val="24"/>
        </w:rPr>
      </w:pPr>
      <w:r>
        <w:rPr>
          <w:rFonts w:hint="eastAsia"/>
          <w:bCs/>
          <w:sz w:val="24"/>
          <w:lang w:bidi="en-US"/>
        </w:rPr>
        <w:t>昌吉市昊慧盛塑料制品厂生产建设项目位于昌吉国家农业科技园区示范区昌吉市昊慧盛塑料制品厂区内，地理坐标为：N 44°13′30.76″，E 87°19′19.55″。项目四周均为耕地。</w:t>
      </w:r>
      <w:r>
        <w:rPr>
          <w:rFonts w:hint="eastAsia"/>
          <w:sz w:val="24"/>
        </w:rPr>
        <w:t>本次项目主要扩建1条废旧滴灌带造粒生产线、1条废旧塑料膜造粒生产线、10条滴灌带生产线、5条PE管生产线及配套公用辅助设施。扩建项目设计</w:t>
      </w:r>
      <w:r>
        <w:rPr>
          <w:rFonts w:hint="eastAsia"/>
          <w:sz w:val="24"/>
          <w:lang w:bidi="en-US"/>
        </w:rPr>
        <w:t>年处理废旧塑料膜2000t/a，年处理废旧滴灌带3500t/a，年生产滴灌带3000t/a，年生产PE管1700t/a</w:t>
      </w:r>
      <w:r>
        <w:rPr>
          <w:rFonts w:hint="eastAsia"/>
          <w:sz w:val="24"/>
        </w:rPr>
        <w:t>。项目总投资1000万元，其中环保投资</w:t>
      </w:r>
      <w:r>
        <w:rPr>
          <w:sz w:val="24"/>
        </w:rPr>
        <w:t>1</w:t>
      </w:r>
      <w:r>
        <w:rPr>
          <w:rFonts w:hint="eastAsia"/>
          <w:sz w:val="24"/>
        </w:rPr>
        <w:t>81万元，占总投资18.10%。</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w:t>
      </w:r>
      <w:r>
        <w:rPr>
          <w:rFonts w:ascii="Times New Roman"/>
          <w:szCs w:val="24"/>
        </w:rPr>
        <w:t>.1.2</w:t>
      </w:r>
      <w:bookmarkStart w:id="326" w:name="_Toc309715512"/>
      <w:r>
        <w:rPr>
          <w:rFonts w:ascii="Times New Roman"/>
          <w:szCs w:val="24"/>
        </w:rPr>
        <w:t>环境质量现状</w:t>
      </w:r>
      <w:bookmarkEnd w:id="326"/>
    </w:p>
    <w:p>
      <w:pPr>
        <w:spacing w:line="460" w:lineRule="exact"/>
        <w:ind w:firstLine="480" w:firstLineChars="200"/>
        <w:rPr>
          <w:bCs/>
          <w:sz w:val="24"/>
        </w:rPr>
      </w:pPr>
      <w:r>
        <w:rPr>
          <w:rFonts w:hint="eastAsia"/>
          <w:bCs/>
          <w:sz w:val="24"/>
        </w:rPr>
        <w:t>1、</w:t>
      </w:r>
      <w:r>
        <w:rPr>
          <w:bCs/>
          <w:sz w:val="24"/>
        </w:rPr>
        <w:t>环境空气质量现状</w:t>
      </w:r>
    </w:p>
    <w:p>
      <w:pPr>
        <w:spacing w:line="460" w:lineRule="exact"/>
        <w:ind w:firstLine="480" w:firstLineChars="200"/>
        <w:rPr>
          <w:sz w:val="24"/>
        </w:rPr>
      </w:pPr>
      <w:r>
        <w:rPr>
          <w:rFonts w:hint="eastAsia"/>
          <w:sz w:val="24"/>
        </w:rPr>
        <w:t>达标区判定：根据昌吉市空气监测站点2023年的监测数据</w:t>
      </w:r>
      <w:r>
        <w:rPr>
          <w:sz w:val="24"/>
        </w:rPr>
        <w:t>，</w:t>
      </w:r>
      <w:r>
        <w:rPr>
          <w:rFonts w:hint="eastAsia"/>
          <w:bCs/>
          <w:sz w:val="24"/>
        </w:rPr>
        <w:t>项目所在区域</w:t>
      </w:r>
      <w:r>
        <w:rPr>
          <w:bCs/>
          <w:sz w:val="24"/>
        </w:rPr>
        <w:t>PM</w:t>
      </w:r>
      <w:r>
        <w:rPr>
          <w:bCs/>
          <w:sz w:val="24"/>
          <w:vertAlign w:val="subscript"/>
        </w:rPr>
        <w:t>10</w:t>
      </w:r>
      <w:r>
        <w:rPr>
          <w:rFonts w:hint="eastAsia"/>
          <w:bCs/>
          <w:sz w:val="24"/>
        </w:rPr>
        <w:t>和</w:t>
      </w:r>
      <w:r>
        <w:rPr>
          <w:bCs/>
          <w:sz w:val="24"/>
        </w:rPr>
        <w:t>PM</w:t>
      </w:r>
      <w:r>
        <w:rPr>
          <w:bCs/>
          <w:sz w:val="24"/>
          <w:vertAlign w:val="subscript"/>
        </w:rPr>
        <w:t>2.5</w:t>
      </w:r>
      <w:r>
        <w:rPr>
          <w:rFonts w:hint="eastAsia"/>
          <w:bCs/>
          <w:sz w:val="24"/>
        </w:rPr>
        <w:t>的年平均浓度均超过《环境空气质量标准》（</w:t>
      </w:r>
      <w:r>
        <w:rPr>
          <w:bCs/>
          <w:sz w:val="24"/>
        </w:rPr>
        <w:t>GB3095-2012</w:t>
      </w:r>
      <w:r>
        <w:rPr>
          <w:rFonts w:hint="eastAsia"/>
          <w:bCs/>
          <w:sz w:val="24"/>
        </w:rPr>
        <w:t>）的二级标准要求；</w:t>
      </w:r>
      <w:r>
        <w:rPr>
          <w:bCs/>
          <w:sz w:val="24"/>
        </w:rPr>
        <w:t>CO</w:t>
      </w:r>
      <w:r>
        <w:rPr>
          <w:rFonts w:hint="eastAsia"/>
          <w:bCs/>
          <w:sz w:val="24"/>
        </w:rPr>
        <w:t>第</w:t>
      </w:r>
      <w:r>
        <w:rPr>
          <w:bCs/>
          <w:sz w:val="24"/>
        </w:rPr>
        <w:t>95</w:t>
      </w:r>
      <w:r>
        <w:rPr>
          <w:rFonts w:hint="eastAsia"/>
          <w:bCs/>
          <w:sz w:val="24"/>
        </w:rPr>
        <w:t>百分位数日平均浓度、</w:t>
      </w:r>
      <w:r>
        <w:rPr>
          <w:bCs/>
          <w:sz w:val="24"/>
        </w:rPr>
        <w:t>O</w:t>
      </w:r>
      <w:r>
        <w:rPr>
          <w:bCs/>
          <w:sz w:val="24"/>
          <w:vertAlign w:val="subscript"/>
        </w:rPr>
        <w:t>3</w:t>
      </w:r>
      <w:r>
        <w:rPr>
          <w:rFonts w:hint="eastAsia"/>
          <w:bCs/>
          <w:sz w:val="24"/>
        </w:rPr>
        <w:t>最大</w:t>
      </w:r>
      <w:r>
        <w:rPr>
          <w:bCs/>
          <w:sz w:val="24"/>
        </w:rPr>
        <w:t>8</w:t>
      </w:r>
      <w:r>
        <w:rPr>
          <w:rFonts w:hint="eastAsia"/>
          <w:bCs/>
          <w:sz w:val="24"/>
        </w:rPr>
        <w:t>小时第</w:t>
      </w:r>
      <w:r>
        <w:rPr>
          <w:bCs/>
          <w:sz w:val="24"/>
        </w:rPr>
        <w:t>90</w:t>
      </w:r>
      <w:r>
        <w:rPr>
          <w:rFonts w:hint="eastAsia"/>
          <w:bCs/>
          <w:sz w:val="24"/>
        </w:rPr>
        <w:t>百分位数日平均浓度、</w:t>
      </w:r>
      <w:r>
        <w:rPr>
          <w:bCs/>
          <w:sz w:val="24"/>
        </w:rPr>
        <w:t>SO</w:t>
      </w:r>
      <w:r>
        <w:rPr>
          <w:bCs/>
          <w:sz w:val="24"/>
          <w:vertAlign w:val="subscript"/>
        </w:rPr>
        <w:t>2</w:t>
      </w:r>
      <w:r>
        <w:rPr>
          <w:rFonts w:hint="eastAsia"/>
          <w:bCs/>
          <w:sz w:val="24"/>
        </w:rPr>
        <w:t>和</w:t>
      </w:r>
      <w:r>
        <w:rPr>
          <w:bCs/>
          <w:sz w:val="24"/>
        </w:rPr>
        <w:t>NO</w:t>
      </w:r>
      <w:r>
        <w:rPr>
          <w:bCs/>
          <w:sz w:val="24"/>
          <w:vertAlign w:val="subscript"/>
        </w:rPr>
        <w:t>2</w:t>
      </w:r>
      <w:r>
        <w:rPr>
          <w:rFonts w:hint="eastAsia"/>
          <w:bCs/>
          <w:sz w:val="24"/>
        </w:rPr>
        <w:t>的年均浓度均满足《环境空气质量标准》</w:t>
      </w:r>
      <w:r>
        <w:rPr>
          <w:bCs/>
          <w:sz w:val="24"/>
        </w:rPr>
        <w:t>GB3095-2012</w:t>
      </w:r>
      <w:r>
        <w:rPr>
          <w:rFonts w:hint="eastAsia"/>
          <w:bCs/>
          <w:sz w:val="24"/>
        </w:rPr>
        <w:t>）的二级标准要求，故本项目所在区域为不达标区域。</w:t>
      </w:r>
    </w:p>
    <w:p>
      <w:pPr>
        <w:spacing w:line="460" w:lineRule="exact"/>
        <w:ind w:firstLine="480" w:firstLineChars="200"/>
        <w:rPr>
          <w:sz w:val="24"/>
        </w:rPr>
      </w:pPr>
      <w:r>
        <w:rPr>
          <w:rFonts w:hint="eastAsia"/>
          <w:sz w:val="24"/>
        </w:rPr>
        <w:t>项目区域污染物环境质量现状评价：评价区内监测期间评价区内TSP满足《环境空气质量标准》（GB3095-2012）中二级标准；非甲烷总烃满足《大气污染物综合排放标准详解》中要求。</w:t>
      </w:r>
    </w:p>
    <w:p>
      <w:pPr>
        <w:spacing w:line="460" w:lineRule="exact"/>
        <w:ind w:firstLine="480" w:firstLineChars="200"/>
        <w:rPr>
          <w:sz w:val="24"/>
        </w:rPr>
      </w:pPr>
      <w:r>
        <w:rPr>
          <w:rFonts w:hint="eastAsia"/>
          <w:sz w:val="24"/>
        </w:rPr>
        <w:t>2、</w:t>
      </w:r>
      <w:r>
        <w:rPr>
          <w:sz w:val="24"/>
        </w:rPr>
        <w:t>地下水环境质量现状</w:t>
      </w:r>
    </w:p>
    <w:p>
      <w:pPr>
        <w:spacing w:line="460" w:lineRule="exact"/>
        <w:ind w:firstLine="480" w:firstLineChars="200"/>
        <w:rPr>
          <w:sz w:val="24"/>
        </w:rPr>
      </w:pPr>
      <w:r>
        <w:rPr>
          <w:rFonts w:hint="eastAsia"/>
          <w:bCs/>
          <w:sz w:val="24"/>
        </w:rPr>
        <w:t>由项目区地下水现状监测数据评价结果可知，项目所在区域三个地下水监测点位所有监测指标的标准指数均小于1，满足《地下水质量标准》（GB/T14848-2017）中的Ⅲ类标准要求。</w:t>
      </w:r>
    </w:p>
    <w:p>
      <w:pPr>
        <w:spacing w:line="460" w:lineRule="exact"/>
        <w:ind w:firstLine="480" w:firstLineChars="200"/>
        <w:rPr>
          <w:sz w:val="24"/>
        </w:rPr>
      </w:pPr>
      <w:r>
        <w:rPr>
          <w:rFonts w:hint="eastAsia"/>
          <w:sz w:val="24"/>
        </w:rPr>
        <w:t>3、</w:t>
      </w:r>
      <w:r>
        <w:rPr>
          <w:sz w:val="24"/>
        </w:rPr>
        <w:t>声环境质量现状</w:t>
      </w:r>
    </w:p>
    <w:p>
      <w:pPr>
        <w:spacing w:line="460" w:lineRule="exact"/>
        <w:ind w:firstLine="480" w:firstLineChars="200"/>
        <w:rPr>
          <w:sz w:val="24"/>
        </w:rPr>
      </w:pPr>
      <w:r>
        <w:rPr>
          <w:sz w:val="24"/>
        </w:rPr>
        <w:t>建设项目区昼间及夜间现状声环境等效声级均未超过《声环境质量标准》（GB3096-2008）的</w:t>
      </w:r>
      <w:r>
        <w:rPr>
          <w:rFonts w:hint="eastAsia"/>
          <w:sz w:val="24"/>
        </w:rPr>
        <w:t>3</w:t>
      </w:r>
      <w:r>
        <w:rPr>
          <w:sz w:val="24"/>
        </w:rPr>
        <w:t>类标准值，说明项目区声环境质量较好。</w:t>
      </w:r>
    </w:p>
    <w:p>
      <w:pPr>
        <w:spacing w:line="460" w:lineRule="exact"/>
        <w:ind w:firstLine="480" w:firstLineChars="200"/>
        <w:rPr>
          <w:sz w:val="24"/>
        </w:rPr>
      </w:pPr>
      <w:r>
        <w:rPr>
          <w:rFonts w:hint="eastAsia"/>
          <w:sz w:val="24"/>
        </w:rPr>
        <w:t>4、土壤环境质量现状</w:t>
      </w:r>
    </w:p>
    <w:p>
      <w:pPr>
        <w:spacing w:line="460" w:lineRule="exact"/>
        <w:ind w:firstLine="480" w:firstLineChars="200"/>
        <w:rPr>
          <w:sz w:val="24"/>
        </w:rPr>
      </w:pPr>
      <w:r>
        <w:rPr>
          <w:rFonts w:hint="eastAsia"/>
          <w:sz w:val="24"/>
        </w:rPr>
        <w:t>本次环评期间选取的3个土壤表层样监测点监测结果显示，各监测点监测因子均满足《土壤环境质量 建设用地土壤污染风险管控标准（试行）》（GB 36600-2018）表1中第二类用地筛选值要求。</w:t>
      </w:r>
    </w:p>
    <w:bookmarkEnd w:id="325"/>
    <w:p>
      <w:pPr>
        <w:pStyle w:val="5"/>
        <w:numPr>
          <w:ilvl w:val="0"/>
          <w:numId w:val="0"/>
        </w:numPr>
        <w:adjustRightInd w:val="0"/>
        <w:spacing w:before="0" w:line="460" w:lineRule="exact"/>
        <w:ind w:left="113"/>
        <w:textAlignment w:val="baseline"/>
        <w:rPr>
          <w:rFonts w:ascii="Times New Roman"/>
          <w:szCs w:val="24"/>
        </w:rPr>
      </w:pPr>
      <w:bookmarkStart w:id="327" w:name="_Toc309715513"/>
      <w:r>
        <w:rPr>
          <w:rFonts w:hint="eastAsia" w:ascii="Times New Roman"/>
          <w:szCs w:val="24"/>
        </w:rPr>
        <w:t>10</w:t>
      </w:r>
      <w:r>
        <w:rPr>
          <w:rFonts w:ascii="Times New Roman"/>
          <w:szCs w:val="24"/>
        </w:rPr>
        <w:t>.1.3环境影响分析结论</w:t>
      </w:r>
      <w:bookmarkEnd w:id="327"/>
    </w:p>
    <w:p>
      <w:pPr>
        <w:spacing w:line="460" w:lineRule="exact"/>
        <w:ind w:firstLine="480" w:firstLineChars="200"/>
        <w:rPr>
          <w:sz w:val="24"/>
        </w:rPr>
      </w:pPr>
      <w:r>
        <w:rPr>
          <w:rFonts w:hint="eastAsia"/>
          <w:sz w:val="24"/>
        </w:rPr>
        <w:t>1、</w:t>
      </w:r>
      <w:r>
        <w:rPr>
          <w:sz w:val="24"/>
        </w:rPr>
        <w:t>大气环境影响分析</w:t>
      </w:r>
      <w:r>
        <w:rPr>
          <w:rFonts w:hint="eastAsia"/>
          <w:sz w:val="24"/>
        </w:rPr>
        <w:t>结论</w:t>
      </w:r>
    </w:p>
    <w:p>
      <w:pPr>
        <w:spacing w:line="460" w:lineRule="exact"/>
        <w:ind w:firstLine="480" w:firstLineChars="200"/>
        <w:rPr>
          <w:sz w:val="24"/>
        </w:rPr>
      </w:pPr>
      <w:r>
        <w:rPr>
          <w:rFonts w:hint="eastAsia"/>
          <w:sz w:val="24"/>
        </w:rPr>
        <w:t>本项目废旧滴灌带造粒及滴灌带生产工序产生的有机废气非甲烷总烃在采取配套设置的活性炭吸附+催化燃烧（CO）装置处置后通过1根15m高排气筒外排，根据计算，排放浓度满足《合成树脂工业污染物排放标准》（GB 31572-2015）中表5大气污染物特别排放限值中要求；废旧塑料膜造粒及PE管生产产生的非甲烷总烃在采取配套设置的活性炭吸附+催化燃烧（CO）装置处置后通过1根15m高排气筒外排，根据计算，排放浓度满足《合成树脂工业污染物排放标准》（GB 31572-2015）中表5大气污染物特别排放限值中要求。</w:t>
      </w:r>
    </w:p>
    <w:p>
      <w:pPr>
        <w:spacing w:line="460" w:lineRule="exact"/>
        <w:ind w:firstLine="480" w:firstLineChars="200"/>
        <w:rPr>
          <w:sz w:val="24"/>
        </w:rPr>
      </w:pPr>
      <w:r>
        <w:rPr>
          <w:rFonts w:hint="eastAsia"/>
          <w:sz w:val="24"/>
        </w:rPr>
        <w:t>根据估算结果可知，</w:t>
      </w:r>
      <w:r>
        <w:rPr>
          <w:rFonts w:hint="eastAsia"/>
          <w:kern w:val="28"/>
          <w:sz w:val="24"/>
        </w:rPr>
        <w:t>项目废旧滴灌带造粒及滴灌带生产</w:t>
      </w:r>
      <w:r>
        <w:rPr>
          <w:kern w:val="28"/>
          <w:sz w:val="24"/>
        </w:rPr>
        <w:t>有组织非甲烷总烃</w:t>
      </w:r>
      <w:r>
        <w:rPr>
          <w:rFonts w:hint="eastAsia"/>
          <w:kern w:val="28"/>
          <w:sz w:val="24"/>
        </w:rPr>
        <w:t>最大落地浓度为0.0837mg/m</w:t>
      </w:r>
      <w:r>
        <w:rPr>
          <w:rFonts w:hint="eastAsia"/>
          <w:kern w:val="28"/>
          <w:sz w:val="24"/>
          <w:vertAlign w:val="superscript"/>
        </w:rPr>
        <w:t>3</w:t>
      </w:r>
      <w:r>
        <w:rPr>
          <w:rFonts w:hint="eastAsia"/>
          <w:kern w:val="28"/>
          <w:sz w:val="24"/>
        </w:rPr>
        <w:t>，位于离源79m处；滴废旧塑料膜造粒及PE管生产</w:t>
      </w:r>
      <w:r>
        <w:rPr>
          <w:kern w:val="28"/>
          <w:sz w:val="24"/>
        </w:rPr>
        <w:t>有组织</w:t>
      </w:r>
      <w:r>
        <w:rPr>
          <w:rFonts w:hint="eastAsia"/>
          <w:kern w:val="28"/>
          <w:sz w:val="24"/>
        </w:rPr>
        <w:t>非甲烷总烃最大落地浓度为0.0473mg/m</w:t>
      </w:r>
      <w:r>
        <w:rPr>
          <w:rFonts w:hint="eastAsia"/>
          <w:kern w:val="28"/>
          <w:sz w:val="24"/>
          <w:vertAlign w:val="superscript"/>
        </w:rPr>
        <w:t>3</w:t>
      </w:r>
      <w:r>
        <w:rPr>
          <w:rFonts w:hint="eastAsia"/>
          <w:kern w:val="28"/>
          <w:sz w:val="24"/>
        </w:rPr>
        <w:t>，位于离源79m处；废旧滴灌带造粒及滴灌带生产车间</w:t>
      </w:r>
      <w:r>
        <w:rPr>
          <w:kern w:val="28"/>
          <w:sz w:val="24"/>
        </w:rPr>
        <w:t>无组织</w:t>
      </w:r>
      <w:r>
        <w:rPr>
          <w:rFonts w:hint="eastAsia"/>
          <w:kern w:val="28"/>
          <w:sz w:val="24"/>
        </w:rPr>
        <w:t>非甲烷总烃最大落地浓度为0.0957mg/m</w:t>
      </w:r>
      <w:r>
        <w:rPr>
          <w:rFonts w:hint="eastAsia"/>
          <w:kern w:val="28"/>
          <w:sz w:val="24"/>
          <w:vertAlign w:val="superscript"/>
        </w:rPr>
        <w:t>3</w:t>
      </w:r>
      <w:r>
        <w:rPr>
          <w:rFonts w:hint="eastAsia"/>
          <w:kern w:val="28"/>
          <w:sz w:val="24"/>
        </w:rPr>
        <w:t>，位于离源72m处；废旧塑料膜造粒及及PE管生产车间</w:t>
      </w:r>
      <w:r>
        <w:rPr>
          <w:kern w:val="28"/>
          <w:sz w:val="24"/>
        </w:rPr>
        <w:t>无组织非甲烷总烃</w:t>
      </w:r>
      <w:r>
        <w:rPr>
          <w:rFonts w:hint="eastAsia"/>
          <w:kern w:val="28"/>
          <w:sz w:val="24"/>
        </w:rPr>
        <w:t>最大落地浓度为0.0516mg/m</w:t>
      </w:r>
      <w:r>
        <w:rPr>
          <w:rFonts w:hint="eastAsia"/>
          <w:kern w:val="28"/>
          <w:sz w:val="24"/>
          <w:vertAlign w:val="superscript"/>
        </w:rPr>
        <w:t>3</w:t>
      </w:r>
      <w:r>
        <w:rPr>
          <w:rFonts w:hint="eastAsia"/>
          <w:kern w:val="28"/>
          <w:sz w:val="24"/>
        </w:rPr>
        <w:t>，位于离源70m处，根据分析，各污染源估算非甲烷总烃最大落地浓度均远小于《大气污染物综合排放标准详解》中的环境管理推荐限值要求，因此项目运营期对周围环境影响较小。</w:t>
      </w:r>
    </w:p>
    <w:p>
      <w:pPr>
        <w:spacing w:line="460" w:lineRule="exact"/>
        <w:ind w:firstLine="480" w:firstLineChars="200"/>
        <w:rPr>
          <w:sz w:val="24"/>
        </w:rPr>
      </w:pPr>
      <w:r>
        <w:rPr>
          <w:rFonts w:hint="eastAsia"/>
          <w:sz w:val="24"/>
        </w:rPr>
        <w:t>2、</w:t>
      </w:r>
      <w:r>
        <w:rPr>
          <w:sz w:val="24"/>
        </w:rPr>
        <w:t>水环境影响分析</w:t>
      </w:r>
    </w:p>
    <w:p>
      <w:pPr>
        <w:spacing w:line="460" w:lineRule="exact"/>
        <w:ind w:firstLine="480" w:firstLineChars="200"/>
        <w:jc w:val="left"/>
        <w:rPr>
          <w:sz w:val="24"/>
        </w:rPr>
      </w:pPr>
      <w:r>
        <w:rPr>
          <w:rFonts w:hint="eastAsia"/>
          <w:sz w:val="24"/>
        </w:rPr>
        <w:t>本项目破碎喷淋废水、清洗废水、冷却水循环使用不外排，定期补充新鲜水，无生产废水外排。生活污水经</w:t>
      </w:r>
      <w:r>
        <w:rPr>
          <w:sz w:val="24"/>
        </w:rPr>
        <w:t>1</w:t>
      </w:r>
      <w:r>
        <w:rPr>
          <w:rFonts w:hint="eastAsia"/>
          <w:sz w:val="24"/>
        </w:rPr>
        <w:t>座100</w:t>
      </w:r>
      <w:r>
        <w:rPr>
          <w:sz w:val="24"/>
        </w:rPr>
        <w:t>m</w:t>
      </w:r>
      <w:r>
        <w:rPr>
          <w:rFonts w:hint="eastAsia"/>
          <w:sz w:val="24"/>
        </w:rPr>
        <w:t>³的防渗化粪池暂存后定期拉运至农业园污水处理厂处置。因此本项目污水不会对周围水环境产生明显影响。</w:t>
      </w:r>
    </w:p>
    <w:p>
      <w:pPr>
        <w:spacing w:line="460" w:lineRule="exact"/>
        <w:ind w:firstLine="480" w:firstLineChars="200"/>
        <w:jc w:val="left"/>
        <w:rPr>
          <w:sz w:val="24"/>
        </w:rPr>
      </w:pPr>
      <w:r>
        <w:rPr>
          <w:rFonts w:hint="eastAsia"/>
          <w:sz w:val="24"/>
        </w:rPr>
        <w:t>项目建设在严格按照防渗要求加强环保措施后，正常情况下可最大限度将污染物与地下水隔离，有效预防污（废）水的无序扩散，造成地下水污染的可能性小，对下游地下水水质的影响不大。</w:t>
      </w:r>
    </w:p>
    <w:p>
      <w:pPr>
        <w:spacing w:line="460" w:lineRule="exact"/>
        <w:ind w:firstLine="480" w:firstLineChars="200"/>
        <w:jc w:val="left"/>
        <w:rPr>
          <w:sz w:val="24"/>
        </w:rPr>
      </w:pPr>
      <w:r>
        <w:rPr>
          <w:rFonts w:hint="eastAsia"/>
          <w:sz w:val="24"/>
        </w:rPr>
        <w:t>项目在非正常情况下，因事故导致污水渗漏，污（废）水将通过上覆土层的孔隙或下伏基岩的孔隙及裂隙缓慢入渗补给地下水（渗漏污染方向与地下水的径流方向一致），进一步污染场区至下游地段的地下水水质。</w:t>
      </w:r>
    </w:p>
    <w:p>
      <w:pPr>
        <w:spacing w:line="460" w:lineRule="exact"/>
        <w:ind w:firstLine="480" w:firstLineChars="200"/>
        <w:jc w:val="left"/>
        <w:rPr>
          <w:sz w:val="24"/>
        </w:rPr>
      </w:pPr>
      <w:r>
        <w:rPr>
          <w:rFonts w:hint="eastAsia"/>
          <w:sz w:val="24"/>
        </w:rPr>
        <w:t>根据预测结果，污水泄漏将对地下水环境造成一定影响。预测因子的中心浓度均随着地下水的稀释而逐渐降低，说明在预测时段内，污染物对环境的影响随着时间推移而减弱，后被地下水稀释自净，但需要的时间很长，故地下水一旦污染，其恢复能力很差。</w:t>
      </w:r>
    </w:p>
    <w:p>
      <w:pPr>
        <w:spacing w:line="460" w:lineRule="exact"/>
        <w:ind w:firstLine="480" w:firstLineChars="200"/>
        <w:jc w:val="left"/>
        <w:rPr>
          <w:sz w:val="24"/>
        </w:rPr>
      </w:pPr>
      <w:r>
        <w:rPr>
          <w:rFonts w:hint="eastAsia"/>
          <w:sz w:val="24"/>
        </w:rPr>
        <w:t>考虑到地下水污染具有高度隐蔽性，难发现，难治理，要求建设单位重视地下水污染，从源头上做好控制，确保各污水处理设施防渗设施安全正常运营，加强管理和检查，确保不发生泄漏。在发生意外泄露的情况下，要在泄露初期及时控制污染物向下游进行运移扩散，综合采取水动力控制、抽采或阻隔等方法，在污染物进一步运移扩散前将其控制、处理，避免对下游地下水造成污染影响。此外，建设单位需严格落实环境监测计划，密切关注地下水环境质量变化情况，制定相关应急预案，将事故对地下水环境造成的影响最大限度降低。</w:t>
      </w:r>
    </w:p>
    <w:p>
      <w:pPr>
        <w:spacing w:line="460" w:lineRule="exact"/>
        <w:ind w:firstLine="480" w:firstLineChars="200"/>
        <w:rPr>
          <w:sz w:val="24"/>
        </w:rPr>
      </w:pPr>
      <w:r>
        <w:rPr>
          <w:rFonts w:hint="eastAsia"/>
          <w:sz w:val="24"/>
        </w:rPr>
        <w:t>3、</w:t>
      </w:r>
      <w:r>
        <w:rPr>
          <w:sz w:val="24"/>
        </w:rPr>
        <w:t>声环境影响分析</w:t>
      </w:r>
    </w:p>
    <w:p>
      <w:pPr>
        <w:spacing w:line="460" w:lineRule="exact"/>
        <w:ind w:firstLine="480" w:firstLineChars="200"/>
        <w:rPr>
          <w:sz w:val="24"/>
        </w:rPr>
      </w:pPr>
      <w:r>
        <w:rPr>
          <w:rFonts w:hint="eastAsia"/>
          <w:sz w:val="24"/>
        </w:rPr>
        <w:t>（2）运营期声环境影响分析结论</w:t>
      </w:r>
    </w:p>
    <w:p>
      <w:pPr>
        <w:spacing w:line="460" w:lineRule="exact"/>
        <w:ind w:firstLine="480" w:firstLineChars="200"/>
        <w:rPr>
          <w:sz w:val="24"/>
        </w:rPr>
      </w:pPr>
      <w:r>
        <w:rPr>
          <w:rFonts w:hint="eastAsia"/>
          <w:sz w:val="24"/>
        </w:rPr>
        <w:t>项目产噪设备主要为破碎机、搅拌机、造粒机、挤出机、风机、水泵等生产设备产生的噪声，声级为</w:t>
      </w:r>
      <w:r>
        <w:rPr>
          <w:sz w:val="24"/>
        </w:rPr>
        <w:t>65</w:t>
      </w:r>
      <w:r>
        <w:rPr>
          <w:rFonts w:hint="eastAsia"/>
          <w:sz w:val="24"/>
        </w:rPr>
        <w:t>～</w:t>
      </w:r>
      <w:r>
        <w:rPr>
          <w:sz w:val="24"/>
        </w:rPr>
        <w:t>90dB(A)</w:t>
      </w:r>
      <w:r>
        <w:rPr>
          <w:rFonts w:hint="eastAsia"/>
          <w:sz w:val="24"/>
        </w:rPr>
        <w:t>。针对噪声源的特点，通过在设备机座与基础之间设橡胶隔振垫、厂房隔声等措施降噪隔声后，可减低噪声</w:t>
      </w:r>
      <w:r>
        <w:rPr>
          <w:sz w:val="24"/>
        </w:rPr>
        <w:t>15dB</w:t>
      </w:r>
      <w:r>
        <w:rPr>
          <w:rFonts w:hint="eastAsia"/>
          <w:sz w:val="24"/>
        </w:rPr>
        <w:t>（</w:t>
      </w:r>
      <w:r>
        <w:rPr>
          <w:sz w:val="24"/>
        </w:rPr>
        <w:t>A</w:t>
      </w:r>
      <w:r>
        <w:rPr>
          <w:rFonts w:hint="eastAsia"/>
          <w:sz w:val="24"/>
        </w:rPr>
        <w:t>），其中风机采取设置消音器、基础减震措施，可减低噪声</w:t>
      </w:r>
      <w:r>
        <w:rPr>
          <w:sz w:val="24"/>
        </w:rPr>
        <w:t>30dB</w:t>
      </w:r>
      <w:r>
        <w:rPr>
          <w:rFonts w:hint="eastAsia"/>
          <w:sz w:val="24"/>
        </w:rPr>
        <w:t>（</w:t>
      </w:r>
      <w:r>
        <w:rPr>
          <w:sz w:val="24"/>
        </w:rPr>
        <w:t>A</w:t>
      </w:r>
      <w:r>
        <w:rPr>
          <w:rFonts w:hint="eastAsia"/>
          <w:sz w:val="24"/>
        </w:rPr>
        <w:t>），在采取选用低噪声设备，基础减震、隔音消音、设备安装于室内等措施后，根据预测结果显示，项目运营期厂界噪声值叠加背景值后预测值昼间及夜间均满足《工业企业厂界环境噪声排放标准》（</w:t>
      </w:r>
      <w:r>
        <w:rPr>
          <w:sz w:val="24"/>
        </w:rPr>
        <w:t>GB12348-2008</w:t>
      </w:r>
      <w:r>
        <w:rPr>
          <w:rFonts w:hint="eastAsia"/>
          <w:sz w:val="24"/>
        </w:rPr>
        <w:t>）中3类标准，对周围声环境影响较小。</w:t>
      </w:r>
    </w:p>
    <w:p>
      <w:pPr>
        <w:spacing w:line="460" w:lineRule="exact"/>
        <w:ind w:firstLine="480" w:firstLineChars="200"/>
        <w:rPr>
          <w:sz w:val="24"/>
        </w:rPr>
      </w:pPr>
      <w:r>
        <w:rPr>
          <w:rFonts w:hint="eastAsia"/>
          <w:sz w:val="24"/>
        </w:rPr>
        <w:t>4、</w:t>
      </w:r>
      <w:r>
        <w:rPr>
          <w:sz w:val="24"/>
        </w:rPr>
        <w:t>固体废弃物环境影响分析</w:t>
      </w:r>
    </w:p>
    <w:p>
      <w:pPr>
        <w:spacing w:line="460" w:lineRule="exact"/>
        <w:ind w:firstLine="480" w:firstLineChars="200"/>
        <w:rPr>
          <w:sz w:val="24"/>
        </w:rPr>
      </w:pPr>
      <w:r>
        <w:rPr>
          <w:rFonts w:hint="eastAsia"/>
          <w:sz w:val="24"/>
        </w:rPr>
        <w:t>根据分析，本项目运营期产生的固体废弃物主要有</w:t>
      </w:r>
      <w:r>
        <w:rPr>
          <w:rFonts w:hint="eastAsia"/>
          <w:bCs/>
          <w:sz w:val="24"/>
        </w:rPr>
        <w:t>加工生产过程中清洗废旧滴灌带及</w:t>
      </w:r>
      <w:r>
        <w:rPr>
          <w:bCs/>
          <w:sz w:val="24"/>
        </w:rPr>
        <w:t>废旧塑料膜</w:t>
      </w:r>
      <w:r>
        <w:rPr>
          <w:rFonts w:hint="eastAsia"/>
          <w:bCs/>
          <w:sz w:val="24"/>
        </w:rPr>
        <w:t>时产生的泥沙、电加热造粒工段废滤网、滴灌带及</w:t>
      </w:r>
      <w:r>
        <w:rPr>
          <w:bCs/>
          <w:sz w:val="24"/>
        </w:rPr>
        <w:t>PE管</w:t>
      </w:r>
      <w:r>
        <w:rPr>
          <w:rFonts w:hint="eastAsia"/>
          <w:bCs/>
          <w:sz w:val="24"/>
        </w:rPr>
        <w:t>定型时产生不合格品、废气处理设施产生的废活性炭、废催化剂、设备</w:t>
      </w:r>
      <w:r>
        <w:rPr>
          <w:bCs/>
          <w:sz w:val="24"/>
        </w:rPr>
        <w:t>保养产生</w:t>
      </w:r>
      <w:r>
        <w:rPr>
          <w:rFonts w:hint="eastAsia"/>
          <w:bCs/>
          <w:sz w:val="24"/>
        </w:rPr>
        <w:t>废润滑油及桶</w:t>
      </w:r>
      <w:r>
        <w:rPr>
          <w:rFonts w:hint="eastAsia"/>
          <w:sz w:val="24"/>
        </w:rPr>
        <w:t>和生活垃圾。</w:t>
      </w:r>
    </w:p>
    <w:p>
      <w:pPr>
        <w:spacing w:line="460" w:lineRule="exact"/>
        <w:ind w:firstLine="480" w:firstLineChars="200"/>
        <w:rPr>
          <w:sz w:val="24"/>
        </w:rPr>
      </w:pPr>
      <w:r>
        <w:rPr>
          <w:rFonts w:hint="eastAsia"/>
          <w:sz w:val="24"/>
        </w:rPr>
        <w:t>本项目产生的固废中滴灌带不合格品、PE管不合格品全部收集后回至废旧滴灌带破碎工序再次破碎造粒循环利用；沉淀池泥沙定期清捞后送一般固废填埋场处置；废旧滤网送固废填埋场处置；危险废物废活性炭、废催化剂、废润滑油及桶全部在新建的危废暂存间分区暂存，定期交由有资质单位处置；生活垃圾由环卫部门清运至垃圾填埋场处置。</w:t>
      </w:r>
    </w:p>
    <w:p>
      <w:pPr>
        <w:spacing w:line="460" w:lineRule="exact"/>
        <w:ind w:firstLine="480" w:firstLineChars="200"/>
        <w:rPr>
          <w:sz w:val="24"/>
        </w:rPr>
      </w:pPr>
      <w:r>
        <w:rPr>
          <w:rFonts w:hint="eastAsia"/>
          <w:sz w:val="24"/>
        </w:rPr>
        <w:t>本项目固体废物主要为一般工业固物及危险废物，一般工业固废产生后及时清运，不在厂区长时间堆存；项目危险废物设置危废暂存间，暂存间严格按照《危险废物贮存污染控制标准》（GB 18597-2023）建设，项目所产生的危险废物全部在库内分区贮存，并且及时外运处置，禁止长时间贮存危废。</w:t>
      </w:r>
    </w:p>
    <w:p>
      <w:pPr>
        <w:spacing w:line="460" w:lineRule="exact"/>
        <w:ind w:firstLine="480" w:firstLineChars="200"/>
        <w:rPr>
          <w:sz w:val="24"/>
        </w:rPr>
      </w:pPr>
      <w:r>
        <w:rPr>
          <w:rFonts w:hint="eastAsia"/>
          <w:sz w:val="24"/>
        </w:rPr>
        <w:t>通过以上措施可有效防止本项目产生的固体废物对环境造成二次污染影响。</w:t>
      </w:r>
    </w:p>
    <w:p>
      <w:pPr>
        <w:spacing w:line="460" w:lineRule="exact"/>
        <w:ind w:firstLine="480" w:firstLineChars="200"/>
        <w:rPr>
          <w:sz w:val="24"/>
        </w:rPr>
      </w:pPr>
      <w:r>
        <w:rPr>
          <w:rFonts w:hint="eastAsia"/>
          <w:sz w:val="24"/>
        </w:rPr>
        <w:t>6、土壤环境影响分析</w:t>
      </w:r>
    </w:p>
    <w:p>
      <w:pPr>
        <w:spacing w:line="460" w:lineRule="exact"/>
        <w:ind w:firstLine="480" w:firstLineChars="200"/>
        <w:rPr>
          <w:sz w:val="24"/>
        </w:rPr>
      </w:pPr>
      <w:r>
        <w:rPr>
          <w:rFonts w:hint="eastAsia"/>
          <w:sz w:val="24"/>
        </w:rPr>
        <w:t>本项目运营期产生的废气主要是非甲烷总烃，非甲烷总烃属于气态物质，不会对土壤产生影响，项目对土壤可能产生影响的途径主要为污水的入渗和固体废物淋溶液入渗，可能会有部分污染物进入土壤。本项目各功能区采取“源头控制”、“分区防控”的防渗措施，可以防止污染物进入土壤造成土壤污染。项目产生的固体废物的堆放，满足“防风、防雨、防晒”的要求，经收集后均进行妥善处理，不直接排入土壤环境。本项目危险废物贮存库须按《危险废物贮存污染控制标准》（GB18597-2023）相关要求进行设计建造。危险废物分类收集后，委托有资质的危险废物处置单位处置。整个过程基本可以杜绝危险废物接触土壤，不会对土壤环境造成影响。</w:t>
      </w:r>
    </w:p>
    <w:p>
      <w:pPr>
        <w:spacing w:line="460" w:lineRule="exact"/>
        <w:ind w:firstLine="480" w:firstLineChars="200"/>
        <w:rPr>
          <w:sz w:val="24"/>
        </w:rPr>
      </w:pPr>
      <w:r>
        <w:rPr>
          <w:rFonts w:hint="eastAsia"/>
          <w:sz w:val="24"/>
        </w:rPr>
        <w:t>由于项目厂区四周均紧邻耕地，为了确保本项目生产不对周围耕地产生影响，项目在运营过程中要加强管理，确保各类污染防治设施稳定运行，定期对三级沉淀池、化粪池等可能发生泄漏的设施进行巡检，严禁跑、冒、滴、漏等可能污染周边耕地的情况发生。</w:t>
      </w:r>
    </w:p>
    <w:p>
      <w:pPr>
        <w:spacing w:line="460" w:lineRule="exact"/>
        <w:ind w:firstLine="480" w:firstLineChars="200"/>
        <w:rPr>
          <w:sz w:val="24"/>
        </w:rPr>
      </w:pPr>
      <w:r>
        <w:rPr>
          <w:sz w:val="24"/>
        </w:rPr>
        <w:t>5</w:t>
      </w:r>
      <w:r>
        <w:rPr>
          <w:rFonts w:hint="eastAsia"/>
          <w:sz w:val="24"/>
        </w:rPr>
        <w:t>、</w:t>
      </w:r>
      <w:r>
        <w:rPr>
          <w:sz w:val="24"/>
        </w:rPr>
        <w:t>生态环境影响分析结论</w:t>
      </w:r>
    </w:p>
    <w:p>
      <w:pPr>
        <w:spacing w:line="460" w:lineRule="exact"/>
        <w:ind w:firstLine="480" w:firstLineChars="200"/>
        <w:rPr>
          <w:sz w:val="24"/>
        </w:rPr>
      </w:pPr>
      <w:r>
        <w:rPr>
          <w:rFonts w:hint="eastAsia"/>
          <w:sz w:val="24"/>
        </w:rPr>
        <w:t>项目实施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w:t>
      </w:r>
      <w:r>
        <w:rPr>
          <w:rFonts w:ascii="Times New Roman"/>
          <w:szCs w:val="24"/>
        </w:rPr>
        <w:t>.1.4</w:t>
      </w:r>
      <w:r>
        <w:rPr>
          <w:rFonts w:hint="eastAsia" w:ascii="Times New Roman"/>
          <w:szCs w:val="24"/>
        </w:rPr>
        <w:t>运营期</w:t>
      </w:r>
      <w:r>
        <w:rPr>
          <w:rFonts w:ascii="Times New Roman"/>
          <w:szCs w:val="24"/>
        </w:rPr>
        <w:t>污染防治措施</w:t>
      </w:r>
      <w:r>
        <w:rPr>
          <w:rFonts w:hint="eastAsia" w:ascii="Times New Roman"/>
          <w:szCs w:val="24"/>
        </w:rPr>
        <w:t>可行性</w:t>
      </w:r>
      <w:r>
        <w:rPr>
          <w:rFonts w:ascii="Times New Roman"/>
          <w:szCs w:val="24"/>
        </w:rPr>
        <w:t>评价结论</w:t>
      </w:r>
    </w:p>
    <w:p>
      <w:pPr>
        <w:spacing w:line="460" w:lineRule="exact"/>
        <w:ind w:firstLine="480" w:firstLineChars="200"/>
        <w:rPr>
          <w:sz w:val="24"/>
        </w:rPr>
      </w:pPr>
      <w:r>
        <w:rPr>
          <w:rFonts w:hint="eastAsia"/>
          <w:sz w:val="24"/>
        </w:rPr>
        <w:t>1、</w:t>
      </w:r>
      <w:r>
        <w:rPr>
          <w:sz w:val="24"/>
        </w:rPr>
        <w:t>废气污染防治措施</w:t>
      </w:r>
      <w:r>
        <w:rPr>
          <w:rFonts w:hint="eastAsia"/>
          <w:sz w:val="24"/>
        </w:rPr>
        <w:t>可行性结论</w:t>
      </w:r>
    </w:p>
    <w:p>
      <w:pPr>
        <w:spacing w:line="460" w:lineRule="exact"/>
        <w:ind w:firstLine="480" w:firstLineChars="200"/>
        <w:rPr>
          <w:sz w:val="24"/>
        </w:rPr>
      </w:pPr>
      <w:r>
        <w:rPr>
          <w:rFonts w:hint="eastAsia"/>
          <w:sz w:val="24"/>
        </w:rPr>
        <w:t>本项目</w:t>
      </w:r>
      <w:r>
        <w:rPr>
          <w:sz w:val="24"/>
        </w:rPr>
        <w:t>将现有工程</w:t>
      </w:r>
      <w:r>
        <w:rPr>
          <w:rFonts w:hint="eastAsia"/>
          <w:sz w:val="24"/>
        </w:rPr>
        <w:t>滴灌带生产线</w:t>
      </w:r>
      <w:r>
        <w:rPr>
          <w:sz w:val="24"/>
        </w:rPr>
        <w:t>有机废气</w:t>
      </w:r>
      <w:r>
        <w:rPr>
          <w:rFonts w:hint="eastAsia"/>
          <w:sz w:val="24"/>
        </w:rPr>
        <w:t>非甲烷总烃</w:t>
      </w:r>
      <w:r>
        <w:rPr>
          <w:sz w:val="24"/>
        </w:rPr>
        <w:t>、本次扩建工程废旧</w:t>
      </w:r>
      <w:r>
        <w:rPr>
          <w:rFonts w:hint="eastAsia"/>
          <w:sz w:val="24"/>
        </w:rPr>
        <w:t>滴灌带</w:t>
      </w:r>
      <w:r>
        <w:rPr>
          <w:sz w:val="24"/>
        </w:rPr>
        <w:t>造粒生产线有机废气</w:t>
      </w:r>
      <w:r>
        <w:rPr>
          <w:rFonts w:hint="eastAsia"/>
          <w:sz w:val="24"/>
        </w:rPr>
        <w:t>非甲烷总烃</w:t>
      </w:r>
      <w:r>
        <w:rPr>
          <w:sz w:val="24"/>
        </w:rPr>
        <w:t>、</w:t>
      </w:r>
      <w:r>
        <w:rPr>
          <w:rFonts w:hint="eastAsia"/>
          <w:sz w:val="24"/>
        </w:rPr>
        <w:t>本次</w:t>
      </w:r>
      <w:r>
        <w:rPr>
          <w:sz w:val="24"/>
        </w:rPr>
        <w:t>扩建工程滴灌带生产线有机废气</w:t>
      </w:r>
      <w:r>
        <w:rPr>
          <w:rFonts w:hint="eastAsia"/>
          <w:sz w:val="24"/>
        </w:rPr>
        <w:t>非甲烷总烃集中</w:t>
      </w:r>
      <w:r>
        <w:rPr>
          <w:sz w:val="24"/>
        </w:rPr>
        <w:t>收集</w:t>
      </w:r>
      <w:r>
        <w:rPr>
          <w:rFonts w:hint="eastAsia"/>
          <w:sz w:val="24"/>
        </w:rPr>
        <w:t>后在</w:t>
      </w:r>
      <w:r>
        <w:rPr>
          <w:sz w:val="24"/>
        </w:rPr>
        <w:t>车间外设置一套活性炭吸附</w:t>
      </w:r>
      <w:r>
        <w:rPr>
          <w:rFonts w:hint="eastAsia"/>
          <w:sz w:val="24"/>
        </w:rPr>
        <w:t>+催化燃烧</w:t>
      </w:r>
      <w:r>
        <w:rPr>
          <w:sz w:val="24"/>
        </w:rPr>
        <w:t>装置</w:t>
      </w:r>
      <w:r>
        <w:rPr>
          <w:rFonts w:hint="eastAsia"/>
          <w:sz w:val="24"/>
        </w:rPr>
        <w:t>（CO）处置</w:t>
      </w:r>
      <w:r>
        <w:rPr>
          <w:sz w:val="24"/>
        </w:rPr>
        <w:t>后</w:t>
      </w:r>
      <w:r>
        <w:rPr>
          <w:rFonts w:hint="eastAsia"/>
          <w:sz w:val="24"/>
        </w:rPr>
        <w:t>通过15m排气筒DA001</w:t>
      </w:r>
      <w:r>
        <w:rPr>
          <w:sz w:val="24"/>
        </w:rPr>
        <w:t>外排</w:t>
      </w:r>
      <w:r>
        <w:rPr>
          <w:rFonts w:hint="eastAsia"/>
          <w:sz w:val="24"/>
        </w:rPr>
        <w:t>；将现有工程PE管生产线有机废气、本次扩建工程废旧塑料膜造粒生产线有机废气、本次扩建工程PE管生产线有机废气集中收集后在车间外设置一套活性炭吸附+催化燃烧装置（CO）处置后通过15m排气筒DA002外排，根据</w:t>
      </w:r>
      <w:r>
        <w:rPr>
          <w:sz w:val="24"/>
        </w:rPr>
        <w:t>计算经处置后非甲烷总烃</w:t>
      </w:r>
      <w:r>
        <w:rPr>
          <w:rFonts w:hint="eastAsia"/>
          <w:sz w:val="24"/>
        </w:rPr>
        <w:t>排放浓度满足《合成树脂工业污染物排放标准》（</w:t>
      </w:r>
      <w:r>
        <w:rPr>
          <w:sz w:val="24"/>
        </w:rPr>
        <w:t>GB 31572-2015</w:t>
      </w:r>
      <w:r>
        <w:rPr>
          <w:rFonts w:hint="eastAsia"/>
          <w:sz w:val="24"/>
        </w:rPr>
        <w:t>）中表</w:t>
      </w:r>
      <w:r>
        <w:rPr>
          <w:sz w:val="24"/>
        </w:rPr>
        <w:t>5</w:t>
      </w:r>
      <w:r>
        <w:rPr>
          <w:rFonts w:hint="eastAsia"/>
          <w:sz w:val="24"/>
        </w:rPr>
        <w:t>大气污染物特别排放限值中要求。本项目运营后单位产品非甲烷总烃排放量为0.23kg/t产品，满足《合成树脂工业污染物排放标准》（GB 31572-2015）中表5单位产品非甲烷总烃排放量0.3kg/t产品要求。因此，项目废气治理措施可行。</w:t>
      </w:r>
    </w:p>
    <w:p>
      <w:pPr>
        <w:spacing w:line="460" w:lineRule="exact"/>
        <w:ind w:firstLine="480" w:firstLineChars="200"/>
        <w:rPr>
          <w:sz w:val="24"/>
        </w:rPr>
      </w:pPr>
      <w:r>
        <w:rPr>
          <w:rFonts w:hint="eastAsia"/>
          <w:sz w:val="24"/>
        </w:rPr>
        <w:t>2、</w:t>
      </w:r>
      <w:r>
        <w:rPr>
          <w:sz w:val="24"/>
        </w:rPr>
        <w:t>废水污染防治措施</w:t>
      </w:r>
    </w:p>
    <w:p>
      <w:pPr>
        <w:spacing w:line="460" w:lineRule="exact"/>
        <w:ind w:firstLine="480" w:firstLineChars="200"/>
        <w:rPr>
          <w:sz w:val="24"/>
        </w:rPr>
      </w:pPr>
      <w:r>
        <w:rPr>
          <w:rFonts w:hint="eastAsia"/>
          <w:sz w:val="24"/>
        </w:rPr>
        <w:t>项目回收的废旧塑料膜、废旧滴灌带表面均粘附有一定量泥土，清洗过程全部进入清洗废水，项目废旧塑料破碎过程采用湿法破碎产生喷淋废水与废塑料一起进入清洗阶段，因此针对喷淋废水及清洗废水设置有2座300m</w:t>
      </w:r>
      <w:r>
        <w:rPr>
          <w:rFonts w:hint="eastAsia"/>
          <w:sz w:val="24"/>
          <w:vertAlign w:val="superscript"/>
        </w:rPr>
        <w:t>3</w:t>
      </w:r>
      <w:r>
        <w:rPr>
          <w:rFonts w:hint="eastAsia"/>
          <w:sz w:val="24"/>
        </w:rPr>
        <w:t>防渗三级沉淀池，清洗废水经沉淀池沉淀后回用于生产，不外排；项目运营过程会产生冷却循环水，项目设置有2座100m</w:t>
      </w:r>
      <w:r>
        <w:rPr>
          <w:rFonts w:hint="eastAsia"/>
          <w:sz w:val="24"/>
          <w:vertAlign w:val="superscript"/>
        </w:rPr>
        <w:t>3</w:t>
      </w:r>
      <w:r>
        <w:rPr>
          <w:rFonts w:hint="eastAsia"/>
          <w:sz w:val="24"/>
        </w:rPr>
        <w:t>冷却水池，冷却循环水经冷却水池降温后，循环使用，不外排，在采取上述措施后项目产生的各类生产废水均得到合理处置及利用，均不外排，处置措施可行。项目产生的生活污水经</w:t>
      </w:r>
      <w:r>
        <w:rPr>
          <w:sz w:val="24"/>
        </w:rPr>
        <w:t>1</w:t>
      </w:r>
      <w:r>
        <w:rPr>
          <w:rFonts w:hint="eastAsia"/>
          <w:sz w:val="24"/>
        </w:rPr>
        <w:t>座100</w:t>
      </w:r>
      <w:r>
        <w:rPr>
          <w:sz w:val="24"/>
        </w:rPr>
        <w:t>m</w:t>
      </w:r>
      <w:r>
        <w:rPr>
          <w:rFonts w:hint="eastAsia"/>
          <w:sz w:val="24"/>
        </w:rPr>
        <w:t>³的防渗化粪池暂存后，定期拉运至昌吉国家农业科技园区污水处理厂处置。并且项目建设期间对厂区进行分区防渗处理，可有效防止项目产生的废水对水环境的影响。综上，废水采取以上措施处理是可行的，可使建项目废水排放控制在环保标准要求范围内。</w:t>
      </w:r>
    </w:p>
    <w:p>
      <w:pPr>
        <w:spacing w:line="460" w:lineRule="exact"/>
        <w:ind w:firstLine="480" w:firstLineChars="200"/>
        <w:rPr>
          <w:sz w:val="24"/>
        </w:rPr>
      </w:pPr>
      <w:r>
        <w:rPr>
          <w:rFonts w:hint="eastAsia"/>
          <w:sz w:val="24"/>
        </w:rPr>
        <w:t>3、</w:t>
      </w:r>
      <w:r>
        <w:rPr>
          <w:sz w:val="24"/>
        </w:rPr>
        <w:t>噪声污染防治措施</w:t>
      </w:r>
    </w:p>
    <w:p>
      <w:pPr>
        <w:spacing w:line="460" w:lineRule="exact"/>
        <w:ind w:firstLine="480" w:firstLineChars="200"/>
        <w:rPr>
          <w:sz w:val="24"/>
        </w:rPr>
      </w:pPr>
      <w:r>
        <w:rPr>
          <w:rFonts w:hint="eastAsia"/>
          <w:sz w:val="24"/>
        </w:rPr>
        <w:t>（</w:t>
      </w:r>
      <w:r>
        <w:rPr>
          <w:sz w:val="24"/>
        </w:rPr>
        <w:t>1</w:t>
      </w:r>
      <w:r>
        <w:rPr>
          <w:rFonts w:hint="eastAsia"/>
          <w:sz w:val="24"/>
        </w:rPr>
        <w:t>）合理布置噪声源：将高噪声设备尽可能布置远离厂界，加大了噪声的距离衰减，并采取相应的降噪措施，使之确保实现厂界达标。</w:t>
      </w:r>
    </w:p>
    <w:p>
      <w:pPr>
        <w:spacing w:line="460" w:lineRule="exact"/>
        <w:ind w:firstLine="480" w:firstLineChars="200"/>
        <w:rPr>
          <w:sz w:val="24"/>
        </w:rPr>
      </w:pPr>
      <w:r>
        <w:rPr>
          <w:rFonts w:hint="eastAsia"/>
          <w:sz w:val="24"/>
        </w:rPr>
        <w:t>（</w:t>
      </w:r>
      <w:r>
        <w:rPr>
          <w:sz w:val="24"/>
        </w:rPr>
        <w:t>2</w:t>
      </w:r>
      <w:r>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pPr>
        <w:spacing w:line="460" w:lineRule="exact"/>
        <w:ind w:firstLine="480" w:firstLineChars="200"/>
        <w:rPr>
          <w:sz w:val="24"/>
        </w:rPr>
      </w:pPr>
      <w:r>
        <w:rPr>
          <w:rFonts w:hint="eastAsia"/>
          <w:sz w:val="24"/>
        </w:rPr>
        <w:t>（</w:t>
      </w:r>
      <w:r>
        <w:rPr>
          <w:sz w:val="24"/>
        </w:rPr>
        <w:t>3</w:t>
      </w:r>
      <w:r>
        <w:rPr>
          <w:rFonts w:hint="eastAsia"/>
          <w:sz w:val="24"/>
        </w:rPr>
        <w:t>）使用隔声门窗，加强车间隔声，减少对周边环境的影响。</w:t>
      </w:r>
    </w:p>
    <w:p>
      <w:pPr>
        <w:spacing w:line="460" w:lineRule="exact"/>
        <w:ind w:firstLine="480" w:firstLineChars="200"/>
        <w:rPr>
          <w:sz w:val="24"/>
        </w:rPr>
      </w:pPr>
      <w:r>
        <w:rPr>
          <w:rFonts w:hint="eastAsia"/>
          <w:sz w:val="24"/>
        </w:rPr>
        <w:t>（</w:t>
      </w:r>
      <w:r>
        <w:rPr>
          <w:sz w:val="24"/>
        </w:rPr>
        <w:t>4</w:t>
      </w:r>
      <w:r>
        <w:rPr>
          <w:rFonts w:hint="eastAsia"/>
          <w:sz w:val="24"/>
        </w:rPr>
        <w:t>）进一步加强绿化：车间周围和厂界处加强绿化建设，即可绿化厂区环境，又可做到绿化隔音降噪。</w:t>
      </w:r>
    </w:p>
    <w:p>
      <w:pPr>
        <w:spacing w:line="460" w:lineRule="exact"/>
        <w:ind w:firstLine="480" w:firstLineChars="200"/>
        <w:rPr>
          <w:sz w:val="24"/>
        </w:rPr>
      </w:pPr>
      <w:r>
        <w:rPr>
          <w:rFonts w:hint="eastAsia"/>
          <w:sz w:val="24"/>
        </w:rPr>
        <w:t>通过采取以上措施后，产噪声点经隔声和距离衰减后，厂界噪声贡献值很低，厂界噪声满足《工业企业厂界环境噪声排放标准》（</w:t>
      </w:r>
      <w:r>
        <w:rPr>
          <w:sz w:val="24"/>
        </w:rPr>
        <w:t>GB12348-2008</w:t>
      </w:r>
      <w:r>
        <w:rPr>
          <w:rFonts w:hint="eastAsia"/>
          <w:sz w:val="24"/>
        </w:rPr>
        <w:t>）3类标准限值要求，因此，噪声防治措施是有效、可行的。</w:t>
      </w:r>
    </w:p>
    <w:p>
      <w:pPr>
        <w:spacing w:line="460" w:lineRule="exact"/>
        <w:ind w:firstLine="480" w:firstLineChars="200"/>
        <w:rPr>
          <w:sz w:val="24"/>
        </w:rPr>
      </w:pPr>
      <w:r>
        <w:rPr>
          <w:rFonts w:hint="eastAsia"/>
          <w:sz w:val="24"/>
        </w:rPr>
        <w:t>通过采取以上措施后，产噪声点经隔声和距离衰减后，厂界噪声贡献值很低，厂界噪声满足《工业企业厂界环境噪声排放标准》（</w:t>
      </w:r>
      <w:r>
        <w:rPr>
          <w:sz w:val="24"/>
        </w:rPr>
        <w:t>GB12348-2008</w:t>
      </w:r>
      <w:r>
        <w:rPr>
          <w:rFonts w:hint="eastAsia"/>
          <w:sz w:val="24"/>
        </w:rPr>
        <w:t>）3类标准限值要求，因此，噪声防治措施是有效、可行的。</w:t>
      </w:r>
    </w:p>
    <w:p>
      <w:pPr>
        <w:spacing w:line="460" w:lineRule="exact"/>
        <w:ind w:firstLine="480" w:firstLineChars="200"/>
        <w:rPr>
          <w:sz w:val="24"/>
        </w:rPr>
      </w:pPr>
      <w:r>
        <w:rPr>
          <w:rFonts w:hint="eastAsia"/>
          <w:sz w:val="24"/>
        </w:rPr>
        <w:t>4、</w:t>
      </w:r>
      <w:r>
        <w:rPr>
          <w:sz w:val="24"/>
        </w:rPr>
        <w:t>固废污染防治措施</w:t>
      </w:r>
    </w:p>
    <w:p>
      <w:pPr>
        <w:spacing w:line="460" w:lineRule="exact"/>
        <w:ind w:firstLine="480" w:firstLineChars="200"/>
        <w:rPr>
          <w:sz w:val="24"/>
        </w:rPr>
      </w:pPr>
      <w:r>
        <w:rPr>
          <w:rFonts w:hint="eastAsia"/>
          <w:sz w:val="24"/>
        </w:rPr>
        <w:t>本项目产生的固废中滴灌带不合格品、PE管不合格品全部收集后回至废旧滴灌带破碎工序再次破碎造粒循环利用；沉淀池泥沙定期清捞后送一般固废填埋场处置；废旧滤网送固废填埋场处置；危险废物废活性炭、废催化剂、废润滑油及桶全部在新建的危废暂存间分区暂存，定期交由有资质单位处置；生活垃圾由环卫部门清运至垃圾填埋场处置。本项目产生的固体废物在采取上述处置措施后，均得到合理处置与利用，对周围环境影响较小，措施可行。</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w:t>
      </w:r>
      <w:r>
        <w:rPr>
          <w:rFonts w:ascii="Times New Roman"/>
          <w:szCs w:val="24"/>
        </w:rPr>
        <w:t>.1.5</w:t>
      </w:r>
      <w:r>
        <w:rPr>
          <w:rFonts w:hint="eastAsia" w:ascii="Times New Roman"/>
          <w:szCs w:val="24"/>
        </w:rPr>
        <w:t>总量控制指标</w:t>
      </w:r>
    </w:p>
    <w:p>
      <w:pPr>
        <w:autoSpaceDE w:val="0"/>
        <w:autoSpaceDN w:val="0"/>
        <w:spacing w:line="460" w:lineRule="exact"/>
        <w:ind w:firstLine="480" w:firstLineChars="200"/>
        <w:rPr>
          <w:sz w:val="24"/>
        </w:rPr>
      </w:pPr>
      <w:r>
        <w:rPr>
          <w:rFonts w:hint="eastAsia"/>
          <w:sz w:val="24"/>
        </w:rPr>
        <w:t>根据《昌吉市昊慧盛塑料制品厂地膜滴灌带及PE管材生产加工项目环境影响报告表》及昌农科环函﹝2019﹞12号，现有工程总量控制指标为挥发性有机物1.31t/a。</w:t>
      </w:r>
    </w:p>
    <w:p>
      <w:pPr>
        <w:autoSpaceDE w:val="0"/>
        <w:autoSpaceDN w:val="0"/>
        <w:spacing w:line="460" w:lineRule="exact"/>
        <w:ind w:firstLine="480" w:firstLineChars="200"/>
        <w:rPr>
          <w:sz w:val="24"/>
        </w:rPr>
      </w:pPr>
      <w:r>
        <w:rPr>
          <w:rFonts w:hint="eastAsia"/>
          <w:sz w:val="24"/>
        </w:rPr>
        <w:t>水污染物排放总量：清洗废水和循环冷却水，循环使用不外排，定期补充新鲜水，无生产废水产生；本项目生活污水排入防渗化粪池暂存，定期由吸污车拉运至昌吉市处理厂处置，不计入总量。</w:t>
      </w:r>
    </w:p>
    <w:p>
      <w:pPr>
        <w:autoSpaceDE w:val="0"/>
        <w:autoSpaceDN w:val="0"/>
        <w:spacing w:line="460" w:lineRule="exact"/>
        <w:ind w:firstLine="480" w:firstLineChars="200"/>
        <w:rPr>
          <w:sz w:val="24"/>
        </w:rPr>
      </w:pPr>
      <w:r>
        <w:rPr>
          <w:rFonts w:hint="eastAsia"/>
          <w:sz w:val="24"/>
        </w:rPr>
        <w:t>大气污染物排放总量：根据计算，本项目改扩建完成后大气污染物主要为非甲烷总烃，根据计算，本次</w:t>
      </w:r>
      <w:r>
        <w:rPr>
          <w:sz w:val="24"/>
        </w:rPr>
        <w:t>扩建工程（</w:t>
      </w:r>
      <w:r>
        <w:rPr>
          <w:rFonts w:hint="eastAsia"/>
          <w:sz w:val="24"/>
        </w:rPr>
        <w:t>包括</w:t>
      </w:r>
      <w:r>
        <w:rPr>
          <w:sz w:val="24"/>
        </w:rPr>
        <w:t>现有</w:t>
      </w:r>
      <w:r>
        <w:rPr>
          <w:rFonts w:hint="eastAsia"/>
          <w:sz w:val="24"/>
        </w:rPr>
        <w:t>工程</w:t>
      </w:r>
      <w:r>
        <w:rPr>
          <w:sz w:val="24"/>
        </w:rPr>
        <w:t>）</w:t>
      </w:r>
      <w:r>
        <w:rPr>
          <w:rFonts w:hint="eastAsia"/>
          <w:sz w:val="24"/>
        </w:rPr>
        <w:t>有组织非甲烷总烃排放量为1.55t/a</w:t>
      </w:r>
      <w:r>
        <w:rPr>
          <w:sz w:val="24"/>
        </w:rPr>
        <w:t>，</w:t>
      </w:r>
      <w:r>
        <w:rPr>
          <w:rFonts w:hint="eastAsia"/>
          <w:sz w:val="24"/>
        </w:rPr>
        <w:t>因此项目需设置总量控制指标VOCs（以非甲烷总烃</w:t>
      </w:r>
      <w:r>
        <w:rPr>
          <w:sz w:val="24"/>
        </w:rPr>
        <w:t>计</w:t>
      </w:r>
      <w:r>
        <w:rPr>
          <w:rFonts w:hint="eastAsia"/>
          <w:sz w:val="24"/>
        </w:rPr>
        <w:t>）1.55t/a。</w:t>
      </w:r>
    </w:p>
    <w:p>
      <w:pPr>
        <w:spacing w:line="460" w:lineRule="exact"/>
        <w:ind w:firstLine="480" w:firstLineChars="200"/>
        <w:rPr>
          <w:sz w:val="24"/>
        </w:rPr>
      </w:pPr>
      <w:r>
        <w:rPr>
          <w:rFonts w:hint="eastAsia"/>
          <w:sz w:val="24"/>
        </w:rPr>
        <w:t>根据《昌吉回族自治州“三线一单”生态环境分区管控方案及生态环境准入清单》（昌州政办发〔2021〕41号）中关于“PM</w:t>
      </w:r>
      <w:r>
        <w:rPr>
          <w:rFonts w:hint="eastAsia"/>
          <w:sz w:val="24"/>
          <w:vertAlign w:val="subscript"/>
        </w:rPr>
        <w:t>2.5</w:t>
      </w:r>
      <w:r>
        <w:rPr>
          <w:rFonts w:hint="eastAsia"/>
          <w:sz w:val="24"/>
        </w:rPr>
        <w:t>年平均浓度不达标城市禁止新（改、扩）建未落实SO</w:t>
      </w:r>
      <w:r>
        <w:rPr>
          <w:rFonts w:hint="eastAsia"/>
          <w:sz w:val="24"/>
          <w:vertAlign w:val="subscript"/>
        </w:rPr>
        <w:t>2</w:t>
      </w:r>
      <w:r>
        <w:rPr>
          <w:rFonts w:hint="eastAsia"/>
          <w:sz w:val="24"/>
        </w:rPr>
        <w:t>、NOx、烟粉尘、挥发性有机物（VOCs）等四项大气污染物总量指标倍量替代的项目”的要求，项目区属于PM</w:t>
      </w:r>
      <w:r>
        <w:rPr>
          <w:rFonts w:hint="eastAsia"/>
          <w:sz w:val="24"/>
          <w:vertAlign w:val="subscript"/>
        </w:rPr>
        <w:t>2.5</w:t>
      </w:r>
      <w:r>
        <w:rPr>
          <w:rFonts w:hint="eastAsia"/>
          <w:sz w:val="24"/>
        </w:rPr>
        <w:t>不达标区，因此污染物需要倍量替代消减，本次扩建工程对现有工程大气污染防治措施进行“以新带老”替换，产生非甲烷总烃减排量1.31t/a，因此本项目总量控制指标非甲烷总烃在扣除本项目厂区“以新带老”减排量后剩余0.24t/a需要进行区域倍量削减。</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10.1.6</w:t>
      </w:r>
      <w:r>
        <w:rPr>
          <w:rFonts w:ascii="Times New Roman"/>
          <w:szCs w:val="24"/>
        </w:rPr>
        <w:t>风险评价结论</w:t>
      </w:r>
    </w:p>
    <w:p>
      <w:pPr>
        <w:spacing w:line="460" w:lineRule="exact"/>
        <w:ind w:firstLine="480" w:firstLineChars="200"/>
        <w:rPr>
          <w:sz w:val="24"/>
        </w:rPr>
      </w:pPr>
      <w:r>
        <w:rPr>
          <w:rFonts w:hint="eastAsia"/>
          <w:sz w:val="24"/>
        </w:rPr>
        <w:t>根据环境风险影响评价，本项目涉及《</w:t>
      </w:r>
      <w:r>
        <w:rPr>
          <w:rFonts w:hint="eastAsia"/>
          <w:bCs/>
          <w:sz w:val="24"/>
        </w:rPr>
        <w:t>建设项目环境风险评价技术导则》（</w:t>
      </w:r>
      <w:r>
        <w:rPr>
          <w:bCs/>
          <w:sz w:val="24"/>
        </w:rPr>
        <w:t>HJ169-2018</w:t>
      </w:r>
      <w:r>
        <w:rPr>
          <w:rFonts w:hint="eastAsia"/>
          <w:bCs/>
          <w:sz w:val="24"/>
        </w:rPr>
        <w:t>）附录</w:t>
      </w:r>
      <w:r>
        <w:rPr>
          <w:bCs/>
          <w:sz w:val="24"/>
        </w:rPr>
        <w:t>B</w:t>
      </w:r>
      <w:r>
        <w:rPr>
          <w:rFonts w:hint="eastAsia"/>
          <w:bCs/>
          <w:sz w:val="24"/>
        </w:rPr>
        <w:t>中</w:t>
      </w:r>
      <w:r>
        <w:rPr>
          <w:rFonts w:hint="eastAsia"/>
          <w:sz w:val="24"/>
        </w:rPr>
        <w:t>危险物质主要为废润滑油，储存量较小，不构成重大危险源，环境风险主要为塑料仓库和成品仓库火灾风险以及废润滑油泄漏及火灾风险，在采取相应的安全措施和制定事故救援应急预案，并加强安全管理后，本项目的环境风险在可接受的范围内。</w:t>
      </w:r>
    </w:p>
    <w:p>
      <w:pPr>
        <w:pStyle w:val="5"/>
        <w:numPr>
          <w:ilvl w:val="0"/>
          <w:numId w:val="0"/>
        </w:numPr>
        <w:adjustRightInd w:val="0"/>
        <w:spacing w:before="0" w:line="460" w:lineRule="exact"/>
        <w:ind w:left="113"/>
        <w:textAlignment w:val="baseline"/>
        <w:rPr>
          <w:rFonts w:ascii="Times New Roman"/>
          <w:szCs w:val="24"/>
        </w:rPr>
      </w:pPr>
      <w:r>
        <w:rPr>
          <w:rFonts w:hint="eastAsia" w:ascii="Times New Roman"/>
          <w:szCs w:val="24"/>
        </w:rPr>
        <w:t>10</w:t>
      </w:r>
      <w:r>
        <w:rPr>
          <w:rFonts w:ascii="Times New Roman"/>
          <w:szCs w:val="24"/>
        </w:rPr>
        <w:t>.1.</w:t>
      </w:r>
      <w:r>
        <w:rPr>
          <w:rFonts w:hint="eastAsia" w:ascii="Times New Roman"/>
          <w:szCs w:val="24"/>
        </w:rPr>
        <w:t>7</w:t>
      </w:r>
      <w:r>
        <w:rPr>
          <w:rFonts w:ascii="Times New Roman"/>
          <w:szCs w:val="24"/>
        </w:rPr>
        <w:t>公众参与</w:t>
      </w:r>
    </w:p>
    <w:p>
      <w:pPr>
        <w:spacing w:line="460" w:lineRule="exact"/>
        <w:ind w:firstLine="480" w:firstLineChars="200"/>
        <w:rPr>
          <w:sz w:val="24"/>
        </w:rPr>
      </w:pPr>
      <w:r>
        <w:rPr>
          <w:sz w:val="24"/>
        </w:rPr>
        <w:t>在项目环境影响评价期间，建设单位于20</w:t>
      </w:r>
      <w:r>
        <w:rPr>
          <w:rFonts w:hint="eastAsia"/>
          <w:sz w:val="24"/>
        </w:rPr>
        <w:t>24</w:t>
      </w:r>
      <w:r>
        <w:rPr>
          <w:sz w:val="24"/>
        </w:rPr>
        <w:t>年</w:t>
      </w:r>
      <w:r>
        <w:rPr>
          <w:rFonts w:hint="eastAsia"/>
          <w:sz w:val="24"/>
        </w:rPr>
        <w:t>4</w:t>
      </w:r>
      <w:r>
        <w:rPr>
          <w:sz w:val="24"/>
        </w:rPr>
        <w:t>月</w:t>
      </w:r>
      <w:r>
        <w:rPr>
          <w:rFonts w:hint="eastAsia"/>
          <w:sz w:val="24"/>
        </w:rPr>
        <w:t>22</w:t>
      </w:r>
      <w:r>
        <w:rPr>
          <w:sz w:val="24"/>
        </w:rPr>
        <w:t>日在</w:t>
      </w:r>
      <w:r>
        <w:rPr>
          <w:rFonts w:hint="eastAsia"/>
          <w:sz w:val="24"/>
        </w:rPr>
        <w:t>新疆维吾尔自治区生态环境保护产业协会</w:t>
      </w:r>
      <w:r>
        <w:rPr>
          <w:sz w:val="24"/>
        </w:rPr>
        <w:t>网站（网址：http://www.xjhbcy.cn/blog/article/13297）上对项目环保信息进行了第一次公示</w:t>
      </w:r>
      <w:r>
        <w:rPr>
          <w:rFonts w:hint="eastAsia"/>
          <w:sz w:val="24"/>
        </w:rPr>
        <w:t>。本项目环境影响报告书征求意见稿完成后，建设单位于2024年4月30日在新疆维吾尔自治区生态环境保护产业协会网站（</w:t>
      </w:r>
      <w:r>
        <w:rPr>
          <w:sz w:val="24"/>
        </w:rPr>
        <w:t>http://www.xjhbcy.cn/blog/article/13355</w:t>
      </w:r>
      <w:r>
        <w:rPr>
          <w:rFonts w:hint="eastAsia"/>
          <w:sz w:val="24"/>
        </w:rPr>
        <w:t>）进行第二次网上公示，公开征求意见稿全本及相关信息，并于2024年5月9日和5月10日在新疆法制报陆续刊登第二次公示信息，并在项目区张贴告示，征求与该项目环境影响有关的意见，公示期为10个工作日，第二次公示期满未收到任何公众意见及反馈。我公司向昌吉州生态环境局报批环境影响报告书前，于2024年5月16日在新疆维吾尔自治区生态环境保护产业协会网站（</w:t>
      </w:r>
      <w:r>
        <w:rPr>
          <w:sz w:val="24"/>
        </w:rPr>
        <w:t>http://www.xjhbcy.cn/blog/article/13424</w:t>
      </w:r>
      <w:r>
        <w:rPr>
          <w:rFonts w:hint="eastAsia"/>
          <w:sz w:val="24"/>
        </w:rPr>
        <w:t>）进行</w:t>
      </w:r>
      <w:r>
        <w:rPr>
          <w:sz w:val="24"/>
        </w:rPr>
        <w:t>了拟报批公示，没有人对项目建设提出意见。</w:t>
      </w:r>
    </w:p>
    <w:p>
      <w:pPr>
        <w:pStyle w:val="4"/>
        <w:adjustRightInd w:val="0"/>
        <w:spacing w:before="120" w:after="120" w:line="460" w:lineRule="exact"/>
        <w:textAlignment w:val="baseline"/>
        <w:rPr>
          <w:rFonts w:ascii="Times New Roman" w:hAnsi="Times New Roman"/>
          <w:b w:val="0"/>
          <w:szCs w:val="28"/>
        </w:rPr>
      </w:pPr>
      <w:bookmarkStart w:id="328" w:name="_Toc454899431"/>
      <w:bookmarkStart w:id="329" w:name="_Toc165386254"/>
      <w:r>
        <w:rPr>
          <w:rFonts w:hint="eastAsia" w:ascii="Times New Roman" w:hAnsi="Times New Roman"/>
          <w:b w:val="0"/>
          <w:szCs w:val="28"/>
        </w:rPr>
        <w:t>10</w:t>
      </w:r>
      <w:r>
        <w:rPr>
          <w:rFonts w:ascii="Times New Roman" w:hAnsi="Times New Roman"/>
          <w:b w:val="0"/>
          <w:szCs w:val="28"/>
        </w:rPr>
        <w:t>.2 综合评价结论</w:t>
      </w:r>
      <w:bookmarkEnd w:id="328"/>
      <w:bookmarkEnd w:id="329"/>
    </w:p>
    <w:p>
      <w:pPr>
        <w:autoSpaceDE w:val="0"/>
        <w:autoSpaceDN w:val="0"/>
        <w:spacing w:line="460" w:lineRule="exact"/>
        <w:ind w:firstLine="480" w:firstLineChars="200"/>
        <w:rPr>
          <w:sz w:val="24"/>
        </w:rPr>
      </w:pPr>
      <w:r>
        <w:rPr>
          <w:rFonts w:hint="eastAsia"/>
          <w:sz w:val="24"/>
        </w:rPr>
        <w:t>本项目的建设符合国家产业政策、选址合理、符合“三线一单”要求、污染物的防治措施在技术上和经济上可行，本项目回收当地农业生产产生的废旧塑料膜、废旧滴灌带进行再生造粒，利用再生聚乙烯颗粒料生产滴灌带、PE管，项目的建设可有效解决当地农业生产的废塑料污染，同时可达到资源循环利用目的。环境影响评价的结果表明，项目在严格落实施工期以及运营期各项环保措施的情况下，项目的污染物排放对环境的影响较小，基本不改变当地环境质量现状和功能要求。</w:t>
      </w:r>
    </w:p>
    <w:p>
      <w:pPr>
        <w:autoSpaceDE w:val="0"/>
        <w:autoSpaceDN w:val="0"/>
        <w:spacing w:line="460" w:lineRule="exact"/>
        <w:ind w:firstLine="480" w:firstLineChars="200"/>
        <w:rPr>
          <w:sz w:val="24"/>
        </w:rPr>
      </w:pPr>
      <w:r>
        <w:rPr>
          <w:rFonts w:hint="eastAsia"/>
          <w:sz w:val="24"/>
        </w:rPr>
        <w:t>本评价认为，项目在设计和运行时应严格执行安全生产的各项规章制度，根据生产安全要求，制定事故应急预案，配套相应安全防范措施，杜绝事故发生风险。项目建设过程中应严格认真执行环境保护“三同时”制度，切实落实本报告书各项污染防治措施和环境管理措施，确保各类污染物稳定达标排放和污染物排放总量控制。从环境保护的角度分析，本项目的建设是可行的。</w:t>
      </w:r>
    </w:p>
    <w:p>
      <w:pPr>
        <w:pStyle w:val="4"/>
        <w:adjustRightInd w:val="0"/>
        <w:spacing w:before="120" w:after="120" w:line="460" w:lineRule="exact"/>
        <w:textAlignment w:val="baseline"/>
        <w:rPr>
          <w:rFonts w:ascii="Times New Roman" w:hAnsi="Times New Roman"/>
          <w:b w:val="0"/>
          <w:szCs w:val="28"/>
        </w:rPr>
      </w:pPr>
      <w:bookmarkStart w:id="330" w:name="_Toc414348646"/>
      <w:bookmarkStart w:id="331" w:name="_Toc419798822"/>
      <w:bookmarkStart w:id="332" w:name="_Toc394997559"/>
      <w:bookmarkStart w:id="333" w:name="_Toc454899432"/>
      <w:bookmarkStart w:id="334" w:name="_Toc165386255"/>
      <w:r>
        <w:rPr>
          <w:rFonts w:hint="eastAsia" w:ascii="Times New Roman" w:hAnsi="Times New Roman"/>
          <w:b w:val="0"/>
          <w:szCs w:val="28"/>
        </w:rPr>
        <w:t>10</w:t>
      </w:r>
      <w:r>
        <w:rPr>
          <w:rFonts w:ascii="Times New Roman" w:hAnsi="Times New Roman"/>
          <w:b w:val="0"/>
          <w:szCs w:val="28"/>
        </w:rPr>
        <w:t xml:space="preserve">.3 </w:t>
      </w:r>
      <w:bookmarkEnd w:id="330"/>
      <w:bookmarkEnd w:id="331"/>
      <w:bookmarkEnd w:id="332"/>
      <w:bookmarkEnd w:id="333"/>
      <w:r>
        <w:rPr>
          <w:rFonts w:ascii="Times New Roman" w:hAnsi="Times New Roman"/>
          <w:b w:val="0"/>
          <w:szCs w:val="28"/>
        </w:rPr>
        <w:t>建议</w:t>
      </w:r>
      <w:bookmarkEnd w:id="334"/>
    </w:p>
    <w:p>
      <w:pPr>
        <w:spacing w:line="460" w:lineRule="exact"/>
        <w:ind w:firstLine="480" w:firstLineChars="200"/>
        <w:rPr>
          <w:sz w:val="24"/>
        </w:rPr>
      </w:pPr>
      <w:r>
        <w:rPr>
          <w:rFonts w:hint="eastAsia"/>
          <w:sz w:val="24"/>
        </w:rPr>
        <w:t>（1）切实抓好安全生产，杜绝安全事故的发生，减小项目的环境风险。</w:t>
      </w:r>
    </w:p>
    <w:p>
      <w:pPr>
        <w:spacing w:line="460" w:lineRule="exact"/>
        <w:ind w:firstLine="480" w:firstLineChars="200"/>
      </w:pPr>
      <w:r>
        <w:rPr>
          <w:rFonts w:hint="eastAsia"/>
          <w:sz w:val="24"/>
        </w:rPr>
        <w:t>（2）加强生产设施及污染防治设施运行的管理，定期对污染防治设施进行保养检修，确保污染物达标排放，避免污染事故发生。</w:t>
      </w:r>
    </w:p>
    <w:sectPr>
      <w:pgSz w:w="11906" w:h="16838"/>
      <w:pgMar w:top="1440" w:right="1701" w:bottom="1440" w:left="1985"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华文仿宋">
    <w:altName w:val="仿宋"/>
    <w:panose1 w:val="02010600040101010101"/>
    <w:charset w:val="86"/>
    <w:family w:val="auto"/>
    <w:pitch w:val="default"/>
    <w:sig w:usb0="00000000" w:usb1="00000000" w:usb2="00000010" w:usb3="00000000" w:csb0="0004009F" w:csb1="00000000"/>
  </w:font>
  <w:font w:name="Monospac821 BT">
    <w:altName w:val="Segoe Print"/>
    <w:panose1 w:val="020B0609020202020204"/>
    <w:charset w:val="00"/>
    <w:family w:val="moder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Noto Sans CJK JP Regular">
    <w:altName w:val="Arial"/>
    <w:panose1 w:val="00000000000000000000"/>
    <w:charset w:val="00"/>
    <w:family w:val="swiss"/>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Century">
    <w:altName w:val="Nyala"/>
    <w:panose1 w:val="02040604050505020304"/>
    <w:charset w:val="00"/>
    <w:family w:val="roman"/>
    <w:pitch w:val="default"/>
    <w:sig w:usb0="00000000" w:usb1="00000000" w:usb2="00000000" w:usb3="00000000" w:csb0="0000009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RomanS">
    <w:altName w:val="Vrinda"/>
    <w:panose1 w:val="02000400000000000000"/>
    <w:charset w:val="00"/>
    <w:family w:val="auto"/>
    <w:pitch w:val="default"/>
    <w:sig w:usb0="00000000" w:usb1="00000000" w:usb2="00000000" w:usb3="00000000" w:csb0="000001F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04C000" w:usb3="00000000" w:csb0="00000001" w:csb1="40000000"/>
  </w:font>
  <w:font w:name="PMingLiU">
    <w:panose1 w:val="02020500000000000000"/>
    <w:charset w:val="88"/>
    <w:family w:val="auto"/>
    <w:pitch w:val="default"/>
    <w:sig w:usb0="A00002FF" w:usb1="28CFFCFA" w:usb2="00000016" w:usb3="00000000" w:csb0="00100001" w:csb1="00000000"/>
  </w:font>
  <w:font w:name="Vrinda">
    <w:panose1 w:val="020B0502040204020203"/>
    <w:charset w:val="00"/>
    <w:family w:val="auto"/>
    <w:pitch w:val="default"/>
    <w:sig w:usb0="0001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right"/>
    </w:pPr>
    <w:r>
      <w:pict>
        <v:shape id="文本框 8" o:spid="_x0000_s1025" o:spt="202" type="#_x0000_t202" style="position:absolute;left:0pt;margin-top:0pt;height:10.35pt;width:18.5pt;mso-position-horizontal:center;mso-position-horizontal-relative:margin;z-index:251659264;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right"/>
    </w:pPr>
    <w:r>
      <w:pict>
        <v:shape id="文本框 13" o:spid="_x0000_s1027" o:spt="202" type="#_x0000_t202" style="position:absolute;left:0pt;margin-top:0pt;height:10.35pt;width:17pt;mso-position-horizontal:center;mso-position-horizontal-relative:margin;z-index:251660288;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b/>
        <w:bCs/>
        <w:szCs w:val="21"/>
      </w:rPr>
    </w:pPr>
    <w:r>
      <w:rPr>
        <w:rFonts w:hint="eastAsia"/>
        <w:b/>
        <w:bCs/>
        <w:szCs w:val="21"/>
      </w:rPr>
      <w:t>昌吉市昊慧盛塑料制品厂生产建设项目环境影响报告书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2"/>
      <w:lvlText w:val="%1."/>
      <w:lvlJc w:val="left"/>
      <w:pPr>
        <w:tabs>
          <w:tab w:val="left" w:pos="2040"/>
        </w:tabs>
        <w:ind w:left="2040" w:leftChars="800" w:hanging="360" w:hangingChars="200"/>
      </w:pPr>
    </w:lvl>
  </w:abstractNum>
  <w:abstractNum w:abstractNumId="1">
    <w:nsid w:val="228D2686"/>
    <w:multiLevelType w:val="singleLevel"/>
    <w:tmpl w:val="228D2686"/>
    <w:lvl w:ilvl="0" w:tentative="0">
      <w:start w:val="5"/>
      <w:numFmt w:val="decimal"/>
      <w:pStyle w:val="796"/>
      <w:lvlText w:val="%1."/>
      <w:legacy w:legacy="1" w:legacySpace="0" w:legacyIndent="0"/>
      <w:lvlJc w:val="left"/>
      <w:pPr>
        <w:ind w:left="0" w:firstLine="0"/>
      </w:pPr>
      <w:rPr>
        <w:rFonts w:hint="eastAsia" w:ascii="宋体" w:hAnsi="宋体" w:eastAsia="宋体"/>
        <w:color w:val="292D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1184C"/>
    <w:rsid w:val="00000672"/>
    <w:rsid w:val="00000BE3"/>
    <w:rsid w:val="00002C77"/>
    <w:rsid w:val="000034EC"/>
    <w:rsid w:val="00003A71"/>
    <w:rsid w:val="00003DC6"/>
    <w:rsid w:val="00004289"/>
    <w:rsid w:val="00004DBB"/>
    <w:rsid w:val="0000514A"/>
    <w:rsid w:val="0000538C"/>
    <w:rsid w:val="00005774"/>
    <w:rsid w:val="00005ED3"/>
    <w:rsid w:val="00005F37"/>
    <w:rsid w:val="0000672D"/>
    <w:rsid w:val="00007072"/>
    <w:rsid w:val="00007784"/>
    <w:rsid w:val="000078F8"/>
    <w:rsid w:val="000079F9"/>
    <w:rsid w:val="00007CF8"/>
    <w:rsid w:val="00010299"/>
    <w:rsid w:val="00010800"/>
    <w:rsid w:val="00011C0A"/>
    <w:rsid w:val="000121B3"/>
    <w:rsid w:val="00013438"/>
    <w:rsid w:val="00014646"/>
    <w:rsid w:val="00014768"/>
    <w:rsid w:val="00014F8E"/>
    <w:rsid w:val="000162F2"/>
    <w:rsid w:val="0001666A"/>
    <w:rsid w:val="00016FCA"/>
    <w:rsid w:val="00017A4F"/>
    <w:rsid w:val="00017FE2"/>
    <w:rsid w:val="00020361"/>
    <w:rsid w:val="000203ED"/>
    <w:rsid w:val="00020CB1"/>
    <w:rsid w:val="00022CC2"/>
    <w:rsid w:val="00022CE0"/>
    <w:rsid w:val="00022F97"/>
    <w:rsid w:val="000234D5"/>
    <w:rsid w:val="000235B0"/>
    <w:rsid w:val="00023F19"/>
    <w:rsid w:val="000248EA"/>
    <w:rsid w:val="00024C80"/>
    <w:rsid w:val="00024E58"/>
    <w:rsid w:val="00025228"/>
    <w:rsid w:val="00025396"/>
    <w:rsid w:val="0002543C"/>
    <w:rsid w:val="00026272"/>
    <w:rsid w:val="00026537"/>
    <w:rsid w:val="000272F7"/>
    <w:rsid w:val="00027AA7"/>
    <w:rsid w:val="00030141"/>
    <w:rsid w:val="000321D2"/>
    <w:rsid w:val="000330C3"/>
    <w:rsid w:val="000334E8"/>
    <w:rsid w:val="000336A7"/>
    <w:rsid w:val="000336AE"/>
    <w:rsid w:val="00033E1E"/>
    <w:rsid w:val="00034057"/>
    <w:rsid w:val="0003440D"/>
    <w:rsid w:val="00035B31"/>
    <w:rsid w:val="00035BB7"/>
    <w:rsid w:val="000363EA"/>
    <w:rsid w:val="000368AF"/>
    <w:rsid w:val="00036B6E"/>
    <w:rsid w:val="00036F47"/>
    <w:rsid w:val="000370C8"/>
    <w:rsid w:val="0003722D"/>
    <w:rsid w:val="00037C83"/>
    <w:rsid w:val="0004003B"/>
    <w:rsid w:val="00040227"/>
    <w:rsid w:val="00040500"/>
    <w:rsid w:val="00040A3C"/>
    <w:rsid w:val="00041166"/>
    <w:rsid w:val="00041465"/>
    <w:rsid w:val="0004156A"/>
    <w:rsid w:val="00041E23"/>
    <w:rsid w:val="00041E4B"/>
    <w:rsid w:val="000420E1"/>
    <w:rsid w:val="000436EC"/>
    <w:rsid w:val="0004380C"/>
    <w:rsid w:val="00043C39"/>
    <w:rsid w:val="00044084"/>
    <w:rsid w:val="0004409C"/>
    <w:rsid w:val="0004475D"/>
    <w:rsid w:val="00044792"/>
    <w:rsid w:val="00044847"/>
    <w:rsid w:val="00045469"/>
    <w:rsid w:val="000465C5"/>
    <w:rsid w:val="000467DD"/>
    <w:rsid w:val="000467E9"/>
    <w:rsid w:val="00046DC0"/>
    <w:rsid w:val="00046DFB"/>
    <w:rsid w:val="00047FE1"/>
    <w:rsid w:val="0005020A"/>
    <w:rsid w:val="00050526"/>
    <w:rsid w:val="00050698"/>
    <w:rsid w:val="00050981"/>
    <w:rsid w:val="00050BC7"/>
    <w:rsid w:val="00050E1E"/>
    <w:rsid w:val="00050E60"/>
    <w:rsid w:val="000517E8"/>
    <w:rsid w:val="00051B68"/>
    <w:rsid w:val="00052490"/>
    <w:rsid w:val="00052F08"/>
    <w:rsid w:val="0005379A"/>
    <w:rsid w:val="00053E6A"/>
    <w:rsid w:val="00053FB7"/>
    <w:rsid w:val="000552DA"/>
    <w:rsid w:val="00055461"/>
    <w:rsid w:val="00055D61"/>
    <w:rsid w:val="00055FD8"/>
    <w:rsid w:val="0005636D"/>
    <w:rsid w:val="000565B1"/>
    <w:rsid w:val="0005662F"/>
    <w:rsid w:val="000567C3"/>
    <w:rsid w:val="000569D3"/>
    <w:rsid w:val="00057071"/>
    <w:rsid w:val="00057526"/>
    <w:rsid w:val="000603A7"/>
    <w:rsid w:val="000611D0"/>
    <w:rsid w:val="000616BC"/>
    <w:rsid w:val="000618EB"/>
    <w:rsid w:val="00061F79"/>
    <w:rsid w:val="0006363E"/>
    <w:rsid w:val="00063CDC"/>
    <w:rsid w:val="0006430E"/>
    <w:rsid w:val="00064564"/>
    <w:rsid w:val="000645F5"/>
    <w:rsid w:val="00064BCA"/>
    <w:rsid w:val="00064E87"/>
    <w:rsid w:val="00065D77"/>
    <w:rsid w:val="0006635C"/>
    <w:rsid w:val="00066C26"/>
    <w:rsid w:val="0006703E"/>
    <w:rsid w:val="0006743B"/>
    <w:rsid w:val="00067735"/>
    <w:rsid w:val="000678A1"/>
    <w:rsid w:val="000678DF"/>
    <w:rsid w:val="0007023D"/>
    <w:rsid w:val="00070710"/>
    <w:rsid w:val="00070BC9"/>
    <w:rsid w:val="000713FC"/>
    <w:rsid w:val="000717F2"/>
    <w:rsid w:val="00071BD4"/>
    <w:rsid w:val="000720AD"/>
    <w:rsid w:val="000720B4"/>
    <w:rsid w:val="00072E89"/>
    <w:rsid w:val="00072F56"/>
    <w:rsid w:val="00073208"/>
    <w:rsid w:val="00073417"/>
    <w:rsid w:val="00073580"/>
    <w:rsid w:val="000739F8"/>
    <w:rsid w:val="00073CDF"/>
    <w:rsid w:val="000759A5"/>
    <w:rsid w:val="00076C53"/>
    <w:rsid w:val="00076E78"/>
    <w:rsid w:val="00080112"/>
    <w:rsid w:val="00081137"/>
    <w:rsid w:val="0008123A"/>
    <w:rsid w:val="00081FC5"/>
    <w:rsid w:val="000823E3"/>
    <w:rsid w:val="00082C95"/>
    <w:rsid w:val="00083229"/>
    <w:rsid w:val="00083483"/>
    <w:rsid w:val="00083865"/>
    <w:rsid w:val="0008387C"/>
    <w:rsid w:val="00083A37"/>
    <w:rsid w:val="00083E95"/>
    <w:rsid w:val="000851F4"/>
    <w:rsid w:val="000851FD"/>
    <w:rsid w:val="00085226"/>
    <w:rsid w:val="000852B6"/>
    <w:rsid w:val="00085409"/>
    <w:rsid w:val="00085685"/>
    <w:rsid w:val="000869FF"/>
    <w:rsid w:val="00086E1B"/>
    <w:rsid w:val="00086FF1"/>
    <w:rsid w:val="00087E8C"/>
    <w:rsid w:val="000902AB"/>
    <w:rsid w:val="000907FB"/>
    <w:rsid w:val="00090CA7"/>
    <w:rsid w:val="000910DC"/>
    <w:rsid w:val="0009111A"/>
    <w:rsid w:val="000918D0"/>
    <w:rsid w:val="00092373"/>
    <w:rsid w:val="00092666"/>
    <w:rsid w:val="00092B18"/>
    <w:rsid w:val="000931E5"/>
    <w:rsid w:val="00093939"/>
    <w:rsid w:val="00094B12"/>
    <w:rsid w:val="000951DC"/>
    <w:rsid w:val="00095605"/>
    <w:rsid w:val="00095E09"/>
    <w:rsid w:val="0009604E"/>
    <w:rsid w:val="000965A5"/>
    <w:rsid w:val="000965BE"/>
    <w:rsid w:val="00096617"/>
    <w:rsid w:val="000976FE"/>
    <w:rsid w:val="000979BB"/>
    <w:rsid w:val="00097EBA"/>
    <w:rsid w:val="000A0796"/>
    <w:rsid w:val="000A0E98"/>
    <w:rsid w:val="000A136F"/>
    <w:rsid w:val="000A13FD"/>
    <w:rsid w:val="000A154B"/>
    <w:rsid w:val="000A1C0D"/>
    <w:rsid w:val="000A1F43"/>
    <w:rsid w:val="000A221F"/>
    <w:rsid w:val="000A3126"/>
    <w:rsid w:val="000A43D5"/>
    <w:rsid w:val="000A46A1"/>
    <w:rsid w:val="000A4A10"/>
    <w:rsid w:val="000A4DBB"/>
    <w:rsid w:val="000A4FB2"/>
    <w:rsid w:val="000A5A70"/>
    <w:rsid w:val="000A6A30"/>
    <w:rsid w:val="000A6CAE"/>
    <w:rsid w:val="000A6F36"/>
    <w:rsid w:val="000A735D"/>
    <w:rsid w:val="000A77A9"/>
    <w:rsid w:val="000A7CCD"/>
    <w:rsid w:val="000B00F4"/>
    <w:rsid w:val="000B03EE"/>
    <w:rsid w:val="000B0E8E"/>
    <w:rsid w:val="000B1545"/>
    <w:rsid w:val="000B18CF"/>
    <w:rsid w:val="000B1D47"/>
    <w:rsid w:val="000B1FAA"/>
    <w:rsid w:val="000B2EAA"/>
    <w:rsid w:val="000B31E8"/>
    <w:rsid w:val="000B3337"/>
    <w:rsid w:val="000B3E45"/>
    <w:rsid w:val="000B47DE"/>
    <w:rsid w:val="000B4DE3"/>
    <w:rsid w:val="000B563A"/>
    <w:rsid w:val="000B6219"/>
    <w:rsid w:val="000B6247"/>
    <w:rsid w:val="000B67FE"/>
    <w:rsid w:val="000B69CD"/>
    <w:rsid w:val="000B6D74"/>
    <w:rsid w:val="000B6FBD"/>
    <w:rsid w:val="000B73EF"/>
    <w:rsid w:val="000B7410"/>
    <w:rsid w:val="000C0915"/>
    <w:rsid w:val="000C0CF4"/>
    <w:rsid w:val="000C0E08"/>
    <w:rsid w:val="000C15D7"/>
    <w:rsid w:val="000C28B0"/>
    <w:rsid w:val="000C30BE"/>
    <w:rsid w:val="000C4157"/>
    <w:rsid w:val="000C49B8"/>
    <w:rsid w:val="000C4B10"/>
    <w:rsid w:val="000C4C0E"/>
    <w:rsid w:val="000C6D7C"/>
    <w:rsid w:val="000C7257"/>
    <w:rsid w:val="000C726A"/>
    <w:rsid w:val="000C7C13"/>
    <w:rsid w:val="000C7D81"/>
    <w:rsid w:val="000D00A1"/>
    <w:rsid w:val="000D19D0"/>
    <w:rsid w:val="000D1A82"/>
    <w:rsid w:val="000D2BF8"/>
    <w:rsid w:val="000D310D"/>
    <w:rsid w:val="000D336A"/>
    <w:rsid w:val="000D3424"/>
    <w:rsid w:val="000D5A4B"/>
    <w:rsid w:val="000D5CA6"/>
    <w:rsid w:val="000D5CDE"/>
    <w:rsid w:val="000D653D"/>
    <w:rsid w:val="000D65F7"/>
    <w:rsid w:val="000D6602"/>
    <w:rsid w:val="000D66D5"/>
    <w:rsid w:val="000D673F"/>
    <w:rsid w:val="000D6B1E"/>
    <w:rsid w:val="000D71BC"/>
    <w:rsid w:val="000D73F4"/>
    <w:rsid w:val="000D7537"/>
    <w:rsid w:val="000D7615"/>
    <w:rsid w:val="000D76F7"/>
    <w:rsid w:val="000D77F5"/>
    <w:rsid w:val="000D7E5B"/>
    <w:rsid w:val="000D7E97"/>
    <w:rsid w:val="000E0513"/>
    <w:rsid w:val="000E0642"/>
    <w:rsid w:val="000E06AE"/>
    <w:rsid w:val="000E0B37"/>
    <w:rsid w:val="000E0D12"/>
    <w:rsid w:val="000E14B7"/>
    <w:rsid w:val="000E183F"/>
    <w:rsid w:val="000E2061"/>
    <w:rsid w:val="000E2416"/>
    <w:rsid w:val="000E2C69"/>
    <w:rsid w:val="000E3BD1"/>
    <w:rsid w:val="000E45CA"/>
    <w:rsid w:val="000E49D6"/>
    <w:rsid w:val="000E4AAA"/>
    <w:rsid w:val="000E4AE2"/>
    <w:rsid w:val="000E4BEF"/>
    <w:rsid w:val="000E622A"/>
    <w:rsid w:val="000E65C1"/>
    <w:rsid w:val="000E6C42"/>
    <w:rsid w:val="000E6D51"/>
    <w:rsid w:val="000E7213"/>
    <w:rsid w:val="000E7B0A"/>
    <w:rsid w:val="000F0974"/>
    <w:rsid w:val="000F0F44"/>
    <w:rsid w:val="000F10D7"/>
    <w:rsid w:val="000F1660"/>
    <w:rsid w:val="000F16B8"/>
    <w:rsid w:val="000F1883"/>
    <w:rsid w:val="000F190B"/>
    <w:rsid w:val="000F1C1B"/>
    <w:rsid w:val="000F1C62"/>
    <w:rsid w:val="000F253B"/>
    <w:rsid w:val="000F2A25"/>
    <w:rsid w:val="000F3083"/>
    <w:rsid w:val="000F33EA"/>
    <w:rsid w:val="000F3451"/>
    <w:rsid w:val="000F36AA"/>
    <w:rsid w:val="000F3E37"/>
    <w:rsid w:val="000F41F3"/>
    <w:rsid w:val="000F509A"/>
    <w:rsid w:val="000F51B8"/>
    <w:rsid w:val="000F5AC8"/>
    <w:rsid w:val="000F5AFA"/>
    <w:rsid w:val="000F684C"/>
    <w:rsid w:val="000F6E3C"/>
    <w:rsid w:val="000F70E0"/>
    <w:rsid w:val="000F771C"/>
    <w:rsid w:val="000F79AD"/>
    <w:rsid w:val="000F7C58"/>
    <w:rsid w:val="00100208"/>
    <w:rsid w:val="0010060F"/>
    <w:rsid w:val="00101006"/>
    <w:rsid w:val="00101BD4"/>
    <w:rsid w:val="00101D6E"/>
    <w:rsid w:val="00101D79"/>
    <w:rsid w:val="00102057"/>
    <w:rsid w:val="00102121"/>
    <w:rsid w:val="0010245B"/>
    <w:rsid w:val="00102AB6"/>
    <w:rsid w:val="001033D6"/>
    <w:rsid w:val="001034A7"/>
    <w:rsid w:val="00103673"/>
    <w:rsid w:val="00103A41"/>
    <w:rsid w:val="00104009"/>
    <w:rsid w:val="001046F4"/>
    <w:rsid w:val="00105128"/>
    <w:rsid w:val="0010550F"/>
    <w:rsid w:val="001055CF"/>
    <w:rsid w:val="0010572B"/>
    <w:rsid w:val="00105A05"/>
    <w:rsid w:val="00105D5E"/>
    <w:rsid w:val="00105E8B"/>
    <w:rsid w:val="00105FF9"/>
    <w:rsid w:val="00106811"/>
    <w:rsid w:val="00106866"/>
    <w:rsid w:val="00106ECD"/>
    <w:rsid w:val="00107B5E"/>
    <w:rsid w:val="00107DEA"/>
    <w:rsid w:val="00110383"/>
    <w:rsid w:val="0011049D"/>
    <w:rsid w:val="001107E8"/>
    <w:rsid w:val="001109EC"/>
    <w:rsid w:val="00110C0C"/>
    <w:rsid w:val="00110D02"/>
    <w:rsid w:val="00110D7F"/>
    <w:rsid w:val="001119D7"/>
    <w:rsid w:val="0011355F"/>
    <w:rsid w:val="00113B7E"/>
    <w:rsid w:val="0011450B"/>
    <w:rsid w:val="001147F2"/>
    <w:rsid w:val="001149BF"/>
    <w:rsid w:val="001167FB"/>
    <w:rsid w:val="001179B5"/>
    <w:rsid w:val="00117A4A"/>
    <w:rsid w:val="00117CCB"/>
    <w:rsid w:val="00117D0E"/>
    <w:rsid w:val="001204DC"/>
    <w:rsid w:val="0012078F"/>
    <w:rsid w:val="00120A2C"/>
    <w:rsid w:val="001212DB"/>
    <w:rsid w:val="001214D1"/>
    <w:rsid w:val="00121E82"/>
    <w:rsid w:val="001224FC"/>
    <w:rsid w:val="00122C48"/>
    <w:rsid w:val="00122CB5"/>
    <w:rsid w:val="001235C2"/>
    <w:rsid w:val="0012385A"/>
    <w:rsid w:val="001239D2"/>
    <w:rsid w:val="0012411C"/>
    <w:rsid w:val="0012444A"/>
    <w:rsid w:val="00124584"/>
    <w:rsid w:val="00124628"/>
    <w:rsid w:val="00124958"/>
    <w:rsid w:val="00124A98"/>
    <w:rsid w:val="00124FB7"/>
    <w:rsid w:val="00125376"/>
    <w:rsid w:val="0012537A"/>
    <w:rsid w:val="0012542A"/>
    <w:rsid w:val="0012553B"/>
    <w:rsid w:val="001261E4"/>
    <w:rsid w:val="001262C9"/>
    <w:rsid w:val="00126805"/>
    <w:rsid w:val="00126B8E"/>
    <w:rsid w:val="00127206"/>
    <w:rsid w:val="00127E7B"/>
    <w:rsid w:val="00127F9C"/>
    <w:rsid w:val="00130D9E"/>
    <w:rsid w:val="00130DDA"/>
    <w:rsid w:val="00131499"/>
    <w:rsid w:val="00131AEB"/>
    <w:rsid w:val="00133912"/>
    <w:rsid w:val="00133C1D"/>
    <w:rsid w:val="00133EAB"/>
    <w:rsid w:val="00135436"/>
    <w:rsid w:val="001357F7"/>
    <w:rsid w:val="0013587D"/>
    <w:rsid w:val="0013620B"/>
    <w:rsid w:val="001365C1"/>
    <w:rsid w:val="00137C9C"/>
    <w:rsid w:val="00140000"/>
    <w:rsid w:val="00141AC4"/>
    <w:rsid w:val="00142B72"/>
    <w:rsid w:val="00142D28"/>
    <w:rsid w:val="00142E9A"/>
    <w:rsid w:val="00142FAE"/>
    <w:rsid w:val="001447A4"/>
    <w:rsid w:val="00144DDD"/>
    <w:rsid w:val="0014505D"/>
    <w:rsid w:val="00145C53"/>
    <w:rsid w:val="001463DD"/>
    <w:rsid w:val="00146402"/>
    <w:rsid w:val="00146C69"/>
    <w:rsid w:val="0014765E"/>
    <w:rsid w:val="00147689"/>
    <w:rsid w:val="00147B4D"/>
    <w:rsid w:val="00147B6F"/>
    <w:rsid w:val="001502DC"/>
    <w:rsid w:val="00150381"/>
    <w:rsid w:val="00150993"/>
    <w:rsid w:val="00151BBC"/>
    <w:rsid w:val="00152355"/>
    <w:rsid w:val="00152ED4"/>
    <w:rsid w:val="001532B2"/>
    <w:rsid w:val="00153396"/>
    <w:rsid w:val="001539CE"/>
    <w:rsid w:val="001542D6"/>
    <w:rsid w:val="00154B8F"/>
    <w:rsid w:val="00154FD1"/>
    <w:rsid w:val="00155293"/>
    <w:rsid w:val="001552DA"/>
    <w:rsid w:val="0015544B"/>
    <w:rsid w:val="001554B9"/>
    <w:rsid w:val="001558F1"/>
    <w:rsid w:val="00155FDF"/>
    <w:rsid w:val="00156A6A"/>
    <w:rsid w:val="00156F52"/>
    <w:rsid w:val="001570D2"/>
    <w:rsid w:val="001573E6"/>
    <w:rsid w:val="001574DD"/>
    <w:rsid w:val="00157F33"/>
    <w:rsid w:val="00160959"/>
    <w:rsid w:val="00160A38"/>
    <w:rsid w:val="00160DF6"/>
    <w:rsid w:val="001613DE"/>
    <w:rsid w:val="00161944"/>
    <w:rsid w:val="00161C8F"/>
    <w:rsid w:val="001625EC"/>
    <w:rsid w:val="00162E39"/>
    <w:rsid w:val="00163413"/>
    <w:rsid w:val="001635B7"/>
    <w:rsid w:val="001636D6"/>
    <w:rsid w:val="0016378C"/>
    <w:rsid w:val="00163879"/>
    <w:rsid w:val="001641F0"/>
    <w:rsid w:val="00164A2C"/>
    <w:rsid w:val="00164BEA"/>
    <w:rsid w:val="00164EC6"/>
    <w:rsid w:val="00164FC4"/>
    <w:rsid w:val="00165289"/>
    <w:rsid w:val="00165784"/>
    <w:rsid w:val="001678BD"/>
    <w:rsid w:val="00170563"/>
    <w:rsid w:val="00170A28"/>
    <w:rsid w:val="001712BD"/>
    <w:rsid w:val="00171AA9"/>
    <w:rsid w:val="0017270B"/>
    <w:rsid w:val="00172D80"/>
    <w:rsid w:val="00173346"/>
    <w:rsid w:val="0017393A"/>
    <w:rsid w:val="00174151"/>
    <w:rsid w:val="00174196"/>
    <w:rsid w:val="001744D8"/>
    <w:rsid w:val="001745B0"/>
    <w:rsid w:val="00174F26"/>
    <w:rsid w:val="00175355"/>
    <w:rsid w:val="0017541A"/>
    <w:rsid w:val="0017589D"/>
    <w:rsid w:val="001763D0"/>
    <w:rsid w:val="001768AA"/>
    <w:rsid w:val="0017712D"/>
    <w:rsid w:val="001777BE"/>
    <w:rsid w:val="001778B9"/>
    <w:rsid w:val="00177D23"/>
    <w:rsid w:val="00180142"/>
    <w:rsid w:val="001802D5"/>
    <w:rsid w:val="001803B4"/>
    <w:rsid w:val="00181562"/>
    <w:rsid w:val="00181C9E"/>
    <w:rsid w:val="00181F18"/>
    <w:rsid w:val="00181F2C"/>
    <w:rsid w:val="0018235F"/>
    <w:rsid w:val="0018248F"/>
    <w:rsid w:val="00182EF9"/>
    <w:rsid w:val="0018443C"/>
    <w:rsid w:val="00184739"/>
    <w:rsid w:val="00184761"/>
    <w:rsid w:val="00184A16"/>
    <w:rsid w:val="00184A40"/>
    <w:rsid w:val="00184AD7"/>
    <w:rsid w:val="0018528A"/>
    <w:rsid w:val="00185D58"/>
    <w:rsid w:val="00185D83"/>
    <w:rsid w:val="0018607C"/>
    <w:rsid w:val="00186172"/>
    <w:rsid w:val="00186AC7"/>
    <w:rsid w:val="00186FF2"/>
    <w:rsid w:val="00187D65"/>
    <w:rsid w:val="00187E47"/>
    <w:rsid w:val="0019008A"/>
    <w:rsid w:val="00190A9E"/>
    <w:rsid w:val="00191484"/>
    <w:rsid w:val="00191B08"/>
    <w:rsid w:val="0019217F"/>
    <w:rsid w:val="00192BF1"/>
    <w:rsid w:val="001932F2"/>
    <w:rsid w:val="001934EB"/>
    <w:rsid w:val="001936E9"/>
    <w:rsid w:val="00193CEA"/>
    <w:rsid w:val="001943DE"/>
    <w:rsid w:val="001948A4"/>
    <w:rsid w:val="00194F7E"/>
    <w:rsid w:val="00195146"/>
    <w:rsid w:val="00195666"/>
    <w:rsid w:val="00196427"/>
    <w:rsid w:val="001966E2"/>
    <w:rsid w:val="00196CE4"/>
    <w:rsid w:val="0019798F"/>
    <w:rsid w:val="00197A8E"/>
    <w:rsid w:val="001A01F6"/>
    <w:rsid w:val="001A07F8"/>
    <w:rsid w:val="001A1A40"/>
    <w:rsid w:val="001A1AE6"/>
    <w:rsid w:val="001A1F25"/>
    <w:rsid w:val="001A2442"/>
    <w:rsid w:val="001A2509"/>
    <w:rsid w:val="001A2D1E"/>
    <w:rsid w:val="001A3234"/>
    <w:rsid w:val="001A39EB"/>
    <w:rsid w:val="001A3B71"/>
    <w:rsid w:val="001A4E5A"/>
    <w:rsid w:val="001A4FA7"/>
    <w:rsid w:val="001A55FB"/>
    <w:rsid w:val="001A56DD"/>
    <w:rsid w:val="001A5A78"/>
    <w:rsid w:val="001A5B2B"/>
    <w:rsid w:val="001A6559"/>
    <w:rsid w:val="001A6CCC"/>
    <w:rsid w:val="001A765B"/>
    <w:rsid w:val="001A7D77"/>
    <w:rsid w:val="001A7DA6"/>
    <w:rsid w:val="001B0007"/>
    <w:rsid w:val="001B1C33"/>
    <w:rsid w:val="001B1F9E"/>
    <w:rsid w:val="001B2183"/>
    <w:rsid w:val="001B3C2E"/>
    <w:rsid w:val="001B4650"/>
    <w:rsid w:val="001B49C9"/>
    <w:rsid w:val="001B50F5"/>
    <w:rsid w:val="001B512E"/>
    <w:rsid w:val="001B51FF"/>
    <w:rsid w:val="001B5B0D"/>
    <w:rsid w:val="001B6133"/>
    <w:rsid w:val="001B6610"/>
    <w:rsid w:val="001B67BB"/>
    <w:rsid w:val="001B76A3"/>
    <w:rsid w:val="001B7718"/>
    <w:rsid w:val="001B7894"/>
    <w:rsid w:val="001C04B4"/>
    <w:rsid w:val="001C05C2"/>
    <w:rsid w:val="001C1056"/>
    <w:rsid w:val="001C1A1E"/>
    <w:rsid w:val="001C1F31"/>
    <w:rsid w:val="001C20F9"/>
    <w:rsid w:val="001C225B"/>
    <w:rsid w:val="001C2523"/>
    <w:rsid w:val="001C2EDF"/>
    <w:rsid w:val="001C3545"/>
    <w:rsid w:val="001C35D3"/>
    <w:rsid w:val="001C3B7E"/>
    <w:rsid w:val="001C4065"/>
    <w:rsid w:val="001C521C"/>
    <w:rsid w:val="001C5A70"/>
    <w:rsid w:val="001C6442"/>
    <w:rsid w:val="001C66C1"/>
    <w:rsid w:val="001C6925"/>
    <w:rsid w:val="001C7966"/>
    <w:rsid w:val="001C7D41"/>
    <w:rsid w:val="001D124D"/>
    <w:rsid w:val="001D1350"/>
    <w:rsid w:val="001D167F"/>
    <w:rsid w:val="001D16A1"/>
    <w:rsid w:val="001D1BAB"/>
    <w:rsid w:val="001D236A"/>
    <w:rsid w:val="001D280A"/>
    <w:rsid w:val="001D2B42"/>
    <w:rsid w:val="001D3022"/>
    <w:rsid w:val="001D3BBB"/>
    <w:rsid w:val="001D422A"/>
    <w:rsid w:val="001D4794"/>
    <w:rsid w:val="001D48EE"/>
    <w:rsid w:val="001D49E2"/>
    <w:rsid w:val="001D5F63"/>
    <w:rsid w:val="001D68C3"/>
    <w:rsid w:val="001D7A2D"/>
    <w:rsid w:val="001D7AB1"/>
    <w:rsid w:val="001D7F0A"/>
    <w:rsid w:val="001E14FD"/>
    <w:rsid w:val="001E1B88"/>
    <w:rsid w:val="001E2345"/>
    <w:rsid w:val="001E24D6"/>
    <w:rsid w:val="001E26A8"/>
    <w:rsid w:val="001E2BBA"/>
    <w:rsid w:val="001E2E39"/>
    <w:rsid w:val="001E325A"/>
    <w:rsid w:val="001E3880"/>
    <w:rsid w:val="001E418E"/>
    <w:rsid w:val="001E45A8"/>
    <w:rsid w:val="001E4D61"/>
    <w:rsid w:val="001E6162"/>
    <w:rsid w:val="001E644B"/>
    <w:rsid w:val="001E6810"/>
    <w:rsid w:val="001E68B4"/>
    <w:rsid w:val="001E6A33"/>
    <w:rsid w:val="001E78BE"/>
    <w:rsid w:val="001E7919"/>
    <w:rsid w:val="001E7BD4"/>
    <w:rsid w:val="001E7C2D"/>
    <w:rsid w:val="001F071E"/>
    <w:rsid w:val="001F0E13"/>
    <w:rsid w:val="001F26A2"/>
    <w:rsid w:val="001F2F30"/>
    <w:rsid w:val="001F3522"/>
    <w:rsid w:val="001F3577"/>
    <w:rsid w:val="001F38A5"/>
    <w:rsid w:val="001F39EF"/>
    <w:rsid w:val="001F3C90"/>
    <w:rsid w:val="001F3F34"/>
    <w:rsid w:val="001F4364"/>
    <w:rsid w:val="001F43D1"/>
    <w:rsid w:val="001F457B"/>
    <w:rsid w:val="001F4DE0"/>
    <w:rsid w:val="001F57D4"/>
    <w:rsid w:val="001F5974"/>
    <w:rsid w:val="001F5E68"/>
    <w:rsid w:val="001F723A"/>
    <w:rsid w:val="001F7F01"/>
    <w:rsid w:val="002001EF"/>
    <w:rsid w:val="002002F9"/>
    <w:rsid w:val="002009C7"/>
    <w:rsid w:val="00200F5C"/>
    <w:rsid w:val="00200F86"/>
    <w:rsid w:val="0020106B"/>
    <w:rsid w:val="00201E95"/>
    <w:rsid w:val="00202021"/>
    <w:rsid w:val="00202374"/>
    <w:rsid w:val="0020250F"/>
    <w:rsid w:val="00202852"/>
    <w:rsid w:val="002032E8"/>
    <w:rsid w:val="002033BB"/>
    <w:rsid w:val="002039AC"/>
    <w:rsid w:val="002041D2"/>
    <w:rsid w:val="00204A9B"/>
    <w:rsid w:val="00204CEB"/>
    <w:rsid w:val="002066D2"/>
    <w:rsid w:val="00206C25"/>
    <w:rsid w:val="00206F68"/>
    <w:rsid w:val="002070A2"/>
    <w:rsid w:val="0020741A"/>
    <w:rsid w:val="00207E64"/>
    <w:rsid w:val="0021009C"/>
    <w:rsid w:val="002100F0"/>
    <w:rsid w:val="0021015C"/>
    <w:rsid w:val="00210C16"/>
    <w:rsid w:val="00211AC4"/>
    <w:rsid w:val="00211CC1"/>
    <w:rsid w:val="00212218"/>
    <w:rsid w:val="00212524"/>
    <w:rsid w:val="00212597"/>
    <w:rsid w:val="00212E8E"/>
    <w:rsid w:val="002132F2"/>
    <w:rsid w:val="002134E2"/>
    <w:rsid w:val="00213715"/>
    <w:rsid w:val="00213D04"/>
    <w:rsid w:val="00214054"/>
    <w:rsid w:val="002145B9"/>
    <w:rsid w:val="0021477C"/>
    <w:rsid w:val="00214CC4"/>
    <w:rsid w:val="002158C0"/>
    <w:rsid w:val="00215F9E"/>
    <w:rsid w:val="002164E0"/>
    <w:rsid w:val="002169AF"/>
    <w:rsid w:val="00216F75"/>
    <w:rsid w:val="00217F8D"/>
    <w:rsid w:val="002204F8"/>
    <w:rsid w:val="002205E7"/>
    <w:rsid w:val="002205ED"/>
    <w:rsid w:val="00220E9C"/>
    <w:rsid w:val="002215F3"/>
    <w:rsid w:val="00221742"/>
    <w:rsid w:val="00222250"/>
    <w:rsid w:val="002222D7"/>
    <w:rsid w:val="002223E4"/>
    <w:rsid w:val="00223322"/>
    <w:rsid w:val="002237E5"/>
    <w:rsid w:val="0022483E"/>
    <w:rsid w:val="00225489"/>
    <w:rsid w:val="002259EF"/>
    <w:rsid w:val="00225AE1"/>
    <w:rsid w:val="00225D33"/>
    <w:rsid w:val="00225E3C"/>
    <w:rsid w:val="00226104"/>
    <w:rsid w:val="0022686C"/>
    <w:rsid w:val="00226BBD"/>
    <w:rsid w:val="002276AC"/>
    <w:rsid w:val="00227A5E"/>
    <w:rsid w:val="00227FC9"/>
    <w:rsid w:val="002302FA"/>
    <w:rsid w:val="00230829"/>
    <w:rsid w:val="00230EAF"/>
    <w:rsid w:val="002321FF"/>
    <w:rsid w:val="00232315"/>
    <w:rsid w:val="002324B1"/>
    <w:rsid w:val="00232683"/>
    <w:rsid w:val="002333B0"/>
    <w:rsid w:val="00233D87"/>
    <w:rsid w:val="00233DA6"/>
    <w:rsid w:val="00234806"/>
    <w:rsid w:val="00234F31"/>
    <w:rsid w:val="00234F61"/>
    <w:rsid w:val="00235030"/>
    <w:rsid w:val="00235145"/>
    <w:rsid w:val="00235395"/>
    <w:rsid w:val="002353B3"/>
    <w:rsid w:val="00235562"/>
    <w:rsid w:val="0023570D"/>
    <w:rsid w:val="00235BA8"/>
    <w:rsid w:val="002360C8"/>
    <w:rsid w:val="002368A7"/>
    <w:rsid w:val="002368B6"/>
    <w:rsid w:val="00236AEE"/>
    <w:rsid w:val="0024124D"/>
    <w:rsid w:val="002416EF"/>
    <w:rsid w:val="00241B74"/>
    <w:rsid w:val="00241E1F"/>
    <w:rsid w:val="00242270"/>
    <w:rsid w:val="0024291F"/>
    <w:rsid w:val="00242CF8"/>
    <w:rsid w:val="00243050"/>
    <w:rsid w:val="00243546"/>
    <w:rsid w:val="00243668"/>
    <w:rsid w:val="002441FD"/>
    <w:rsid w:val="00245889"/>
    <w:rsid w:val="00245E5C"/>
    <w:rsid w:val="00246513"/>
    <w:rsid w:val="0024672D"/>
    <w:rsid w:val="0024687A"/>
    <w:rsid w:val="00246F41"/>
    <w:rsid w:val="002474B7"/>
    <w:rsid w:val="00247A70"/>
    <w:rsid w:val="00250A5E"/>
    <w:rsid w:val="00250B62"/>
    <w:rsid w:val="00250BBE"/>
    <w:rsid w:val="002518C0"/>
    <w:rsid w:val="00251A78"/>
    <w:rsid w:val="00251CB3"/>
    <w:rsid w:val="00251D1B"/>
    <w:rsid w:val="0025217F"/>
    <w:rsid w:val="002522FE"/>
    <w:rsid w:val="002523BC"/>
    <w:rsid w:val="00253240"/>
    <w:rsid w:val="00253510"/>
    <w:rsid w:val="00253586"/>
    <w:rsid w:val="00253D09"/>
    <w:rsid w:val="0025429D"/>
    <w:rsid w:val="0025483F"/>
    <w:rsid w:val="002559DF"/>
    <w:rsid w:val="002560F5"/>
    <w:rsid w:val="00257FB0"/>
    <w:rsid w:val="002601AE"/>
    <w:rsid w:val="00260556"/>
    <w:rsid w:val="002610C0"/>
    <w:rsid w:val="00261759"/>
    <w:rsid w:val="00261A08"/>
    <w:rsid w:val="002621EA"/>
    <w:rsid w:val="00262209"/>
    <w:rsid w:val="002628BC"/>
    <w:rsid w:val="00262C61"/>
    <w:rsid w:val="00262DD5"/>
    <w:rsid w:val="00263244"/>
    <w:rsid w:val="00264060"/>
    <w:rsid w:val="00265E73"/>
    <w:rsid w:val="00265FB0"/>
    <w:rsid w:val="00266746"/>
    <w:rsid w:val="00266B26"/>
    <w:rsid w:val="00266E35"/>
    <w:rsid w:val="00267137"/>
    <w:rsid w:val="00267470"/>
    <w:rsid w:val="002675B2"/>
    <w:rsid w:val="00267DB1"/>
    <w:rsid w:val="00267E40"/>
    <w:rsid w:val="00267F10"/>
    <w:rsid w:val="002701E4"/>
    <w:rsid w:val="0027029D"/>
    <w:rsid w:val="00270CC1"/>
    <w:rsid w:val="0027119C"/>
    <w:rsid w:val="0027184B"/>
    <w:rsid w:val="002719BC"/>
    <w:rsid w:val="00271B05"/>
    <w:rsid w:val="00271E3E"/>
    <w:rsid w:val="00272116"/>
    <w:rsid w:val="00272812"/>
    <w:rsid w:val="00272CDF"/>
    <w:rsid w:val="00272EC7"/>
    <w:rsid w:val="00273B2E"/>
    <w:rsid w:val="00273E58"/>
    <w:rsid w:val="00274363"/>
    <w:rsid w:val="00275407"/>
    <w:rsid w:val="00275CFC"/>
    <w:rsid w:val="00276646"/>
    <w:rsid w:val="002767AB"/>
    <w:rsid w:val="00276CCC"/>
    <w:rsid w:val="00277C71"/>
    <w:rsid w:val="00277C79"/>
    <w:rsid w:val="00277F28"/>
    <w:rsid w:val="00280FFA"/>
    <w:rsid w:val="00281347"/>
    <w:rsid w:val="002816A3"/>
    <w:rsid w:val="002823F6"/>
    <w:rsid w:val="002827A5"/>
    <w:rsid w:val="0028283E"/>
    <w:rsid w:val="00282A70"/>
    <w:rsid w:val="00283182"/>
    <w:rsid w:val="0028331D"/>
    <w:rsid w:val="00283D98"/>
    <w:rsid w:val="00284615"/>
    <w:rsid w:val="002849D7"/>
    <w:rsid w:val="00285186"/>
    <w:rsid w:val="00285579"/>
    <w:rsid w:val="00285987"/>
    <w:rsid w:val="00285BDA"/>
    <w:rsid w:val="002867D6"/>
    <w:rsid w:val="002869CB"/>
    <w:rsid w:val="00286A45"/>
    <w:rsid w:val="00287924"/>
    <w:rsid w:val="002904E5"/>
    <w:rsid w:val="002914E4"/>
    <w:rsid w:val="00292429"/>
    <w:rsid w:val="00292F30"/>
    <w:rsid w:val="002934B7"/>
    <w:rsid w:val="002936EE"/>
    <w:rsid w:val="00294150"/>
    <w:rsid w:val="0029415E"/>
    <w:rsid w:val="002946B9"/>
    <w:rsid w:val="00295114"/>
    <w:rsid w:val="00295A7A"/>
    <w:rsid w:val="00296260"/>
    <w:rsid w:val="00296FE4"/>
    <w:rsid w:val="00297892"/>
    <w:rsid w:val="00297D97"/>
    <w:rsid w:val="002A1105"/>
    <w:rsid w:val="002A1DA0"/>
    <w:rsid w:val="002A1EA3"/>
    <w:rsid w:val="002A256E"/>
    <w:rsid w:val="002A2AB6"/>
    <w:rsid w:val="002A32E0"/>
    <w:rsid w:val="002A3538"/>
    <w:rsid w:val="002A3640"/>
    <w:rsid w:val="002A36F8"/>
    <w:rsid w:val="002A3A10"/>
    <w:rsid w:val="002A405F"/>
    <w:rsid w:val="002A4557"/>
    <w:rsid w:val="002A496C"/>
    <w:rsid w:val="002A4CD5"/>
    <w:rsid w:val="002A4FCD"/>
    <w:rsid w:val="002A53C0"/>
    <w:rsid w:val="002A746D"/>
    <w:rsid w:val="002A789A"/>
    <w:rsid w:val="002A7D2B"/>
    <w:rsid w:val="002B0580"/>
    <w:rsid w:val="002B05AF"/>
    <w:rsid w:val="002B0E01"/>
    <w:rsid w:val="002B11FC"/>
    <w:rsid w:val="002B149D"/>
    <w:rsid w:val="002B1ECF"/>
    <w:rsid w:val="002B1FF7"/>
    <w:rsid w:val="002B22D7"/>
    <w:rsid w:val="002B25C5"/>
    <w:rsid w:val="002B2B3F"/>
    <w:rsid w:val="002B3134"/>
    <w:rsid w:val="002B3B0F"/>
    <w:rsid w:val="002B3F28"/>
    <w:rsid w:val="002B493D"/>
    <w:rsid w:val="002B49E6"/>
    <w:rsid w:val="002B4D27"/>
    <w:rsid w:val="002B5010"/>
    <w:rsid w:val="002B55FD"/>
    <w:rsid w:val="002B5846"/>
    <w:rsid w:val="002B5853"/>
    <w:rsid w:val="002B5FA4"/>
    <w:rsid w:val="002B6935"/>
    <w:rsid w:val="002B6CE1"/>
    <w:rsid w:val="002B7B33"/>
    <w:rsid w:val="002B7E9F"/>
    <w:rsid w:val="002B7F54"/>
    <w:rsid w:val="002C044A"/>
    <w:rsid w:val="002C0A50"/>
    <w:rsid w:val="002C10AB"/>
    <w:rsid w:val="002C12F1"/>
    <w:rsid w:val="002C1325"/>
    <w:rsid w:val="002C13CD"/>
    <w:rsid w:val="002C1CBD"/>
    <w:rsid w:val="002C2A49"/>
    <w:rsid w:val="002C4289"/>
    <w:rsid w:val="002C473F"/>
    <w:rsid w:val="002C4A48"/>
    <w:rsid w:val="002C4EE4"/>
    <w:rsid w:val="002C50A0"/>
    <w:rsid w:val="002C56D2"/>
    <w:rsid w:val="002C6355"/>
    <w:rsid w:val="002C6EEC"/>
    <w:rsid w:val="002C6F96"/>
    <w:rsid w:val="002C76AB"/>
    <w:rsid w:val="002D0DE8"/>
    <w:rsid w:val="002D2A81"/>
    <w:rsid w:val="002D2C7D"/>
    <w:rsid w:val="002D2D2F"/>
    <w:rsid w:val="002D2E2F"/>
    <w:rsid w:val="002D31A5"/>
    <w:rsid w:val="002D3AE0"/>
    <w:rsid w:val="002D4259"/>
    <w:rsid w:val="002D4705"/>
    <w:rsid w:val="002D495A"/>
    <w:rsid w:val="002D4BAB"/>
    <w:rsid w:val="002D4C4C"/>
    <w:rsid w:val="002D53D6"/>
    <w:rsid w:val="002D5C52"/>
    <w:rsid w:val="002D5E1E"/>
    <w:rsid w:val="002D6246"/>
    <w:rsid w:val="002D7381"/>
    <w:rsid w:val="002D75C6"/>
    <w:rsid w:val="002D782B"/>
    <w:rsid w:val="002D7CE1"/>
    <w:rsid w:val="002E131F"/>
    <w:rsid w:val="002E166D"/>
    <w:rsid w:val="002E18FC"/>
    <w:rsid w:val="002E1C97"/>
    <w:rsid w:val="002E1D52"/>
    <w:rsid w:val="002E216B"/>
    <w:rsid w:val="002E25FE"/>
    <w:rsid w:val="002E2D56"/>
    <w:rsid w:val="002E3182"/>
    <w:rsid w:val="002E32CD"/>
    <w:rsid w:val="002E3715"/>
    <w:rsid w:val="002E379F"/>
    <w:rsid w:val="002E3D6D"/>
    <w:rsid w:val="002E4288"/>
    <w:rsid w:val="002E4815"/>
    <w:rsid w:val="002E4B54"/>
    <w:rsid w:val="002E4C5F"/>
    <w:rsid w:val="002E5348"/>
    <w:rsid w:val="002E626F"/>
    <w:rsid w:val="002E6720"/>
    <w:rsid w:val="002E67A4"/>
    <w:rsid w:val="002E6D8D"/>
    <w:rsid w:val="002E71ED"/>
    <w:rsid w:val="002E71FE"/>
    <w:rsid w:val="002E73ED"/>
    <w:rsid w:val="002E758D"/>
    <w:rsid w:val="002E7657"/>
    <w:rsid w:val="002E7FF7"/>
    <w:rsid w:val="002F014A"/>
    <w:rsid w:val="002F0177"/>
    <w:rsid w:val="002F041E"/>
    <w:rsid w:val="002F051C"/>
    <w:rsid w:val="002F0674"/>
    <w:rsid w:val="002F0CCE"/>
    <w:rsid w:val="002F1289"/>
    <w:rsid w:val="002F175A"/>
    <w:rsid w:val="002F1AC0"/>
    <w:rsid w:val="002F1C08"/>
    <w:rsid w:val="002F238A"/>
    <w:rsid w:val="002F2775"/>
    <w:rsid w:val="002F27DF"/>
    <w:rsid w:val="002F3094"/>
    <w:rsid w:val="002F3388"/>
    <w:rsid w:val="002F34AF"/>
    <w:rsid w:val="002F354D"/>
    <w:rsid w:val="002F3693"/>
    <w:rsid w:val="002F48CD"/>
    <w:rsid w:val="002F4E05"/>
    <w:rsid w:val="002F56FD"/>
    <w:rsid w:val="002F58C2"/>
    <w:rsid w:val="002F5CDD"/>
    <w:rsid w:val="002F6463"/>
    <w:rsid w:val="002F67A9"/>
    <w:rsid w:val="002F6DD2"/>
    <w:rsid w:val="002F6DF6"/>
    <w:rsid w:val="002F73E9"/>
    <w:rsid w:val="002F7B85"/>
    <w:rsid w:val="00300083"/>
    <w:rsid w:val="003005FF"/>
    <w:rsid w:val="0030089B"/>
    <w:rsid w:val="003008FD"/>
    <w:rsid w:val="003024A9"/>
    <w:rsid w:val="00302BB7"/>
    <w:rsid w:val="00302F9A"/>
    <w:rsid w:val="00303814"/>
    <w:rsid w:val="00304471"/>
    <w:rsid w:val="003044DD"/>
    <w:rsid w:val="00304CE4"/>
    <w:rsid w:val="00305329"/>
    <w:rsid w:val="0030667C"/>
    <w:rsid w:val="003067C4"/>
    <w:rsid w:val="00307279"/>
    <w:rsid w:val="00307593"/>
    <w:rsid w:val="0030766B"/>
    <w:rsid w:val="0030792E"/>
    <w:rsid w:val="00307C57"/>
    <w:rsid w:val="003104EA"/>
    <w:rsid w:val="00310799"/>
    <w:rsid w:val="00310C63"/>
    <w:rsid w:val="00310F22"/>
    <w:rsid w:val="0031162E"/>
    <w:rsid w:val="00311E2F"/>
    <w:rsid w:val="00311E89"/>
    <w:rsid w:val="00312A97"/>
    <w:rsid w:val="00313629"/>
    <w:rsid w:val="00313888"/>
    <w:rsid w:val="00313D05"/>
    <w:rsid w:val="0031438B"/>
    <w:rsid w:val="00315011"/>
    <w:rsid w:val="00315507"/>
    <w:rsid w:val="00315588"/>
    <w:rsid w:val="00315B40"/>
    <w:rsid w:val="00315B5A"/>
    <w:rsid w:val="003161E2"/>
    <w:rsid w:val="00316354"/>
    <w:rsid w:val="0031643F"/>
    <w:rsid w:val="00316C83"/>
    <w:rsid w:val="0031729D"/>
    <w:rsid w:val="00317601"/>
    <w:rsid w:val="00320729"/>
    <w:rsid w:val="003207EF"/>
    <w:rsid w:val="00320E37"/>
    <w:rsid w:val="00321820"/>
    <w:rsid w:val="003222AD"/>
    <w:rsid w:val="00322FC2"/>
    <w:rsid w:val="003236DD"/>
    <w:rsid w:val="00324476"/>
    <w:rsid w:val="0032491D"/>
    <w:rsid w:val="00324D58"/>
    <w:rsid w:val="00325EDC"/>
    <w:rsid w:val="003262CD"/>
    <w:rsid w:val="00326332"/>
    <w:rsid w:val="003267D2"/>
    <w:rsid w:val="00327008"/>
    <w:rsid w:val="00327749"/>
    <w:rsid w:val="003302A9"/>
    <w:rsid w:val="00330504"/>
    <w:rsid w:val="00330776"/>
    <w:rsid w:val="00330A33"/>
    <w:rsid w:val="00331D02"/>
    <w:rsid w:val="003320EE"/>
    <w:rsid w:val="00332624"/>
    <w:rsid w:val="003331A2"/>
    <w:rsid w:val="0033358F"/>
    <w:rsid w:val="0033385F"/>
    <w:rsid w:val="003339FB"/>
    <w:rsid w:val="00334572"/>
    <w:rsid w:val="00334611"/>
    <w:rsid w:val="00334A4A"/>
    <w:rsid w:val="00334C3A"/>
    <w:rsid w:val="00334DBA"/>
    <w:rsid w:val="00335D09"/>
    <w:rsid w:val="00335EF9"/>
    <w:rsid w:val="0033600B"/>
    <w:rsid w:val="003363F3"/>
    <w:rsid w:val="00336B22"/>
    <w:rsid w:val="00337C1A"/>
    <w:rsid w:val="0034059D"/>
    <w:rsid w:val="003407BA"/>
    <w:rsid w:val="00340A49"/>
    <w:rsid w:val="00340AD3"/>
    <w:rsid w:val="00340CDC"/>
    <w:rsid w:val="003419B3"/>
    <w:rsid w:val="00341BB2"/>
    <w:rsid w:val="003420BE"/>
    <w:rsid w:val="00342C5F"/>
    <w:rsid w:val="00342E24"/>
    <w:rsid w:val="003436D1"/>
    <w:rsid w:val="0034398A"/>
    <w:rsid w:val="003439A6"/>
    <w:rsid w:val="00343EAE"/>
    <w:rsid w:val="00344DBA"/>
    <w:rsid w:val="00345B2D"/>
    <w:rsid w:val="00345DF5"/>
    <w:rsid w:val="00347985"/>
    <w:rsid w:val="00347AC2"/>
    <w:rsid w:val="00347D7F"/>
    <w:rsid w:val="0035089C"/>
    <w:rsid w:val="00350E06"/>
    <w:rsid w:val="003514DD"/>
    <w:rsid w:val="00351D64"/>
    <w:rsid w:val="00351F43"/>
    <w:rsid w:val="00352293"/>
    <w:rsid w:val="0035234F"/>
    <w:rsid w:val="003525E3"/>
    <w:rsid w:val="00352977"/>
    <w:rsid w:val="00352A3F"/>
    <w:rsid w:val="003530C2"/>
    <w:rsid w:val="00353CDB"/>
    <w:rsid w:val="00353E73"/>
    <w:rsid w:val="0035400D"/>
    <w:rsid w:val="003540CB"/>
    <w:rsid w:val="00354228"/>
    <w:rsid w:val="00354388"/>
    <w:rsid w:val="00354A79"/>
    <w:rsid w:val="00354E67"/>
    <w:rsid w:val="003553E5"/>
    <w:rsid w:val="0035551B"/>
    <w:rsid w:val="00355A9D"/>
    <w:rsid w:val="00355E3A"/>
    <w:rsid w:val="00356376"/>
    <w:rsid w:val="00356581"/>
    <w:rsid w:val="003569FF"/>
    <w:rsid w:val="00356F25"/>
    <w:rsid w:val="003573F5"/>
    <w:rsid w:val="003579A4"/>
    <w:rsid w:val="00360E2D"/>
    <w:rsid w:val="0036170F"/>
    <w:rsid w:val="00361A68"/>
    <w:rsid w:val="00361AE9"/>
    <w:rsid w:val="00362216"/>
    <w:rsid w:val="00362536"/>
    <w:rsid w:val="003627FE"/>
    <w:rsid w:val="003628EB"/>
    <w:rsid w:val="00362B53"/>
    <w:rsid w:val="0036347F"/>
    <w:rsid w:val="003635F4"/>
    <w:rsid w:val="00363D9D"/>
    <w:rsid w:val="0036613E"/>
    <w:rsid w:val="0036668F"/>
    <w:rsid w:val="00367031"/>
    <w:rsid w:val="003670B6"/>
    <w:rsid w:val="003700D8"/>
    <w:rsid w:val="003705B1"/>
    <w:rsid w:val="00371536"/>
    <w:rsid w:val="00371EE1"/>
    <w:rsid w:val="00372044"/>
    <w:rsid w:val="003728CC"/>
    <w:rsid w:val="00372AAD"/>
    <w:rsid w:val="003733BE"/>
    <w:rsid w:val="00373964"/>
    <w:rsid w:val="00373B03"/>
    <w:rsid w:val="00373C18"/>
    <w:rsid w:val="00373F21"/>
    <w:rsid w:val="003741C8"/>
    <w:rsid w:val="00374B0B"/>
    <w:rsid w:val="00374E7D"/>
    <w:rsid w:val="00374EB8"/>
    <w:rsid w:val="003755DE"/>
    <w:rsid w:val="003757E3"/>
    <w:rsid w:val="0037659D"/>
    <w:rsid w:val="003769BA"/>
    <w:rsid w:val="0037755C"/>
    <w:rsid w:val="003776C7"/>
    <w:rsid w:val="00377D25"/>
    <w:rsid w:val="00380A18"/>
    <w:rsid w:val="00380E10"/>
    <w:rsid w:val="00380EF7"/>
    <w:rsid w:val="0038165B"/>
    <w:rsid w:val="00381D00"/>
    <w:rsid w:val="0038263D"/>
    <w:rsid w:val="00382AB2"/>
    <w:rsid w:val="00382B84"/>
    <w:rsid w:val="00383CE9"/>
    <w:rsid w:val="00383D5A"/>
    <w:rsid w:val="003848EB"/>
    <w:rsid w:val="00384D01"/>
    <w:rsid w:val="0038535C"/>
    <w:rsid w:val="00386B77"/>
    <w:rsid w:val="00386F3C"/>
    <w:rsid w:val="00387816"/>
    <w:rsid w:val="00387A3E"/>
    <w:rsid w:val="00387FB6"/>
    <w:rsid w:val="00390B90"/>
    <w:rsid w:val="00390EBD"/>
    <w:rsid w:val="00391199"/>
    <w:rsid w:val="00391415"/>
    <w:rsid w:val="0039178D"/>
    <w:rsid w:val="003919F0"/>
    <w:rsid w:val="00391D65"/>
    <w:rsid w:val="00393447"/>
    <w:rsid w:val="0039354A"/>
    <w:rsid w:val="00394024"/>
    <w:rsid w:val="00394214"/>
    <w:rsid w:val="003946B2"/>
    <w:rsid w:val="00394860"/>
    <w:rsid w:val="003949E2"/>
    <w:rsid w:val="00394D6E"/>
    <w:rsid w:val="00395000"/>
    <w:rsid w:val="003950C4"/>
    <w:rsid w:val="00395335"/>
    <w:rsid w:val="00395D39"/>
    <w:rsid w:val="00395F91"/>
    <w:rsid w:val="0039660F"/>
    <w:rsid w:val="003968FF"/>
    <w:rsid w:val="0039762F"/>
    <w:rsid w:val="003978B1"/>
    <w:rsid w:val="003A01D1"/>
    <w:rsid w:val="003A0D86"/>
    <w:rsid w:val="003A11FD"/>
    <w:rsid w:val="003A137C"/>
    <w:rsid w:val="003A1585"/>
    <w:rsid w:val="003A16EC"/>
    <w:rsid w:val="003A1B1B"/>
    <w:rsid w:val="003A1C0A"/>
    <w:rsid w:val="003A1DF7"/>
    <w:rsid w:val="003A276F"/>
    <w:rsid w:val="003A2E2E"/>
    <w:rsid w:val="003A3452"/>
    <w:rsid w:val="003A38AC"/>
    <w:rsid w:val="003A4354"/>
    <w:rsid w:val="003A44A9"/>
    <w:rsid w:val="003A4E20"/>
    <w:rsid w:val="003A50FE"/>
    <w:rsid w:val="003A5E4A"/>
    <w:rsid w:val="003A5EA8"/>
    <w:rsid w:val="003A5F89"/>
    <w:rsid w:val="003A64F5"/>
    <w:rsid w:val="003A694D"/>
    <w:rsid w:val="003A6F7B"/>
    <w:rsid w:val="003A78BD"/>
    <w:rsid w:val="003B1397"/>
    <w:rsid w:val="003B188B"/>
    <w:rsid w:val="003B2249"/>
    <w:rsid w:val="003B2943"/>
    <w:rsid w:val="003B3128"/>
    <w:rsid w:val="003B3640"/>
    <w:rsid w:val="003B3881"/>
    <w:rsid w:val="003B3DCF"/>
    <w:rsid w:val="003B44EA"/>
    <w:rsid w:val="003B57FB"/>
    <w:rsid w:val="003B71ED"/>
    <w:rsid w:val="003B787A"/>
    <w:rsid w:val="003C20C6"/>
    <w:rsid w:val="003C2354"/>
    <w:rsid w:val="003C253A"/>
    <w:rsid w:val="003C2A78"/>
    <w:rsid w:val="003C3E23"/>
    <w:rsid w:val="003C4FC7"/>
    <w:rsid w:val="003C521D"/>
    <w:rsid w:val="003C5334"/>
    <w:rsid w:val="003C55C6"/>
    <w:rsid w:val="003C588F"/>
    <w:rsid w:val="003C5F3D"/>
    <w:rsid w:val="003C66CC"/>
    <w:rsid w:val="003C6923"/>
    <w:rsid w:val="003C760D"/>
    <w:rsid w:val="003C7DF0"/>
    <w:rsid w:val="003D041C"/>
    <w:rsid w:val="003D1622"/>
    <w:rsid w:val="003D18D7"/>
    <w:rsid w:val="003D193F"/>
    <w:rsid w:val="003D1DA7"/>
    <w:rsid w:val="003D2855"/>
    <w:rsid w:val="003D41E4"/>
    <w:rsid w:val="003D4457"/>
    <w:rsid w:val="003D4CBD"/>
    <w:rsid w:val="003D4ED1"/>
    <w:rsid w:val="003D51E5"/>
    <w:rsid w:val="003D599D"/>
    <w:rsid w:val="003D6492"/>
    <w:rsid w:val="003D6C9E"/>
    <w:rsid w:val="003D6F54"/>
    <w:rsid w:val="003D70AB"/>
    <w:rsid w:val="003D7FBC"/>
    <w:rsid w:val="003E16B4"/>
    <w:rsid w:val="003E1968"/>
    <w:rsid w:val="003E1A4D"/>
    <w:rsid w:val="003E268E"/>
    <w:rsid w:val="003E318F"/>
    <w:rsid w:val="003E330E"/>
    <w:rsid w:val="003E38D8"/>
    <w:rsid w:val="003E3C96"/>
    <w:rsid w:val="003E3FAC"/>
    <w:rsid w:val="003E45D4"/>
    <w:rsid w:val="003E466A"/>
    <w:rsid w:val="003E4F5C"/>
    <w:rsid w:val="003E520B"/>
    <w:rsid w:val="003E593C"/>
    <w:rsid w:val="003E5A5E"/>
    <w:rsid w:val="003E5EB1"/>
    <w:rsid w:val="003E6349"/>
    <w:rsid w:val="003E6DF7"/>
    <w:rsid w:val="003E70F0"/>
    <w:rsid w:val="003E7117"/>
    <w:rsid w:val="003E7969"/>
    <w:rsid w:val="003E7B8C"/>
    <w:rsid w:val="003E7F4E"/>
    <w:rsid w:val="003F0915"/>
    <w:rsid w:val="003F0B0C"/>
    <w:rsid w:val="003F1A92"/>
    <w:rsid w:val="003F1C47"/>
    <w:rsid w:val="003F2174"/>
    <w:rsid w:val="003F2CD2"/>
    <w:rsid w:val="003F31A4"/>
    <w:rsid w:val="003F3459"/>
    <w:rsid w:val="003F4789"/>
    <w:rsid w:val="003F4B9D"/>
    <w:rsid w:val="003F54E8"/>
    <w:rsid w:val="003F6F5B"/>
    <w:rsid w:val="00400604"/>
    <w:rsid w:val="0040086D"/>
    <w:rsid w:val="004008D5"/>
    <w:rsid w:val="00401413"/>
    <w:rsid w:val="004017CF"/>
    <w:rsid w:val="00402480"/>
    <w:rsid w:val="00402684"/>
    <w:rsid w:val="00402C7C"/>
    <w:rsid w:val="00402EEA"/>
    <w:rsid w:val="0040307E"/>
    <w:rsid w:val="004032EE"/>
    <w:rsid w:val="0040340B"/>
    <w:rsid w:val="00403606"/>
    <w:rsid w:val="00403999"/>
    <w:rsid w:val="00403A37"/>
    <w:rsid w:val="00403A54"/>
    <w:rsid w:val="00404103"/>
    <w:rsid w:val="00404640"/>
    <w:rsid w:val="00404A72"/>
    <w:rsid w:val="00404F8A"/>
    <w:rsid w:val="00407273"/>
    <w:rsid w:val="0040738D"/>
    <w:rsid w:val="00407D63"/>
    <w:rsid w:val="00407EF5"/>
    <w:rsid w:val="00410953"/>
    <w:rsid w:val="00410BDD"/>
    <w:rsid w:val="004111B3"/>
    <w:rsid w:val="004113B7"/>
    <w:rsid w:val="00411504"/>
    <w:rsid w:val="004125CD"/>
    <w:rsid w:val="00412D3F"/>
    <w:rsid w:val="00413731"/>
    <w:rsid w:val="0041406F"/>
    <w:rsid w:val="0041454A"/>
    <w:rsid w:val="00415122"/>
    <w:rsid w:val="00416822"/>
    <w:rsid w:val="00416836"/>
    <w:rsid w:val="00416CF5"/>
    <w:rsid w:val="00417475"/>
    <w:rsid w:val="004176E0"/>
    <w:rsid w:val="00420494"/>
    <w:rsid w:val="004215E2"/>
    <w:rsid w:val="00421A5D"/>
    <w:rsid w:val="00421AEE"/>
    <w:rsid w:val="00422C20"/>
    <w:rsid w:val="00423151"/>
    <w:rsid w:val="00423296"/>
    <w:rsid w:val="004236BC"/>
    <w:rsid w:val="00423A84"/>
    <w:rsid w:val="00423D3A"/>
    <w:rsid w:val="00424432"/>
    <w:rsid w:val="00424B92"/>
    <w:rsid w:val="00424CCE"/>
    <w:rsid w:val="00425463"/>
    <w:rsid w:val="004255C1"/>
    <w:rsid w:val="0042689E"/>
    <w:rsid w:val="00426DD6"/>
    <w:rsid w:val="004277BB"/>
    <w:rsid w:val="00427DBD"/>
    <w:rsid w:val="00431728"/>
    <w:rsid w:val="00432EC7"/>
    <w:rsid w:val="004332D7"/>
    <w:rsid w:val="0043365F"/>
    <w:rsid w:val="0043392C"/>
    <w:rsid w:val="00433B63"/>
    <w:rsid w:val="0043407D"/>
    <w:rsid w:val="00435048"/>
    <w:rsid w:val="0043514F"/>
    <w:rsid w:val="0043537F"/>
    <w:rsid w:val="00435905"/>
    <w:rsid w:val="00435AA0"/>
    <w:rsid w:val="00435AD2"/>
    <w:rsid w:val="00435EC8"/>
    <w:rsid w:val="00436119"/>
    <w:rsid w:val="00436244"/>
    <w:rsid w:val="004368B6"/>
    <w:rsid w:val="00436C6C"/>
    <w:rsid w:val="004377B7"/>
    <w:rsid w:val="00437877"/>
    <w:rsid w:val="00437D56"/>
    <w:rsid w:val="0044022D"/>
    <w:rsid w:val="004403C2"/>
    <w:rsid w:val="00440C72"/>
    <w:rsid w:val="00441351"/>
    <w:rsid w:val="00442D45"/>
    <w:rsid w:val="0044358E"/>
    <w:rsid w:val="004437C3"/>
    <w:rsid w:val="00443B3F"/>
    <w:rsid w:val="00443DD5"/>
    <w:rsid w:val="00443EC9"/>
    <w:rsid w:val="00444339"/>
    <w:rsid w:val="00444A89"/>
    <w:rsid w:val="0044510E"/>
    <w:rsid w:val="00445596"/>
    <w:rsid w:val="00445F57"/>
    <w:rsid w:val="00445FDB"/>
    <w:rsid w:val="004468A1"/>
    <w:rsid w:val="00446B13"/>
    <w:rsid w:val="00446FC4"/>
    <w:rsid w:val="004470BF"/>
    <w:rsid w:val="004479E9"/>
    <w:rsid w:val="00447C88"/>
    <w:rsid w:val="004505E4"/>
    <w:rsid w:val="004506CC"/>
    <w:rsid w:val="00450E20"/>
    <w:rsid w:val="00452D63"/>
    <w:rsid w:val="00453FB3"/>
    <w:rsid w:val="00454029"/>
    <w:rsid w:val="00454153"/>
    <w:rsid w:val="00454598"/>
    <w:rsid w:val="00454855"/>
    <w:rsid w:val="004548ED"/>
    <w:rsid w:val="004555DC"/>
    <w:rsid w:val="00455662"/>
    <w:rsid w:val="00455DC2"/>
    <w:rsid w:val="00455E5E"/>
    <w:rsid w:val="00456226"/>
    <w:rsid w:val="004564C5"/>
    <w:rsid w:val="00456A57"/>
    <w:rsid w:val="0045737F"/>
    <w:rsid w:val="00460824"/>
    <w:rsid w:val="004608E4"/>
    <w:rsid w:val="00460FC2"/>
    <w:rsid w:val="004619CD"/>
    <w:rsid w:val="00461FB9"/>
    <w:rsid w:val="00461FCA"/>
    <w:rsid w:val="004627F3"/>
    <w:rsid w:val="00462A30"/>
    <w:rsid w:val="00462DB3"/>
    <w:rsid w:val="00462E93"/>
    <w:rsid w:val="00463244"/>
    <w:rsid w:val="004642D9"/>
    <w:rsid w:val="0046505F"/>
    <w:rsid w:val="00465603"/>
    <w:rsid w:val="0046613C"/>
    <w:rsid w:val="00466A16"/>
    <w:rsid w:val="00466C61"/>
    <w:rsid w:val="00466E98"/>
    <w:rsid w:val="004678F3"/>
    <w:rsid w:val="00467C73"/>
    <w:rsid w:val="004700E9"/>
    <w:rsid w:val="00471112"/>
    <w:rsid w:val="004711DC"/>
    <w:rsid w:val="00471284"/>
    <w:rsid w:val="00471647"/>
    <w:rsid w:val="00472214"/>
    <w:rsid w:val="004724BD"/>
    <w:rsid w:val="004729E7"/>
    <w:rsid w:val="0047309D"/>
    <w:rsid w:val="00473573"/>
    <w:rsid w:val="004738D5"/>
    <w:rsid w:val="00474476"/>
    <w:rsid w:val="004748BF"/>
    <w:rsid w:val="00474931"/>
    <w:rsid w:val="00476222"/>
    <w:rsid w:val="00476302"/>
    <w:rsid w:val="00476A00"/>
    <w:rsid w:val="00476BEF"/>
    <w:rsid w:val="0047753E"/>
    <w:rsid w:val="004776D1"/>
    <w:rsid w:val="00477B26"/>
    <w:rsid w:val="004802AF"/>
    <w:rsid w:val="004803D6"/>
    <w:rsid w:val="004816D4"/>
    <w:rsid w:val="004819C1"/>
    <w:rsid w:val="00481FD4"/>
    <w:rsid w:val="0048287B"/>
    <w:rsid w:val="004829FE"/>
    <w:rsid w:val="00483294"/>
    <w:rsid w:val="0048358B"/>
    <w:rsid w:val="0048384A"/>
    <w:rsid w:val="00483C82"/>
    <w:rsid w:val="00483EBD"/>
    <w:rsid w:val="0048416F"/>
    <w:rsid w:val="00484967"/>
    <w:rsid w:val="00484F10"/>
    <w:rsid w:val="004863B9"/>
    <w:rsid w:val="00486EBA"/>
    <w:rsid w:val="0048720E"/>
    <w:rsid w:val="00487650"/>
    <w:rsid w:val="00487A20"/>
    <w:rsid w:val="00487B6C"/>
    <w:rsid w:val="00491AD2"/>
    <w:rsid w:val="00491AEC"/>
    <w:rsid w:val="004928A9"/>
    <w:rsid w:val="00492B54"/>
    <w:rsid w:val="00493871"/>
    <w:rsid w:val="0049488C"/>
    <w:rsid w:val="00494D36"/>
    <w:rsid w:val="004950D6"/>
    <w:rsid w:val="004954C8"/>
    <w:rsid w:val="00495B4C"/>
    <w:rsid w:val="004964DB"/>
    <w:rsid w:val="00496885"/>
    <w:rsid w:val="00496971"/>
    <w:rsid w:val="00496A66"/>
    <w:rsid w:val="00496AFB"/>
    <w:rsid w:val="00496B54"/>
    <w:rsid w:val="00496DA6"/>
    <w:rsid w:val="00497431"/>
    <w:rsid w:val="004979BC"/>
    <w:rsid w:val="00497BDE"/>
    <w:rsid w:val="00497CFE"/>
    <w:rsid w:val="004A10EC"/>
    <w:rsid w:val="004A1421"/>
    <w:rsid w:val="004A189B"/>
    <w:rsid w:val="004A2363"/>
    <w:rsid w:val="004A2926"/>
    <w:rsid w:val="004A2D2E"/>
    <w:rsid w:val="004A34A2"/>
    <w:rsid w:val="004A354C"/>
    <w:rsid w:val="004A3894"/>
    <w:rsid w:val="004A3D97"/>
    <w:rsid w:val="004A433F"/>
    <w:rsid w:val="004A46BC"/>
    <w:rsid w:val="004A4700"/>
    <w:rsid w:val="004A4C43"/>
    <w:rsid w:val="004A4E19"/>
    <w:rsid w:val="004A51BA"/>
    <w:rsid w:val="004A5C53"/>
    <w:rsid w:val="004A6140"/>
    <w:rsid w:val="004A615C"/>
    <w:rsid w:val="004A6624"/>
    <w:rsid w:val="004A6C79"/>
    <w:rsid w:val="004A6EDE"/>
    <w:rsid w:val="004A735E"/>
    <w:rsid w:val="004B068D"/>
    <w:rsid w:val="004B0D18"/>
    <w:rsid w:val="004B172B"/>
    <w:rsid w:val="004B1B63"/>
    <w:rsid w:val="004B1D70"/>
    <w:rsid w:val="004B2760"/>
    <w:rsid w:val="004B28C1"/>
    <w:rsid w:val="004B3D75"/>
    <w:rsid w:val="004B404D"/>
    <w:rsid w:val="004B4092"/>
    <w:rsid w:val="004B4D83"/>
    <w:rsid w:val="004B4E51"/>
    <w:rsid w:val="004B4ED8"/>
    <w:rsid w:val="004B5298"/>
    <w:rsid w:val="004B627A"/>
    <w:rsid w:val="004B6967"/>
    <w:rsid w:val="004B6AD7"/>
    <w:rsid w:val="004B6C45"/>
    <w:rsid w:val="004B6DC8"/>
    <w:rsid w:val="004B6EE9"/>
    <w:rsid w:val="004B729E"/>
    <w:rsid w:val="004B7439"/>
    <w:rsid w:val="004C03AA"/>
    <w:rsid w:val="004C0F0F"/>
    <w:rsid w:val="004C1DC9"/>
    <w:rsid w:val="004C1EEF"/>
    <w:rsid w:val="004C2DF4"/>
    <w:rsid w:val="004C3687"/>
    <w:rsid w:val="004C4266"/>
    <w:rsid w:val="004C4609"/>
    <w:rsid w:val="004C4F1F"/>
    <w:rsid w:val="004C51E1"/>
    <w:rsid w:val="004C5758"/>
    <w:rsid w:val="004C6392"/>
    <w:rsid w:val="004C6B6C"/>
    <w:rsid w:val="004C6D17"/>
    <w:rsid w:val="004C7334"/>
    <w:rsid w:val="004C77EA"/>
    <w:rsid w:val="004D05AF"/>
    <w:rsid w:val="004D0F36"/>
    <w:rsid w:val="004D0F98"/>
    <w:rsid w:val="004D146B"/>
    <w:rsid w:val="004D1778"/>
    <w:rsid w:val="004D1CA3"/>
    <w:rsid w:val="004D2169"/>
    <w:rsid w:val="004D22AD"/>
    <w:rsid w:val="004D301E"/>
    <w:rsid w:val="004D3717"/>
    <w:rsid w:val="004D405F"/>
    <w:rsid w:val="004D5187"/>
    <w:rsid w:val="004D5423"/>
    <w:rsid w:val="004D5CBD"/>
    <w:rsid w:val="004D6165"/>
    <w:rsid w:val="004D63EF"/>
    <w:rsid w:val="004D64C4"/>
    <w:rsid w:val="004D6709"/>
    <w:rsid w:val="004D6840"/>
    <w:rsid w:val="004D7A56"/>
    <w:rsid w:val="004D7DC5"/>
    <w:rsid w:val="004E00E3"/>
    <w:rsid w:val="004E0E86"/>
    <w:rsid w:val="004E16E7"/>
    <w:rsid w:val="004E2130"/>
    <w:rsid w:val="004E229E"/>
    <w:rsid w:val="004E2360"/>
    <w:rsid w:val="004E2390"/>
    <w:rsid w:val="004E2FFA"/>
    <w:rsid w:val="004E3815"/>
    <w:rsid w:val="004E3905"/>
    <w:rsid w:val="004E3AF9"/>
    <w:rsid w:val="004E3C11"/>
    <w:rsid w:val="004E4041"/>
    <w:rsid w:val="004E40A2"/>
    <w:rsid w:val="004E483A"/>
    <w:rsid w:val="004E6A0C"/>
    <w:rsid w:val="004E6B8E"/>
    <w:rsid w:val="004E7184"/>
    <w:rsid w:val="004E76A2"/>
    <w:rsid w:val="004F0DB0"/>
    <w:rsid w:val="004F1615"/>
    <w:rsid w:val="004F1641"/>
    <w:rsid w:val="004F16E8"/>
    <w:rsid w:val="004F17DE"/>
    <w:rsid w:val="004F252B"/>
    <w:rsid w:val="004F46F8"/>
    <w:rsid w:val="004F4AEC"/>
    <w:rsid w:val="004F59CB"/>
    <w:rsid w:val="004F61D5"/>
    <w:rsid w:val="004F6459"/>
    <w:rsid w:val="004F6597"/>
    <w:rsid w:val="004F6AD7"/>
    <w:rsid w:val="004F6C42"/>
    <w:rsid w:val="004F7A0B"/>
    <w:rsid w:val="004F7E9B"/>
    <w:rsid w:val="004F7FEF"/>
    <w:rsid w:val="00500AF7"/>
    <w:rsid w:val="00501A71"/>
    <w:rsid w:val="00501EFC"/>
    <w:rsid w:val="0050201D"/>
    <w:rsid w:val="00502BB7"/>
    <w:rsid w:val="00502EE9"/>
    <w:rsid w:val="00503038"/>
    <w:rsid w:val="00503E81"/>
    <w:rsid w:val="005045A7"/>
    <w:rsid w:val="0050483A"/>
    <w:rsid w:val="005049DB"/>
    <w:rsid w:val="00504AB9"/>
    <w:rsid w:val="005052ED"/>
    <w:rsid w:val="00505F83"/>
    <w:rsid w:val="0050634C"/>
    <w:rsid w:val="0050692A"/>
    <w:rsid w:val="00506991"/>
    <w:rsid w:val="00506CF7"/>
    <w:rsid w:val="005070FD"/>
    <w:rsid w:val="00507366"/>
    <w:rsid w:val="00507E61"/>
    <w:rsid w:val="00510158"/>
    <w:rsid w:val="0051160F"/>
    <w:rsid w:val="00511C70"/>
    <w:rsid w:val="00511E67"/>
    <w:rsid w:val="00512179"/>
    <w:rsid w:val="005125E9"/>
    <w:rsid w:val="0051343F"/>
    <w:rsid w:val="005135D6"/>
    <w:rsid w:val="00513D1E"/>
    <w:rsid w:val="00513E17"/>
    <w:rsid w:val="005140D9"/>
    <w:rsid w:val="005145F5"/>
    <w:rsid w:val="005176F0"/>
    <w:rsid w:val="0051783C"/>
    <w:rsid w:val="00517BE1"/>
    <w:rsid w:val="00520504"/>
    <w:rsid w:val="00521092"/>
    <w:rsid w:val="00521DE3"/>
    <w:rsid w:val="00521E79"/>
    <w:rsid w:val="00521F39"/>
    <w:rsid w:val="005220C5"/>
    <w:rsid w:val="00522A43"/>
    <w:rsid w:val="00522BB5"/>
    <w:rsid w:val="00523033"/>
    <w:rsid w:val="00523149"/>
    <w:rsid w:val="005233B3"/>
    <w:rsid w:val="0052398C"/>
    <w:rsid w:val="005241D5"/>
    <w:rsid w:val="005246B5"/>
    <w:rsid w:val="00524735"/>
    <w:rsid w:val="00524841"/>
    <w:rsid w:val="005252C3"/>
    <w:rsid w:val="0052533C"/>
    <w:rsid w:val="00525FB2"/>
    <w:rsid w:val="005260B1"/>
    <w:rsid w:val="0052617E"/>
    <w:rsid w:val="0052670A"/>
    <w:rsid w:val="00526BA9"/>
    <w:rsid w:val="005271BD"/>
    <w:rsid w:val="00527B03"/>
    <w:rsid w:val="00527D9E"/>
    <w:rsid w:val="005302E3"/>
    <w:rsid w:val="00531EAA"/>
    <w:rsid w:val="005326C0"/>
    <w:rsid w:val="00532850"/>
    <w:rsid w:val="0053287B"/>
    <w:rsid w:val="0053316B"/>
    <w:rsid w:val="00533206"/>
    <w:rsid w:val="005333E2"/>
    <w:rsid w:val="0053389D"/>
    <w:rsid w:val="005338FC"/>
    <w:rsid w:val="00533D8A"/>
    <w:rsid w:val="005341B7"/>
    <w:rsid w:val="0053439B"/>
    <w:rsid w:val="005350CB"/>
    <w:rsid w:val="005352C0"/>
    <w:rsid w:val="0053654B"/>
    <w:rsid w:val="00536DCC"/>
    <w:rsid w:val="0053720C"/>
    <w:rsid w:val="00540934"/>
    <w:rsid w:val="00541655"/>
    <w:rsid w:val="005418C6"/>
    <w:rsid w:val="005418FF"/>
    <w:rsid w:val="00541B82"/>
    <w:rsid w:val="00541C3B"/>
    <w:rsid w:val="00541C57"/>
    <w:rsid w:val="00541DC4"/>
    <w:rsid w:val="00541E4F"/>
    <w:rsid w:val="00541F7E"/>
    <w:rsid w:val="005427A5"/>
    <w:rsid w:val="00543150"/>
    <w:rsid w:val="00543E4F"/>
    <w:rsid w:val="0054407E"/>
    <w:rsid w:val="0054442F"/>
    <w:rsid w:val="00544522"/>
    <w:rsid w:val="00544E50"/>
    <w:rsid w:val="00544F2F"/>
    <w:rsid w:val="00545B3B"/>
    <w:rsid w:val="00545C9B"/>
    <w:rsid w:val="005465B7"/>
    <w:rsid w:val="00546E83"/>
    <w:rsid w:val="0055001D"/>
    <w:rsid w:val="00550857"/>
    <w:rsid w:val="005508F6"/>
    <w:rsid w:val="00550E97"/>
    <w:rsid w:val="00551921"/>
    <w:rsid w:val="00551E6F"/>
    <w:rsid w:val="00553881"/>
    <w:rsid w:val="00554415"/>
    <w:rsid w:val="0055441E"/>
    <w:rsid w:val="00554AC3"/>
    <w:rsid w:val="00554D1E"/>
    <w:rsid w:val="00555397"/>
    <w:rsid w:val="00555611"/>
    <w:rsid w:val="00555A84"/>
    <w:rsid w:val="00555BB1"/>
    <w:rsid w:val="0055664B"/>
    <w:rsid w:val="005578CB"/>
    <w:rsid w:val="00557A65"/>
    <w:rsid w:val="00557B65"/>
    <w:rsid w:val="00561184"/>
    <w:rsid w:val="005612FD"/>
    <w:rsid w:val="00561B34"/>
    <w:rsid w:val="0056229D"/>
    <w:rsid w:val="005628B0"/>
    <w:rsid w:val="00562A32"/>
    <w:rsid w:val="00563E24"/>
    <w:rsid w:val="00564089"/>
    <w:rsid w:val="005641C4"/>
    <w:rsid w:val="0056461F"/>
    <w:rsid w:val="0056494F"/>
    <w:rsid w:val="005649D7"/>
    <w:rsid w:val="00564E7F"/>
    <w:rsid w:val="00564F70"/>
    <w:rsid w:val="005656DD"/>
    <w:rsid w:val="005660DC"/>
    <w:rsid w:val="00566169"/>
    <w:rsid w:val="0056665E"/>
    <w:rsid w:val="005669CC"/>
    <w:rsid w:val="00566C09"/>
    <w:rsid w:val="00567BF4"/>
    <w:rsid w:val="0057053F"/>
    <w:rsid w:val="00570687"/>
    <w:rsid w:val="00570BCF"/>
    <w:rsid w:val="005713C0"/>
    <w:rsid w:val="005713CB"/>
    <w:rsid w:val="00571454"/>
    <w:rsid w:val="00571505"/>
    <w:rsid w:val="00571AC6"/>
    <w:rsid w:val="00571D64"/>
    <w:rsid w:val="005720A9"/>
    <w:rsid w:val="0057238A"/>
    <w:rsid w:val="005728F8"/>
    <w:rsid w:val="0057292A"/>
    <w:rsid w:val="00572DA3"/>
    <w:rsid w:val="00573142"/>
    <w:rsid w:val="0057343F"/>
    <w:rsid w:val="005735A8"/>
    <w:rsid w:val="005735C0"/>
    <w:rsid w:val="00573DCD"/>
    <w:rsid w:val="00573F96"/>
    <w:rsid w:val="00574304"/>
    <w:rsid w:val="0057437E"/>
    <w:rsid w:val="005745F3"/>
    <w:rsid w:val="005748F8"/>
    <w:rsid w:val="00574D1F"/>
    <w:rsid w:val="005750B1"/>
    <w:rsid w:val="00575292"/>
    <w:rsid w:val="00575640"/>
    <w:rsid w:val="00575BE8"/>
    <w:rsid w:val="005762A0"/>
    <w:rsid w:val="00577523"/>
    <w:rsid w:val="005777CE"/>
    <w:rsid w:val="00577DDF"/>
    <w:rsid w:val="0058000B"/>
    <w:rsid w:val="0058060E"/>
    <w:rsid w:val="005819A7"/>
    <w:rsid w:val="005819F6"/>
    <w:rsid w:val="0058305B"/>
    <w:rsid w:val="00584A51"/>
    <w:rsid w:val="0058534A"/>
    <w:rsid w:val="00585436"/>
    <w:rsid w:val="0058551F"/>
    <w:rsid w:val="00585EED"/>
    <w:rsid w:val="00586B0B"/>
    <w:rsid w:val="00587666"/>
    <w:rsid w:val="0058772C"/>
    <w:rsid w:val="0059037F"/>
    <w:rsid w:val="00590422"/>
    <w:rsid w:val="005908ED"/>
    <w:rsid w:val="005909A6"/>
    <w:rsid w:val="00590EB8"/>
    <w:rsid w:val="005914FE"/>
    <w:rsid w:val="00592550"/>
    <w:rsid w:val="005925ED"/>
    <w:rsid w:val="00592A2F"/>
    <w:rsid w:val="00593C65"/>
    <w:rsid w:val="0059411F"/>
    <w:rsid w:val="0059440D"/>
    <w:rsid w:val="0059580A"/>
    <w:rsid w:val="00595813"/>
    <w:rsid w:val="00596076"/>
    <w:rsid w:val="00596D59"/>
    <w:rsid w:val="00596E0F"/>
    <w:rsid w:val="00596E7B"/>
    <w:rsid w:val="00597AB5"/>
    <w:rsid w:val="00597B73"/>
    <w:rsid w:val="00597C19"/>
    <w:rsid w:val="00597F5F"/>
    <w:rsid w:val="005A0326"/>
    <w:rsid w:val="005A05F2"/>
    <w:rsid w:val="005A0AA0"/>
    <w:rsid w:val="005A0D0C"/>
    <w:rsid w:val="005A13F0"/>
    <w:rsid w:val="005A1AAF"/>
    <w:rsid w:val="005A1B32"/>
    <w:rsid w:val="005A1C9E"/>
    <w:rsid w:val="005A23FC"/>
    <w:rsid w:val="005A26BA"/>
    <w:rsid w:val="005A2BC6"/>
    <w:rsid w:val="005A2C33"/>
    <w:rsid w:val="005A2E49"/>
    <w:rsid w:val="005A2EF6"/>
    <w:rsid w:val="005A2EF8"/>
    <w:rsid w:val="005A31E5"/>
    <w:rsid w:val="005A496E"/>
    <w:rsid w:val="005A52C7"/>
    <w:rsid w:val="005A5D53"/>
    <w:rsid w:val="005A709B"/>
    <w:rsid w:val="005A7A52"/>
    <w:rsid w:val="005A7A97"/>
    <w:rsid w:val="005B00B0"/>
    <w:rsid w:val="005B03A8"/>
    <w:rsid w:val="005B0759"/>
    <w:rsid w:val="005B11EA"/>
    <w:rsid w:val="005B1A44"/>
    <w:rsid w:val="005B1B3E"/>
    <w:rsid w:val="005B22F1"/>
    <w:rsid w:val="005B2B65"/>
    <w:rsid w:val="005B346F"/>
    <w:rsid w:val="005B3631"/>
    <w:rsid w:val="005B3E3A"/>
    <w:rsid w:val="005B4799"/>
    <w:rsid w:val="005B4E3E"/>
    <w:rsid w:val="005B58F0"/>
    <w:rsid w:val="005B5EF8"/>
    <w:rsid w:val="005B6227"/>
    <w:rsid w:val="005B6F7C"/>
    <w:rsid w:val="005B770B"/>
    <w:rsid w:val="005B7ABB"/>
    <w:rsid w:val="005C0C55"/>
    <w:rsid w:val="005C0D8B"/>
    <w:rsid w:val="005C0EB5"/>
    <w:rsid w:val="005C1963"/>
    <w:rsid w:val="005C1CFA"/>
    <w:rsid w:val="005C20E1"/>
    <w:rsid w:val="005C312B"/>
    <w:rsid w:val="005C38FE"/>
    <w:rsid w:val="005C3D7A"/>
    <w:rsid w:val="005C3F75"/>
    <w:rsid w:val="005C4063"/>
    <w:rsid w:val="005C415F"/>
    <w:rsid w:val="005C563D"/>
    <w:rsid w:val="005C59C1"/>
    <w:rsid w:val="005C5A54"/>
    <w:rsid w:val="005C5D45"/>
    <w:rsid w:val="005C63C7"/>
    <w:rsid w:val="005C6728"/>
    <w:rsid w:val="005C6773"/>
    <w:rsid w:val="005C7CE2"/>
    <w:rsid w:val="005D13A3"/>
    <w:rsid w:val="005D163B"/>
    <w:rsid w:val="005D17C6"/>
    <w:rsid w:val="005D242B"/>
    <w:rsid w:val="005D243C"/>
    <w:rsid w:val="005D2B4E"/>
    <w:rsid w:val="005D3347"/>
    <w:rsid w:val="005D4485"/>
    <w:rsid w:val="005D4D6A"/>
    <w:rsid w:val="005D5B87"/>
    <w:rsid w:val="005D67B9"/>
    <w:rsid w:val="005D6D6C"/>
    <w:rsid w:val="005D74B2"/>
    <w:rsid w:val="005E000E"/>
    <w:rsid w:val="005E0049"/>
    <w:rsid w:val="005E03E1"/>
    <w:rsid w:val="005E0C93"/>
    <w:rsid w:val="005E0F8C"/>
    <w:rsid w:val="005E10F5"/>
    <w:rsid w:val="005E1973"/>
    <w:rsid w:val="005E1D61"/>
    <w:rsid w:val="005E1EDF"/>
    <w:rsid w:val="005E220D"/>
    <w:rsid w:val="005E267F"/>
    <w:rsid w:val="005E2C77"/>
    <w:rsid w:val="005E509F"/>
    <w:rsid w:val="005E50CC"/>
    <w:rsid w:val="005E520F"/>
    <w:rsid w:val="005E5724"/>
    <w:rsid w:val="005E5C86"/>
    <w:rsid w:val="005E7FAE"/>
    <w:rsid w:val="005F07F1"/>
    <w:rsid w:val="005F0883"/>
    <w:rsid w:val="005F0AB8"/>
    <w:rsid w:val="005F0ACA"/>
    <w:rsid w:val="005F1001"/>
    <w:rsid w:val="005F22B1"/>
    <w:rsid w:val="005F33C7"/>
    <w:rsid w:val="005F3A3C"/>
    <w:rsid w:val="005F3BCA"/>
    <w:rsid w:val="005F3BDB"/>
    <w:rsid w:val="005F428A"/>
    <w:rsid w:val="005F538F"/>
    <w:rsid w:val="005F5E00"/>
    <w:rsid w:val="005F64AE"/>
    <w:rsid w:val="005F6756"/>
    <w:rsid w:val="005F700B"/>
    <w:rsid w:val="005F7513"/>
    <w:rsid w:val="005F77C3"/>
    <w:rsid w:val="005F7889"/>
    <w:rsid w:val="005F7A9D"/>
    <w:rsid w:val="005F7F4D"/>
    <w:rsid w:val="0060033D"/>
    <w:rsid w:val="0060117E"/>
    <w:rsid w:val="0060125B"/>
    <w:rsid w:val="00601E7C"/>
    <w:rsid w:val="00601F6B"/>
    <w:rsid w:val="00602AC6"/>
    <w:rsid w:val="006034B3"/>
    <w:rsid w:val="0060369B"/>
    <w:rsid w:val="00603CFF"/>
    <w:rsid w:val="00604486"/>
    <w:rsid w:val="00604C2F"/>
    <w:rsid w:val="00605117"/>
    <w:rsid w:val="006054C1"/>
    <w:rsid w:val="006054E6"/>
    <w:rsid w:val="0060656D"/>
    <w:rsid w:val="0060694D"/>
    <w:rsid w:val="00606A83"/>
    <w:rsid w:val="0060738D"/>
    <w:rsid w:val="006074F4"/>
    <w:rsid w:val="00610602"/>
    <w:rsid w:val="00610A2A"/>
    <w:rsid w:val="00610D3A"/>
    <w:rsid w:val="006111C3"/>
    <w:rsid w:val="006113DA"/>
    <w:rsid w:val="00611AB5"/>
    <w:rsid w:val="00611DBA"/>
    <w:rsid w:val="00611FB9"/>
    <w:rsid w:val="00612061"/>
    <w:rsid w:val="006121BD"/>
    <w:rsid w:val="00612238"/>
    <w:rsid w:val="006127CD"/>
    <w:rsid w:val="0061286B"/>
    <w:rsid w:val="00612EA1"/>
    <w:rsid w:val="00612F69"/>
    <w:rsid w:val="0061357A"/>
    <w:rsid w:val="006147E0"/>
    <w:rsid w:val="00614E42"/>
    <w:rsid w:val="00615B8D"/>
    <w:rsid w:val="00616292"/>
    <w:rsid w:val="0061713C"/>
    <w:rsid w:val="0062035D"/>
    <w:rsid w:val="006208D7"/>
    <w:rsid w:val="0062172F"/>
    <w:rsid w:val="00621A3D"/>
    <w:rsid w:val="00621A77"/>
    <w:rsid w:val="006224CA"/>
    <w:rsid w:val="00622E69"/>
    <w:rsid w:val="00623409"/>
    <w:rsid w:val="00623562"/>
    <w:rsid w:val="00624262"/>
    <w:rsid w:val="00624732"/>
    <w:rsid w:val="00625301"/>
    <w:rsid w:val="00625EDC"/>
    <w:rsid w:val="00625FD1"/>
    <w:rsid w:val="00627292"/>
    <w:rsid w:val="00627555"/>
    <w:rsid w:val="00627917"/>
    <w:rsid w:val="006304B1"/>
    <w:rsid w:val="0063061B"/>
    <w:rsid w:val="00630EA8"/>
    <w:rsid w:val="00631E92"/>
    <w:rsid w:val="00632F8B"/>
    <w:rsid w:val="00633388"/>
    <w:rsid w:val="00633496"/>
    <w:rsid w:val="00633F88"/>
    <w:rsid w:val="006342F9"/>
    <w:rsid w:val="00635060"/>
    <w:rsid w:val="0063585A"/>
    <w:rsid w:val="00635B83"/>
    <w:rsid w:val="00636B15"/>
    <w:rsid w:val="00636B9F"/>
    <w:rsid w:val="006370A6"/>
    <w:rsid w:val="00637397"/>
    <w:rsid w:val="00637DDB"/>
    <w:rsid w:val="00640221"/>
    <w:rsid w:val="0064033C"/>
    <w:rsid w:val="00640B47"/>
    <w:rsid w:val="0064131F"/>
    <w:rsid w:val="00641423"/>
    <w:rsid w:val="006415CB"/>
    <w:rsid w:val="006417D6"/>
    <w:rsid w:val="00641EE5"/>
    <w:rsid w:val="006422D5"/>
    <w:rsid w:val="0064244B"/>
    <w:rsid w:val="00643129"/>
    <w:rsid w:val="0064457A"/>
    <w:rsid w:val="0064487F"/>
    <w:rsid w:val="00644F52"/>
    <w:rsid w:val="0064501E"/>
    <w:rsid w:val="006456FC"/>
    <w:rsid w:val="00645B40"/>
    <w:rsid w:val="00645DE8"/>
    <w:rsid w:val="00645F38"/>
    <w:rsid w:val="0064632B"/>
    <w:rsid w:val="00646AA8"/>
    <w:rsid w:val="006470E7"/>
    <w:rsid w:val="006476AE"/>
    <w:rsid w:val="00650D7C"/>
    <w:rsid w:val="00650D91"/>
    <w:rsid w:val="00650F79"/>
    <w:rsid w:val="00651390"/>
    <w:rsid w:val="00651CD3"/>
    <w:rsid w:val="00651F98"/>
    <w:rsid w:val="00652D24"/>
    <w:rsid w:val="00652F5E"/>
    <w:rsid w:val="00653268"/>
    <w:rsid w:val="00653289"/>
    <w:rsid w:val="00654F34"/>
    <w:rsid w:val="0065515A"/>
    <w:rsid w:val="00655301"/>
    <w:rsid w:val="00655A6E"/>
    <w:rsid w:val="00656E57"/>
    <w:rsid w:val="006574C0"/>
    <w:rsid w:val="00657644"/>
    <w:rsid w:val="0066007A"/>
    <w:rsid w:val="006606AF"/>
    <w:rsid w:val="006612DC"/>
    <w:rsid w:val="00661522"/>
    <w:rsid w:val="00661E39"/>
    <w:rsid w:val="00661F71"/>
    <w:rsid w:val="006624D9"/>
    <w:rsid w:val="006624E8"/>
    <w:rsid w:val="00662A98"/>
    <w:rsid w:val="0066381F"/>
    <w:rsid w:val="00663BB6"/>
    <w:rsid w:val="00663E16"/>
    <w:rsid w:val="0066445B"/>
    <w:rsid w:val="006646F2"/>
    <w:rsid w:val="006650F2"/>
    <w:rsid w:val="0066538E"/>
    <w:rsid w:val="006655FF"/>
    <w:rsid w:val="00665BE3"/>
    <w:rsid w:val="00665C4C"/>
    <w:rsid w:val="00666137"/>
    <w:rsid w:val="00666578"/>
    <w:rsid w:val="0066685A"/>
    <w:rsid w:val="006670A8"/>
    <w:rsid w:val="00667950"/>
    <w:rsid w:val="00670227"/>
    <w:rsid w:val="00670329"/>
    <w:rsid w:val="006708AE"/>
    <w:rsid w:val="006708CA"/>
    <w:rsid w:val="00670A06"/>
    <w:rsid w:val="00670FDB"/>
    <w:rsid w:val="006716AA"/>
    <w:rsid w:val="0067298F"/>
    <w:rsid w:val="00672AD3"/>
    <w:rsid w:val="006732A7"/>
    <w:rsid w:val="00673355"/>
    <w:rsid w:val="006737B5"/>
    <w:rsid w:val="00673EFB"/>
    <w:rsid w:val="00673F53"/>
    <w:rsid w:val="006742DF"/>
    <w:rsid w:val="00674C7A"/>
    <w:rsid w:val="00674F4F"/>
    <w:rsid w:val="006757F2"/>
    <w:rsid w:val="00675895"/>
    <w:rsid w:val="00675FDE"/>
    <w:rsid w:val="006764B4"/>
    <w:rsid w:val="00676C02"/>
    <w:rsid w:val="00680054"/>
    <w:rsid w:val="00680341"/>
    <w:rsid w:val="00680B87"/>
    <w:rsid w:val="00680D84"/>
    <w:rsid w:val="00680FDF"/>
    <w:rsid w:val="00681024"/>
    <w:rsid w:val="00682D64"/>
    <w:rsid w:val="00683B10"/>
    <w:rsid w:val="00683DA3"/>
    <w:rsid w:val="00683FAA"/>
    <w:rsid w:val="006846A6"/>
    <w:rsid w:val="006850A5"/>
    <w:rsid w:val="006851DF"/>
    <w:rsid w:val="00685578"/>
    <w:rsid w:val="006857FE"/>
    <w:rsid w:val="006859C5"/>
    <w:rsid w:val="006865A6"/>
    <w:rsid w:val="00686845"/>
    <w:rsid w:val="006870D7"/>
    <w:rsid w:val="006877C1"/>
    <w:rsid w:val="00687959"/>
    <w:rsid w:val="006901DC"/>
    <w:rsid w:val="00690912"/>
    <w:rsid w:val="00690B26"/>
    <w:rsid w:val="00690E8B"/>
    <w:rsid w:val="00691DB0"/>
    <w:rsid w:val="006921E8"/>
    <w:rsid w:val="00692212"/>
    <w:rsid w:val="00692675"/>
    <w:rsid w:val="0069296F"/>
    <w:rsid w:val="00692A9F"/>
    <w:rsid w:val="006935EE"/>
    <w:rsid w:val="006936E8"/>
    <w:rsid w:val="00693855"/>
    <w:rsid w:val="00693BEB"/>
    <w:rsid w:val="00693F45"/>
    <w:rsid w:val="00694639"/>
    <w:rsid w:val="00694A38"/>
    <w:rsid w:val="00695CDD"/>
    <w:rsid w:val="00695EED"/>
    <w:rsid w:val="00695F50"/>
    <w:rsid w:val="006963F1"/>
    <w:rsid w:val="006976B7"/>
    <w:rsid w:val="00697B1D"/>
    <w:rsid w:val="00697D2B"/>
    <w:rsid w:val="006A024D"/>
    <w:rsid w:val="006A0466"/>
    <w:rsid w:val="006A04E8"/>
    <w:rsid w:val="006A168B"/>
    <w:rsid w:val="006A2559"/>
    <w:rsid w:val="006A2A2E"/>
    <w:rsid w:val="006A2CDC"/>
    <w:rsid w:val="006A3093"/>
    <w:rsid w:val="006A37FA"/>
    <w:rsid w:val="006A4340"/>
    <w:rsid w:val="006A504F"/>
    <w:rsid w:val="006A5107"/>
    <w:rsid w:val="006A5D9B"/>
    <w:rsid w:val="006A5DFA"/>
    <w:rsid w:val="006A5F5F"/>
    <w:rsid w:val="006A64BA"/>
    <w:rsid w:val="006A6560"/>
    <w:rsid w:val="006A6634"/>
    <w:rsid w:val="006A6AD5"/>
    <w:rsid w:val="006A6B2D"/>
    <w:rsid w:val="006A6D8A"/>
    <w:rsid w:val="006A6D91"/>
    <w:rsid w:val="006A712D"/>
    <w:rsid w:val="006A74B1"/>
    <w:rsid w:val="006A7CF5"/>
    <w:rsid w:val="006B0212"/>
    <w:rsid w:val="006B0C13"/>
    <w:rsid w:val="006B0F7B"/>
    <w:rsid w:val="006B115A"/>
    <w:rsid w:val="006B176B"/>
    <w:rsid w:val="006B1D41"/>
    <w:rsid w:val="006B1FD6"/>
    <w:rsid w:val="006B2789"/>
    <w:rsid w:val="006B32EB"/>
    <w:rsid w:val="006B3694"/>
    <w:rsid w:val="006B4300"/>
    <w:rsid w:val="006B45B4"/>
    <w:rsid w:val="006B491A"/>
    <w:rsid w:val="006B4C27"/>
    <w:rsid w:val="006B525F"/>
    <w:rsid w:val="006B5308"/>
    <w:rsid w:val="006B574E"/>
    <w:rsid w:val="006B5F08"/>
    <w:rsid w:val="006B5FB2"/>
    <w:rsid w:val="006B6015"/>
    <w:rsid w:val="006B6744"/>
    <w:rsid w:val="006B6D44"/>
    <w:rsid w:val="006B7981"/>
    <w:rsid w:val="006B7F65"/>
    <w:rsid w:val="006C0429"/>
    <w:rsid w:val="006C0863"/>
    <w:rsid w:val="006C18F4"/>
    <w:rsid w:val="006C1B31"/>
    <w:rsid w:val="006C21CA"/>
    <w:rsid w:val="006C22F5"/>
    <w:rsid w:val="006C24CE"/>
    <w:rsid w:val="006C302E"/>
    <w:rsid w:val="006C32AD"/>
    <w:rsid w:val="006C3662"/>
    <w:rsid w:val="006C491A"/>
    <w:rsid w:val="006C526E"/>
    <w:rsid w:val="006C56F0"/>
    <w:rsid w:val="006C599F"/>
    <w:rsid w:val="006C59C8"/>
    <w:rsid w:val="006C6573"/>
    <w:rsid w:val="006C6839"/>
    <w:rsid w:val="006C6D73"/>
    <w:rsid w:val="006C71DA"/>
    <w:rsid w:val="006C76FA"/>
    <w:rsid w:val="006C7BCE"/>
    <w:rsid w:val="006C7DA7"/>
    <w:rsid w:val="006D0001"/>
    <w:rsid w:val="006D00C5"/>
    <w:rsid w:val="006D0B13"/>
    <w:rsid w:val="006D1D5F"/>
    <w:rsid w:val="006D3CF6"/>
    <w:rsid w:val="006D49B2"/>
    <w:rsid w:val="006D4D55"/>
    <w:rsid w:val="006D5745"/>
    <w:rsid w:val="006D5C8B"/>
    <w:rsid w:val="006D5CE8"/>
    <w:rsid w:val="006D6745"/>
    <w:rsid w:val="006D6DDA"/>
    <w:rsid w:val="006E06B7"/>
    <w:rsid w:val="006E0A11"/>
    <w:rsid w:val="006E109B"/>
    <w:rsid w:val="006E1763"/>
    <w:rsid w:val="006E1D58"/>
    <w:rsid w:val="006E3474"/>
    <w:rsid w:val="006E416C"/>
    <w:rsid w:val="006E426D"/>
    <w:rsid w:val="006E48C2"/>
    <w:rsid w:val="006E4948"/>
    <w:rsid w:val="006E4989"/>
    <w:rsid w:val="006E4C64"/>
    <w:rsid w:val="006E527E"/>
    <w:rsid w:val="006E5895"/>
    <w:rsid w:val="006E59D9"/>
    <w:rsid w:val="006E7FFB"/>
    <w:rsid w:val="006F0271"/>
    <w:rsid w:val="006F046E"/>
    <w:rsid w:val="006F0BA9"/>
    <w:rsid w:val="006F1DCA"/>
    <w:rsid w:val="006F1E5F"/>
    <w:rsid w:val="006F2097"/>
    <w:rsid w:val="006F2536"/>
    <w:rsid w:val="006F2758"/>
    <w:rsid w:val="006F339B"/>
    <w:rsid w:val="006F4B0D"/>
    <w:rsid w:val="006F511B"/>
    <w:rsid w:val="006F590B"/>
    <w:rsid w:val="006F5AF1"/>
    <w:rsid w:val="006F5D27"/>
    <w:rsid w:val="006F6B2C"/>
    <w:rsid w:val="006F70D1"/>
    <w:rsid w:val="006F7177"/>
    <w:rsid w:val="006F7A4C"/>
    <w:rsid w:val="006F7CB9"/>
    <w:rsid w:val="006F7EB5"/>
    <w:rsid w:val="0070001B"/>
    <w:rsid w:val="007000DA"/>
    <w:rsid w:val="00700AA7"/>
    <w:rsid w:val="00702286"/>
    <w:rsid w:val="0070355C"/>
    <w:rsid w:val="0070391E"/>
    <w:rsid w:val="00703D53"/>
    <w:rsid w:val="00704064"/>
    <w:rsid w:val="00704639"/>
    <w:rsid w:val="007051C4"/>
    <w:rsid w:val="00705E35"/>
    <w:rsid w:val="00706351"/>
    <w:rsid w:val="00706447"/>
    <w:rsid w:val="007064EF"/>
    <w:rsid w:val="0070753A"/>
    <w:rsid w:val="0070754E"/>
    <w:rsid w:val="00707760"/>
    <w:rsid w:val="007100CF"/>
    <w:rsid w:val="0071039E"/>
    <w:rsid w:val="00710723"/>
    <w:rsid w:val="00710B76"/>
    <w:rsid w:val="007110D0"/>
    <w:rsid w:val="00711B21"/>
    <w:rsid w:val="00712ABA"/>
    <w:rsid w:val="007136F2"/>
    <w:rsid w:val="00713ABF"/>
    <w:rsid w:val="00713BF6"/>
    <w:rsid w:val="00714164"/>
    <w:rsid w:val="0071423F"/>
    <w:rsid w:val="00714F55"/>
    <w:rsid w:val="00715C6D"/>
    <w:rsid w:val="00715E34"/>
    <w:rsid w:val="007165F0"/>
    <w:rsid w:val="0071729B"/>
    <w:rsid w:val="00717316"/>
    <w:rsid w:val="0071757A"/>
    <w:rsid w:val="007175A9"/>
    <w:rsid w:val="007179C4"/>
    <w:rsid w:val="00717F50"/>
    <w:rsid w:val="007200AD"/>
    <w:rsid w:val="0072138C"/>
    <w:rsid w:val="0072181C"/>
    <w:rsid w:val="00722EA5"/>
    <w:rsid w:val="007231F9"/>
    <w:rsid w:val="00723282"/>
    <w:rsid w:val="00723810"/>
    <w:rsid w:val="00723E7F"/>
    <w:rsid w:val="00724A53"/>
    <w:rsid w:val="00724DBD"/>
    <w:rsid w:val="00724E38"/>
    <w:rsid w:val="0072545B"/>
    <w:rsid w:val="00725663"/>
    <w:rsid w:val="00725751"/>
    <w:rsid w:val="00725BBD"/>
    <w:rsid w:val="0072713C"/>
    <w:rsid w:val="00727641"/>
    <w:rsid w:val="007302E4"/>
    <w:rsid w:val="00730307"/>
    <w:rsid w:val="00730449"/>
    <w:rsid w:val="007305BF"/>
    <w:rsid w:val="007308D0"/>
    <w:rsid w:val="00730DC3"/>
    <w:rsid w:val="007319E2"/>
    <w:rsid w:val="007325D3"/>
    <w:rsid w:val="00732AE6"/>
    <w:rsid w:val="00734C59"/>
    <w:rsid w:val="00734D07"/>
    <w:rsid w:val="00735BEC"/>
    <w:rsid w:val="00735ECC"/>
    <w:rsid w:val="00736578"/>
    <w:rsid w:val="0073664B"/>
    <w:rsid w:val="007369E9"/>
    <w:rsid w:val="007370EA"/>
    <w:rsid w:val="00737243"/>
    <w:rsid w:val="007372A3"/>
    <w:rsid w:val="007373A8"/>
    <w:rsid w:val="00737BF3"/>
    <w:rsid w:val="007408EB"/>
    <w:rsid w:val="007409D2"/>
    <w:rsid w:val="007413DF"/>
    <w:rsid w:val="00741C97"/>
    <w:rsid w:val="00742220"/>
    <w:rsid w:val="00742302"/>
    <w:rsid w:val="007425DD"/>
    <w:rsid w:val="00742A02"/>
    <w:rsid w:val="00742C5F"/>
    <w:rsid w:val="00743151"/>
    <w:rsid w:val="007431CD"/>
    <w:rsid w:val="00743A73"/>
    <w:rsid w:val="007443F3"/>
    <w:rsid w:val="00744FDE"/>
    <w:rsid w:val="0074504A"/>
    <w:rsid w:val="00746067"/>
    <w:rsid w:val="00746616"/>
    <w:rsid w:val="007466D5"/>
    <w:rsid w:val="00746A0F"/>
    <w:rsid w:val="00747121"/>
    <w:rsid w:val="007473C1"/>
    <w:rsid w:val="00747492"/>
    <w:rsid w:val="00747FBE"/>
    <w:rsid w:val="007504E9"/>
    <w:rsid w:val="00750C2C"/>
    <w:rsid w:val="007515E9"/>
    <w:rsid w:val="00752697"/>
    <w:rsid w:val="00752E74"/>
    <w:rsid w:val="00753DEB"/>
    <w:rsid w:val="00754052"/>
    <w:rsid w:val="00755755"/>
    <w:rsid w:val="00755EA8"/>
    <w:rsid w:val="00755F28"/>
    <w:rsid w:val="00756047"/>
    <w:rsid w:val="00756444"/>
    <w:rsid w:val="00756BBC"/>
    <w:rsid w:val="00756CD0"/>
    <w:rsid w:val="00756DAB"/>
    <w:rsid w:val="007573EA"/>
    <w:rsid w:val="00760422"/>
    <w:rsid w:val="00760A5A"/>
    <w:rsid w:val="00760C34"/>
    <w:rsid w:val="00760EA8"/>
    <w:rsid w:val="00760F57"/>
    <w:rsid w:val="00761703"/>
    <w:rsid w:val="007623F0"/>
    <w:rsid w:val="0076243A"/>
    <w:rsid w:val="007625D6"/>
    <w:rsid w:val="00762990"/>
    <w:rsid w:val="007638AC"/>
    <w:rsid w:val="00763FDD"/>
    <w:rsid w:val="0076461F"/>
    <w:rsid w:val="00764CDA"/>
    <w:rsid w:val="00764DD3"/>
    <w:rsid w:val="0076569A"/>
    <w:rsid w:val="0076690A"/>
    <w:rsid w:val="0076795D"/>
    <w:rsid w:val="0077131A"/>
    <w:rsid w:val="00771A8B"/>
    <w:rsid w:val="007733EE"/>
    <w:rsid w:val="00773B8E"/>
    <w:rsid w:val="00774641"/>
    <w:rsid w:val="00774652"/>
    <w:rsid w:val="00774DC0"/>
    <w:rsid w:val="007750E4"/>
    <w:rsid w:val="007752CB"/>
    <w:rsid w:val="00775662"/>
    <w:rsid w:val="007757DA"/>
    <w:rsid w:val="007758FF"/>
    <w:rsid w:val="00775C1C"/>
    <w:rsid w:val="00775E26"/>
    <w:rsid w:val="007763DF"/>
    <w:rsid w:val="00776435"/>
    <w:rsid w:val="007767C9"/>
    <w:rsid w:val="00776A28"/>
    <w:rsid w:val="0077737C"/>
    <w:rsid w:val="00777ACB"/>
    <w:rsid w:val="00781633"/>
    <w:rsid w:val="00781826"/>
    <w:rsid w:val="00781AB4"/>
    <w:rsid w:val="0078248B"/>
    <w:rsid w:val="007836A0"/>
    <w:rsid w:val="00783D94"/>
    <w:rsid w:val="00784375"/>
    <w:rsid w:val="00784E94"/>
    <w:rsid w:val="00785EF8"/>
    <w:rsid w:val="00786B0F"/>
    <w:rsid w:val="00786B6A"/>
    <w:rsid w:val="00786D94"/>
    <w:rsid w:val="007902AA"/>
    <w:rsid w:val="00790A4A"/>
    <w:rsid w:val="007913A4"/>
    <w:rsid w:val="0079160C"/>
    <w:rsid w:val="007919A5"/>
    <w:rsid w:val="00792807"/>
    <w:rsid w:val="0079307E"/>
    <w:rsid w:val="00793C96"/>
    <w:rsid w:val="00793FB4"/>
    <w:rsid w:val="00794380"/>
    <w:rsid w:val="007955E0"/>
    <w:rsid w:val="00795C48"/>
    <w:rsid w:val="00795C8D"/>
    <w:rsid w:val="00796450"/>
    <w:rsid w:val="00796861"/>
    <w:rsid w:val="0079698F"/>
    <w:rsid w:val="00796B78"/>
    <w:rsid w:val="00797AA4"/>
    <w:rsid w:val="007A02AA"/>
    <w:rsid w:val="007A0559"/>
    <w:rsid w:val="007A1551"/>
    <w:rsid w:val="007A2143"/>
    <w:rsid w:val="007A21FF"/>
    <w:rsid w:val="007A255F"/>
    <w:rsid w:val="007A3D21"/>
    <w:rsid w:val="007A4839"/>
    <w:rsid w:val="007A4B13"/>
    <w:rsid w:val="007A4D62"/>
    <w:rsid w:val="007A590B"/>
    <w:rsid w:val="007A5BE3"/>
    <w:rsid w:val="007A5E61"/>
    <w:rsid w:val="007A659B"/>
    <w:rsid w:val="007A66E3"/>
    <w:rsid w:val="007A6AA7"/>
    <w:rsid w:val="007A6ECC"/>
    <w:rsid w:val="007A7108"/>
    <w:rsid w:val="007A7B6A"/>
    <w:rsid w:val="007B0623"/>
    <w:rsid w:val="007B0B7C"/>
    <w:rsid w:val="007B0EF9"/>
    <w:rsid w:val="007B19FC"/>
    <w:rsid w:val="007B1F33"/>
    <w:rsid w:val="007B24C1"/>
    <w:rsid w:val="007B27AE"/>
    <w:rsid w:val="007B2FCA"/>
    <w:rsid w:val="007B3A46"/>
    <w:rsid w:val="007B4BA1"/>
    <w:rsid w:val="007B4D87"/>
    <w:rsid w:val="007B5871"/>
    <w:rsid w:val="007B58BB"/>
    <w:rsid w:val="007B5F39"/>
    <w:rsid w:val="007B6685"/>
    <w:rsid w:val="007B6F82"/>
    <w:rsid w:val="007B73EF"/>
    <w:rsid w:val="007B7D0A"/>
    <w:rsid w:val="007C0D01"/>
    <w:rsid w:val="007C184E"/>
    <w:rsid w:val="007C18E9"/>
    <w:rsid w:val="007C1FA6"/>
    <w:rsid w:val="007C2788"/>
    <w:rsid w:val="007C2796"/>
    <w:rsid w:val="007C27C9"/>
    <w:rsid w:val="007C2B93"/>
    <w:rsid w:val="007C326B"/>
    <w:rsid w:val="007C3498"/>
    <w:rsid w:val="007C3555"/>
    <w:rsid w:val="007C4883"/>
    <w:rsid w:val="007C4C6A"/>
    <w:rsid w:val="007C4DAC"/>
    <w:rsid w:val="007C4DC0"/>
    <w:rsid w:val="007C514F"/>
    <w:rsid w:val="007C5B91"/>
    <w:rsid w:val="007C6849"/>
    <w:rsid w:val="007C686F"/>
    <w:rsid w:val="007C6D5D"/>
    <w:rsid w:val="007C7815"/>
    <w:rsid w:val="007C7C73"/>
    <w:rsid w:val="007D0350"/>
    <w:rsid w:val="007D0898"/>
    <w:rsid w:val="007D091B"/>
    <w:rsid w:val="007D2A6F"/>
    <w:rsid w:val="007D2B3A"/>
    <w:rsid w:val="007D2EE2"/>
    <w:rsid w:val="007D3036"/>
    <w:rsid w:val="007D3199"/>
    <w:rsid w:val="007D3249"/>
    <w:rsid w:val="007D3735"/>
    <w:rsid w:val="007D3806"/>
    <w:rsid w:val="007D3F01"/>
    <w:rsid w:val="007D465F"/>
    <w:rsid w:val="007D47C0"/>
    <w:rsid w:val="007D4A0B"/>
    <w:rsid w:val="007D54E8"/>
    <w:rsid w:val="007D7089"/>
    <w:rsid w:val="007D778D"/>
    <w:rsid w:val="007D7AE3"/>
    <w:rsid w:val="007D7B9E"/>
    <w:rsid w:val="007D7D6D"/>
    <w:rsid w:val="007D7EB2"/>
    <w:rsid w:val="007E0BC6"/>
    <w:rsid w:val="007E1344"/>
    <w:rsid w:val="007E2BE0"/>
    <w:rsid w:val="007E2DB4"/>
    <w:rsid w:val="007E33F5"/>
    <w:rsid w:val="007E37EB"/>
    <w:rsid w:val="007E3AB0"/>
    <w:rsid w:val="007E4323"/>
    <w:rsid w:val="007E5BC8"/>
    <w:rsid w:val="007E622B"/>
    <w:rsid w:val="007E6566"/>
    <w:rsid w:val="007E677D"/>
    <w:rsid w:val="007E79EB"/>
    <w:rsid w:val="007E7EAA"/>
    <w:rsid w:val="007F0029"/>
    <w:rsid w:val="007F022D"/>
    <w:rsid w:val="007F02A2"/>
    <w:rsid w:val="007F12D8"/>
    <w:rsid w:val="007F1C13"/>
    <w:rsid w:val="007F284F"/>
    <w:rsid w:val="007F2F14"/>
    <w:rsid w:val="007F30B5"/>
    <w:rsid w:val="007F379F"/>
    <w:rsid w:val="007F3BF2"/>
    <w:rsid w:val="007F3F8D"/>
    <w:rsid w:val="007F41A4"/>
    <w:rsid w:val="007F41F2"/>
    <w:rsid w:val="007F4392"/>
    <w:rsid w:val="007F45BD"/>
    <w:rsid w:val="007F494E"/>
    <w:rsid w:val="007F4A2B"/>
    <w:rsid w:val="007F644D"/>
    <w:rsid w:val="007F67B5"/>
    <w:rsid w:val="007F687B"/>
    <w:rsid w:val="007F7F0D"/>
    <w:rsid w:val="0080037B"/>
    <w:rsid w:val="0080051B"/>
    <w:rsid w:val="00801035"/>
    <w:rsid w:val="00801224"/>
    <w:rsid w:val="008027A4"/>
    <w:rsid w:val="008028C8"/>
    <w:rsid w:val="008036BC"/>
    <w:rsid w:val="00803785"/>
    <w:rsid w:val="0080386B"/>
    <w:rsid w:val="00803D37"/>
    <w:rsid w:val="00804CE5"/>
    <w:rsid w:val="00804CF5"/>
    <w:rsid w:val="00805C21"/>
    <w:rsid w:val="00805DA6"/>
    <w:rsid w:val="00806499"/>
    <w:rsid w:val="00806572"/>
    <w:rsid w:val="00806AC0"/>
    <w:rsid w:val="00806BC9"/>
    <w:rsid w:val="008071CC"/>
    <w:rsid w:val="00807ECC"/>
    <w:rsid w:val="008106EC"/>
    <w:rsid w:val="00810758"/>
    <w:rsid w:val="00810C9A"/>
    <w:rsid w:val="00812075"/>
    <w:rsid w:val="00812939"/>
    <w:rsid w:val="00812A2F"/>
    <w:rsid w:val="00812B6D"/>
    <w:rsid w:val="008130EA"/>
    <w:rsid w:val="00813691"/>
    <w:rsid w:val="008137B1"/>
    <w:rsid w:val="00813AB0"/>
    <w:rsid w:val="00813B5A"/>
    <w:rsid w:val="00813DC6"/>
    <w:rsid w:val="008141E6"/>
    <w:rsid w:val="008146F6"/>
    <w:rsid w:val="008147C0"/>
    <w:rsid w:val="00814C22"/>
    <w:rsid w:val="00814CE5"/>
    <w:rsid w:val="00814F10"/>
    <w:rsid w:val="008150CB"/>
    <w:rsid w:val="0081584B"/>
    <w:rsid w:val="00815882"/>
    <w:rsid w:val="00815E19"/>
    <w:rsid w:val="00815E82"/>
    <w:rsid w:val="00815F73"/>
    <w:rsid w:val="00815FED"/>
    <w:rsid w:val="00817624"/>
    <w:rsid w:val="00817E6A"/>
    <w:rsid w:val="008205BD"/>
    <w:rsid w:val="0082072F"/>
    <w:rsid w:val="0082080C"/>
    <w:rsid w:val="00820A7C"/>
    <w:rsid w:val="008217CD"/>
    <w:rsid w:val="00821814"/>
    <w:rsid w:val="008224D5"/>
    <w:rsid w:val="00822A6F"/>
    <w:rsid w:val="00822AC9"/>
    <w:rsid w:val="00822B80"/>
    <w:rsid w:val="008233D4"/>
    <w:rsid w:val="008249FE"/>
    <w:rsid w:val="0082574F"/>
    <w:rsid w:val="0082597F"/>
    <w:rsid w:val="00825AE1"/>
    <w:rsid w:val="0082706D"/>
    <w:rsid w:val="0083002E"/>
    <w:rsid w:val="008304B6"/>
    <w:rsid w:val="00830A09"/>
    <w:rsid w:val="00830CEC"/>
    <w:rsid w:val="00831E06"/>
    <w:rsid w:val="0083258D"/>
    <w:rsid w:val="008329FE"/>
    <w:rsid w:val="00833C0B"/>
    <w:rsid w:val="00833F64"/>
    <w:rsid w:val="008341E9"/>
    <w:rsid w:val="00835301"/>
    <w:rsid w:val="00835727"/>
    <w:rsid w:val="00835820"/>
    <w:rsid w:val="0083683A"/>
    <w:rsid w:val="00836949"/>
    <w:rsid w:val="00836E18"/>
    <w:rsid w:val="00837325"/>
    <w:rsid w:val="00837653"/>
    <w:rsid w:val="008378C6"/>
    <w:rsid w:val="00837F64"/>
    <w:rsid w:val="0084035E"/>
    <w:rsid w:val="00840B32"/>
    <w:rsid w:val="00841847"/>
    <w:rsid w:val="008419FC"/>
    <w:rsid w:val="00841F99"/>
    <w:rsid w:val="00842196"/>
    <w:rsid w:val="008432CA"/>
    <w:rsid w:val="00843BBC"/>
    <w:rsid w:val="00843DCA"/>
    <w:rsid w:val="0084413C"/>
    <w:rsid w:val="0084447C"/>
    <w:rsid w:val="00844608"/>
    <w:rsid w:val="008449D2"/>
    <w:rsid w:val="00844A40"/>
    <w:rsid w:val="008450C4"/>
    <w:rsid w:val="008453F5"/>
    <w:rsid w:val="00846234"/>
    <w:rsid w:val="008463CA"/>
    <w:rsid w:val="00847354"/>
    <w:rsid w:val="00847567"/>
    <w:rsid w:val="00847BF6"/>
    <w:rsid w:val="00847ED6"/>
    <w:rsid w:val="008504FA"/>
    <w:rsid w:val="00850A84"/>
    <w:rsid w:val="008520A7"/>
    <w:rsid w:val="00852237"/>
    <w:rsid w:val="008525E1"/>
    <w:rsid w:val="00852806"/>
    <w:rsid w:val="00853D26"/>
    <w:rsid w:val="00854315"/>
    <w:rsid w:val="00854516"/>
    <w:rsid w:val="00854950"/>
    <w:rsid w:val="00854ECC"/>
    <w:rsid w:val="008555AC"/>
    <w:rsid w:val="00855BFC"/>
    <w:rsid w:val="00855FF6"/>
    <w:rsid w:val="00856453"/>
    <w:rsid w:val="00856A4F"/>
    <w:rsid w:val="008570AD"/>
    <w:rsid w:val="00857A78"/>
    <w:rsid w:val="008600B0"/>
    <w:rsid w:val="00860115"/>
    <w:rsid w:val="008601D0"/>
    <w:rsid w:val="008607E1"/>
    <w:rsid w:val="008611B4"/>
    <w:rsid w:val="00861355"/>
    <w:rsid w:val="00861DDF"/>
    <w:rsid w:val="0086215D"/>
    <w:rsid w:val="00862729"/>
    <w:rsid w:val="00863130"/>
    <w:rsid w:val="0086378C"/>
    <w:rsid w:val="00863E18"/>
    <w:rsid w:val="00863FBF"/>
    <w:rsid w:val="00864258"/>
    <w:rsid w:val="00864785"/>
    <w:rsid w:val="00864800"/>
    <w:rsid w:val="00864B40"/>
    <w:rsid w:val="00865111"/>
    <w:rsid w:val="0086583D"/>
    <w:rsid w:val="00865DD0"/>
    <w:rsid w:val="008674DC"/>
    <w:rsid w:val="008676FC"/>
    <w:rsid w:val="008677B6"/>
    <w:rsid w:val="00867874"/>
    <w:rsid w:val="00867E2D"/>
    <w:rsid w:val="008704DA"/>
    <w:rsid w:val="0087065C"/>
    <w:rsid w:val="008713FD"/>
    <w:rsid w:val="00871987"/>
    <w:rsid w:val="00872B2F"/>
    <w:rsid w:val="00872D2F"/>
    <w:rsid w:val="00873387"/>
    <w:rsid w:val="0087345D"/>
    <w:rsid w:val="00873708"/>
    <w:rsid w:val="00873DA3"/>
    <w:rsid w:val="00874457"/>
    <w:rsid w:val="008744BF"/>
    <w:rsid w:val="00874E73"/>
    <w:rsid w:val="00874F11"/>
    <w:rsid w:val="008755BB"/>
    <w:rsid w:val="0087627B"/>
    <w:rsid w:val="00877009"/>
    <w:rsid w:val="00877424"/>
    <w:rsid w:val="008774BD"/>
    <w:rsid w:val="0087794D"/>
    <w:rsid w:val="00877AFD"/>
    <w:rsid w:val="00877C34"/>
    <w:rsid w:val="00880216"/>
    <w:rsid w:val="00880330"/>
    <w:rsid w:val="00880763"/>
    <w:rsid w:val="008807C1"/>
    <w:rsid w:val="00880C7F"/>
    <w:rsid w:val="00881327"/>
    <w:rsid w:val="00881737"/>
    <w:rsid w:val="00881A36"/>
    <w:rsid w:val="00881AC5"/>
    <w:rsid w:val="00882212"/>
    <w:rsid w:val="0088257A"/>
    <w:rsid w:val="00882E5F"/>
    <w:rsid w:val="00882E7B"/>
    <w:rsid w:val="0088301B"/>
    <w:rsid w:val="00883592"/>
    <w:rsid w:val="00883704"/>
    <w:rsid w:val="00883752"/>
    <w:rsid w:val="00884623"/>
    <w:rsid w:val="00885278"/>
    <w:rsid w:val="00885327"/>
    <w:rsid w:val="00885ED6"/>
    <w:rsid w:val="00886507"/>
    <w:rsid w:val="00886786"/>
    <w:rsid w:val="0088686A"/>
    <w:rsid w:val="00887362"/>
    <w:rsid w:val="00887CEF"/>
    <w:rsid w:val="00887E08"/>
    <w:rsid w:val="00887EE7"/>
    <w:rsid w:val="00890268"/>
    <w:rsid w:val="00890873"/>
    <w:rsid w:val="00890981"/>
    <w:rsid w:val="00890F1F"/>
    <w:rsid w:val="0089136B"/>
    <w:rsid w:val="00892442"/>
    <w:rsid w:val="008924C2"/>
    <w:rsid w:val="008925E1"/>
    <w:rsid w:val="00892996"/>
    <w:rsid w:val="00892E71"/>
    <w:rsid w:val="00893509"/>
    <w:rsid w:val="00893B25"/>
    <w:rsid w:val="00894918"/>
    <w:rsid w:val="00894B51"/>
    <w:rsid w:val="00895255"/>
    <w:rsid w:val="008957AE"/>
    <w:rsid w:val="00895802"/>
    <w:rsid w:val="00896050"/>
    <w:rsid w:val="00896FF4"/>
    <w:rsid w:val="00897011"/>
    <w:rsid w:val="00897B34"/>
    <w:rsid w:val="00897C73"/>
    <w:rsid w:val="00897EDA"/>
    <w:rsid w:val="008A00FD"/>
    <w:rsid w:val="008A0168"/>
    <w:rsid w:val="008A031C"/>
    <w:rsid w:val="008A0571"/>
    <w:rsid w:val="008A0CBF"/>
    <w:rsid w:val="008A1390"/>
    <w:rsid w:val="008A1640"/>
    <w:rsid w:val="008A1912"/>
    <w:rsid w:val="008A23CD"/>
    <w:rsid w:val="008A2521"/>
    <w:rsid w:val="008A2E45"/>
    <w:rsid w:val="008A34AF"/>
    <w:rsid w:val="008A440B"/>
    <w:rsid w:val="008A490F"/>
    <w:rsid w:val="008A5109"/>
    <w:rsid w:val="008A5627"/>
    <w:rsid w:val="008A6375"/>
    <w:rsid w:val="008A63D6"/>
    <w:rsid w:val="008A6D6F"/>
    <w:rsid w:val="008A749C"/>
    <w:rsid w:val="008A7981"/>
    <w:rsid w:val="008B06BE"/>
    <w:rsid w:val="008B14AF"/>
    <w:rsid w:val="008B18F0"/>
    <w:rsid w:val="008B2251"/>
    <w:rsid w:val="008B235A"/>
    <w:rsid w:val="008B26FE"/>
    <w:rsid w:val="008B2841"/>
    <w:rsid w:val="008B29C4"/>
    <w:rsid w:val="008B2ACF"/>
    <w:rsid w:val="008B2BB5"/>
    <w:rsid w:val="008B304D"/>
    <w:rsid w:val="008B30D2"/>
    <w:rsid w:val="008B3CC5"/>
    <w:rsid w:val="008B403A"/>
    <w:rsid w:val="008B40C1"/>
    <w:rsid w:val="008B432A"/>
    <w:rsid w:val="008B46F8"/>
    <w:rsid w:val="008B4760"/>
    <w:rsid w:val="008B4824"/>
    <w:rsid w:val="008B4EA3"/>
    <w:rsid w:val="008B4EEF"/>
    <w:rsid w:val="008B578C"/>
    <w:rsid w:val="008B6196"/>
    <w:rsid w:val="008B6731"/>
    <w:rsid w:val="008B6CC0"/>
    <w:rsid w:val="008B77A8"/>
    <w:rsid w:val="008B7D57"/>
    <w:rsid w:val="008B7F93"/>
    <w:rsid w:val="008C059E"/>
    <w:rsid w:val="008C0E32"/>
    <w:rsid w:val="008C104A"/>
    <w:rsid w:val="008C20DB"/>
    <w:rsid w:val="008C25D3"/>
    <w:rsid w:val="008C2A5B"/>
    <w:rsid w:val="008C3D41"/>
    <w:rsid w:val="008C4010"/>
    <w:rsid w:val="008C4F1F"/>
    <w:rsid w:val="008C5544"/>
    <w:rsid w:val="008C56DF"/>
    <w:rsid w:val="008C59D1"/>
    <w:rsid w:val="008C5C49"/>
    <w:rsid w:val="008C5D48"/>
    <w:rsid w:val="008C5DB4"/>
    <w:rsid w:val="008C62FD"/>
    <w:rsid w:val="008C66B9"/>
    <w:rsid w:val="008C67ED"/>
    <w:rsid w:val="008C6AA1"/>
    <w:rsid w:val="008C73A2"/>
    <w:rsid w:val="008C7F85"/>
    <w:rsid w:val="008D03FA"/>
    <w:rsid w:val="008D0495"/>
    <w:rsid w:val="008D1895"/>
    <w:rsid w:val="008D1A43"/>
    <w:rsid w:val="008D1BB2"/>
    <w:rsid w:val="008D2045"/>
    <w:rsid w:val="008D26F3"/>
    <w:rsid w:val="008D29DD"/>
    <w:rsid w:val="008D3837"/>
    <w:rsid w:val="008D3A2B"/>
    <w:rsid w:val="008D48EA"/>
    <w:rsid w:val="008D4D6D"/>
    <w:rsid w:val="008D5827"/>
    <w:rsid w:val="008D5E18"/>
    <w:rsid w:val="008D6601"/>
    <w:rsid w:val="008D7517"/>
    <w:rsid w:val="008E0237"/>
    <w:rsid w:val="008E0DD6"/>
    <w:rsid w:val="008E0F40"/>
    <w:rsid w:val="008E14C7"/>
    <w:rsid w:val="008E16D3"/>
    <w:rsid w:val="008E18C5"/>
    <w:rsid w:val="008E1D4C"/>
    <w:rsid w:val="008E27B9"/>
    <w:rsid w:val="008E2A2E"/>
    <w:rsid w:val="008E3716"/>
    <w:rsid w:val="008E3875"/>
    <w:rsid w:val="008E3A54"/>
    <w:rsid w:val="008E3BAE"/>
    <w:rsid w:val="008E3E31"/>
    <w:rsid w:val="008E3E56"/>
    <w:rsid w:val="008E426F"/>
    <w:rsid w:val="008E4290"/>
    <w:rsid w:val="008E490F"/>
    <w:rsid w:val="008E5B79"/>
    <w:rsid w:val="008E5E1A"/>
    <w:rsid w:val="008E6ADB"/>
    <w:rsid w:val="008E79C8"/>
    <w:rsid w:val="008F0A74"/>
    <w:rsid w:val="008F0DB9"/>
    <w:rsid w:val="008F102B"/>
    <w:rsid w:val="008F120C"/>
    <w:rsid w:val="008F20C0"/>
    <w:rsid w:val="008F2A68"/>
    <w:rsid w:val="008F2B70"/>
    <w:rsid w:val="008F2BFA"/>
    <w:rsid w:val="008F2E10"/>
    <w:rsid w:val="008F3134"/>
    <w:rsid w:val="008F3415"/>
    <w:rsid w:val="008F403B"/>
    <w:rsid w:val="008F4422"/>
    <w:rsid w:val="008F4C8D"/>
    <w:rsid w:val="008F4CB6"/>
    <w:rsid w:val="008F5564"/>
    <w:rsid w:val="008F5E37"/>
    <w:rsid w:val="008F7423"/>
    <w:rsid w:val="008F7B9C"/>
    <w:rsid w:val="008F7ED3"/>
    <w:rsid w:val="0090064B"/>
    <w:rsid w:val="00900CD0"/>
    <w:rsid w:val="0090105F"/>
    <w:rsid w:val="009012B5"/>
    <w:rsid w:val="00901F13"/>
    <w:rsid w:val="00902389"/>
    <w:rsid w:val="00902485"/>
    <w:rsid w:val="009025CF"/>
    <w:rsid w:val="0090268A"/>
    <w:rsid w:val="00902C46"/>
    <w:rsid w:val="00902DBD"/>
    <w:rsid w:val="00902DE5"/>
    <w:rsid w:val="009031ED"/>
    <w:rsid w:val="00903220"/>
    <w:rsid w:val="00903668"/>
    <w:rsid w:val="00903F05"/>
    <w:rsid w:val="00904D72"/>
    <w:rsid w:val="00905285"/>
    <w:rsid w:val="00905D00"/>
    <w:rsid w:val="00906750"/>
    <w:rsid w:val="0090682D"/>
    <w:rsid w:val="00906ADC"/>
    <w:rsid w:val="00906E24"/>
    <w:rsid w:val="00906F03"/>
    <w:rsid w:val="0091093E"/>
    <w:rsid w:val="00910FE5"/>
    <w:rsid w:val="0091114A"/>
    <w:rsid w:val="0091117F"/>
    <w:rsid w:val="00911366"/>
    <w:rsid w:val="00911A60"/>
    <w:rsid w:val="0091252B"/>
    <w:rsid w:val="0091288C"/>
    <w:rsid w:val="00912F94"/>
    <w:rsid w:val="0091309F"/>
    <w:rsid w:val="009132DB"/>
    <w:rsid w:val="00913474"/>
    <w:rsid w:val="0091360F"/>
    <w:rsid w:val="00913638"/>
    <w:rsid w:val="0091412F"/>
    <w:rsid w:val="00914B15"/>
    <w:rsid w:val="009151AA"/>
    <w:rsid w:val="00915458"/>
    <w:rsid w:val="00915542"/>
    <w:rsid w:val="00915C04"/>
    <w:rsid w:val="009164A4"/>
    <w:rsid w:val="0091655C"/>
    <w:rsid w:val="009168BB"/>
    <w:rsid w:val="0091701C"/>
    <w:rsid w:val="009171F6"/>
    <w:rsid w:val="009177A9"/>
    <w:rsid w:val="00920AB6"/>
    <w:rsid w:val="00920F44"/>
    <w:rsid w:val="0092116D"/>
    <w:rsid w:val="00922230"/>
    <w:rsid w:val="00922300"/>
    <w:rsid w:val="00923101"/>
    <w:rsid w:val="009231D8"/>
    <w:rsid w:val="00923225"/>
    <w:rsid w:val="00923803"/>
    <w:rsid w:val="00924A20"/>
    <w:rsid w:val="00924B50"/>
    <w:rsid w:val="00924E00"/>
    <w:rsid w:val="00925282"/>
    <w:rsid w:val="009259E6"/>
    <w:rsid w:val="00926DF6"/>
    <w:rsid w:val="00926F52"/>
    <w:rsid w:val="00927C99"/>
    <w:rsid w:val="009300D9"/>
    <w:rsid w:val="00931571"/>
    <w:rsid w:val="00931739"/>
    <w:rsid w:val="00931AE8"/>
    <w:rsid w:val="0093218A"/>
    <w:rsid w:val="0093248A"/>
    <w:rsid w:val="00933AF9"/>
    <w:rsid w:val="0093412F"/>
    <w:rsid w:val="00934BFB"/>
    <w:rsid w:val="009363A7"/>
    <w:rsid w:val="00936496"/>
    <w:rsid w:val="00936999"/>
    <w:rsid w:val="00936C7E"/>
    <w:rsid w:val="0093736E"/>
    <w:rsid w:val="00940558"/>
    <w:rsid w:val="009406AD"/>
    <w:rsid w:val="0094160C"/>
    <w:rsid w:val="0094162E"/>
    <w:rsid w:val="00941940"/>
    <w:rsid w:val="00941C50"/>
    <w:rsid w:val="00941DE4"/>
    <w:rsid w:val="0094216E"/>
    <w:rsid w:val="0094219F"/>
    <w:rsid w:val="009421C0"/>
    <w:rsid w:val="009435D1"/>
    <w:rsid w:val="00944177"/>
    <w:rsid w:val="00944404"/>
    <w:rsid w:val="009445A8"/>
    <w:rsid w:val="0094500D"/>
    <w:rsid w:val="0094526D"/>
    <w:rsid w:val="0094528E"/>
    <w:rsid w:val="009454FB"/>
    <w:rsid w:val="009456FC"/>
    <w:rsid w:val="00946214"/>
    <w:rsid w:val="00946525"/>
    <w:rsid w:val="0094684F"/>
    <w:rsid w:val="009469D9"/>
    <w:rsid w:val="00946ABC"/>
    <w:rsid w:val="00946D31"/>
    <w:rsid w:val="0094715D"/>
    <w:rsid w:val="009479E1"/>
    <w:rsid w:val="009504A6"/>
    <w:rsid w:val="00950990"/>
    <w:rsid w:val="009510A5"/>
    <w:rsid w:val="009512B1"/>
    <w:rsid w:val="00951513"/>
    <w:rsid w:val="00951594"/>
    <w:rsid w:val="0095197A"/>
    <w:rsid w:val="009523D5"/>
    <w:rsid w:val="0095266C"/>
    <w:rsid w:val="00953D48"/>
    <w:rsid w:val="00953FA4"/>
    <w:rsid w:val="0095440E"/>
    <w:rsid w:val="00954815"/>
    <w:rsid w:val="00954C91"/>
    <w:rsid w:val="00954DD2"/>
    <w:rsid w:val="0095513B"/>
    <w:rsid w:val="009565D7"/>
    <w:rsid w:val="00956B03"/>
    <w:rsid w:val="00956CE1"/>
    <w:rsid w:val="00956D22"/>
    <w:rsid w:val="00956F30"/>
    <w:rsid w:val="0095784C"/>
    <w:rsid w:val="00957EF0"/>
    <w:rsid w:val="009607F5"/>
    <w:rsid w:val="00960BCE"/>
    <w:rsid w:val="009611F2"/>
    <w:rsid w:val="00961540"/>
    <w:rsid w:val="0096192A"/>
    <w:rsid w:val="009626B0"/>
    <w:rsid w:val="00962D43"/>
    <w:rsid w:val="009641BB"/>
    <w:rsid w:val="009648C1"/>
    <w:rsid w:val="0096495A"/>
    <w:rsid w:val="009649EA"/>
    <w:rsid w:val="0096511C"/>
    <w:rsid w:val="009654D2"/>
    <w:rsid w:val="00965577"/>
    <w:rsid w:val="009666E9"/>
    <w:rsid w:val="009668DE"/>
    <w:rsid w:val="00967630"/>
    <w:rsid w:val="009702CD"/>
    <w:rsid w:val="00970F03"/>
    <w:rsid w:val="009714B4"/>
    <w:rsid w:val="0097211E"/>
    <w:rsid w:val="00972A10"/>
    <w:rsid w:val="00972B56"/>
    <w:rsid w:val="00972C1A"/>
    <w:rsid w:val="009747D4"/>
    <w:rsid w:val="00974960"/>
    <w:rsid w:val="009751AC"/>
    <w:rsid w:val="0097606A"/>
    <w:rsid w:val="0097610C"/>
    <w:rsid w:val="00976CCD"/>
    <w:rsid w:val="009779D4"/>
    <w:rsid w:val="00977E41"/>
    <w:rsid w:val="009809A0"/>
    <w:rsid w:val="00980CCD"/>
    <w:rsid w:val="0098211F"/>
    <w:rsid w:val="00982244"/>
    <w:rsid w:val="00982A2E"/>
    <w:rsid w:val="00982BD6"/>
    <w:rsid w:val="00983481"/>
    <w:rsid w:val="0098486F"/>
    <w:rsid w:val="00984CB6"/>
    <w:rsid w:val="0098546F"/>
    <w:rsid w:val="0098570C"/>
    <w:rsid w:val="00985E8D"/>
    <w:rsid w:val="00986405"/>
    <w:rsid w:val="00986438"/>
    <w:rsid w:val="0098722A"/>
    <w:rsid w:val="00987482"/>
    <w:rsid w:val="00987A80"/>
    <w:rsid w:val="00987BD9"/>
    <w:rsid w:val="009914CE"/>
    <w:rsid w:val="00992CBA"/>
    <w:rsid w:val="00992EC2"/>
    <w:rsid w:val="009931D5"/>
    <w:rsid w:val="009936DF"/>
    <w:rsid w:val="00993A5C"/>
    <w:rsid w:val="00993B44"/>
    <w:rsid w:val="009941A0"/>
    <w:rsid w:val="00994689"/>
    <w:rsid w:val="009946AB"/>
    <w:rsid w:val="00994741"/>
    <w:rsid w:val="00994CE5"/>
    <w:rsid w:val="00995C54"/>
    <w:rsid w:val="00995DAA"/>
    <w:rsid w:val="00995E19"/>
    <w:rsid w:val="00995E4F"/>
    <w:rsid w:val="00996C6A"/>
    <w:rsid w:val="00996D55"/>
    <w:rsid w:val="00996FC2"/>
    <w:rsid w:val="00997158"/>
    <w:rsid w:val="0099749D"/>
    <w:rsid w:val="009A08C4"/>
    <w:rsid w:val="009A0C3B"/>
    <w:rsid w:val="009A0D85"/>
    <w:rsid w:val="009A151B"/>
    <w:rsid w:val="009A15CA"/>
    <w:rsid w:val="009A2949"/>
    <w:rsid w:val="009A2FFD"/>
    <w:rsid w:val="009A3015"/>
    <w:rsid w:val="009A3B7E"/>
    <w:rsid w:val="009A3C60"/>
    <w:rsid w:val="009A4F55"/>
    <w:rsid w:val="009A5019"/>
    <w:rsid w:val="009A5999"/>
    <w:rsid w:val="009A5F25"/>
    <w:rsid w:val="009A69C7"/>
    <w:rsid w:val="009A7374"/>
    <w:rsid w:val="009A76A5"/>
    <w:rsid w:val="009A7954"/>
    <w:rsid w:val="009B0B90"/>
    <w:rsid w:val="009B1341"/>
    <w:rsid w:val="009B1CAC"/>
    <w:rsid w:val="009B2FB0"/>
    <w:rsid w:val="009B319C"/>
    <w:rsid w:val="009B3962"/>
    <w:rsid w:val="009B3D40"/>
    <w:rsid w:val="009B3E79"/>
    <w:rsid w:val="009B45F8"/>
    <w:rsid w:val="009B4779"/>
    <w:rsid w:val="009B5966"/>
    <w:rsid w:val="009B5A45"/>
    <w:rsid w:val="009B5ED4"/>
    <w:rsid w:val="009B6324"/>
    <w:rsid w:val="009B64BC"/>
    <w:rsid w:val="009B65D1"/>
    <w:rsid w:val="009B6E2A"/>
    <w:rsid w:val="009B70E9"/>
    <w:rsid w:val="009B7A88"/>
    <w:rsid w:val="009C00BD"/>
    <w:rsid w:val="009C0AAB"/>
    <w:rsid w:val="009C1EAC"/>
    <w:rsid w:val="009C1F95"/>
    <w:rsid w:val="009C2230"/>
    <w:rsid w:val="009C28F8"/>
    <w:rsid w:val="009C2FAD"/>
    <w:rsid w:val="009C35F1"/>
    <w:rsid w:val="009C39E0"/>
    <w:rsid w:val="009C4C90"/>
    <w:rsid w:val="009C4EB1"/>
    <w:rsid w:val="009C531A"/>
    <w:rsid w:val="009C57F7"/>
    <w:rsid w:val="009C5845"/>
    <w:rsid w:val="009C5C9D"/>
    <w:rsid w:val="009C682B"/>
    <w:rsid w:val="009C7152"/>
    <w:rsid w:val="009C733F"/>
    <w:rsid w:val="009C73E4"/>
    <w:rsid w:val="009C7798"/>
    <w:rsid w:val="009C7EC9"/>
    <w:rsid w:val="009C7F6E"/>
    <w:rsid w:val="009D16D9"/>
    <w:rsid w:val="009D1F99"/>
    <w:rsid w:val="009D1FA0"/>
    <w:rsid w:val="009D2427"/>
    <w:rsid w:val="009D28BF"/>
    <w:rsid w:val="009D2BAB"/>
    <w:rsid w:val="009D362C"/>
    <w:rsid w:val="009D41BB"/>
    <w:rsid w:val="009D4670"/>
    <w:rsid w:val="009D4F11"/>
    <w:rsid w:val="009D578B"/>
    <w:rsid w:val="009D6229"/>
    <w:rsid w:val="009D6954"/>
    <w:rsid w:val="009D7117"/>
    <w:rsid w:val="009D724D"/>
    <w:rsid w:val="009E0343"/>
    <w:rsid w:val="009E0A0B"/>
    <w:rsid w:val="009E1309"/>
    <w:rsid w:val="009E1647"/>
    <w:rsid w:val="009E23B1"/>
    <w:rsid w:val="009E3415"/>
    <w:rsid w:val="009E46DB"/>
    <w:rsid w:val="009E4EBA"/>
    <w:rsid w:val="009E5C67"/>
    <w:rsid w:val="009E6220"/>
    <w:rsid w:val="009E6315"/>
    <w:rsid w:val="009E6D16"/>
    <w:rsid w:val="009E6EC5"/>
    <w:rsid w:val="009E71E0"/>
    <w:rsid w:val="009E7783"/>
    <w:rsid w:val="009E77F4"/>
    <w:rsid w:val="009E7A65"/>
    <w:rsid w:val="009E7A66"/>
    <w:rsid w:val="009E7E80"/>
    <w:rsid w:val="009E7EC1"/>
    <w:rsid w:val="009F028F"/>
    <w:rsid w:val="009F045B"/>
    <w:rsid w:val="009F0F79"/>
    <w:rsid w:val="009F1078"/>
    <w:rsid w:val="009F18B8"/>
    <w:rsid w:val="009F1A74"/>
    <w:rsid w:val="009F1C26"/>
    <w:rsid w:val="009F1C4B"/>
    <w:rsid w:val="009F1D24"/>
    <w:rsid w:val="009F22A9"/>
    <w:rsid w:val="009F3237"/>
    <w:rsid w:val="009F3460"/>
    <w:rsid w:val="009F37C7"/>
    <w:rsid w:val="009F397A"/>
    <w:rsid w:val="009F4B0C"/>
    <w:rsid w:val="009F55DE"/>
    <w:rsid w:val="009F5703"/>
    <w:rsid w:val="009F712C"/>
    <w:rsid w:val="009F72A1"/>
    <w:rsid w:val="009F761D"/>
    <w:rsid w:val="009F7C96"/>
    <w:rsid w:val="00A0094B"/>
    <w:rsid w:val="00A00E62"/>
    <w:rsid w:val="00A00EA0"/>
    <w:rsid w:val="00A0155A"/>
    <w:rsid w:val="00A01658"/>
    <w:rsid w:val="00A02372"/>
    <w:rsid w:val="00A0279F"/>
    <w:rsid w:val="00A0283E"/>
    <w:rsid w:val="00A03A8C"/>
    <w:rsid w:val="00A04B59"/>
    <w:rsid w:val="00A05104"/>
    <w:rsid w:val="00A05399"/>
    <w:rsid w:val="00A05A30"/>
    <w:rsid w:val="00A071F6"/>
    <w:rsid w:val="00A07423"/>
    <w:rsid w:val="00A07450"/>
    <w:rsid w:val="00A07622"/>
    <w:rsid w:val="00A07A03"/>
    <w:rsid w:val="00A07F62"/>
    <w:rsid w:val="00A10271"/>
    <w:rsid w:val="00A10430"/>
    <w:rsid w:val="00A10893"/>
    <w:rsid w:val="00A10DD8"/>
    <w:rsid w:val="00A10EB7"/>
    <w:rsid w:val="00A11260"/>
    <w:rsid w:val="00A115C8"/>
    <w:rsid w:val="00A11FB6"/>
    <w:rsid w:val="00A11FEB"/>
    <w:rsid w:val="00A12026"/>
    <w:rsid w:val="00A126E1"/>
    <w:rsid w:val="00A140AD"/>
    <w:rsid w:val="00A14BD1"/>
    <w:rsid w:val="00A14F5A"/>
    <w:rsid w:val="00A15A7B"/>
    <w:rsid w:val="00A17587"/>
    <w:rsid w:val="00A1769A"/>
    <w:rsid w:val="00A17749"/>
    <w:rsid w:val="00A17FBB"/>
    <w:rsid w:val="00A17FE3"/>
    <w:rsid w:val="00A20312"/>
    <w:rsid w:val="00A206DA"/>
    <w:rsid w:val="00A21485"/>
    <w:rsid w:val="00A21A91"/>
    <w:rsid w:val="00A21ADF"/>
    <w:rsid w:val="00A22901"/>
    <w:rsid w:val="00A22E51"/>
    <w:rsid w:val="00A236F2"/>
    <w:rsid w:val="00A23A55"/>
    <w:rsid w:val="00A23D3F"/>
    <w:rsid w:val="00A240FF"/>
    <w:rsid w:val="00A2557B"/>
    <w:rsid w:val="00A26D82"/>
    <w:rsid w:val="00A27112"/>
    <w:rsid w:val="00A2734E"/>
    <w:rsid w:val="00A27548"/>
    <w:rsid w:val="00A27C27"/>
    <w:rsid w:val="00A27D01"/>
    <w:rsid w:val="00A30177"/>
    <w:rsid w:val="00A321FE"/>
    <w:rsid w:val="00A322F2"/>
    <w:rsid w:val="00A32498"/>
    <w:rsid w:val="00A32954"/>
    <w:rsid w:val="00A33584"/>
    <w:rsid w:val="00A33812"/>
    <w:rsid w:val="00A33CC3"/>
    <w:rsid w:val="00A34397"/>
    <w:rsid w:val="00A34799"/>
    <w:rsid w:val="00A34824"/>
    <w:rsid w:val="00A34AA5"/>
    <w:rsid w:val="00A34D30"/>
    <w:rsid w:val="00A3530F"/>
    <w:rsid w:val="00A355A4"/>
    <w:rsid w:val="00A35864"/>
    <w:rsid w:val="00A3699E"/>
    <w:rsid w:val="00A369D2"/>
    <w:rsid w:val="00A36CE1"/>
    <w:rsid w:val="00A370D8"/>
    <w:rsid w:val="00A37779"/>
    <w:rsid w:val="00A37B63"/>
    <w:rsid w:val="00A37C7F"/>
    <w:rsid w:val="00A37DBB"/>
    <w:rsid w:val="00A4057C"/>
    <w:rsid w:val="00A40703"/>
    <w:rsid w:val="00A40BA2"/>
    <w:rsid w:val="00A410FA"/>
    <w:rsid w:val="00A4195A"/>
    <w:rsid w:val="00A41D08"/>
    <w:rsid w:val="00A41D21"/>
    <w:rsid w:val="00A41EA0"/>
    <w:rsid w:val="00A41F12"/>
    <w:rsid w:val="00A4210D"/>
    <w:rsid w:val="00A42571"/>
    <w:rsid w:val="00A425E6"/>
    <w:rsid w:val="00A429B6"/>
    <w:rsid w:val="00A42A76"/>
    <w:rsid w:val="00A43030"/>
    <w:rsid w:val="00A438B7"/>
    <w:rsid w:val="00A43F1B"/>
    <w:rsid w:val="00A441D8"/>
    <w:rsid w:val="00A447C5"/>
    <w:rsid w:val="00A44D6A"/>
    <w:rsid w:val="00A450B8"/>
    <w:rsid w:val="00A4582E"/>
    <w:rsid w:val="00A45D7A"/>
    <w:rsid w:val="00A45FC6"/>
    <w:rsid w:val="00A46085"/>
    <w:rsid w:val="00A46A78"/>
    <w:rsid w:val="00A475DA"/>
    <w:rsid w:val="00A478A8"/>
    <w:rsid w:val="00A47E57"/>
    <w:rsid w:val="00A50119"/>
    <w:rsid w:val="00A502A9"/>
    <w:rsid w:val="00A5054B"/>
    <w:rsid w:val="00A506A7"/>
    <w:rsid w:val="00A51380"/>
    <w:rsid w:val="00A515BD"/>
    <w:rsid w:val="00A5179D"/>
    <w:rsid w:val="00A51B18"/>
    <w:rsid w:val="00A51E72"/>
    <w:rsid w:val="00A52B9D"/>
    <w:rsid w:val="00A52D91"/>
    <w:rsid w:val="00A52F30"/>
    <w:rsid w:val="00A53184"/>
    <w:rsid w:val="00A5397E"/>
    <w:rsid w:val="00A53F6F"/>
    <w:rsid w:val="00A55299"/>
    <w:rsid w:val="00A555CD"/>
    <w:rsid w:val="00A558C0"/>
    <w:rsid w:val="00A564AD"/>
    <w:rsid w:val="00A56B73"/>
    <w:rsid w:val="00A572F7"/>
    <w:rsid w:val="00A574C2"/>
    <w:rsid w:val="00A575A9"/>
    <w:rsid w:val="00A6038A"/>
    <w:rsid w:val="00A60594"/>
    <w:rsid w:val="00A6072B"/>
    <w:rsid w:val="00A60949"/>
    <w:rsid w:val="00A60EFC"/>
    <w:rsid w:val="00A61222"/>
    <w:rsid w:val="00A6158D"/>
    <w:rsid w:val="00A6180D"/>
    <w:rsid w:val="00A62208"/>
    <w:rsid w:val="00A622BD"/>
    <w:rsid w:val="00A62600"/>
    <w:rsid w:val="00A62716"/>
    <w:rsid w:val="00A62EB6"/>
    <w:rsid w:val="00A63D19"/>
    <w:rsid w:val="00A64379"/>
    <w:rsid w:val="00A64845"/>
    <w:rsid w:val="00A65042"/>
    <w:rsid w:val="00A66DC4"/>
    <w:rsid w:val="00A673AB"/>
    <w:rsid w:val="00A67411"/>
    <w:rsid w:val="00A67A7B"/>
    <w:rsid w:val="00A67CE8"/>
    <w:rsid w:val="00A70A9D"/>
    <w:rsid w:val="00A70C69"/>
    <w:rsid w:val="00A71040"/>
    <w:rsid w:val="00A713E2"/>
    <w:rsid w:val="00A71515"/>
    <w:rsid w:val="00A7184D"/>
    <w:rsid w:val="00A71890"/>
    <w:rsid w:val="00A718D0"/>
    <w:rsid w:val="00A718DB"/>
    <w:rsid w:val="00A7242F"/>
    <w:rsid w:val="00A729E4"/>
    <w:rsid w:val="00A72AC0"/>
    <w:rsid w:val="00A72ACB"/>
    <w:rsid w:val="00A72DAD"/>
    <w:rsid w:val="00A732AE"/>
    <w:rsid w:val="00A73EEF"/>
    <w:rsid w:val="00A7431D"/>
    <w:rsid w:val="00A74415"/>
    <w:rsid w:val="00A746C6"/>
    <w:rsid w:val="00A74996"/>
    <w:rsid w:val="00A74CBE"/>
    <w:rsid w:val="00A74D08"/>
    <w:rsid w:val="00A75A60"/>
    <w:rsid w:val="00A75D31"/>
    <w:rsid w:val="00A769BA"/>
    <w:rsid w:val="00A76EB2"/>
    <w:rsid w:val="00A775E2"/>
    <w:rsid w:val="00A80C53"/>
    <w:rsid w:val="00A8106F"/>
    <w:rsid w:val="00A8184B"/>
    <w:rsid w:val="00A823BD"/>
    <w:rsid w:val="00A82A73"/>
    <w:rsid w:val="00A82AC1"/>
    <w:rsid w:val="00A82AE5"/>
    <w:rsid w:val="00A830A5"/>
    <w:rsid w:val="00A8320D"/>
    <w:rsid w:val="00A83C0E"/>
    <w:rsid w:val="00A840F0"/>
    <w:rsid w:val="00A8437A"/>
    <w:rsid w:val="00A8471B"/>
    <w:rsid w:val="00A84DA0"/>
    <w:rsid w:val="00A84DF4"/>
    <w:rsid w:val="00A854A2"/>
    <w:rsid w:val="00A85814"/>
    <w:rsid w:val="00A85FCC"/>
    <w:rsid w:val="00A861C4"/>
    <w:rsid w:val="00A86589"/>
    <w:rsid w:val="00A8712B"/>
    <w:rsid w:val="00A87232"/>
    <w:rsid w:val="00A87A54"/>
    <w:rsid w:val="00A87E12"/>
    <w:rsid w:val="00A90055"/>
    <w:rsid w:val="00A91355"/>
    <w:rsid w:val="00A914EB"/>
    <w:rsid w:val="00A915EE"/>
    <w:rsid w:val="00A9160B"/>
    <w:rsid w:val="00A91A89"/>
    <w:rsid w:val="00A91FE7"/>
    <w:rsid w:val="00A922AD"/>
    <w:rsid w:val="00A93351"/>
    <w:rsid w:val="00A93429"/>
    <w:rsid w:val="00A936F5"/>
    <w:rsid w:val="00A93790"/>
    <w:rsid w:val="00A93F8F"/>
    <w:rsid w:val="00A94A19"/>
    <w:rsid w:val="00A94B34"/>
    <w:rsid w:val="00A94C96"/>
    <w:rsid w:val="00A94F4E"/>
    <w:rsid w:val="00A9594B"/>
    <w:rsid w:val="00A95977"/>
    <w:rsid w:val="00A9604B"/>
    <w:rsid w:val="00A963BA"/>
    <w:rsid w:val="00A96467"/>
    <w:rsid w:val="00A9671F"/>
    <w:rsid w:val="00A96A20"/>
    <w:rsid w:val="00A9793B"/>
    <w:rsid w:val="00A97CC9"/>
    <w:rsid w:val="00AA01F3"/>
    <w:rsid w:val="00AA034A"/>
    <w:rsid w:val="00AA0517"/>
    <w:rsid w:val="00AA0B3B"/>
    <w:rsid w:val="00AA170B"/>
    <w:rsid w:val="00AA1754"/>
    <w:rsid w:val="00AA1CF3"/>
    <w:rsid w:val="00AA1FC7"/>
    <w:rsid w:val="00AA2C92"/>
    <w:rsid w:val="00AA2DAA"/>
    <w:rsid w:val="00AA2FB8"/>
    <w:rsid w:val="00AA5622"/>
    <w:rsid w:val="00AA56D3"/>
    <w:rsid w:val="00AA5992"/>
    <w:rsid w:val="00AA5E55"/>
    <w:rsid w:val="00AA6395"/>
    <w:rsid w:val="00AA6685"/>
    <w:rsid w:val="00AA69B0"/>
    <w:rsid w:val="00AA6AD9"/>
    <w:rsid w:val="00AA7D69"/>
    <w:rsid w:val="00AB004E"/>
    <w:rsid w:val="00AB008F"/>
    <w:rsid w:val="00AB0980"/>
    <w:rsid w:val="00AB12AE"/>
    <w:rsid w:val="00AB1428"/>
    <w:rsid w:val="00AB15EB"/>
    <w:rsid w:val="00AB1A44"/>
    <w:rsid w:val="00AB1FA4"/>
    <w:rsid w:val="00AB2EF1"/>
    <w:rsid w:val="00AB2F29"/>
    <w:rsid w:val="00AB2F5F"/>
    <w:rsid w:val="00AB4147"/>
    <w:rsid w:val="00AB494E"/>
    <w:rsid w:val="00AB49E5"/>
    <w:rsid w:val="00AB4AB0"/>
    <w:rsid w:val="00AB5368"/>
    <w:rsid w:val="00AB53B0"/>
    <w:rsid w:val="00AB5D92"/>
    <w:rsid w:val="00AB6497"/>
    <w:rsid w:val="00AB70C6"/>
    <w:rsid w:val="00AB7876"/>
    <w:rsid w:val="00AB795D"/>
    <w:rsid w:val="00AB7D7C"/>
    <w:rsid w:val="00AB7EBE"/>
    <w:rsid w:val="00AC0328"/>
    <w:rsid w:val="00AC09A9"/>
    <w:rsid w:val="00AC100E"/>
    <w:rsid w:val="00AC23F8"/>
    <w:rsid w:val="00AC2B12"/>
    <w:rsid w:val="00AC2B4C"/>
    <w:rsid w:val="00AC2E55"/>
    <w:rsid w:val="00AC2FC1"/>
    <w:rsid w:val="00AC39C4"/>
    <w:rsid w:val="00AC43DD"/>
    <w:rsid w:val="00AC5A40"/>
    <w:rsid w:val="00AC67DC"/>
    <w:rsid w:val="00AC6F97"/>
    <w:rsid w:val="00AC7AC1"/>
    <w:rsid w:val="00AD0045"/>
    <w:rsid w:val="00AD01C3"/>
    <w:rsid w:val="00AD13CF"/>
    <w:rsid w:val="00AD19E2"/>
    <w:rsid w:val="00AD214C"/>
    <w:rsid w:val="00AD21EF"/>
    <w:rsid w:val="00AD25E1"/>
    <w:rsid w:val="00AD27BF"/>
    <w:rsid w:val="00AD2BF1"/>
    <w:rsid w:val="00AD2D29"/>
    <w:rsid w:val="00AD2E32"/>
    <w:rsid w:val="00AD2E9B"/>
    <w:rsid w:val="00AD320A"/>
    <w:rsid w:val="00AD3B48"/>
    <w:rsid w:val="00AD3CB6"/>
    <w:rsid w:val="00AD40BD"/>
    <w:rsid w:val="00AD41ED"/>
    <w:rsid w:val="00AD45E7"/>
    <w:rsid w:val="00AD47AA"/>
    <w:rsid w:val="00AD485B"/>
    <w:rsid w:val="00AD5CEA"/>
    <w:rsid w:val="00AD5D02"/>
    <w:rsid w:val="00AD64DE"/>
    <w:rsid w:val="00AD7F13"/>
    <w:rsid w:val="00AE034E"/>
    <w:rsid w:val="00AE0A33"/>
    <w:rsid w:val="00AE1397"/>
    <w:rsid w:val="00AE1875"/>
    <w:rsid w:val="00AE1C80"/>
    <w:rsid w:val="00AE205D"/>
    <w:rsid w:val="00AE2461"/>
    <w:rsid w:val="00AE2527"/>
    <w:rsid w:val="00AE4E1C"/>
    <w:rsid w:val="00AE56BD"/>
    <w:rsid w:val="00AE5857"/>
    <w:rsid w:val="00AE6024"/>
    <w:rsid w:val="00AE64C2"/>
    <w:rsid w:val="00AE6A9B"/>
    <w:rsid w:val="00AE73D0"/>
    <w:rsid w:val="00AE73E1"/>
    <w:rsid w:val="00AE77CA"/>
    <w:rsid w:val="00AF0229"/>
    <w:rsid w:val="00AF18ED"/>
    <w:rsid w:val="00AF36BE"/>
    <w:rsid w:val="00AF38C8"/>
    <w:rsid w:val="00AF4790"/>
    <w:rsid w:val="00AF4C3D"/>
    <w:rsid w:val="00AF54D9"/>
    <w:rsid w:val="00AF580C"/>
    <w:rsid w:val="00AF5857"/>
    <w:rsid w:val="00AF6629"/>
    <w:rsid w:val="00AF6EA7"/>
    <w:rsid w:val="00AF7280"/>
    <w:rsid w:val="00AF737C"/>
    <w:rsid w:val="00AF7AA4"/>
    <w:rsid w:val="00B00443"/>
    <w:rsid w:val="00B00AE4"/>
    <w:rsid w:val="00B00D42"/>
    <w:rsid w:val="00B0103C"/>
    <w:rsid w:val="00B0245D"/>
    <w:rsid w:val="00B02A3B"/>
    <w:rsid w:val="00B030AA"/>
    <w:rsid w:val="00B03569"/>
    <w:rsid w:val="00B03C00"/>
    <w:rsid w:val="00B047FD"/>
    <w:rsid w:val="00B04E92"/>
    <w:rsid w:val="00B05007"/>
    <w:rsid w:val="00B0535A"/>
    <w:rsid w:val="00B0555B"/>
    <w:rsid w:val="00B05841"/>
    <w:rsid w:val="00B05B0D"/>
    <w:rsid w:val="00B067EB"/>
    <w:rsid w:val="00B07BFC"/>
    <w:rsid w:val="00B07DDB"/>
    <w:rsid w:val="00B10F25"/>
    <w:rsid w:val="00B11AC6"/>
    <w:rsid w:val="00B12544"/>
    <w:rsid w:val="00B129AE"/>
    <w:rsid w:val="00B12CA6"/>
    <w:rsid w:val="00B131DE"/>
    <w:rsid w:val="00B15257"/>
    <w:rsid w:val="00B15271"/>
    <w:rsid w:val="00B153ED"/>
    <w:rsid w:val="00B15B00"/>
    <w:rsid w:val="00B15B19"/>
    <w:rsid w:val="00B15EAA"/>
    <w:rsid w:val="00B16AC5"/>
    <w:rsid w:val="00B1731F"/>
    <w:rsid w:val="00B17A1C"/>
    <w:rsid w:val="00B17BF9"/>
    <w:rsid w:val="00B2009F"/>
    <w:rsid w:val="00B20885"/>
    <w:rsid w:val="00B209EB"/>
    <w:rsid w:val="00B20B6F"/>
    <w:rsid w:val="00B20DBC"/>
    <w:rsid w:val="00B20F07"/>
    <w:rsid w:val="00B211FA"/>
    <w:rsid w:val="00B21A27"/>
    <w:rsid w:val="00B22865"/>
    <w:rsid w:val="00B22B4C"/>
    <w:rsid w:val="00B22D1B"/>
    <w:rsid w:val="00B22F3F"/>
    <w:rsid w:val="00B231C5"/>
    <w:rsid w:val="00B23628"/>
    <w:rsid w:val="00B23EBF"/>
    <w:rsid w:val="00B24BAB"/>
    <w:rsid w:val="00B24DAF"/>
    <w:rsid w:val="00B24EC8"/>
    <w:rsid w:val="00B250BC"/>
    <w:rsid w:val="00B25279"/>
    <w:rsid w:val="00B253BF"/>
    <w:rsid w:val="00B25499"/>
    <w:rsid w:val="00B26F1E"/>
    <w:rsid w:val="00B27410"/>
    <w:rsid w:val="00B27DF2"/>
    <w:rsid w:val="00B306DD"/>
    <w:rsid w:val="00B30A1E"/>
    <w:rsid w:val="00B30A69"/>
    <w:rsid w:val="00B3113C"/>
    <w:rsid w:val="00B317E1"/>
    <w:rsid w:val="00B31B51"/>
    <w:rsid w:val="00B32C13"/>
    <w:rsid w:val="00B33282"/>
    <w:rsid w:val="00B33F2E"/>
    <w:rsid w:val="00B340BA"/>
    <w:rsid w:val="00B341FC"/>
    <w:rsid w:val="00B344B4"/>
    <w:rsid w:val="00B355A2"/>
    <w:rsid w:val="00B35A0D"/>
    <w:rsid w:val="00B35BC7"/>
    <w:rsid w:val="00B35F3C"/>
    <w:rsid w:val="00B364A8"/>
    <w:rsid w:val="00B36581"/>
    <w:rsid w:val="00B36674"/>
    <w:rsid w:val="00B36E89"/>
    <w:rsid w:val="00B374D7"/>
    <w:rsid w:val="00B37868"/>
    <w:rsid w:val="00B40B08"/>
    <w:rsid w:val="00B40C2D"/>
    <w:rsid w:val="00B4103F"/>
    <w:rsid w:val="00B417A9"/>
    <w:rsid w:val="00B41998"/>
    <w:rsid w:val="00B4201C"/>
    <w:rsid w:val="00B422C5"/>
    <w:rsid w:val="00B426E1"/>
    <w:rsid w:val="00B42852"/>
    <w:rsid w:val="00B428EB"/>
    <w:rsid w:val="00B429BA"/>
    <w:rsid w:val="00B42D36"/>
    <w:rsid w:val="00B43616"/>
    <w:rsid w:val="00B43F2F"/>
    <w:rsid w:val="00B44230"/>
    <w:rsid w:val="00B44481"/>
    <w:rsid w:val="00B44BE1"/>
    <w:rsid w:val="00B44BEA"/>
    <w:rsid w:val="00B44E1C"/>
    <w:rsid w:val="00B4524B"/>
    <w:rsid w:val="00B45D19"/>
    <w:rsid w:val="00B462D9"/>
    <w:rsid w:val="00B467BD"/>
    <w:rsid w:val="00B46A04"/>
    <w:rsid w:val="00B46B15"/>
    <w:rsid w:val="00B46C5A"/>
    <w:rsid w:val="00B477E0"/>
    <w:rsid w:val="00B47E93"/>
    <w:rsid w:val="00B505FB"/>
    <w:rsid w:val="00B506F3"/>
    <w:rsid w:val="00B51ADF"/>
    <w:rsid w:val="00B51E44"/>
    <w:rsid w:val="00B521D9"/>
    <w:rsid w:val="00B52479"/>
    <w:rsid w:val="00B52676"/>
    <w:rsid w:val="00B532FD"/>
    <w:rsid w:val="00B53551"/>
    <w:rsid w:val="00B553BE"/>
    <w:rsid w:val="00B55401"/>
    <w:rsid w:val="00B5597D"/>
    <w:rsid w:val="00B559D1"/>
    <w:rsid w:val="00B564C6"/>
    <w:rsid w:val="00B56830"/>
    <w:rsid w:val="00B5697A"/>
    <w:rsid w:val="00B574DF"/>
    <w:rsid w:val="00B57A3D"/>
    <w:rsid w:val="00B57FDE"/>
    <w:rsid w:val="00B600C4"/>
    <w:rsid w:val="00B60327"/>
    <w:rsid w:val="00B604DC"/>
    <w:rsid w:val="00B609FA"/>
    <w:rsid w:val="00B60EF7"/>
    <w:rsid w:val="00B614F5"/>
    <w:rsid w:val="00B62509"/>
    <w:rsid w:val="00B628FB"/>
    <w:rsid w:val="00B632BD"/>
    <w:rsid w:val="00B637F2"/>
    <w:rsid w:val="00B63F64"/>
    <w:rsid w:val="00B6462A"/>
    <w:rsid w:val="00B64D24"/>
    <w:rsid w:val="00B654D9"/>
    <w:rsid w:val="00B6592F"/>
    <w:rsid w:val="00B659A0"/>
    <w:rsid w:val="00B65C96"/>
    <w:rsid w:val="00B65CC6"/>
    <w:rsid w:val="00B66295"/>
    <w:rsid w:val="00B6706A"/>
    <w:rsid w:val="00B670BA"/>
    <w:rsid w:val="00B670D7"/>
    <w:rsid w:val="00B67415"/>
    <w:rsid w:val="00B6792A"/>
    <w:rsid w:val="00B679C1"/>
    <w:rsid w:val="00B67DB1"/>
    <w:rsid w:val="00B70765"/>
    <w:rsid w:val="00B70A6F"/>
    <w:rsid w:val="00B70D4E"/>
    <w:rsid w:val="00B70D7D"/>
    <w:rsid w:val="00B71872"/>
    <w:rsid w:val="00B72258"/>
    <w:rsid w:val="00B7280F"/>
    <w:rsid w:val="00B72D0F"/>
    <w:rsid w:val="00B73473"/>
    <w:rsid w:val="00B736A3"/>
    <w:rsid w:val="00B73738"/>
    <w:rsid w:val="00B73977"/>
    <w:rsid w:val="00B742A8"/>
    <w:rsid w:val="00B7439C"/>
    <w:rsid w:val="00B746E7"/>
    <w:rsid w:val="00B74792"/>
    <w:rsid w:val="00B7498F"/>
    <w:rsid w:val="00B754C1"/>
    <w:rsid w:val="00B75856"/>
    <w:rsid w:val="00B75E72"/>
    <w:rsid w:val="00B760B7"/>
    <w:rsid w:val="00B76158"/>
    <w:rsid w:val="00B76590"/>
    <w:rsid w:val="00B770CE"/>
    <w:rsid w:val="00B7710E"/>
    <w:rsid w:val="00B7739C"/>
    <w:rsid w:val="00B7772D"/>
    <w:rsid w:val="00B80424"/>
    <w:rsid w:val="00B8089C"/>
    <w:rsid w:val="00B808B0"/>
    <w:rsid w:val="00B80BB5"/>
    <w:rsid w:val="00B8108E"/>
    <w:rsid w:val="00B81287"/>
    <w:rsid w:val="00B8172E"/>
    <w:rsid w:val="00B81BA0"/>
    <w:rsid w:val="00B82015"/>
    <w:rsid w:val="00B82E67"/>
    <w:rsid w:val="00B83230"/>
    <w:rsid w:val="00B83600"/>
    <w:rsid w:val="00B83CBF"/>
    <w:rsid w:val="00B8483F"/>
    <w:rsid w:val="00B85418"/>
    <w:rsid w:val="00B854E1"/>
    <w:rsid w:val="00B8590F"/>
    <w:rsid w:val="00B859A7"/>
    <w:rsid w:val="00B85ACA"/>
    <w:rsid w:val="00B85C4F"/>
    <w:rsid w:val="00B865E8"/>
    <w:rsid w:val="00B867F7"/>
    <w:rsid w:val="00B90164"/>
    <w:rsid w:val="00B902CA"/>
    <w:rsid w:val="00B9034B"/>
    <w:rsid w:val="00B907CE"/>
    <w:rsid w:val="00B909A7"/>
    <w:rsid w:val="00B9104B"/>
    <w:rsid w:val="00B91130"/>
    <w:rsid w:val="00B911B3"/>
    <w:rsid w:val="00B91244"/>
    <w:rsid w:val="00B91A57"/>
    <w:rsid w:val="00B922D9"/>
    <w:rsid w:val="00B9252A"/>
    <w:rsid w:val="00B92540"/>
    <w:rsid w:val="00B92824"/>
    <w:rsid w:val="00B92EC0"/>
    <w:rsid w:val="00B931C9"/>
    <w:rsid w:val="00B9337B"/>
    <w:rsid w:val="00B933F5"/>
    <w:rsid w:val="00B941F4"/>
    <w:rsid w:val="00B94203"/>
    <w:rsid w:val="00B94A59"/>
    <w:rsid w:val="00B95711"/>
    <w:rsid w:val="00B966CA"/>
    <w:rsid w:val="00B96CF7"/>
    <w:rsid w:val="00B970A8"/>
    <w:rsid w:val="00B97678"/>
    <w:rsid w:val="00B97732"/>
    <w:rsid w:val="00B979E8"/>
    <w:rsid w:val="00B97FD7"/>
    <w:rsid w:val="00BA038D"/>
    <w:rsid w:val="00BA04C1"/>
    <w:rsid w:val="00BA07FB"/>
    <w:rsid w:val="00BA1016"/>
    <w:rsid w:val="00BA124D"/>
    <w:rsid w:val="00BA131A"/>
    <w:rsid w:val="00BA1B3A"/>
    <w:rsid w:val="00BA2743"/>
    <w:rsid w:val="00BA2D78"/>
    <w:rsid w:val="00BA349B"/>
    <w:rsid w:val="00BA395C"/>
    <w:rsid w:val="00BA4744"/>
    <w:rsid w:val="00BA4D8D"/>
    <w:rsid w:val="00BA54C9"/>
    <w:rsid w:val="00BA558C"/>
    <w:rsid w:val="00BA5C70"/>
    <w:rsid w:val="00BA5D76"/>
    <w:rsid w:val="00BA6120"/>
    <w:rsid w:val="00BA628C"/>
    <w:rsid w:val="00BA68C7"/>
    <w:rsid w:val="00BA691F"/>
    <w:rsid w:val="00BA698C"/>
    <w:rsid w:val="00BA6FB3"/>
    <w:rsid w:val="00BA7167"/>
    <w:rsid w:val="00BA75EB"/>
    <w:rsid w:val="00BA78EB"/>
    <w:rsid w:val="00BA797D"/>
    <w:rsid w:val="00BB0ED0"/>
    <w:rsid w:val="00BB2094"/>
    <w:rsid w:val="00BB2357"/>
    <w:rsid w:val="00BB2623"/>
    <w:rsid w:val="00BB2B60"/>
    <w:rsid w:val="00BB2E64"/>
    <w:rsid w:val="00BB30FE"/>
    <w:rsid w:val="00BB362D"/>
    <w:rsid w:val="00BB36F7"/>
    <w:rsid w:val="00BB3CA7"/>
    <w:rsid w:val="00BB499E"/>
    <w:rsid w:val="00BB4C5C"/>
    <w:rsid w:val="00BB57CB"/>
    <w:rsid w:val="00BB6052"/>
    <w:rsid w:val="00BB60B4"/>
    <w:rsid w:val="00BB69DF"/>
    <w:rsid w:val="00BB7EB9"/>
    <w:rsid w:val="00BC0415"/>
    <w:rsid w:val="00BC04B9"/>
    <w:rsid w:val="00BC08C1"/>
    <w:rsid w:val="00BC08C2"/>
    <w:rsid w:val="00BC0A31"/>
    <w:rsid w:val="00BC0CFE"/>
    <w:rsid w:val="00BC150C"/>
    <w:rsid w:val="00BC1E7E"/>
    <w:rsid w:val="00BC21E1"/>
    <w:rsid w:val="00BC24F6"/>
    <w:rsid w:val="00BC25E2"/>
    <w:rsid w:val="00BC36AE"/>
    <w:rsid w:val="00BC36B9"/>
    <w:rsid w:val="00BC388D"/>
    <w:rsid w:val="00BC39A4"/>
    <w:rsid w:val="00BC427A"/>
    <w:rsid w:val="00BC4328"/>
    <w:rsid w:val="00BC4B1E"/>
    <w:rsid w:val="00BC4F44"/>
    <w:rsid w:val="00BC52F7"/>
    <w:rsid w:val="00BC5B00"/>
    <w:rsid w:val="00BC5CC1"/>
    <w:rsid w:val="00BC64D9"/>
    <w:rsid w:val="00BC680A"/>
    <w:rsid w:val="00BC6FE4"/>
    <w:rsid w:val="00BC731B"/>
    <w:rsid w:val="00BC7551"/>
    <w:rsid w:val="00BD047D"/>
    <w:rsid w:val="00BD27EB"/>
    <w:rsid w:val="00BD2EAF"/>
    <w:rsid w:val="00BD3075"/>
    <w:rsid w:val="00BD46A9"/>
    <w:rsid w:val="00BD5092"/>
    <w:rsid w:val="00BD62A7"/>
    <w:rsid w:val="00BE02AE"/>
    <w:rsid w:val="00BE0D81"/>
    <w:rsid w:val="00BE11BF"/>
    <w:rsid w:val="00BE13E2"/>
    <w:rsid w:val="00BE14E8"/>
    <w:rsid w:val="00BE16A0"/>
    <w:rsid w:val="00BE17E8"/>
    <w:rsid w:val="00BE1961"/>
    <w:rsid w:val="00BE1FF9"/>
    <w:rsid w:val="00BE33CE"/>
    <w:rsid w:val="00BE33D0"/>
    <w:rsid w:val="00BE3509"/>
    <w:rsid w:val="00BE3EBF"/>
    <w:rsid w:val="00BE41FA"/>
    <w:rsid w:val="00BE4655"/>
    <w:rsid w:val="00BE510F"/>
    <w:rsid w:val="00BE51BF"/>
    <w:rsid w:val="00BE526C"/>
    <w:rsid w:val="00BE5FC2"/>
    <w:rsid w:val="00BE6AF2"/>
    <w:rsid w:val="00BE74A0"/>
    <w:rsid w:val="00BE7AFD"/>
    <w:rsid w:val="00BF0ABB"/>
    <w:rsid w:val="00BF0FE5"/>
    <w:rsid w:val="00BF16BC"/>
    <w:rsid w:val="00BF1B29"/>
    <w:rsid w:val="00BF25E5"/>
    <w:rsid w:val="00BF271E"/>
    <w:rsid w:val="00BF27CE"/>
    <w:rsid w:val="00BF2F8F"/>
    <w:rsid w:val="00BF3A15"/>
    <w:rsid w:val="00BF462D"/>
    <w:rsid w:val="00BF4BBB"/>
    <w:rsid w:val="00BF5090"/>
    <w:rsid w:val="00BF5905"/>
    <w:rsid w:val="00BF5B79"/>
    <w:rsid w:val="00BF667C"/>
    <w:rsid w:val="00BF682C"/>
    <w:rsid w:val="00BF70A4"/>
    <w:rsid w:val="00BF7D43"/>
    <w:rsid w:val="00C0034D"/>
    <w:rsid w:val="00C0036C"/>
    <w:rsid w:val="00C0049A"/>
    <w:rsid w:val="00C0059B"/>
    <w:rsid w:val="00C00B98"/>
    <w:rsid w:val="00C01106"/>
    <w:rsid w:val="00C021EC"/>
    <w:rsid w:val="00C021FB"/>
    <w:rsid w:val="00C02824"/>
    <w:rsid w:val="00C033FE"/>
    <w:rsid w:val="00C034B5"/>
    <w:rsid w:val="00C03686"/>
    <w:rsid w:val="00C038D1"/>
    <w:rsid w:val="00C03B01"/>
    <w:rsid w:val="00C0407F"/>
    <w:rsid w:val="00C043A6"/>
    <w:rsid w:val="00C044A1"/>
    <w:rsid w:val="00C045C8"/>
    <w:rsid w:val="00C0505A"/>
    <w:rsid w:val="00C05B75"/>
    <w:rsid w:val="00C06071"/>
    <w:rsid w:val="00C060C9"/>
    <w:rsid w:val="00C0618B"/>
    <w:rsid w:val="00C06ED0"/>
    <w:rsid w:val="00C073E1"/>
    <w:rsid w:val="00C076D1"/>
    <w:rsid w:val="00C077AD"/>
    <w:rsid w:val="00C107D6"/>
    <w:rsid w:val="00C110AD"/>
    <w:rsid w:val="00C11129"/>
    <w:rsid w:val="00C11B04"/>
    <w:rsid w:val="00C122D7"/>
    <w:rsid w:val="00C1237A"/>
    <w:rsid w:val="00C139C8"/>
    <w:rsid w:val="00C1474C"/>
    <w:rsid w:val="00C1577B"/>
    <w:rsid w:val="00C157CB"/>
    <w:rsid w:val="00C166F2"/>
    <w:rsid w:val="00C16750"/>
    <w:rsid w:val="00C16CF5"/>
    <w:rsid w:val="00C17239"/>
    <w:rsid w:val="00C177AF"/>
    <w:rsid w:val="00C17EA0"/>
    <w:rsid w:val="00C2080E"/>
    <w:rsid w:val="00C208DD"/>
    <w:rsid w:val="00C20975"/>
    <w:rsid w:val="00C20B11"/>
    <w:rsid w:val="00C20E2C"/>
    <w:rsid w:val="00C20E3B"/>
    <w:rsid w:val="00C227A5"/>
    <w:rsid w:val="00C2333C"/>
    <w:rsid w:val="00C23880"/>
    <w:rsid w:val="00C23A8A"/>
    <w:rsid w:val="00C23CA6"/>
    <w:rsid w:val="00C24969"/>
    <w:rsid w:val="00C24A77"/>
    <w:rsid w:val="00C2503B"/>
    <w:rsid w:val="00C25A75"/>
    <w:rsid w:val="00C25B59"/>
    <w:rsid w:val="00C26644"/>
    <w:rsid w:val="00C26F8C"/>
    <w:rsid w:val="00C276D6"/>
    <w:rsid w:val="00C27C1A"/>
    <w:rsid w:val="00C30206"/>
    <w:rsid w:val="00C30779"/>
    <w:rsid w:val="00C30798"/>
    <w:rsid w:val="00C308F2"/>
    <w:rsid w:val="00C30C22"/>
    <w:rsid w:val="00C318E1"/>
    <w:rsid w:val="00C31EB3"/>
    <w:rsid w:val="00C3231C"/>
    <w:rsid w:val="00C3313B"/>
    <w:rsid w:val="00C33359"/>
    <w:rsid w:val="00C3390F"/>
    <w:rsid w:val="00C33EC9"/>
    <w:rsid w:val="00C3424E"/>
    <w:rsid w:val="00C36160"/>
    <w:rsid w:val="00C3672F"/>
    <w:rsid w:val="00C367C5"/>
    <w:rsid w:val="00C36A6D"/>
    <w:rsid w:val="00C37C30"/>
    <w:rsid w:val="00C37D88"/>
    <w:rsid w:val="00C4026F"/>
    <w:rsid w:val="00C4055D"/>
    <w:rsid w:val="00C41038"/>
    <w:rsid w:val="00C41BCA"/>
    <w:rsid w:val="00C42949"/>
    <w:rsid w:val="00C42E5E"/>
    <w:rsid w:val="00C43ABD"/>
    <w:rsid w:val="00C43C32"/>
    <w:rsid w:val="00C442D6"/>
    <w:rsid w:val="00C4433F"/>
    <w:rsid w:val="00C44529"/>
    <w:rsid w:val="00C4480C"/>
    <w:rsid w:val="00C45278"/>
    <w:rsid w:val="00C472E0"/>
    <w:rsid w:val="00C47801"/>
    <w:rsid w:val="00C47AC5"/>
    <w:rsid w:val="00C50656"/>
    <w:rsid w:val="00C50D08"/>
    <w:rsid w:val="00C5106B"/>
    <w:rsid w:val="00C515F9"/>
    <w:rsid w:val="00C52624"/>
    <w:rsid w:val="00C52D20"/>
    <w:rsid w:val="00C5345D"/>
    <w:rsid w:val="00C53826"/>
    <w:rsid w:val="00C53C18"/>
    <w:rsid w:val="00C53EBF"/>
    <w:rsid w:val="00C53FBA"/>
    <w:rsid w:val="00C540C6"/>
    <w:rsid w:val="00C546AD"/>
    <w:rsid w:val="00C5540F"/>
    <w:rsid w:val="00C5543F"/>
    <w:rsid w:val="00C56395"/>
    <w:rsid w:val="00C563D0"/>
    <w:rsid w:val="00C568C1"/>
    <w:rsid w:val="00C56BE5"/>
    <w:rsid w:val="00C56DE6"/>
    <w:rsid w:val="00C570F1"/>
    <w:rsid w:val="00C57B02"/>
    <w:rsid w:val="00C61540"/>
    <w:rsid w:val="00C6181C"/>
    <w:rsid w:val="00C61F43"/>
    <w:rsid w:val="00C628E8"/>
    <w:rsid w:val="00C62C0D"/>
    <w:rsid w:val="00C62CD8"/>
    <w:rsid w:val="00C631E0"/>
    <w:rsid w:val="00C637F3"/>
    <w:rsid w:val="00C64613"/>
    <w:rsid w:val="00C64682"/>
    <w:rsid w:val="00C647EE"/>
    <w:rsid w:val="00C64A89"/>
    <w:rsid w:val="00C64F46"/>
    <w:rsid w:val="00C653BA"/>
    <w:rsid w:val="00C6564B"/>
    <w:rsid w:val="00C6605E"/>
    <w:rsid w:val="00C6665C"/>
    <w:rsid w:val="00C66A2E"/>
    <w:rsid w:val="00C67144"/>
    <w:rsid w:val="00C7045E"/>
    <w:rsid w:val="00C7075A"/>
    <w:rsid w:val="00C7083B"/>
    <w:rsid w:val="00C70F62"/>
    <w:rsid w:val="00C71D61"/>
    <w:rsid w:val="00C720C5"/>
    <w:rsid w:val="00C72695"/>
    <w:rsid w:val="00C73162"/>
    <w:rsid w:val="00C73CDA"/>
    <w:rsid w:val="00C7434A"/>
    <w:rsid w:val="00C74D01"/>
    <w:rsid w:val="00C74D72"/>
    <w:rsid w:val="00C75047"/>
    <w:rsid w:val="00C754CA"/>
    <w:rsid w:val="00C75CB5"/>
    <w:rsid w:val="00C7634E"/>
    <w:rsid w:val="00C76577"/>
    <w:rsid w:val="00C76D38"/>
    <w:rsid w:val="00C77FDA"/>
    <w:rsid w:val="00C80C51"/>
    <w:rsid w:val="00C80CF4"/>
    <w:rsid w:val="00C8173B"/>
    <w:rsid w:val="00C8177A"/>
    <w:rsid w:val="00C82436"/>
    <w:rsid w:val="00C82BCC"/>
    <w:rsid w:val="00C82D13"/>
    <w:rsid w:val="00C8321B"/>
    <w:rsid w:val="00C834EF"/>
    <w:rsid w:val="00C83976"/>
    <w:rsid w:val="00C839FB"/>
    <w:rsid w:val="00C84196"/>
    <w:rsid w:val="00C84A8D"/>
    <w:rsid w:val="00C84E26"/>
    <w:rsid w:val="00C854EC"/>
    <w:rsid w:val="00C8561B"/>
    <w:rsid w:val="00C85741"/>
    <w:rsid w:val="00C8590F"/>
    <w:rsid w:val="00C86283"/>
    <w:rsid w:val="00C86567"/>
    <w:rsid w:val="00C86D2B"/>
    <w:rsid w:val="00C878ED"/>
    <w:rsid w:val="00C87C6A"/>
    <w:rsid w:val="00C90B96"/>
    <w:rsid w:val="00C90D4F"/>
    <w:rsid w:val="00C910F1"/>
    <w:rsid w:val="00C91741"/>
    <w:rsid w:val="00C93746"/>
    <w:rsid w:val="00C93FB3"/>
    <w:rsid w:val="00C940B7"/>
    <w:rsid w:val="00C94358"/>
    <w:rsid w:val="00C94A80"/>
    <w:rsid w:val="00C94E57"/>
    <w:rsid w:val="00C95797"/>
    <w:rsid w:val="00C958E3"/>
    <w:rsid w:val="00C95AF3"/>
    <w:rsid w:val="00C95BB5"/>
    <w:rsid w:val="00C95F3E"/>
    <w:rsid w:val="00C966F0"/>
    <w:rsid w:val="00C967CC"/>
    <w:rsid w:val="00C96DE4"/>
    <w:rsid w:val="00C978E5"/>
    <w:rsid w:val="00C97964"/>
    <w:rsid w:val="00CA0165"/>
    <w:rsid w:val="00CA0214"/>
    <w:rsid w:val="00CA031F"/>
    <w:rsid w:val="00CA09C3"/>
    <w:rsid w:val="00CA1039"/>
    <w:rsid w:val="00CA165C"/>
    <w:rsid w:val="00CA1680"/>
    <w:rsid w:val="00CA2C19"/>
    <w:rsid w:val="00CA3775"/>
    <w:rsid w:val="00CA3969"/>
    <w:rsid w:val="00CA3996"/>
    <w:rsid w:val="00CA4517"/>
    <w:rsid w:val="00CA4922"/>
    <w:rsid w:val="00CA4A2E"/>
    <w:rsid w:val="00CA4C4F"/>
    <w:rsid w:val="00CA5A3B"/>
    <w:rsid w:val="00CA5BBA"/>
    <w:rsid w:val="00CA69E8"/>
    <w:rsid w:val="00CA6BF2"/>
    <w:rsid w:val="00CA7003"/>
    <w:rsid w:val="00CA719A"/>
    <w:rsid w:val="00CA71FD"/>
    <w:rsid w:val="00CA7897"/>
    <w:rsid w:val="00CB00DD"/>
    <w:rsid w:val="00CB12E5"/>
    <w:rsid w:val="00CB1A41"/>
    <w:rsid w:val="00CB1C62"/>
    <w:rsid w:val="00CB3066"/>
    <w:rsid w:val="00CB3879"/>
    <w:rsid w:val="00CB4464"/>
    <w:rsid w:val="00CB4E11"/>
    <w:rsid w:val="00CB4F3C"/>
    <w:rsid w:val="00CB4F75"/>
    <w:rsid w:val="00CB5466"/>
    <w:rsid w:val="00CB6300"/>
    <w:rsid w:val="00CB6540"/>
    <w:rsid w:val="00CB6560"/>
    <w:rsid w:val="00CB6D29"/>
    <w:rsid w:val="00CB71E2"/>
    <w:rsid w:val="00CC215C"/>
    <w:rsid w:val="00CC245E"/>
    <w:rsid w:val="00CC27D2"/>
    <w:rsid w:val="00CC28DE"/>
    <w:rsid w:val="00CC29BB"/>
    <w:rsid w:val="00CC2A89"/>
    <w:rsid w:val="00CC30B8"/>
    <w:rsid w:val="00CC35E2"/>
    <w:rsid w:val="00CC3EDE"/>
    <w:rsid w:val="00CC4B08"/>
    <w:rsid w:val="00CC4C0C"/>
    <w:rsid w:val="00CC50B1"/>
    <w:rsid w:val="00CC53A7"/>
    <w:rsid w:val="00CC5505"/>
    <w:rsid w:val="00CC58EB"/>
    <w:rsid w:val="00CC5D66"/>
    <w:rsid w:val="00CC66F2"/>
    <w:rsid w:val="00CC67A4"/>
    <w:rsid w:val="00CC7030"/>
    <w:rsid w:val="00CC7466"/>
    <w:rsid w:val="00CC7ECB"/>
    <w:rsid w:val="00CD0FB0"/>
    <w:rsid w:val="00CD106B"/>
    <w:rsid w:val="00CD18C8"/>
    <w:rsid w:val="00CD25F9"/>
    <w:rsid w:val="00CD30C7"/>
    <w:rsid w:val="00CD323F"/>
    <w:rsid w:val="00CD354C"/>
    <w:rsid w:val="00CD376F"/>
    <w:rsid w:val="00CD380B"/>
    <w:rsid w:val="00CD4261"/>
    <w:rsid w:val="00CD46B5"/>
    <w:rsid w:val="00CD622B"/>
    <w:rsid w:val="00CD6382"/>
    <w:rsid w:val="00CD67C4"/>
    <w:rsid w:val="00CD6A57"/>
    <w:rsid w:val="00CD6ACA"/>
    <w:rsid w:val="00CD7524"/>
    <w:rsid w:val="00CE0190"/>
    <w:rsid w:val="00CE0A19"/>
    <w:rsid w:val="00CE0ACA"/>
    <w:rsid w:val="00CE1BEF"/>
    <w:rsid w:val="00CE1C44"/>
    <w:rsid w:val="00CE1D15"/>
    <w:rsid w:val="00CE1F08"/>
    <w:rsid w:val="00CE1F48"/>
    <w:rsid w:val="00CE218D"/>
    <w:rsid w:val="00CE30C5"/>
    <w:rsid w:val="00CE3601"/>
    <w:rsid w:val="00CE3674"/>
    <w:rsid w:val="00CE39BF"/>
    <w:rsid w:val="00CE5E9D"/>
    <w:rsid w:val="00CE612C"/>
    <w:rsid w:val="00CE66A8"/>
    <w:rsid w:val="00CE699B"/>
    <w:rsid w:val="00CE6C21"/>
    <w:rsid w:val="00CE754B"/>
    <w:rsid w:val="00CF042B"/>
    <w:rsid w:val="00CF05CA"/>
    <w:rsid w:val="00CF0A36"/>
    <w:rsid w:val="00CF12A6"/>
    <w:rsid w:val="00CF16EF"/>
    <w:rsid w:val="00CF2015"/>
    <w:rsid w:val="00CF214E"/>
    <w:rsid w:val="00CF23F9"/>
    <w:rsid w:val="00CF2A6F"/>
    <w:rsid w:val="00CF2DF3"/>
    <w:rsid w:val="00CF30BB"/>
    <w:rsid w:val="00CF329F"/>
    <w:rsid w:val="00CF3416"/>
    <w:rsid w:val="00CF476D"/>
    <w:rsid w:val="00CF4865"/>
    <w:rsid w:val="00CF4AFA"/>
    <w:rsid w:val="00CF519C"/>
    <w:rsid w:val="00CF531A"/>
    <w:rsid w:val="00CF5AA4"/>
    <w:rsid w:val="00CF5B01"/>
    <w:rsid w:val="00D00A7A"/>
    <w:rsid w:val="00D0106A"/>
    <w:rsid w:val="00D01949"/>
    <w:rsid w:val="00D02001"/>
    <w:rsid w:val="00D02259"/>
    <w:rsid w:val="00D02543"/>
    <w:rsid w:val="00D02ABC"/>
    <w:rsid w:val="00D03166"/>
    <w:rsid w:val="00D03213"/>
    <w:rsid w:val="00D03988"/>
    <w:rsid w:val="00D03CEA"/>
    <w:rsid w:val="00D04407"/>
    <w:rsid w:val="00D0530C"/>
    <w:rsid w:val="00D0643D"/>
    <w:rsid w:val="00D0675B"/>
    <w:rsid w:val="00D06A2A"/>
    <w:rsid w:val="00D0706E"/>
    <w:rsid w:val="00D07509"/>
    <w:rsid w:val="00D10104"/>
    <w:rsid w:val="00D1021A"/>
    <w:rsid w:val="00D1162A"/>
    <w:rsid w:val="00D126E2"/>
    <w:rsid w:val="00D1310A"/>
    <w:rsid w:val="00D135F5"/>
    <w:rsid w:val="00D13AF0"/>
    <w:rsid w:val="00D14053"/>
    <w:rsid w:val="00D1425A"/>
    <w:rsid w:val="00D1461B"/>
    <w:rsid w:val="00D14665"/>
    <w:rsid w:val="00D14749"/>
    <w:rsid w:val="00D14A74"/>
    <w:rsid w:val="00D14E3C"/>
    <w:rsid w:val="00D15401"/>
    <w:rsid w:val="00D15B8F"/>
    <w:rsid w:val="00D15F75"/>
    <w:rsid w:val="00D169A0"/>
    <w:rsid w:val="00D16B41"/>
    <w:rsid w:val="00D16DC8"/>
    <w:rsid w:val="00D16E7D"/>
    <w:rsid w:val="00D16F95"/>
    <w:rsid w:val="00D1786B"/>
    <w:rsid w:val="00D20FDF"/>
    <w:rsid w:val="00D2172E"/>
    <w:rsid w:val="00D229A9"/>
    <w:rsid w:val="00D22AF6"/>
    <w:rsid w:val="00D22C32"/>
    <w:rsid w:val="00D23AD0"/>
    <w:rsid w:val="00D2430D"/>
    <w:rsid w:val="00D245E0"/>
    <w:rsid w:val="00D2561E"/>
    <w:rsid w:val="00D26961"/>
    <w:rsid w:val="00D271AA"/>
    <w:rsid w:val="00D27227"/>
    <w:rsid w:val="00D27318"/>
    <w:rsid w:val="00D27FFA"/>
    <w:rsid w:val="00D30247"/>
    <w:rsid w:val="00D30353"/>
    <w:rsid w:val="00D30967"/>
    <w:rsid w:val="00D30D98"/>
    <w:rsid w:val="00D3114A"/>
    <w:rsid w:val="00D319CE"/>
    <w:rsid w:val="00D31EEA"/>
    <w:rsid w:val="00D32542"/>
    <w:rsid w:val="00D32553"/>
    <w:rsid w:val="00D32847"/>
    <w:rsid w:val="00D330BC"/>
    <w:rsid w:val="00D3402C"/>
    <w:rsid w:val="00D34FD3"/>
    <w:rsid w:val="00D357D6"/>
    <w:rsid w:val="00D35B03"/>
    <w:rsid w:val="00D35D33"/>
    <w:rsid w:val="00D365D4"/>
    <w:rsid w:val="00D36D0F"/>
    <w:rsid w:val="00D36DDF"/>
    <w:rsid w:val="00D3705A"/>
    <w:rsid w:val="00D37156"/>
    <w:rsid w:val="00D37752"/>
    <w:rsid w:val="00D407C2"/>
    <w:rsid w:val="00D409C8"/>
    <w:rsid w:val="00D40A9C"/>
    <w:rsid w:val="00D4157C"/>
    <w:rsid w:val="00D41766"/>
    <w:rsid w:val="00D41C8D"/>
    <w:rsid w:val="00D41FE8"/>
    <w:rsid w:val="00D422C4"/>
    <w:rsid w:val="00D42C42"/>
    <w:rsid w:val="00D42E2E"/>
    <w:rsid w:val="00D433E1"/>
    <w:rsid w:val="00D44607"/>
    <w:rsid w:val="00D4469D"/>
    <w:rsid w:val="00D45870"/>
    <w:rsid w:val="00D458CB"/>
    <w:rsid w:val="00D4597D"/>
    <w:rsid w:val="00D460A7"/>
    <w:rsid w:val="00D460AD"/>
    <w:rsid w:val="00D465DA"/>
    <w:rsid w:val="00D46D02"/>
    <w:rsid w:val="00D500BA"/>
    <w:rsid w:val="00D51251"/>
    <w:rsid w:val="00D516B2"/>
    <w:rsid w:val="00D51B02"/>
    <w:rsid w:val="00D51CE1"/>
    <w:rsid w:val="00D51D4C"/>
    <w:rsid w:val="00D520CD"/>
    <w:rsid w:val="00D520D8"/>
    <w:rsid w:val="00D521AD"/>
    <w:rsid w:val="00D52EA8"/>
    <w:rsid w:val="00D534B6"/>
    <w:rsid w:val="00D5351A"/>
    <w:rsid w:val="00D535AB"/>
    <w:rsid w:val="00D537DA"/>
    <w:rsid w:val="00D539FE"/>
    <w:rsid w:val="00D53ADB"/>
    <w:rsid w:val="00D54864"/>
    <w:rsid w:val="00D553B3"/>
    <w:rsid w:val="00D5564F"/>
    <w:rsid w:val="00D55D13"/>
    <w:rsid w:val="00D55E6A"/>
    <w:rsid w:val="00D5639D"/>
    <w:rsid w:val="00D567E5"/>
    <w:rsid w:val="00D570B8"/>
    <w:rsid w:val="00D572B1"/>
    <w:rsid w:val="00D573E6"/>
    <w:rsid w:val="00D57B0C"/>
    <w:rsid w:val="00D60BFA"/>
    <w:rsid w:val="00D612F8"/>
    <w:rsid w:val="00D61574"/>
    <w:rsid w:val="00D6163E"/>
    <w:rsid w:val="00D62A3C"/>
    <w:rsid w:val="00D6362C"/>
    <w:rsid w:val="00D63B63"/>
    <w:rsid w:val="00D648F3"/>
    <w:rsid w:val="00D64A1B"/>
    <w:rsid w:val="00D64C28"/>
    <w:rsid w:val="00D65DCE"/>
    <w:rsid w:val="00D65DD7"/>
    <w:rsid w:val="00D65E31"/>
    <w:rsid w:val="00D66DEC"/>
    <w:rsid w:val="00D66E02"/>
    <w:rsid w:val="00D6725A"/>
    <w:rsid w:val="00D67D99"/>
    <w:rsid w:val="00D67EA4"/>
    <w:rsid w:val="00D67F70"/>
    <w:rsid w:val="00D67FD4"/>
    <w:rsid w:val="00D7033E"/>
    <w:rsid w:val="00D703E4"/>
    <w:rsid w:val="00D7150E"/>
    <w:rsid w:val="00D71633"/>
    <w:rsid w:val="00D71B93"/>
    <w:rsid w:val="00D72504"/>
    <w:rsid w:val="00D72A8F"/>
    <w:rsid w:val="00D72D2A"/>
    <w:rsid w:val="00D72E16"/>
    <w:rsid w:val="00D72E30"/>
    <w:rsid w:val="00D731E0"/>
    <w:rsid w:val="00D736B2"/>
    <w:rsid w:val="00D73742"/>
    <w:rsid w:val="00D738D9"/>
    <w:rsid w:val="00D74070"/>
    <w:rsid w:val="00D744CB"/>
    <w:rsid w:val="00D75473"/>
    <w:rsid w:val="00D75725"/>
    <w:rsid w:val="00D75C21"/>
    <w:rsid w:val="00D75C8B"/>
    <w:rsid w:val="00D774A9"/>
    <w:rsid w:val="00D77B4B"/>
    <w:rsid w:val="00D800F2"/>
    <w:rsid w:val="00D80347"/>
    <w:rsid w:val="00D80C4B"/>
    <w:rsid w:val="00D818CB"/>
    <w:rsid w:val="00D81F8C"/>
    <w:rsid w:val="00D8222A"/>
    <w:rsid w:val="00D83957"/>
    <w:rsid w:val="00D839B9"/>
    <w:rsid w:val="00D8437A"/>
    <w:rsid w:val="00D84781"/>
    <w:rsid w:val="00D84CAC"/>
    <w:rsid w:val="00D8542A"/>
    <w:rsid w:val="00D85712"/>
    <w:rsid w:val="00D864C8"/>
    <w:rsid w:val="00D86EA1"/>
    <w:rsid w:val="00D8776B"/>
    <w:rsid w:val="00D90270"/>
    <w:rsid w:val="00D90D8D"/>
    <w:rsid w:val="00D91E28"/>
    <w:rsid w:val="00D92A98"/>
    <w:rsid w:val="00D930C4"/>
    <w:rsid w:val="00D9454A"/>
    <w:rsid w:val="00D9521A"/>
    <w:rsid w:val="00D957CD"/>
    <w:rsid w:val="00D95D74"/>
    <w:rsid w:val="00D96882"/>
    <w:rsid w:val="00D96D0E"/>
    <w:rsid w:val="00D96F7C"/>
    <w:rsid w:val="00D9702F"/>
    <w:rsid w:val="00D97482"/>
    <w:rsid w:val="00D974BC"/>
    <w:rsid w:val="00D979BE"/>
    <w:rsid w:val="00D97F88"/>
    <w:rsid w:val="00DA0C40"/>
    <w:rsid w:val="00DA11EE"/>
    <w:rsid w:val="00DA1623"/>
    <w:rsid w:val="00DA1871"/>
    <w:rsid w:val="00DA1A3C"/>
    <w:rsid w:val="00DA1E51"/>
    <w:rsid w:val="00DA4486"/>
    <w:rsid w:val="00DA5D42"/>
    <w:rsid w:val="00DA5DE3"/>
    <w:rsid w:val="00DA66A9"/>
    <w:rsid w:val="00DA6AE6"/>
    <w:rsid w:val="00DA6EAE"/>
    <w:rsid w:val="00DA77ED"/>
    <w:rsid w:val="00DA7BD6"/>
    <w:rsid w:val="00DB02AB"/>
    <w:rsid w:val="00DB0B86"/>
    <w:rsid w:val="00DB128F"/>
    <w:rsid w:val="00DB13F8"/>
    <w:rsid w:val="00DB2791"/>
    <w:rsid w:val="00DB404A"/>
    <w:rsid w:val="00DB4245"/>
    <w:rsid w:val="00DB4E86"/>
    <w:rsid w:val="00DB4ED1"/>
    <w:rsid w:val="00DB5958"/>
    <w:rsid w:val="00DB5BDA"/>
    <w:rsid w:val="00DB6237"/>
    <w:rsid w:val="00DB6E53"/>
    <w:rsid w:val="00DB706D"/>
    <w:rsid w:val="00DB7605"/>
    <w:rsid w:val="00DB77A3"/>
    <w:rsid w:val="00DC0B07"/>
    <w:rsid w:val="00DC0E49"/>
    <w:rsid w:val="00DC0F8D"/>
    <w:rsid w:val="00DC1266"/>
    <w:rsid w:val="00DC1FA3"/>
    <w:rsid w:val="00DC296F"/>
    <w:rsid w:val="00DC2EB3"/>
    <w:rsid w:val="00DC38CA"/>
    <w:rsid w:val="00DC3B31"/>
    <w:rsid w:val="00DC5632"/>
    <w:rsid w:val="00DC6290"/>
    <w:rsid w:val="00DC636B"/>
    <w:rsid w:val="00DC6833"/>
    <w:rsid w:val="00DC7B0E"/>
    <w:rsid w:val="00DC7E8C"/>
    <w:rsid w:val="00DD05DC"/>
    <w:rsid w:val="00DD097F"/>
    <w:rsid w:val="00DD0D4A"/>
    <w:rsid w:val="00DD177C"/>
    <w:rsid w:val="00DD1FB0"/>
    <w:rsid w:val="00DD29DB"/>
    <w:rsid w:val="00DD316F"/>
    <w:rsid w:val="00DD4117"/>
    <w:rsid w:val="00DD4536"/>
    <w:rsid w:val="00DD4932"/>
    <w:rsid w:val="00DD4D25"/>
    <w:rsid w:val="00DD5A61"/>
    <w:rsid w:val="00DD6134"/>
    <w:rsid w:val="00DD654E"/>
    <w:rsid w:val="00DD71C7"/>
    <w:rsid w:val="00DD7A54"/>
    <w:rsid w:val="00DD7F2A"/>
    <w:rsid w:val="00DE03FE"/>
    <w:rsid w:val="00DE071E"/>
    <w:rsid w:val="00DE0903"/>
    <w:rsid w:val="00DE0A3D"/>
    <w:rsid w:val="00DE19EA"/>
    <w:rsid w:val="00DE329F"/>
    <w:rsid w:val="00DE32CF"/>
    <w:rsid w:val="00DE37FA"/>
    <w:rsid w:val="00DE3FC2"/>
    <w:rsid w:val="00DE41A0"/>
    <w:rsid w:val="00DE4C70"/>
    <w:rsid w:val="00DE52F6"/>
    <w:rsid w:val="00DE56C1"/>
    <w:rsid w:val="00DE6180"/>
    <w:rsid w:val="00DE62BA"/>
    <w:rsid w:val="00DE66D9"/>
    <w:rsid w:val="00DE6CD4"/>
    <w:rsid w:val="00DE73E3"/>
    <w:rsid w:val="00DE747F"/>
    <w:rsid w:val="00DE79C2"/>
    <w:rsid w:val="00DF0584"/>
    <w:rsid w:val="00DF094D"/>
    <w:rsid w:val="00DF0AAA"/>
    <w:rsid w:val="00DF0C57"/>
    <w:rsid w:val="00DF1105"/>
    <w:rsid w:val="00DF1252"/>
    <w:rsid w:val="00DF132E"/>
    <w:rsid w:val="00DF145E"/>
    <w:rsid w:val="00DF156D"/>
    <w:rsid w:val="00DF16B6"/>
    <w:rsid w:val="00DF1907"/>
    <w:rsid w:val="00DF258E"/>
    <w:rsid w:val="00DF278A"/>
    <w:rsid w:val="00DF2DEF"/>
    <w:rsid w:val="00DF2EB2"/>
    <w:rsid w:val="00DF30FA"/>
    <w:rsid w:val="00DF3B4B"/>
    <w:rsid w:val="00DF4CB2"/>
    <w:rsid w:val="00DF511E"/>
    <w:rsid w:val="00DF5C8C"/>
    <w:rsid w:val="00DF6270"/>
    <w:rsid w:val="00DF6434"/>
    <w:rsid w:val="00DF64B9"/>
    <w:rsid w:val="00DF653D"/>
    <w:rsid w:val="00DF6F27"/>
    <w:rsid w:val="00DF7228"/>
    <w:rsid w:val="00DF77D1"/>
    <w:rsid w:val="00DF788A"/>
    <w:rsid w:val="00E00122"/>
    <w:rsid w:val="00E007B9"/>
    <w:rsid w:val="00E00905"/>
    <w:rsid w:val="00E00C72"/>
    <w:rsid w:val="00E00F36"/>
    <w:rsid w:val="00E0105D"/>
    <w:rsid w:val="00E01E74"/>
    <w:rsid w:val="00E02316"/>
    <w:rsid w:val="00E027D5"/>
    <w:rsid w:val="00E02E00"/>
    <w:rsid w:val="00E03580"/>
    <w:rsid w:val="00E03F44"/>
    <w:rsid w:val="00E043E5"/>
    <w:rsid w:val="00E0529F"/>
    <w:rsid w:val="00E056D3"/>
    <w:rsid w:val="00E056F5"/>
    <w:rsid w:val="00E05F16"/>
    <w:rsid w:val="00E064A0"/>
    <w:rsid w:val="00E06665"/>
    <w:rsid w:val="00E06685"/>
    <w:rsid w:val="00E07530"/>
    <w:rsid w:val="00E0755B"/>
    <w:rsid w:val="00E075A7"/>
    <w:rsid w:val="00E1097F"/>
    <w:rsid w:val="00E1184C"/>
    <w:rsid w:val="00E11EAD"/>
    <w:rsid w:val="00E12278"/>
    <w:rsid w:val="00E12454"/>
    <w:rsid w:val="00E128AE"/>
    <w:rsid w:val="00E12CEB"/>
    <w:rsid w:val="00E12ECA"/>
    <w:rsid w:val="00E12EF9"/>
    <w:rsid w:val="00E145B8"/>
    <w:rsid w:val="00E14705"/>
    <w:rsid w:val="00E14B18"/>
    <w:rsid w:val="00E15541"/>
    <w:rsid w:val="00E15DDA"/>
    <w:rsid w:val="00E16574"/>
    <w:rsid w:val="00E16840"/>
    <w:rsid w:val="00E169B1"/>
    <w:rsid w:val="00E16F03"/>
    <w:rsid w:val="00E16F19"/>
    <w:rsid w:val="00E172FB"/>
    <w:rsid w:val="00E17A35"/>
    <w:rsid w:val="00E20DA3"/>
    <w:rsid w:val="00E21388"/>
    <w:rsid w:val="00E224B7"/>
    <w:rsid w:val="00E226E4"/>
    <w:rsid w:val="00E22719"/>
    <w:rsid w:val="00E2294F"/>
    <w:rsid w:val="00E22C54"/>
    <w:rsid w:val="00E22CE3"/>
    <w:rsid w:val="00E236CC"/>
    <w:rsid w:val="00E23AA6"/>
    <w:rsid w:val="00E23D33"/>
    <w:rsid w:val="00E23D47"/>
    <w:rsid w:val="00E24538"/>
    <w:rsid w:val="00E247B3"/>
    <w:rsid w:val="00E25096"/>
    <w:rsid w:val="00E25387"/>
    <w:rsid w:val="00E25B06"/>
    <w:rsid w:val="00E26533"/>
    <w:rsid w:val="00E26B70"/>
    <w:rsid w:val="00E273EA"/>
    <w:rsid w:val="00E27AED"/>
    <w:rsid w:val="00E3080B"/>
    <w:rsid w:val="00E308C7"/>
    <w:rsid w:val="00E314BC"/>
    <w:rsid w:val="00E31B97"/>
    <w:rsid w:val="00E31ED7"/>
    <w:rsid w:val="00E322D8"/>
    <w:rsid w:val="00E32B66"/>
    <w:rsid w:val="00E32F9B"/>
    <w:rsid w:val="00E33D6F"/>
    <w:rsid w:val="00E343F0"/>
    <w:rsid w:val="00E34655"/>
    <w:rsid w:val="00E35A8B"/>
    <w:rsid w:val="00E360E8"/>
    <w:rsid w:val="00E3624A"/>
    <w:rsid w:val="00E36278"/>
    <w:rsid w:val="00E36377"/>
    <w:rsid w:val="00E36439"/>
    <w:rsid w:val="00E36550"/>
    <w:rsid w:val="00E36813"/>
    <w:rsid w:val="00E376E6"/>
    <w:rsid w:val="00E40FBE"/>
    <w:rsid w:val="00E41066"/>
    <w:rsid w:val="00E4159D"/>
    <w:rsid w:val="00E417DF"/>
    <w:rsid w:val="00E41875"/>
    <w:rsid w:val="00E41CE2"/>
    <w:rsid w:val="00E43076"/>
    <w:rsid w:val="00E43A20"/>
    <w:rsid w:val="00E43BA5"/>
    <w:rsid w:val="00E44793"/>
    <w:rsid w:val="00E448C3"/>
    <w:rsid w:val="00E4514F"/>
    <w:rsid w:val="00E45E55"/>
    <w:rsid w:val="00E46829"/>
    <w:rsid w:val="00E46F24"/>
    <w:rsid w:val="00E47733"/>
    <w:rsid w:val="00E50457"/>
    <w:rsid w:val="00E50520"/>
    <w:rsid w:val="00E511F4"/>
    <w:rsid w:val="00E516A6"/>
    <w:rsid w:val="00E51763"/>
    <w:rsid w:val="00E51943"/>
    <w:rsid w:val="00E51B4E"/>
    <w:rsid w:val="00E52723"/>
    <w:rsid w:val="00E529A7"/>
    <w:rsid w:val="00E529E5"/>
    <w:rsid w:val="00E5381B"/>
    <w:rsid w:val="00E53B75"/>
    <w:rsid w:val="00E53F6B"/>
    <w:rsid w:val="00E54620"/>
    <w:rsid w:val="00E546AF"/>
    <w:rsid w:val="00E54DB3"/>
    <w:rsid w:val="00E550DF"/>
    <w:rsid w:val="00E557E4"/>
    <w:rsid w:val="00E56E93"/>
    <w:rsid w:val="00E56FA5"/>
    <w:rsid w:val="00E571CB"/>
    <w:rsid w:val="00E61006"/>
    <w:rsid w:val="00E61BCC"/>
    <w:rsid w:val="00E61C35"/>
    <w:rsid w:val="00E62038"/>
    <w:rsid w:val="00E6215A"/>
    <w:rsid w:val="00E62593"/>
    <w:rsid w:val="00E63804"/>
    <w:rsid w:val="00E6381D"/>
    <w:rsid w:val="00E639AC"/>
    <w:rsid w:val="00E647AD"/>
    <w:rsid w:val="00E64BA0"/>
    <w:rsid w:val="00E64D42"/>
    <w:rsid w:val="00E65588"/>
    <w:rsid w:val="00E65A69"/>
    <w:rsid w:val="00E65C78"/>
    <w:rsid w:val="00E674E8"/>
    <w:rsid w:val="00E70078"/>
    <w:rsid w:val="00E70260"/>
    <w:rsid w:val="00E7060C"/>
    <w:rsid w:val="00E706A1"/>
    <w:rsid w:val="00E70BBE"/>
    <w:rsid w:val="00E712AC"/>
    <w:rsid w:val="00E71915"/>
    <w:rsid w:val="00E7375A"/>
    <w:rsid w:val="00E76C59"/>
    <w:rsid w:val="00E77401"/>
    <w:rsid w:val="00E77E64"/>
    <w:rsid w:val="00E800DD"/>
    <w:rsid w:val="00E80116"/>
    <w:rsid w:val="00E8143C"/>
    <w:rsid w:val="00E814F2"/>
    <w:rsid w:val="00E8152F"/>
    <w:rsid w:val="00E8181E"/>
    <w:rsid w:val="00E81A3B"/>
    <w:rsid w:val="00E81D1C"/>
    <w:rsid w:val="00E82169"/>
    <w:rsid w:val="00E8218A"/>
    <w:rsid w:val="00E82427"/>
    <w:rsid w:val="00E826F2"/>
    <w:rsid w:val="00E828C4"/>
    <w:rsid w:val="00E82D69"/>
    <w:rsid w:val="00E83A75"/>
    <w:rsid w:val="00E83AF3"/>
    <w:rsid w:val="00E83B0E"/>
    <w:rsid w:val="00E83B4B"/>
    <w:rsid w:val="00E83E7D"/>
    <w:rsid w:val="00E84404"/>
    <w:rsid w:val="00E84688"/>
    <w:rsid w:val="00E85165"/>
    <w:rsid w:val="00E854C6"/>
    <w:rsid w:val="00E8579D"/>
    <w:rsid w:val="00E85E7B"/>
    <w:rsid w:val="00E864E7"/>
    <w:rsid w:val="00E867B0"/>
    <w:rsid w:val="00E8762B"/>
    <w:rsid w:val="00E87BC0"/>
    <w:rsid w:val="00E9025F"/>
    <w:rsid w:val="00E9030D"/>
    <w:rsid w:val="00E90609"/>
    <w:rsid w:val="00E9091E"/>
    <w:rsid w:val="00E918FA"/>
    <w:rsid w:val="00E91B3C"/>
    <w:rsid w:val="00E927C2"/>
    <w:rsid w:val="00E92F73"/>
    <w:rsid w:val="00E939B4"/>
    <w:rsid w:val="00E93C73"/>
    <w:rsid w:val="00E9486B"/>
    <w:rsid w:val="00E951EB"/>
    <w:rsid w:val="00E96426"/>
    <w:rsid w:val="00E971A4"/>
    <w:rsid w:val="00E979E5"/>
    <w:rsid w:val="00EA00B4"/>
    <w:rsid w:val="00EA06D6"/>
    <w:rsid w:val="00EA076D"/>
    <w:rsid w:val="00EA0AD5"/>
    <w:rsid w:val="00EA0D33"/>
    <w:rsid w:val="00EA102B"/>
    <w:rsid w:val="00EA172F"/>
    <w:rsid w:val="00EA18F6"/>
    <w:rsid w:val="00EA1ADA"/>
    <w:rsid w:val="00EA25EA"/>
    <w:rsid w:val="00EA3373"/>
    <w:rsid w:val="00EA3955"/>
    <w:rsid w:val="00EA3BF6"/>
    <w:rsid w:val="00EA3D2D"/>
    <w:rsid w:val="00EA55BD"/>
    <w:rsid w:val="00EA5EA6"/>
    <w:rsid w:val="00EA620B"/>
    <w:rsid w:val="00EA6794"/>
    <w:rsid w:val="00EA6DF3"/>
    <w:rsid w:val="00EA6E87"/>
    <w:rsid w:val="00EA73A8"/>
    <w:rsid w:val="00EA7562"/>
    <w:rsid w:val="00EA783C"/>
    <w:rsid w:val="00EB081E"/>
    <w:rsid w:val="00EB0A32"/>
    <w:rsid w:val="00EB0CA8"/>
    <w:rsid w:val="00EB1DD2"/>
    <w:rsid w:val="00EB1FA6"/>
    <w:rsid w:val="00EB2075"/>
    <w:rsid w:val="00EB2451"/>
    <w:rsid w:val="00EB2EF9"/>
    <w:rsid w:val="00EB2FE3"/>
    <w:rsid w:val="00EB3CA9"/>
    <w:rsid w:val="00EB4135"/>
    <w:rsid w:val="00EB42F0"/>
    <w:rsid w:val="00EB4E12"/>
    <w:rsid w:val="00EB5082"/>
    <w:rsid w:val="00EB525D"/>
    <w:rsid w:val="00EB5503"/>
    <w:rsid w:val="00EB5682"/>
    <w:rsid w:val="00EB5733"/>
    <w:rsid w:val="00EB5957"/>
    <w:rsid w:val="00EB6157"/>
    <w:rsid w:val="00EC0332"/>
    <w:rsid w:val="00EC0496"/>
    <w:rsid w:val="00EC08E8"/>
    <w:rsid w:val="00EC0CCF"/>
    <w:rsid w:val="00EC0DD4"/>
    <w:rsid w:val="00EC1281"/>
    <w:rsid w:val="00EC3120"/>
    <w:rsid w:val="00EC349E"/>
    <w:rsid w:val="00EC367C"/>
    <w:rsid w:val="00EC458D"/>
    <w:rsid w:val="00EC4DFE"/>
    <w:rsid w:val="00EC525C"/>
    <w:rsid w:val="00EC554F"/>
    <w:rsid w:val="00EC5A64"/>
    <w:rsid w:val="00EC5CA4"/>
    <w:rsid w:val="00EC5F8E"/>
    <w:rsid w:val="00EC6355"/>
    <w:rsid w:val="00EC6E33"/>
    <w:rsid w:val="00EC7B95"/>
    <w:rsid w:val="00EC7C1C"/>
    <w:rsid w:val="00ED0E5A"/>
    <w:rsid w:val="00ED266B"/>
    <w:rsid w:val="00ED2691"/>
    <w:rsid w:val="00ED298E"/>
    <w:rsid w:val="00ED361A"/>
    <w:rsid w:val="00ED39E8"/>
    <w:rsid w:val="00ED3D16"/>
    <w:rsid w:val="00ED3EDF"/>
    <w:rsid w:val="00ED41CB"/>
    <w:rsid w:val="00ED4958"/>
    <w:rsid w:val="00ED4A78"/>
    <w:rsid w:val="00ED5239"/>
    <w:rsid w:val="00EE0D60"/>
    <w:rsid w:val="00EE158A"/>
    <w:rsid w:val="00EE1683"/>
    <w:rsid w:val="00EE2045"/>
    <w:rsid w:val="00EE2235"/>
    <w:rsid w:val="00EE2A59"/>
    <w:rsid w:val="00EE2C9D"/>
    <w:rsid w:val="00EE2D84"/>
    <w:rsid w:val="00EE2EBE"/>
    <w:rsid w:val="00EE3390"/>
    <w:rsid w:val="00EE41E6"/>
    <w:rsid w:val="00EE53A7"/>
    <w:rsid w:val="00EE54F8"/>
    <w:rsid w:val="00EE57A2"/>
    <w:rsid w:val="00EE6E2F"/>
    <w:rsid w:val="00EE74E8"/>
    <w:rsid w:val="00EE7809"/>
    <w:rsid w:val="00EE7A2A"/>
    <w:rsid w:val="00EE7C70"/>
    <w:rsid w:val="00EF07B3"/>
    <w:rsid w:val="00EF086D"/>
    <w:rsid w:val="00EF0DB6"/>
    <w:rsid w:val="00EF1A7C"/>
    <w:rsid w:val="00EF2779"/>
    <w:rsid w:val="00EF286E"/>
    <w:rsid w:val="00EF2879"/>
    <w:rsid w:val="00EF2BEA"/>
    <w:rsid w:val="00EF3B13"/>
    <w:rsid w:val="00EF3C6B"/>
    <w:rsid w:val="00EF3E6A"/>
    <w:rsid w:val="00EF4272"/>
    <w:rsid w:val="00EF4579"/>
    <w:rsid w:val="00EF48B3"/>
    <w:rsid w:val="00EF4B87"/>
    <w:rsid w:val="00EF4CF9"/>
    <w:rsid w:val="00EF4DE3"/>
    <w:rsid w:val="00EF5961"/>
    <w:rsid w:val="00EF59F1"/>
    <w:rsid w:val="00EF7ADC"/>
    <w:rsid w:val="00F00FA3"/>
    <w:rsid w:val="00F01545"/>
    <w:rsid w:val="00F01725"/>
    <w:rsid w:val="00F01E71"/>
    <w:rsid w:val="00F02577"/>
    <w:rsid w:val="00F02EC7"/>
    <w:rsid w:val="00F03243"/>
    <w:rsid w:val="00F0345B"/>
    <w:rsid w:val="00F03C5D"/>
    <w:rsid w:val="00F040CC"/>
    <w:rsid w:val="00F05052"/>
    <w:rsid w:val="00F05212"/>
    <w:rsid w:val="00F05778"/>
    <w:rsid w:val="00F05D69"/>
    <w:rsid w:val="00F05FE5"/>
    <w:rsid w:val="00F062E0"/>
    <w:rsid w:val="00F06DAB"/>
    <w:rsid w:val="00F07222"/>
    <w:rsid w:val="00F075F7"/>
    <w:rsid w:val="00F07CF6"/>
    <w:rsid w:val="00F07F20"/>
    <w:rsid w:val="00F10D62"/>
    <w:rsid w:val="00F112A7"/>
    <w:rsid w:val="00F11C87"/>
    <w:rsid w:val="00F12176"/>
    <w:rsid w:val="00F124FB"/>
    <w:rsid w:val="00F12C72"/>
    <w:rsid w:val="00F12C81"/>
    <w:rsid w:val="00F12E67"/>
    <w:rsid w:val="00F131C2"/>
    <w:rsid w:val="00F1337F"/>
    <w:rsid w:val="00F136B7"/>
    <w:rsid w:val="00F13730"/>
    <w:rsid w:val="00F138B5"/>
    <w:rsid w:val="00F13C12"/>
    <w:rsid w:val="00F140F2"/>
    <w:rsid w:val="00F1451D"/>
    <w:rsid w:val="00F14C1E"/>
    <w:rsid w:val="00F15794"/>
    <w:rsid w:val="00F15FE6"/>
    <w:rsid w:val="00F16D00"/>
    <w:rsid w:val="00F17082"/>
    <w:rsid w:val="00F17639"/>
    <w:rsid w:val="00F17D40"/>
    <w:rsid w:val="00F17FD3"/>
    <w:rsid w:val="00F20060"/>
    <w:rsid w:val="00F20870"/>
    <w:rsid w:val="00F20B8C"/>
    <w:rsid w:val="00F21756"/>
    <w:rsid w:val="00F217FB"/>
    <w:rsid w:val="00F218EC"/>
    <w:rsid w:val="00F2206A"/>
    <w:rsid w:val="00F224B2"/>
    <w:rsid w:val="00F22765"/>
    <w:rsid w:val="00F228EB"/>
    <w:rsid w:val="00F22BEF"/>
    <w:rsid w:val="00F230C5"/>
    <w:rsid w:val="00F2378E"/>
    <w:rsid w:val="00F2390E"/>
    <w:rsid w:val="00F23BD5"/>
    <w:rsid w:val="00F24FE5"/>
    <w:rsid w:val="00F25420"/>
    <w:rsid w:val="00F2591F"/>
    <w:rsid w:val="00F26059"/>
    <w:rsid w:val="00F26364"/>
    <w:rsid w:val="00F265BF"/>
    <w:rsid w:val="00F26865"/>
    <w:rsid w:val="00F26DC4"/>
    <w:rsid w:val="00F26FE2"/>
    <w:rsid w:val="00F2796F"/>
    <w:rsid w:val="00F30637"/>
    <w:rsid w:val="00F30753"/>
    <w:rsid w:val="00F30B4D"/>
    <w:rsid w:val="00F30E8B"/>
    <w:rsid w:val="00F316D5"/>
    <w:rsid w:val="00F31806"/>
    <w:rsid w:val="00F320A8"/>
    <w:rsid w:val="00F324BC"/>
    <w:rsid w:val="00F32BBC"/>
    <w:rsid w:val="00F341A7"/>
    <w:rsid w:val="00F3443D"/>
    <w:rsid w:val="00F34E73"/>
    <w:rsid w:val="00F35243"/>
    <w:rsid w:val="00F353B2"/>
    <w:rsid w:val="00F35919"/>
    <w:rsid w:val="00F35ECB"/>
    <w:rsid w:val="00F36224"/>
    <w:rsid w:val="00F363CE"/>
    <w:rsid w:val="00F3644A"/>
    <w:rsid w:val="00F3691A"/>
    <w:rsid w:val="00F3697A"/>
    <w:rsid w:val="00F37121"/>
    <w:rsid w:val="00F37546"/>
    <w:rsid w:val="00F37A50"/>
    <w:rsid w:val="00F40009"/>
    <w:rsid w:val="00F40259"/>
    <w:rsid w:val="00F405D0"/>
    <w:rsid w:val="00F41496"/>
    <w:rsid w:val="00F416C4"/>
    <w:rsid w:val="00F42721"/>
    <w:rsid w:val="00F428E1"/>
    <w:rsid w:val="00F43D88"/>
    <w:rsid w:val="00F43E06"/>
    <w:rsid w:val="00F440EB"/>
    <w:rsid w:val="00F447BF"/>
    <w:rsid w:val="00F44959"/>
    <w:rsid w:val="00F44AB1"/>
    <w:rsid w:val="00F44B44"/>
    <w:rsid w:val="00F44EE2"/>
    <w:rsid w:val="00F45173"/>
    <w:rsid w:val="00F45AF2"/>
    <w:rsid w:val="00F45E33"/>
    <w:rsid w:val="00F46452"/>
    <w:rsid w:val="00F46CEF"/>
    <w:rsid w:val="00F46EA4"/>
    <w:rsid w:val="00F47209"/>
    <w:rsid w:val="00F477AC"/>
    <w:rsid w:val="00F478BE"/>
    <w:rsid w:val="00F47C4A"/>
    <w:rsid w:val="00F47D07"/>
    <w:rsid w:val="00F47E75"/>
    <w:rsid w:val="00F47FA7"/>
    <w:rsid w:val="00F5008A"/>
    <w:rsid w:val="00F50FE0"/>
    <w:rsid w:val="00F51F74"/>
    <w:rsid w:val="00F52138"/>
    <w:rsid w:val="00F52945"/>
    <w:rsid w:val="00F5356C"/>
    <w:rsid w:val="00F53BF7"/>
    <w:rsid w:val="00F549B7"/>
    <w:rsid w:val="00F54A30"/>
    <w:rsid w:val="00F5505D"/>
    <w:rsid w:val="00F55DA7"/>
    <w:rsid w:val="00F566DA"/>
    <w:rsid w:val="00F56876"/>
    <w:rsid w:val="00F56999"/>
    <w:rsid w:val="00F56B9D"/>
    <w:rsid w:val="00F570F5"/>
    <w:rsid w:val="00F6021C"/>
    <w:rsid w:val="00F604E8"/>
    <w:rsid w:val="00F609F1"/>
    <w:rsid w:val="00F60A40"/>
    <w:rsid w:val="00F60BE6"/>
    <w:rsid w:val="00F60F48"/>
    <w:rsid w:val="00F60F59"/>
    <w:rsid w:val="00F623E2"/>
    <w:rsid w:val="00F63003"/>
    <w:rsid w:val="00F63349"/>
    <w:rsid w:val="00F64DC3"/>
    <w:rsid w:val="00F65BD8"/>
    <w:rsid w:val="00F65C6A"/>
    <w:rsid w:val="00F66062"/>
    <w:rsid w:val="00F664E0"/>
    <w:rsid w:val="00F6671A"/>
    <w:rsid w:val="00F66FCD"/>
    <w:rsid w:val="00F671C4"/>
    <w:rsid w:val="00F67344"/>
    <w:rsid w:val="00F677F3"/>
    <w:rsid w:val="00F67FCA"/>
    <w:rsid w:val="00F70325"/>
    <w:rsid w:val="00F708B9"/>
    <w:rsid w:val="00F70BC9"/>
    <w:rsid w:val="00F71088"/>
    <w:rsid w:val="00F7176D"/>
    <w:rsid w:val="00F71C25"/>
    <w:rsid w:val="00F722C1"/>
    <w:rsid w:val="00F72810"/>
    <w:rsid w:val="00F72DC8"/>
    <w:rsid w:val="00F73190"/>
    <w:rsid w:val="00F73519"/>
    <w:rsid w:val="00F7355C"/>
    <w:rsid w:val="00F737BD"/>
    <w:rsid w:val="00F73932"/>
    <w:rsid w:val="00F74075"/>
    <w:rsid w:val="00F74362"/>
    <w:rsid w:val="00F746AA"/>
    <w:rsid w:val="00F74758"/>
    <w:rsid w:val="00F74DC9"/>
    <w:rsid w:val="00F74F31"/>
    <w:rsid w:val="00F756D9"/>
    <w:rsid w:val="00F75E29"/>
    <w:rsid w:val="00F765A5"/>
    <w:rsid w:val="00F76608"/>
    <w:rsid w:val="00F76A46"/>
    <w:rsid w:val="00F76C34"/>
    <w:rsid w:val="00F76D41"/>
    <w:rsid w:val="00F77803"/>
    <w:rsid w:val="00F77976"/>
    <w:rsid w:val="00F8006B"/>
    <w:rsid w:val="00F8070C"/>
    <w:rsid w:val="00F80D60"/>
    <w:rsid w:val="00F812CB"/>
    <w:rsid w:val="00F82A21"/>
    <w:rsid w:val="00F82AF5"/>
    <w:rsid w:val="00F82CF3"/>
    <w:rsid w:val="00F82DFC"/>
    <w:rsid w:val="00F82F7A"/>
    <w:rsid w:val="00F84006"/>
    <w:rsid w:val="00F84BA7"/>
    <w:rsid w:val="00F854C0"/>
    <w:rsid w:val="00F85A4E"/>
    <w:rsid w:val="00F85C88"/>
    <w:rsid w:val="00F86BA7"/>
    <w:rsid w:val="00F86E04"/>
    <w:rsid w:val="00F86F4F"/>
    <w:rsid w:val="00F87DC5"/>
    <w:rsid w:val="00F904E4"/>
    <w:rsid w:val="00F9089A"/>
    <w:rsid w:val="00F90A1B"/>
    <w:rsid w:val="00F90D79"/>
    <w:rsid w:val="00F90D7B"/>
    <w:rsid w:val="00F90F95"/>
    <w:rsid w:val="00F91AA2"/>
    <w:rsid w:val="00F91B9C"/>
    <w:rsid w:val="00F92813"/>
    <w:rsid w:val="00F9301E"/>
    <w:rsid w:val="00F939EA"/>
    <w:rsid w:val="00F94396"/>
    <w:rsid w:val="00F9456A"/>
    <w:rsid w:val="00F94D30"/>
    <w:rsid w:val="00F94E12"/>
    <w:rsid w:val="00F95197"/>
    <w:rsid w:val="00F95B6B"/>
    <w:rsid w:val="00F96338"/>
    <w:rsid w:val="00F9657F"/>
    <w:rsid w:val="00F96C90"/>
    <w:rsid w:val="00F970CF"/>
    <w:rsid w:val="00F97150"/>
    <w:rsid w:val="00F97168"/>
    <w:rsid w:val="00F97847"/>
    <w:rsid w:val="00F97A07"/>
    <w:rsid w:val="00FA0302"/>
    <w:rsid w:val="00FA0561"/>
    <w:rsid w:val="00FA0DD6"/>
    <w:rsid w:val="00FA0E29"/>
    <w:rsid w:val="00FA0F38"/>
    <w:rsid w:val="00FA130D"/>
    <w:rsid w:val="00FA1695"/>
    <w:rsid w:val="00FA2ABE"/>
    <w:rsid w:val="00FA39A3"/>
    <w:rsid w:val="00FA3B3E"/>
    <w:rsid w:val="00FA4320"/>
    <w:rsid w:val="00FA44DB"/>
    <w:rsid w:val="00FA4960"/>
    <w:rsid w:val="00FA4D9F"/>
    <w:rsid w:val="00FA5C2F"/>
    <w:rsid w:val="00FA615F"/>
    <w:rsid w:val="00FA6553"/>
    <w:rsid w:val="00FA6A7B"/>
    <w:rsid w:val="00FA6B48"/>
    <w:rsid w:val="00FA6C1E"/>
    <w:rsid w:val="00FA718B"/>
    <w:rsid w:val="00FA77FB"/>
    <w:rsid w:val="00FA7809"/>
    <w:rsid w:val="00FA78BB"/>
    <w:rsid w:val="00FA7C90"/>
    <w:rsid w:val="00FA7F1F"/>
    <w:rsid w:val="00FB0ADF"/>
    <w:rsid w:val="00FB1CB5"/>
    <w:rsid w:val="00FB241D"/>
    <w:rsid w:val="00FB29D8"/>
    <w:rsid w:val="00FB2E3E"/>
    <w:rsid w:val="00FB36D1"/>
    <w:rsid w:val="00FB370F"/>
    <w:rsid w:val="00FB3837"/>
    <w:rsid w:val="00FB388A"/>
    <w:rsid w:val="00FB3AEE"/>
    <w:rsid w:val="00FB3D53"/>
    <w:rsid w:val="00FB3D96"/>
    <w:rsid w:val="00FB4645"/>
    <w:rsid w:val="00FB53F8"/>
    <w:rsid w:val="00FB580E"/>
    <w:rsid w:val="00FB5A2B"/>
    <w:rsid w:val="00FB653E"/>
    <w:rsid w:val="00FB6732"/>
    <w:rsid w:val="00FB69F1"/>
    <w:rsid w:val="00FB71CE"/>
    <w:rsid w:val="00FB7274"/>
    <w:rsid w:val="00FB7A6F"/>
    <w:rsid w:val="00FB7F81"/>
    <w:rsid w:val="00FC0982"/>
    <w:rsid w:val="00FC11E1"/>
    <w:rsid w:val="00FC14C3"/>
    <w:rsid w:val="00FC1D77"/>
    <w:rsid w:val="00FC2836"/>
    <w:rsid w:val="00FC2997"/>
    <w:rsid w:val="00FC2A60"/>
    <w:rsid w:val="00FC31F0"/>
    <w:rsid w:val="00FC337F"/>
    <w:rsid w:val="00FC3FCE"/>
    <w:rsid w:val="00FC4A90"/>
    <w:rsid w:val="00FC4E50"/>
    <w:rsid w:val="00FC538B"/>
    <w:rsid w:val="00FC5845"/>
    <w:rsid w:val="00FC5982"/>
    <w:rsid w:val="00FC661B"/>
    <w:rsid w:val="00FC6712"/>
    <w:rsid w:val="00FC6754"/>
    <w:rsid w:val="00FC6981"/>
    <w:rsid w:val="00FC710D"/>
    <w:rsid w:val="00FC7F44"/>
    <w:rsid w:val="00FD0517"/>
    <w:rsid w:val="00FD0817"/>
    <w:rsid w:val="00FD09B0"/>
    <w:rsid w:val="00FD0EBF"/>
    <w:rsid w:val="00FD1B72"/>
    <w:rsid w:val="00FD224C"/>
    <w:rsid w:val="00FD25B7"/>
    <w:rsid w:val="00FD27CB"/>
    <w:rsid w:val="00FD2BA1"/>
    <w:rsid w:val="00FD2C49"/>
    <w:rsid w:val="00FD3018"/>
    <w:rsid w:val="00FD39C3"/>
    <w:rsid w:val="00FD412E"/>
    <w:rsid w:val="00FD4958"/>
    <w:rsid w:val="00FD4EAB"/>
    <w:rsid w:val="00FD586A"/>
    <w:rsid w:val="00FD61A8"/>
    <w:rsid w:val="00FD667D"/>
    <w:rsid w:val="00FD689C"/>
    <w:rsid w:val="00FD6E58"/>
    <w:rsid w:val="00FD73EF"/>
    <w:rsid w:val="00FD7D92"/>
    <w:rsid w:val="00FE089C"/>
    <w:rsid w:val="00FE090B"/>
    <w:rsid w:val="00FE10C4"/>
    <w:rsid w:val="00FE132C"/>
    <w:rsid w:val="00FE247D"/>
    <w:rsid w:val="00FE2E1F"/>
    <w:rsid w:val="00FE2E20"/>
    <w:rsid w:val="00FE553F"/>
    <w:rsid w:val="00FE5B88"/>
    <w:rsid w:val="00FE5BD1"/>
    <w:rsid w:val="00FE5C5C"/>
    <w:rsid w:val="00FE642B"/>
    <w:rsid w:val="00FE6719"/>
    <w:rsid w:val="00FE7AA6"/>
    <w:rsid w:val="00FF02F6"/>
    <w:rsid w:val="00FF05E2"/>
    <w:rsid w:val="00FF0E39"/>
    <w:rsid w:val="00FF1014"/>
    <w:rsid w:val="00FF188D"/>
    <w:rsid w:val="00FF22D5"/>
    <w:rsid w:val="00FF24F6"/>
    <w:rsid w:val="00FF258B"/>
    <w:rsid w:val="00FF2626"/>
    <w:rsid w:val="00FF35CD"/>
    <w:rsid w:val="00FF38B5"/>
    <w:rsid w:val="00FF3C3E"/>
    <w:rsid w:val="00FF489B"/>
    <w:rsid w:val="00FF4AB4"/>
    <w:rsid w:val="00FF4C07"/>
    <w:rsid w:val="00FF56ED"/>
    <w:rsid w:val="00FF63B0"/>
    <w:rsid w:val="00FF63D1"/>
    <w:rsid w:val="00FF6B93"/>
    <w:rsid w:val="00FF7432"/>
    <w:rsid w:val="00FF7B0F"/>
    <w:rsid w:val="00FF7BD2"/>
    <w:rsid w:val="5A5A56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99" w:name="endnote reference"/>
    <w:lsdException w:qFormat="1"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0"/>
    <w:qFormat/>
    <w:uiPriority w:val="0"/>
    <w:pPr>
      <w:keepNext/>
      <w:outlineLvl w:val="0"/>
    </w:pPr>
    <w:rPr>
      <w:sz w:val="44"/>
    </w:rPr>
  </w:style>
  <w:style w:type="paragraph" w:styleId="4">
    <w:name w:val="heading 2"/>
    <w:basedOn w:val="1"/>
    <w:next w:val="1"/>
    <w:link w:val="75"/>
    <w:qFormat/>
    <w:uiPriority w:val="0"/>
    <w:pPr>
      <w:keepNext/>
      <w:keepLines/>
      <w:spacing w:before="260" w:after="260" w:line="413" w:lineRule="auto"/>
      <w:outlineLvl w:val="1"/>
    </w:pPr>
    <w:rPr>
      <w:rFonts w:ascii="Arial" w:hAnsi="Arial" w:eastAsia="黑体"/>
      <w:b/>
      <w:bCs/>
      <w:sz w:val="28"/>
      <w:szCs w:val="32"/>
    </w:rPr>
  </w:style>
  <w:style w:type="paragraph" w:styleId="5">
    <w:name w:val="heading 3"/>
    <w:basedOn w:val="1"/>
    <w:next w:val="1"/>
    <w:link w:val="76"/>
    <w:qFormat/>
    <w:uiPriority w:val="0"/>
    <w:pPr>
      <w:keepNext/>
      <w:keepLines/>
      <w:spacing w:before="120"/>
      <w:ind w:left="720" w:hanging="720"/>
      <w:outlineLvl w:val="2"/>
    </w:pPr>
    <w:rPr>
      <w:rFonts w:ascii="黑体" w:eastAsia="黑体"/>
      <w:spacing w:val="6"/>
      <w:sz w:val="24"/>
      <w:szCs w:val="30"/>
    </w:rPr>
  </w:style>
  <w:style w:type="paragraph" w:styleId="2">
    <w:name w:val="heading 4"/>
    <w:basedOn w:val="1"/>
    <w:next w:val="1"/>
    <w:link w:val="77"/>
    <w:qFormat/>
    <w:uiPriority w:val="9"/>
    <w:pPr>
      <w:wordWrap w:val="0"/>
      <w:topLinePunct/>
      <w:autoSpaceDN w:val="0"/>
      <w:spacing w:line="520" w:lineRule="exact"/>
      <w:ind w:firstLine="560" w:firstLineChars="200"/>
      <w:outlineLvl w:val="3"/>
    </w:pPr>
    <w:rPr>
      <w:rFonts w:eastAsia="黑体"/>
      <w:bCs/>
      <w:color w:val="000000"/>
      <w:sz w:val="24"/>
      <w:szCs w:val="28"/>
    </w:rPr>
  </w:style>
  <w:style w:type="paragraph" w:styleId="6">
    <w:name w:val="heading 5"/>
    <w:basedOn w:val="1"/>
    <w:next w:val="1"/>
    <w:link w:val="78"/>
    <w:qFormat/>
    <w:uiPriority w:val="0"/>
    <w:pPr>
      <w:keepNext/>
      <w:keepLines/>
      <w:spacing w:before="280" w:after="290" w:line="376" w:lineRule="auto"/>
      <w:outlineLvl w:val="4"/>
    </w:pPr>
    <w:rPr>
      <w:b/>
      <w:bCs/>
      <w:sz w:val="28"/>
      <w:szCs w:val="28"/>
    </w:rPr>
  </w:style>
  <w:style w:type="paragraph" w:styleId="7">
    <w:name w:val="heading 6"/>
    <w:basedOn w:val="1"/>
    <w:next w:val="1"/>
    <w:link w:val="79"/>
    <w:qFormat/>
    <w:uiPriority w:val="0"/>
    <w:pPr>
      <w:keepNext/>
      <w:keepLines/>
      <w:adjustRightInd w:val="0"/>
      <w:snapToGrid w:val="0"/>
      <w:spacing w:before="240" w:after="64" w:line="320" w:lineRule="auto"/>
      <w:textAlignment w:val="baseline"/>
      <w:outlineLvl w:val="5"/>
    </w:pPr>
    <w:rPr>
      <w:rFonts w:ascii="Arial" w:hAnsi="Arial" w:eastAsia="黑体"/>
      <w:b/>
      <w:bCs/>
      <w:spacing w:val="4"/>
      <w:kern w:val="0"/>
      <w:sz w:val="24"/>
    </w:rPr>
  </w:style>
  <w:style w:type="paragraph" w:styleId="8">
    <w:name w:val="heading 7"/>
    <w:basedOn w:val="1"/>
    <w:next w:val="1"/>
    <w:link w:val="80"/>
    <w:qFormat/>
    <w:uiPriority w:val="0"/>
    <w:pPr>
      <w:keepNext/>
      <w:keepLines/>
      <w:spacing w:before="240" w:after="64" w:line="320" w:lineRule="auto"/>
      <w:outlineLvl w:val="6"/>
    </w:pPr>
    <w:rPr>
      <w:b/>
      <w:bCs/>
      <w:sz w:val="24"/>
    </w:rPr>
  </w:style>
  <w:style w:type="paragraph" w:styleId="9">
    <w:name w:val="heading 8"/>
    <w:basedOn w:val="1"/>
    <w:next w:val="1"/>
    <w:link w:val="81"/>
    <w:qFormat/>
    <w:uiPriority w:val="0"/>
    <w:pPr>
      <w:keepNext/>
      <w:keepLines/>
      <w:tabs>
        <w:tab w:val="left" w:pos="1440"/>
      </w:tabs>
      <w:adjustRightInd w:val="0"/>
      <w:snapToGrid w:val="0"/>
      <w:spacing w:before="240" w:after="64" w:line="320" w:lineRule="atLeast"/>
      <w:ind w:left="1440" w:firstLine="200" w:firstLineChars="200"/>
      <w:outlineLvl w:val="7"/>
    </w:pPr>
    <w:rPr>
      <w:rFonts w:ascii="Arial" w:hAnsi="Arial" w:eastAsia="黑体" w:cs="Arial"/>
      <w:kern w:val="22"/>
      <w:sz w:val="24"/>
    </w:rPr>
  </w:style>
  <w:style w:type="paragraph" w:styleId="10">
    <w:name w:val="heading 9"/>
    <w:basedOn w:val="1"/>
    <w:next w:val="1"/>
    <w:link w:val="82"/>
    <w:qFormat/>
    <w:uiPriority w:val="0"/>
    <w:pPr>
      <w:keepNext/>
      <w:keepLines/>
      <w:tabs>
        <w:tab w:val="left" w:pos="1584"/>
      </w:tabs>
      <w:adjustRightInd w:val="0"/>
      <w:snapToGrid w:val="0"/>
      <w:spacing w:before="240" w:after="64" w:line="320" w:lineRule="atLeast"/>
      <w:ind w:left="1584" w:firstLine="200" w:firstLineChars="200"/>
      <w:outlineLvl w:val="8"/>
    </w:pPr>
    <w:rPr>
      <w:rFonts w:ascii="Arial" w:hAnsi="Arial" w:eastAsia="黑体" w:cs="Arial"/>
      <w:kern w:val="22"/>
      <w:sz w:val="24"/>
    </w:rPr>
  </w:style>
  <w:style w:type="character" w:default="1" w:styleId="61">
    <w:name w:val="Default Paragraph Font"/>
    <w:semiHidden/>
    <w:unhideWhenUsed/>
    <w:uiPriority w:val="1"/>
  </w:style>
  <w:style w:type="table" w:default="1" w:styleId="59">
    <w:name w:val="Normal Table"/>
    <w:semiHidden/>
    <w:unhideWhenUsed/>
    <w:uiPriority w:val="99"/>
    <w:tblPr>
      <w:tblCellMar>
        <w:top w:w="0" w:type="dxa"/>
        <w:left w:w="108" w:type="dxa"/>
        <w:bottom w:w="0" w:type="dxa"/>
        <w:right w:w="108" w:type="dxa"/>
      </w:tblCellMar>
    </w:tblPr>
  </w:style>
  <w:style w:type="paragraph" w:styleId="11">
    <w:name w:val="List 3"/>
    <w:basedOn w:val="1"/>
    <w:next w:val="1"/>
    <w:qFormat/>
    <w:uiPriority w:val="0"/>
    <w:pPr>
      <w:spacing w:before="25" w:beforeLines="25" w:after="25" w:afterLines="25"/>
      <w:jc w:val="center"/>
    </w:pPr>
    <w:rPr>
      <w:szCs w:val="21"/>
    </w:rPr>
  </w:style>
  <w:style w:type="paragraph" w:styleId="12">
    <w:name w:val="toc 7"/>
    <w:basedOn w:val="1"/>
    <w:next w:val="1"/>
    <w:qFormat/>
    <w:uiPriority w:val="39"/>
    <w:pPr>
      <w:ind w:left="2520" w:leftChars="1200"/>
    </w:pPr>
  </w:style>
  <w:style w:type="paragraph" w:styleId="13">
    <w:name w:val="Note Heading"/>
    <w:basedOn w:val="1"/>
    <w:next w:val="1"/>
    <w:link w:val="150"/>
    <w:qFormat/>
    <w:uiPriority w:val="0"/>
    <w:pPr>
      <w:spacing w:beforeLines="50" w:afterLines="50"/>
      <w:jc w:val="center"/>
    </w:pPr>
    <w:rPr>
      <w:rFonts w:ascii="宋体" w:hAnsi="宋体" w:eastAsia="黑体" w:cs="宋体"/>
      <w:sz w:val="24"/>
    </w:rPr>
  </w:style>
  <w:style w:type="paragraph" w:styleId="14">
    <w:name w:val="E-mail Signature"/>
    <w:basedOn w:val="1"/>
    <w:link w:val="450"/>
    <w:qFormat/>
    <w:uiPriority w:val="0"/>
    <w:rPr>
      <w:rFonts w:ascii="宋体" w:hAnsi="宋体" w:cs="宋体" w:eastAsiaTheme="minorEastAsia"/>
    </w:rPr>
  </w:style>
  <w:style w:type="paragraph" w:styleId="15">
    <w:name w:val="Normal Indent"/>
    <w:basedOn w:val="1"/>
    <w:link w:val="277"/>
    <w:qFormat/>
    <w:uiPriority w:val="0"/>
    <w:pPr>
      <w:ind w:firstLine="420"/>
    </w:pPr>
    <w:rPr>
      <w:rFonts w:asciiTheme="minorHAnsi" w:hAnsiTheme="minorHAnsi" w:cstheme="minorBidi"/>
    </w:rPr>
  </w:style>
  <w:style w:type="paragraph" w:styleId="16">
    <w:name w:val="caption"/>
    <w:basedOn w:val="1"/>
    <w:next w:val="1"/>
    <w:link w:val="364"/>
    <w:qFormat/>
    <w:uiPriority w:val="0"/>
    <w:pPr>
      <w:spacing w:line="520" w:lineRule="exact"/>
      <w:ind w:firstLine="200" w:firstLineChars="200"/>
    </w:pPr>
    <w:rPr>
      <w:rFonts w:ascii="Arial" w:hAnsi="Arial" w:eastAsia="黑体" w:cs="Arial"/>
      <w:sz w:val="24"/>
      <w:szCs w:val="26"/>
    </w:rPr>
  </w:style>
  <w:style w:type="paragraph" w:styleId="17">
    <w:name w:val="List Bullet"/>
    <w:basedOn w:val="1"/>
    <w:qFormat/>
    <w:uiPriority w:val="0"/>
    <w:pPr>
      <w:tabs>
        <w:tab w:val="left" w:pos="360"/>
      </w:tabs>
      <w:spacing w:before="25" w:beforeLines="25" w:after="25" w:afterLines="25" w:line="360" w:lineRule="auto"/>
      <w:ind w:left="360" w:hanging="360" w:hangingChars="200"/>
    </w:pPr>
    <w:rPr>
      <w:rFonts w:eastAsia="仿宋_GB2312"/>
      <w:sz w:val="28"/>
      <w:szCs w:val="20"/>
    </w:rPr>
  </w:style>
  <w:style w:type="paragraph" w:styleId="18">
    <w:name w:val="Document Map"/>
    <w:basedOn w:val="1"/>
    <w:link w:val="133"/>
    <w:qFormat/>
    <w:uiPriority w:val="0"/>
    <w:pPr>
      <w:shd w:val="clear" w:color="auto" w:fill="000080"/>
    </w:pPr>
    <w:rPr>
      <w:rFonts w:ascii="宋体" w:hAnsi="宋体" w:cs="宋体"/>
    </w:rPr>
  </w:style>
  <w:style w:type="paragraph" w:styleId="19">
    <w:name w:val="annotation text"/>
    <w:basedOn w:val="1"/>
    <w:link w:val="296"/>
    <w:qFormat/>
    <w:uiPriority w:val="0"/>
    <w:pPr>
      <w:jc w:val="left"/>
    </w:pPr>
    <w:rPr>
      <w:rFonts w:ascii="宋体" w:hAnsi="宋体" w:cs="宋体"/>
    </w:rPr>
  </w:style>
  <w:style w:type="paragraph" w:styleId="20">
    <w:name w:val="Salutation"/>
    <w:basedOn w:val="1"/>
    <w:next w:val="1"/>
    <w:link w:val="520"/>
    <w:qFormat/>
    <w:uiPriority w:val="0"/>
    <w:rPr>
      <w:rFonts w:ascii="宋体" w:hAnsi="宋体" w:cs="宋体" w:eastAsiaTheme="minorEastAsia"/>
    </w:rPr>
  </w:style>
  <w:style w:type="paragraph" w:styleId="21">
    <w:name w:val="Body Text 3"/>
    <w:basedOn w:val="1"/>
    <w:link w:val="355"/>
    <w:qFormat/>
    <w:uiPriority w:val="0"/>
    <w:pPr>
      <w:spacing w:after="120"/>
    </w:pPr>
    <w:rPr>
      <w:rFonts w:ascii="宋体" w:hAnsi="宋体" w:cs="宋体"/>
      <w:sz w:val="16"/>
      <w:szCs w:val="16"/>
    </w:rPr>
  </w:style>
  <w:style w:type="paragraph" w:styleId="22">
    <w:name w:val="Closing"/>
    <w:basedOn w:val="1"/>
    <w:link w:val="389"/>
    <w:qFormat/>
    <w:uiPriority w:val="0"/>
    <w:pPr>
      <w:ind w:left="100" w:leftChars="2100"/>
    </w:pPr>
    <w:rPr>
      <w:rFonts w:ascii="宋体" w:hAnsi="宋体" w:cs="宋体" w:eastAsiaTheme="minorEastAsia"/>
    </w:rPr>
  </w:style>
  <w:style w:type="paragraph" w:styleId="23">
    <w:name w:val="Body Text"/>
    <w:basedOn w:val="1"/>
    <w:link w:val="551"/>
    <w:unhideWhenUsed/>
    <w:qFormat/>
    <w:uiPriority w:val="0"/>
    <w:pPr>
      <w:spacing w:after="120"/>
    </w:pPr>
  </w:style>
  <w:style w:type="paragraph" w:styleId="24">
    <w:name w:val="Body Text Indent"/>
    <w:basedOn w:val="1"/>
    <w:link w:val="269"/>
    <w:qFormat/>
    <w:uiPriority w:val="0"/>
    <w:pPr>
      <w:autoSpaceDE w:val="0"/>
      <w:autoSpaceDN w:val="0"/>
      <w:adjustRightInd w:val="0"/>
      <w:spacing w:line="460" w:lineRule="atLeast"/>
      <w:ind w:firstLine="549"/>
    </w:pPr>
    <w:rPr>
      <w:rFonts w:hint="eastAsia" w:ascii="宋体" w:hAnsi="宋体" w:cs="宋体" w:eastAsiaTheme="minorEastAsia"/>
      <w:color w:val="000000"/>
      <w:kern w:val="0"/>
      <w:sz w:val="24"/>
      <w:szCs w:val="26"/>
    </w:rPr>
  </w:style>
  <w:style w:type="paragraph" w:styleId="25">
    <w:name w:val="List 2"/>
    <w:basedOn w:val="1"/>
    <w:qFormat/>
    <w:uiPriority w:val="0"/>
    <w:pPr>
      <w:ind w:left="100" w:leftChars="200" w:hanging="200" w:hangingChars="200"/>
    </w:pPr>
  </w:style>
  <w:style w:type="paragraph" w:styleId="26">
    <w:name w:val="Block Text"/>
    <w:basedOn w:val="1"/>
    <w:qFormat/>
    <w:uiPriority w:val="0"/>
    <w:pPr>
      <w:ind w:left="525" w:right="651"/>
      <w:jc w:val="left"/>
    </w:pPr>
    <w:rPr>
      <w:rFonts w:eastAsia="仿宋_GB2312"/>
      <w:sz w:val="32"/>
      <w:szCs w:val="20"/>
    </w:rPr>
  </w:style>
  <w:style w:type="paragraph" w:styleId="27">
    <w:name w:val="HTML Address"/>
    <w:basedOn w:val="1"/>
    <w:link w:val="468"/>
    <w:qFormat/>
    <w:uiPriority w:val="0"/>
    <w:rPr>
      <w:rFonts w:ascii="宋体" w:hAnsi="宋体" w:cs="宋体" w:eastAsiaTheme="minorEastAsia"/>
      <w:i/>
      <w:iCs/>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253"/>
    <w:qFormat/>
    <w:uiPriority w:val="0"/>
    <w:pPr>
      <w:spacing w:line="500" w:lineRule="exact"/>
    </w:pPr>
    <w:rPr>
      <w:rFonts w:ascii="宋体" w:hAnsi="Courier New" w:cstheme="minorBidi"/>
      <w:sz w:val="28"/>
      <w:szCs w:val="21"/>
    </w:rPr>
  </w:style>
  <w:style w:type="paragraph" w:styleId="31">
    <w:name w:val="toc 8"/>
    <w:basedOn w:val="1"/>
    <w:next w:val="1"/>
    <w:qFormat/>
    <w:uiPriority w:val="39"/>
    <w:pPr>
      <w:ind w:left="2940" w:leftChars="1400"/>
    </w:pPr>
  </w:style>
  <w:style w:type="paragraph" w:styleId="32">
    <w:name w:val="Date"/>
    <w:basedOn w:val="1"/>
    <w:next w:val="1"/>
    <w:link w:val="270"/>
    <w:qFormat/>
    <w:uiPriority w:val="0"/>
    <w:pPr>
      <w:ind w:left="100" w:leftChars="2500"/>
    </w:pPr>
    <w:rPr>
      <w:rFonts w:asciiTheme="minorHAnsi" w:hAnsiTheme="minorHAnsi" w:eastAsiaTheme="minorEastAsia" w:cstheme="minorBidi"/>
    </w:rPr>
  </w:style>
  <w:style w:type="paragraph" w:styleId="33">
    <w:name w:val="Body Text Indent 2"/>
    <w:basedOn w:val="1"/>
    <w:link w:val="563"/>
    <w:qFormat/>
    <w:uiPriority w:val="0"/>
    <w:pPr>
      <w:adjustRightInd w:val="0"/>
      <w:snapToGrid w:val="0"/>
      <w:spacing w:line="360" w:lineRule="auto"/>
      <w:ind w:firstLine="527"/>
    </w:pPr>
    <w:rPr>
      <w:rFonts w:ascii="宋体" w:hAnsi="宋体"/>
      <w:sz w:val="24"/>
    </w:rPr>
  </w:style>
  <w:style w:type="paragraph" w:styleId="34">
    <w:name w:val="endnote text"/>
    <w:basedOn w:val="1"/>
    <w:link w:val="187"/>
    <w:unhideWhenUsed/>
    <w:qFormat/>
    <w:uiPriority w:val="0"/>
    <w:pPr>
      <w:snapToGrid w:val="0"/>
      <w:spacing w:line="500" w:lineRule="exact"/>
      <w:jc w:val="left"/>
    </w:pPr>
    <w:rPr>
      <w:rFonts w:ascii="楷体_GB2312" w:hAnsi="楷体_GB2312" w:eastAsia="楷体_GB2312" w:cs="宋体"/>
      <w:sz w:val="24"/>
    </w:rPr>
  </w:style>
  <w:style w:type="paragraph" w:styleId="35">
    <w:name w:val="Balloon Text"/>
    <w:basedOn w:val="1"/>
    <w:link w:val="525"/>
    <w:qFormat/>
    <w:uiPriority w:val="0"/>
    <w:rPr>
      <w:rFonts w:asciiTheme="minorHAnsi" w:hAnsiTheme="minorHAnsi" w:eastAsiaTheme="minorEastAsia" w:cstheme="minorBidi"/>
      <w:sz w:val="18"/>
      <w:szCs w:val="18"/>
    </w:rPr>
  </w:style>
  <w:style w:type="paragraph" w:styleId="36">
    <w:name w:val="footer"/>
    <w:basedOn w:val="1"/>
    <w:link w:val="73"/>
    <w:unhideWhenUsed/>
    <w:qFormat/>
    <w:uiPriority w:val="99"/>
    <w:pPr>
      <w:tabs>
        <w:tab w:val="center" w:pos="4153"/>
        <w:tab w:val="right" w:pos="8306"/>
      </w:tabs>
      <w:snapToGrid w:val="0"/>
      <w:jc w:val="left"/>
    </w:pPr>
    <w:rPr>
      <w:sz w:val="18"/>
      <w:szCs w:val="18"/>
    </w:rPr>
  </w:style>
  <w:style w:type="paragraph" w:styleId="37">
    <w:name w:val="header"/>
    <w:basedOn w:val="1"/>
    <w:link w:val="72"/>
    <w:unhideWhenUsed/>
    <w:qFormat/>
    <w:uiPriority w:val="0"/>
    <w:pPr>
      <w:pBdr>
        <w:bottom w:val="single" w:color="auto" w:sz="6" w:space="1"/>
      </w:pBdr>
      <w:tabs>
        <w:tab w:val="center" w:pos="4153"/>
        <w:tab w:val="right" w:pos="8306"/>
      </w:tabs>
      <w:snapToGrid w:val="0"/>
      <w:jc w:val="center"/>
    </w:pPr>
    <w:rPr>
      <w:sz w:val="18"/>
      <w:szCs w:val="18"/>
    </w:rPr>
  </w:style>
  <w:style w:type="paragraph" w:styleId="38">
    <w:name w:val="Signature"/>
    <w:basedOn w:val="1"/>
    <w:link w:val="373"/>
    <w:qFormat/>
    <w:uiPriority w:val="0"/>
    <w:pPr>
      <w:ind w:left="100" w:leftChars="2100"/>
    </w:pPr>
    <w:rPr>
      <w:rFonts w:ascii="宋体" w:hAnsi="宋体" w:cs="宋体" w:eastAsiaTheme="minorEastAsia"/>
    </w:rPr>
  </w:style>
  <w:style w:type="paragraph" w:styleId="39">
    <w:name w:val="toc 1"/>
    <w:basedOn w:val="1"/>
    <w:next w:val="1"/>
    <w:link w:val="488"/>
    <w:qFormat/>
    <w:uiPriority w:val="39"/>
    <w:pPr>
      <w:ind w:firstLine="420" w:firstLineChars="200"/>
    </w:pPr>
    <w:rPr>
      <w:rFonts w:ascii="楷体_GB2312" w:eastAsia="楷体_GB2312" w:hAnsiTheme="minorHAnsi" w:cstheme="minorBidi"/>
      <w:color w:val="000000"/>
      <w:szCs w:val="21"/>
    </w:rPr>
  </w:style>
  <w:style w:type="paragraph" w:styleId="40">
    <w:name w:val="toc 4"/>
    <w:basedOn w:val="1"/>
    <w:next w:val="1"/>
    <w:qFormat/>
    <w:uiPriority w:val="39"/>
    <w:pPr>
      <w:ind w:left="1260" w:leftChars="600"/>
    </w:pPr>
  </w:style>
  <w:style w:type="paragraph" w:styleId="41">
    <w:name w:val="Subtitle"/>
    <w:basedOn w:val="1"/>
    <w:next w:val="1"/>
    <w:link w:val="453"/>
    <w:qFormat/>
    <w:uiPriority w:val="0"/>
    <w:pPr>
      <w:widowControl/>
      <w:spacing w:after="200" w:line="276" w:lineRule="auto"/>
      <w:ind w:firstLine="200" w:firstLineChars="200"/>
      <w:jc w:val="left"/>
    </w:pPr>
    <w:rPr>
      <w:rFonts w:ascii="Cambria" w:hAnsi="Cambria" w:cs="宋体"/>
      <w:i/>
      <w:iCs/>
      <w:color w:val="4F81BD"/>
      <w:spacing w:val="15"/>
      <w:sz w:val="24"/>
      <w:lang w:eastAsia="en-US" w:bidi="en-US"/>
    </w:rPr>
  </w:style>
  <w:style w:type="paragraph" w:styleId="42">
    <w:name w:val="List Number 5"/>
    <w:basedOn w:val="1"/>
    <w:semiHidden/>
    <w:unhideWhenUsed/>
    <w:uiPriority w:val="99"/>
    <w:pPr>
      <w:numPr>
        <w:ilvl w:val="0"/>
        <w:numId w:val="1"/>
      </w:numPr>
      <w:contextualSpacing/>
    </w:pPr>
  </w:style>
  <w:style w:type="paragraph" w:styleId="43">
    <w:name w:val="List"/>
    <w:basedOn w:val="1"/>
    <w:qFormat/>
    <w:uiPriority w:val="0"/>
    <w:pPr>
      <w:ind w:left="200" w:hanging="200" w:hangingChars="200"/>
    </w:pPr>
  </w:style>
  <w:style w:type="paragraph" w:styleId="44">
    <w:name w:val="footnote text"/>
    <w:basedOn w:val="1"/>
    <w:link w:val="386"/>
    <w:qFormat/>
    <w:uiPriority w:val="0"/>
    <w:pPr>
      <w:snapToGrid w:val="0"/>
      <w:spacing w:line="360" w:lineRule="auto"/>
      <w:ind w:firstLine="200" w:firstLineChars="200"/>
      <w:jc w:val="left"/>
    </w:pPr>
    <w:rPr>
      <w:rFonts w:ascii="Arial" w:hAnsi="Arial" w:cs="宋体"/>
      <w:sz w:val="18"/>
      <w:szCs w:val="18"/>
    </w:rPr>
  </w:style>
  <w:style w:type="paragraph" w:styleId="45">
    <w:name w:val="toc 6"/>
    <w:basedOn w:val="1"/>
    <w:next w:val="1"/>
    <w:qFormat/>
    <w:uiPriority w:val="39"/>
    <w:pPr>
      <w:ind w:left="2100" w:leftChars="1000"/>
    </w:pPr>
  </w:style>
  <w:style w:type="paragraph" w:styleId="46">
    <w:name w:val="Body Text Indent 3"/>
    <w:basedOn w:val="1"/>
    <w:link w:val="447"/>
    <w:qFormat/>
    <w:uiPriority w:val="0"/>
    <w:pPr>
      <w:autoSpaceDE w:val="0"/>
      <w:autoSpaceDN w:val="0"/>
      <w:adjustRightInd w:val="0"/>
      <w:snapToGrid w:val="0"/>
      <w:spacing w:line="460" w:lineRule="exact"/>
      <w:ind w:firstLine="490"/>
    </w:pPr>
    <w:rPr>
      <w:rFonts w:ascii="宋体" w:hAnsi="宋体" w:cs="宋体"/>
      <w:sz w:val="24"/>
    </w:rPr>
  </w:style>
  <w:style w:type="paragraph" w:styleId="47">
    <w:name w:val="table of figures"/>
    <w:basedOn w:val="1"/>
    <w:next w:val="1"/>
    <w:link w:val="441"/>
    <w:qFormat/>
    <w:uiPriority w:val="0"/>
    <w:pPr>
      <w:ind w:left="-115" w:leftChars="-41" w:right="-106" w:rightChars="-38" w:firstLine="6" w:firstLineChars="3"/>
      <w:jc w:val="center"/>
    </w:pPr>
    <w:rPr>
      <w:rFonts w:ascii="宋体" w:hAnsi="宋体" w:eastAsia="楷体_GB2312" w:cs="宋体"/>
      <w:color w:val="000000"/>
    </w:rPr>
  </w:style>
  <w:style w:type="paragraph" w:styleId="48">
    <w:name w:val="toc 2"/>
    <w:basedOn w:val="1"/>
    <w:next w:val="1"/>
    <w:qFormat/>
    <w:uiPriority w:val="39"/>
    <w:pPr>
      <w:ind w:left="420" w:leftChars="200"/>
    </w:pPr>
  </w:style>
  <w:style w:type="paragraph" w:styleId="49">
    <w:name w:val="toc 9"/>
    <w:basedOn w:val="1"/>
    <w:next w:val="1"/>
    <w:qFormat/>
    <w:uiPriority w:val="39"/>
    <w:pPr>
      <w:ind w:left="3360" w:leftChars="1600"/>
    </w:pPr>
  </w:style>
  <w:style w:type="paragraph" w:styleId="50">
    <w:name w:val="Body Text 2"/>
    <w:basedOn w:val="1"/>
    <w:link w:val="172"/>
    <w:qFormat/>
    <w:uiPriority w:val="0"/>
    <w:pPr>
      <w:spacing w:after="120" w:line="480" w:lineRule="auto"/>
    </w:pPr>
    <w:rPr>
      <w:rFonts w:ascii="宋体" w:hAnsi="宋体" w:cs="宋体"/>
    </w:rPr>
  </w:style>
  <w:style w:type="paragraph" w:styleId="51">
    <w:name w:val="Message Header"/>
    <w:basedOn w:val="1"/>
    <w:link w:val="22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宋体" w:eastAsiaTheme="minorEastAsia"/>
      <w:sz w:val="24"/>
      <w:shd w:val="pct20" w:color="auto" w:fill="auto"/>
    </w:rPr>
  </w:style>
  <w:style w:type="paragraph" w:styleId="52">
    <w:name w:val="HTML Preformatted"/>
    <w:basedOn w:val="1"/>
    <w:link w:val="8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color w:val="000000"/>
      <w:szCs w:val="21"/>
    </w:rPr>
  </w:style>
  <w:style w:type="paragraph" w:styleId="53">
    <w:name w:val="Normal (Web)"/>
    <w:basedOn w:val="1"/>
    <w:link w:val="207"/>
    <w:qFormat/>
    <w:uiPriority w:val="0"/>
    <w:pPr>
      <w:widowControl/>
      <w:spacing w:before="100" w:beforeAutospacing="1" w:after="100" w:afterAutospacing="1"/>
      <w:jc w:val="left"/>
    </w:pPr>
    <w:rPr>
      <w:rFonts w:ascii="宋体" w:hAnsi="宋体" w:cs="宋体"/>
      <w:sz w:val="24"/>
    </w:rPr>
  </w:style>
  <w:style w:type="paragraph" w:styleId="54">
    <w:name w:val="index 1"/>
    <w:basedOn w:val="1"/>
    <w:next w:val="1"/>
    <w:qFormat/>
    <w:uiPriority w:val="0"/>
    <w:pPr>
      <w:spacing w:before="25" w:beforeLines="25" w:after="25" w:afterLines="25" w:line="360" w:lineRule="auto"/>
      <w:ind w:firstLine="200" w:firstLineChars="200"/>
    </w:pPr>
    <w:rPr>
      <w:sz w:val="24"/>
      <w:szCs w:val="21"/>
    </w:rPr>
  </w:style>
  <w:style w:type="paragraph" w:styleId="55">
    <w:name w:val="Title"/>
    <w:basedOn w:val="1"/>
    <w:next w:val="1"/>
    <w:link w:val="288"/>
    <w:qFormat/>
    <w:uiPriority w:val="0"/>
    <w:pPr>
      <w:spacing w:before="240" w:after="60" w:line="360" w:lineRule="auto"/>
      <w:ind w:firstLine="200" w:firstLineChars="200"/>
      <w:jc w:val="center"/>
      <w:outlineLvl w:val="0"/>
    </w:pPr>
    <w:rPr>
      <w:rFonts w:ascii="Cambria" w:hAnsi="Cambria" w:cs="宋体"/>
      <w:b/>
      <w:bCs/>
      <w:sz w:val="32"/>
      <w:szCs w:val="32"/>
    </w:rPr>
  </w:style>
  <w:style w:type="paragraph" w:styleId="56">
    <w:name w:val="annotation subject"/>
    <w:basedOn w:val="19"/>
    <w:next w:val="19"/>
    <w:link w:val="556"/>
    <w:qFormat/>
    <w:uiPriority w:val="0"/>
    <w:rPr>
      <w:b/>
      <w:bCs/>
    </w:rPr>
  </w:style>
  <w:style w:type="paragraph" w:styleId="57">
    <w:name w:val="Body Text First Indent"/>
    <w:basedOn w:val="23"/>
    <w:link w:val="200"/>
    <w:qFormat/>
    <w:uiPriority w:val="0"/>
    <w:pPr>
      <w:ind w:firstLine="420" w:firstLineChars="100"/>
    </w:pPr>
    <w:rPr>
      <w:rFonts w:ascii="宋体" w:hAnsi="宋体" w:cs="宋体"/>
    </w:rPr>
  </w:style>
  <w:style w:type="paragraph" w:styleId="58">
    <w:name w:val="Body Text First Indent 2"/>
    <w:basedOn w:val="24"/>
    <w:link w:val="239"/>
    <w:qFormat/>
    <w:uiPriority w:val="0"/>
    <w:pPr>
      <w:autoSpaceDE/>
      <w:autoSpaceDN/>
      <w:adjustRightInd/>
      <w:spacing w:after="120" w:line="240" w:lineRule="auto"/>
      <w:ind w:left="420" w:leftChars="200" w:firstLine="420" w:firstLineChars="200"/>
    </w:pPr>
    <w:rPr>
      <w:rFonts w:hint="default"/>
      <w:color w:val="auto"/>
      <w:kern w:val="2"/>
      <w:sz w:val="21"/>
    </w:rPr>
  </w:style>
  <w:style w:type="table" w:styleId="60">
    <w:name w:val="Table Grid"/>
    <w:basedOn w:val="59"/>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qFormat/>
    <w:uiPriority w:val="0"/>
    <w:rPr>
      <w:b/>
      <w:bCs/>
    </w:rPr>
  </w:style>
  <w:style w:type="character" w:styleId="63">
    <w:name w:val="endnote reference"/>
    <w:basedOn w:val="61"/>
    <w:semiHidden/>
    <w:unhideWhenUsed/>
    <w:qFormat/>
    <w:uiPriority w:val="99"/>
    <w:rPr>
      <w:vertAlign w:val="superscript"/>
    </w:rPr>
  </w:style>
  <w:style w:type="character" w:styleId="64">
    <w:name w:val="page number"/>
    <w:basedOn w:val="61"/>
    <w:qFormat/>
    <w:uiPriority w:val="0"/>
    <w:rPr>
      <w:rFonts w:ascii="宋体" w:hAnsi="宋体" w:cs="宋体"/>
      <w:sz w:val="24"/>
      <w:szCs w:val="26"/>
    </w:rPr>
  </w:style>
  <w:style w:type="character" w:styleId="65">
    <w:name w:val="FollowedHyperlink"/>
    <w:basedOn w:val="61"/>
    <w:qFormat/>
    <w:uiPriority w:val="0"/>
    <w:rPr>
      <w:rFonts w:ascii="微软雅黑" w:hAnsi="微软雅黑" w:eastAsia="微软雅黑" w:cs="微软雅黑"/>
      <w:color w:val="800080"/>
      <w:sz w:val="24"/>
      <w:szCs w:val="26"/>
      <w:u w:val="none"/>
    </w:rPr>
  </w:style>
  <w:style w:type="character" w:styleId="66">
    <w:name w:val="Emphasis"/>
    <w:basedOn w:val="61"/>
    <w:qFormat/>
    <w:uiPriority w:val="0"/>
    <w:rPr>
      <w:rFonts w:ascii="宋体" w:hAnsi="宋体" w:cs="宋体"/>
      <w:i/>
      <w:iCs/>
      <w:sz w:val="24"/>
      <w:szCs w:val="26"/>
    </w:rPr>
  </w:style>
  <w:style w:type="character" w:styleId="67">
    <w:name w:val="line number"/>
    <w:basedOn w:val="61"/>
    <w:qFormat/>
    <w:uiPriority w:val="0"/>
    <w:rPr>
      <w:rFonts w:ascii="宋体" w:hAnsi="宋体" w:cs="宋体"/>
      <w:sz w:val="24"/>
      <w:szCs w:val="26"/>
    </w:rPr>
  </w:style>
  <w:style w:type="character" w:styleId="68">
    <w:name w:val="HTML Typewriter"/>
    <w:qFormat/>
    <w:uiPriority w:val="0"/>
    <w:rPr>
      <w:rFonts w:ascii="Courier New" w:hAnsi="Courier New"/>
      <w:sz w:val="20"/>
    </w:rPr>
  </w:style>
  <w:style w:type="character" w:styleId="69">
    <w:name w:val="Hyperlink"/>
    <w:basedOn w:val="61"/>
    <w:qFormat/>
    <w:uiPriority w:val="99"/>
    <w:rPr>
      <w:rFonts w:ascii="宋体" w:hAnsi="宋体" w:cs="宋体"/>
      <w:color w:val="000000"/>
      <w:sz w:val="24"/>
      <w:szCs w:val="26"/>
      <w:u w:val="none"/>
    </w:rPr>
  </w:style>
  <w:style w:type="character" w:styleId="70">
    <w:name w:val="annotation reference"/>
    <w:qFormat/>
    <w:uiPriority w:val="0"/>
    <w:rPr>
      <w:sz w:val="21"/>
      <w:szCs w:val="21"/>
    </w:rPr>
  </w:style>
  <w:style w:type="character" w:styleId="71">
    <w:name w:val="HTML Sample"/>
    <w:qFormat/>
    <w:uiPriority w:val="0"/>
    <w:rPr>
      <w:rFonts w:hint="default" w:ascii="Menlo" w:hAnsi="Menlo" w:eastAsia="Menlo" w:cs="Menlo"/>
      <w:sz w:val="21"/>
      <w:szCs w:val="21"/>
    </w:rPr>
  </w:style>
  <w:style w:type="character" w:customStyle="1" w:styleId="72">
    <w:name w:val="页眉 字符"/>
    <w:basedOn w:val="61"/>
    <w:link w:val="37"/>
    <w:qFormat/>
    <w:uiPriority w:val="0"/>
    <w:rPr>
      <w:sz w:val="18"/>
      <w:szCs w:val="18"/>
    </w:rPr>
  </w:style>
  <w:style w:type="character" w:customStyle="1" w:styleId="73">
    <w:name w:val="页脚 字符"/>
    <w:basedOn w:val="61"/>
    <w:link w:val="36"/>
    <w:qFormat/>
    <w:uiPriority w:val="99"/>
    <w:rPr>
      <w:sz w:val="18"/>
      <w:szCs w:val="18"/>
    </w:rPr>
  </w:style>
  <w:style w:type="character" w:customStyle="1" w:styleId="74">
    <w:name w:val="标题 1 Char"/>
    <w:basedOn w:val="61"/>
    <w:qFormat/>
    <w:uiPriority w:val="0"/>
    <w:rPr>
      <w:rFonts w:ascii="Times New Roman" w:hAnsi="Times New Roman" w:eastAsia="宋体" w:cs="Times New Roman"/>
      <w:b/>
      <w:bCs/>
      <w:kern w:val="44"/>
      <w:sz w:val="44"/>
      <w:szCs w:val="44"/>
    </w:rPr>
  </w:style>
  <w:style w:type="character" w:customStyle="1" w:styleId="75">
    <w:name w:val="标题 2 字符"/>
    <w:basedOn w:val="61"/>
    <w:link w:val="4"/>
    <w:qFormat/>
    <w:uiPriority w:val="0"/>
    <w:rPr>
      <w:rFonts w:ascii="Arial" w:hAnsi="Arial" w:eastAsia="黑体" w:cs="Times New Roman"/>
      <w:b/>
      <w:bCs/>
      <w:sz w:val="28"/>
      <w:szCs w:val="32"/>
    </w:rPr>
  </w:style>
  <w:style w:type="character" w:customStyle="1" w:styleId="76">
    <w:name w:val="标题 3 字符"/>
    <w:basedOn w:val="61"/>
    <w:link w:val="5"/>
    <w:qFormat/>
    <w:uiPriority w:val="0"/>
    <w:rPr>
      <w:rFonts w:ascii="黑体" w:hAnsi="Times New Roman" w:eastAsia="黑体" w:cs="Times New Roman"/>
      <w:spacing w:val="6"/>
      <w:sz w:val="24"/>
      <w:szCs w:val="30"/>
    </w:rPr>
  </w:style>
  <w:style w:type="character" w:customStyle="1" w:styleId="77">
    <w:name w:val="标题 4 字符"/>
    <w:basedOn w:val="61"/>
    <w:link w:val="2"/>
    <w:qFormat/>
    <w:uiPriority w:val="9"/>
    <w:rPr>
      <w:rFonts w:ascii="Times New Roman" w:hAnsi="Times New Roman" w:eastAsia="黑体" w:cs="Times New Roman"/>
      <w:bCs/>
      <w:color w:val="000000"/>
      <w:sz w:val="24"/>
      <w:szCs w:val="28"/>
    </w:rPr>
  </w:style>
  <w:style w:type="character" w:customStyle="1" w:styleId="78">
    <w:name w:val="标题 5 字符"/>
    <w:basedOn w:val="61"/>
    <w:link w:val="6"/>
    <w:qFormat/>
    <w:uiPriority w:val="0"/>
    <w:rPr>
      <w:rFonts w:ascii="Times New Roman" w:hAnsi="Times New Roman" w:eastAsia="宋体" w:cs="Times New Roman"/>
      <w:b/>
      <w:bCs/>
      <w:sz w:val="28"/>
      <w:szCs w:val="28"/>
    </w:rPr>
  </w:style>
  <w:style w:type="character" w:customStyle="1" w:styleId="79">
    <w:name w:val="标题 6 字符"/>
    <w:basedOn w:val="61"/>
    <w:link w:val="7"/>
    <w:qFormat/>
    <w:uiPriority w:val="0"/>
    <w:rPr>
      <w:rFonts w:ascii="Arial" w:hAnsi="Arial" w:eastAsia="黑体" w:cs="Times New Roman"/>
      <w:b/>
      <w:bCs/>
      <w:spacing w:val="4"/>
      <w:kern w:val="0"/>
      <w:sz w:val="24"/>
      <w:szCs w:val="24"/>
    </w:rPr>
  </w:style>
  <w:style w:type="character" w:customStyle="1" w:styleId="80">
    <w:name w:val="标题 7 字符"/>
    <w:basedOn w:val="61"/>
    <w:link w:val="8"/>
    <w:qFormat/>
    <w:uiPriority w:val="0"/>
    <w:rPr>
      <w:rFonts w:ascii="Times New Roman" w:hAnsi="Times New Roman" w:eastAsia="宋体" w:cs="Times New Roman"/>
      <w:b/>
      <w:bCs/>
      <w:sz w:val="24"/>
      <w:szCs w:val="24"/>
    </w:rPr>
  </w:style>
  <w:style w:type="character" w:customStyle="1" w:styleId="81">
    <w:name w:val="标题 8 字符"/>
    <w:basedOn w:val="61"/>
    <w:link w:val="9"/>
    <w:qFormat/>
    <w:uiPriority w:val="0"/>
    <w:rPr>
      <w:rFonts w:ascii="Arial" w:hAnsi="Arial" w:eastAsia="黑体" w:cs="Arial"/>
      <w:kern w:val="22"/>
      <w:sz w:val="24"/>
      <w:szCs w:val="24"/>
    </w:rPr>
  </w:style>
  <w:style w:type="character" w:customStyle="1" w:styleId="82">
    <w:name w:val="标题 9 字符"/>
    <w:basedOn w:val="61"/>
    <w:link w:val="10"/>
    <w:qFormat/>
    <w:uiPriority w:val="0"/>
    <w:rPr>
      <w:rFonts w:ascii="Arial" w:hAnsi="Arial" w:eastAsia="黑体" w:cs="Arial"/>
      <w:kern w:val="22"/>
      <w:sz w:val="24"/>
      <w:szCs w:val="24"/>
    </w:rPr>
  </w:style>
  <w:style w:type="character" w:customStyle="1" w:styleId="83">
    <w:name w:val="HTML 预设格式 字符"/>
    <w:basedOn w:val="61"/>
    <w:link w:val="52"/>
    <w:qFormat/>
    <w:uiPriority w:val="0"/>
    <w:rPr>
      <w:rFonts w:ascii="宋体" w:hAnsi="宋体" w:cs="宋体"/>
      <w:color w:val="000000"/>
      <w:szCs w:val="21"/>
    </w:rPr>
  </w:style>
  <w:style w:type="character" w:customStyle="1" w:styleId="84">
    <w:name w:val="正文格式 Char"/>
    <w:basedOn w:val="61"/>
    <w:link w:val="85"/>
    <w:qFormat/>
    <w:uiPriority w:val="0"/>
    <w:rPr>
      <w:rFonts w:ascii="宋体" w:hAnsi="宋体" w:cs="宋体"/>
      <w:sz w:val="24"/>
      <w:szCs w:val="24"/>
    </w:rPr>
  </w:style>
  <w:style w:type="paragraph" w:customStyle="1" w:styleId="85">
    <w:name w:val="正文格式"/>
    <w:basedOn w:val="57"/>
    <w:link w:val="84"/>
    <w:qFormat/>
    <w:uiPriority w:val="0"/>
    <w:pPr>
      <w:spacing w:after="0" w:line="360" w:lineRule="auto"/>
      <w:ind w:firstLine="200" w:firstLineChars="200"/>
    </w:pPr>
    <w:rPr>
      <w:rFonts w:eastAsiaTheme="minorEastAsia"/>
      <w:sz w:val="24"/>
    </w:rPr>
  </w:style>
  <w:style w:type="character" w:customStyle="1" w:styleId="86">
    <w:name w:val="报告正文 Char"/>
    <w:link w:val="87"/>
    <w:qFormat/>
    <w:uiPriority w:val="0"/>
    <w:rPr>
      <w:rFonts w:eastAsia="宋体"/>
      <w:sz w:val="24"/>
      <w:szCs w:val="21"/>
    </w:rPr>
  </w:style>
  <w:style w:type="paragraph" w:customStyle="1" w:styleId="87">
    <w:name w:val="报告正文"/>
    <w:basedOn w:val="1"/>
    <w:link w:val="86"/>
    <w:qFormat/>
    <w:uiPriority w:val="0"/>
    <w:pPr>
      <w:adjustRightInd w:val="0"/>
      <w:snapToGrid w:val="0"/>
      <w:spacing w:line="360" w:lineRule="auto"/>
      <w:ind w:firstLine="200" w:firstLineChars="200"/>
      <w:jc w:val="left"/>
    </w:pPr>
    <w:rPr>
      <w:rFonts w:asciiTheme="minorHAnsi" w:hAnsiTheme="minorHAnsi" w:cstheme="minorBidi"/>
      <w:sz w:val="24"/>
      <w:szCs w:val="21"/>
    </w:rPr>
  </w:style>
  <w:style w:type="character" w:customStyle="1" w:styleId="88">
    <w:name w:val="样式 5 + 首行缩进:  2 字符 Char"/>
    <w:basedOn w:val="61"/>
    <w:link w:val="89"/>
    <w:qFormat/>
    <w:uiPriority w:val="0"/>
    <w:rPr>
      <w:rFonts w:ascii="楷体_GB2312" w:hAnsi="宋体" w:eastAsia="楷体_GB2312" w:cs="宋体"/>
      <w:color w:val="000000"/>
      <w:spacing w:val="-2"/>
      <w:sz w:val="30"/>
      <w:szCs w:val="30"/>
    </w:rPr>
  </w:style>
  <w:style w:type="paragraph" w:customStyle="1" w:styleId="89">
    <w:name w:val="样式 5 + 首行缩进:  2 字符"/>
    <w:basedOn w:val="1"/>
    <w:link w:val="88"/>
    <w:qFormat/>
    <w:uiPriority w:val="0"/>
    <w:pPr>
      <w:ind w:firstLine="592" w:firstLineChars="200"/>
    </w:pPr>
    <w:rPr>
      <w:rFonts w:ascii="楷体_GB2312" w:hAnsi="宋体" w:eastAsia="楷体_GB2312" w:cs="宋体"/>
      <w:color w:val="000000"/>
      <w:spacing w:val="-2"/>
      <w:sz w:val="30"/>
      <w:szCs w:val="30"/>
    </w:rPr>
  </w:style>
  <w:style w:type="character" w:customStyle="1" w:styleId="90">
    <w:name w:val="cucd-0 Char1"/>
    <w:basedOn w:val="61"/>
    <w:link w:val="91"/>
    <w:qFormat/>
    <w:uiPriority w:val="0"/>
    <w:rPr>
      <w:rFonts w:ascii="宋体" w:hAnsi="宋体" w:eastAsia="Times New Roman" w:cs="宋体"/>
      <w:sz w:val="24"/>
      <w:szCs w:val="24"/>
      <w:lang w:eastAsia="en-US" w:bidi="en-US"/>
    </w:rPr>
  </w:style>
  <w:style w:type="paragraph" w:customStyle="1" w:styleId="91">
    <w:name w:val="cucd-0"/>
    <w:link w:val="90"/>
    <w:qFormat/>
    <w:uiPriority w:val="0"/>
    <w:pPr>
      <w:spacing w:after="200" w:line="360" w:lineRule="auto"/>
      <w:ind w:firstLine="480" w:firstLineChars="200"/>
    </w:pPr>
    <w:rPr>
      <w:rFonts w:ascii="宋体" w:hAnsi="宋体" w:eastAsia="Times New Roman" w:cs="宋体"/>
      <w:kern w:val="2"/>
      <w:sz w:val="24"/>
      <w:szCs w:val="24"/>
      <w:lang w:val="en-US" w:eastAsia="en-US" w:bidi="en-US"/>
    </w:rPr>
  </w:style>
  <w:style w:type="character" w:customStyle="1" w:styleId="92">
    <w:name w:val="标题 2 + 行距: 标题2+首行缩进 0倍 Char"/>
    <w:basedOn w:val="61"/>
    <w:link w:val="93"/>
    <w:qFormat/>
    <w:uiPriority w:val="0"/>
    <w:rPr>
      <w:rFonts w:ascii="黑体" w:hAnsi="宋体" w:eastAsia="黑体" w:cs="宋体"/>
      <w:sz w:val="30"/>
      <w:szCs w:val="26"/>
    </w:rPr>
  </w:style>
  <w:style w:type="paragraph" w:customStyle="1" w:styleId="93">
    <w:name w:val="标题 2 + 行距: 标题2+首行缩进 0倍"/>
    <w:basedOn w:val="4"/>
    <w:link w:val="92"/>
    <w:qFormat/>
    <w:uiPriority w:val="0"/>
    <w:pPr>
      <w:tabs>
        <w:tab w:val="left" w:pos="8140"/>
      </w:tabs>
      <w:spacing w:before="0" w:after="0" w:line="360" w:lineRule="auto"/>
    </w:pPr>
    <w:rPr>
      <w:rFonts w:ascii="黑体" w:hAnsi="宋体" w:cs="宋体"/>
      <w:b w:val="0"/>
      <w:bCs w:val="0"/>
      <w:sz w:val="30"/>
      <w:szCs w:val="26"/>
    </w:rPr>
  </w:style>
  <w:style w:type="character" w:customStyle="1" w:styleId="94">
    <w:name w:val="样式 正文文本 + 首行缩进:  2 字符 Char"/>
    <w:link w:val="95"/>
    <w:qFormat/>
    <w:uiPriority w:val="0"/>
    <w:rPr>
      <w:color w:val="FF0000"/>
      <w:sz w:val="24"/>
      <w:szCs w:val="24"/>
    </w:rPr>
  </w:style>
  <w:style w:type="paragraph" w:customStyle="1" w:styleId="95">
    <w:name w:val="样式 正文文本 + 首行缩进:  2 字符"/>
    <w:basedOn w:val="23"/>
    <w:link w:val="94"/>
    <w:qFormat/>
    <w:uiPriority w:val="0"/>
    <w:pPr>
      <w:adjustRightInd w:val="0"/>
      <w:snapToGrid w:val="0"/>
      <w:spacing w:before="120" w:after="0" w:line="300" w:lineRule="auto"/>
      <w:ind w:firstLine="200" w:firstLineChars="200"/>
      <w:textAlignment w:val="baseline"/>
    </w:pPr>
    <w:rPr>
      <w:rFonts w:asciiTheme="minorHAnsi" w:hAnsiTheme="minorHAnsi" w:eastAsiaTheme="minorEastAsia" w:cstheme="minorBidi"/>
      <w:color w:val="FF0000"/>
      <w:sz w:val="24"/>
    </w:rPr>
  </w:style>
  <w:style w:type="character" w:customStyle="1" w:styleId="96">
    <w:name w:val="标题二!!!!!!!!!!!!!!!! Char"/>
    <w:basedOn w:val="97"/>
    <w:link w:val="99"/>
    <w:qFormat/>
    <w:uiPriority w:val="0"/>
    <w:rPr>
      <w:rFonts w:ascii="楷体_GB2312" w:hAnsi="楷体_GB2312" w:eastAsia="楷体_GB2312" w:cs="楷体_GB2312"/>
      <w:sz w:val="30"/>
      <w:szCs w:val="30"/>
    </w:rPr>
  </w:style>
  <w:style w:type="character" w:customStyle="1" w:styleId="97">
    <w:name w:val="标题二！！！！！ Char"/>
    <w:basedOn w:val="61"/>
    <w:link w:val="98"/>
    <w:qFormat/>
    <w:uiPriority w:val="0"/>
    <w:rPr>
      <w:rFonts w:ascii="楷体_GB2312" w:hAnsi="楷体_GB2312" w:eastAsia="楷体_GB2312" w:cs="楷体_GB2312"/>
      <w:b/>
      <w:bCs/>
      <w:sz w:val="30"/>
      <w:szCs w:val="30"/>
    </w:rPr>
  </w:style>
  <w:style w:type="paragraph" w:customStyle="1" w:styleId="98">
    <w:name w:val="标题二！！！！！"/>
    <w:basedOn w:val="4"/>
    <w:link w:val="97"/>
    <w:qFormat/>
    <w:uiPriority w:val="0"/>
    <w:pPr>
      <w:keepNext w:val="0"/>
      <w:keepLines w:val="0"/>
      <w:spacing w:before="120" w:after="120" w:line="500" w:lineRule="exact"/>
    </w:pPr>
    <w:rPr>
      <w:rFonts w:ascii="楷体_GB2312" w:hAnsi="楷体_GB2312" w:eastAsia="楷体_GB2312" w:cs="楷体_GB2312"/>
      <w:sz w:val="30"/>
      <w:szCs w:val="30"/>
    </w:rPr>
  </w:style>
  <w:style w:type="paragraph" w:customStyle="1" w:styleId="99">
    <w:name w:val="标题二!!!!!!!!!!!!!!!!"/>
    <w:basedOn w:val="98"/>
    <w:link w:val="96"/>
    <w:qFormat/>
    <w:uiPriority w:val="0"/>
  </w:style>
  <w:style w:type="character" w:customStyle="1" w:styleId="100">
    <w:name w:val="样式 题注 + 黑体 小四 加粗 Char"/>
    <w:basedOn w:val="61"/>
    <w:link w:val="101"/>
    <w:qFormat/>
    <w:uiPriority w:val="0"/>
    <w:rPr>
      <w:rFonts w:ascii="黑体" w:hAnsi="黑体" w:eastAsia="黑体" w:cs="宋体"/>
      <w:b/>
      <w:bCs/>
      <w:sz w:val="24"/>
      <w:szCs w:val="26"/>
    </w:rPr>
  </w:style>
  <w:style w:type="paragraph" w:customStyle="1" w:styleId="101">
    <w:name w:val="样式 题注 + 黑体 小四 加粗"/>
    <w:basedOn w:val="16"/>
    <w:link w:val="100"/>
    <w:qFormat/>
    <w:uiPriority w:val="0"/>
    <w:pPr>
      <w:spacing w:line="240" w:lineRule="auto"/>
      <w:ind w:firstLine="0" w:firstLineChars="0"/>
      <w:jc w:val="center"/>
    </w:pPr>
    <w:rPr>
      <w:rFonts w:ascii="黑体" w:hAnsi="黑体" w:cs="宋体"/>
      <w:b/>
      <w:bCs/>
    </w:rPr>
  </w:style>
  <w:style w:type="character" w:customStyle="1" w:styleId="102">
    <w:name w:val="样式 正文首行缩进 2 + (符号) 宋体 + (符号) 宋体 Char Char"/>
    <w:basedOn w:val="103"/>
    <w:link w:val="105"/>
    <w:qFormat/>
    <w:uiPriority w:val="0"/>
    <w:rPr>
      <w:rFonts w:ascii="宋体" w:hAnsi="宋体" w:cs="宋体"/>
      <w:sz w:val="24"/>
      <w:szCs w:val="24"/>
    </w:rPr>
  </w:style>
  <w:style w:type="character" w:customStyle="1" w:styleId="103">
    <w:name w:val="样式 正文首行缩进 2 + (符号) 宋体 Char"/>
    <w:basedOn w:val="61"/>
    <w:link w:val="104"/>
    <w:qFormat/>
    <w:uiPriority w:val="0"/>
    <w:rPr>
      <w:rFonts w:ascii="宋体" w:hAnsi="宋体" w:cs="宋体"/>
      <w:sz w:val="24"/>
      <w:szCs w:val="24"/>
    </w:rPr>
  </w:style>
  <w:style w:type="paragraph" w:customStyle="1" w:styleId="104">
    <w:name w:val="样式 正文首行缩进 2 + (符号) 宋体"/>
    <w:basedOn w:val="58"/>
    <w:link w:val="103"/>
    <w:qFormat/>
    <w:uiPriority w:val="0"/>
    <w:pPr>
      <w:spacing w:after="0" w:line="360" w:lineRule="auto"/>
      <w:ind w:left="0" w:leftChars="0" w:firstLine="200"/>
    </w:pPr>
    <w:rPr>
      <w:sz w:val="24"/>
      <w:szCs w:val="24"/>
    </w:rPr>
  </w:style>
  <w:style w:type="paragraph" w:customStyle="1" w:styleId="105">
    <w:name w:val="样式 正文首行缩进 2 + (符号) 宋体 + (符号) 宋体"/>
    <w:basedOn w:val="104"/>
    <w:link w:val="102"/>
    <w:qFormat/>
    <w:uiPriority w:val="0"/>
  </w:style>
  <w:style w:type="character" w:customStyle="1" w:styleId="106">
    <w:name w:val="正文(首行缩进)宋旭峰 Char Char"/>
    <w:basedOn w:val="61"/>
    <w:link w:val="107"/>
    <w:qFormat/>
    <w:uiPriority w:val="0"/>
    <w:rPr>
      <w:rFonts w:ascii="宋体" w:hAnsi="宋体" w:cs="宋体"/>
      <w:snapToGrid w:val="0"/>
      <w:sz w:val="24"/>
      <w:szCs w:val="24"/>
    </w:rPr>
  </w:style>
  <w:style w:type="paragraph" w:customStyle="1" w:styleId="107">
    <w:name w:val="正文(首行缩进)宋旭峰"/>
    <w:basedOn w:val="15"/>
    <w:link w:val="106"/>
    <w:qFormat/>
    <w:uiPriority w:val="0"/>
    <w:pPr>
      <w:spacing w:line="560" w:lineRule="exact"/>
      <w:ind w:firstLine="480" w:firstLineChars="200"/>
      <w:contextualSpacing/>
    </w:pPr>
    <w:rPr>
      <w:rFonts w:ascii="宋体" w:hAnsi="宋体" w:cs="宋体" w:eastAsiaTheme="minorEastAsia"/>
      <w:snapToGrid w:val="0"/>
      <w:sz w:val="24"/>
    </w:rPr>
  </w:style>
  <w:style w:type="character" w:customStyle="1" w:styleId="108">
    <w:name w:val="样式 样式 标题 2 + 楷体_GB2312 + 字距调整三号 Char"/>
    <w:basedOn w:val="109"/>
    <w:link w:val="111"/>
    <w:qFormat/>
    <w:uiPriority w:val="0"/>
    <w:rPr>
      <w:rFonts w:ascii="楷体_GB2312" w:hAnsi="楷体_GB2312" w:eastAsia="楷体_GB2312" w:cs="宋体"/>
      <w:kern w:val="32"/>
      <w:sz w:val="30"/>
      <w:szCs w:val="30"/>
    </w:rPr>
  </w:style>
  <w:style w:type="character" w:customStyle="1" w:styleId="109">
    <w:name w:val="样式 标题 2 + 楷体_GB2312 Char"/>
    <w:basedOn w:val="61"/>
    <w:link w:val="110"/>
    <w:qFormat/>
    <w:uiPriority w:val="0"/>
    <w:rPr>
      <w:rFonts w:ascii="楷体_GB2312" w:hAnsi="楷体_GB2312" w:eastAsia="楷体_GB2312" w:cs="宋体"/>
      <w:b/>
      <w:bCs/>
      <w:sz w:val="30"/>
      <w:szCs w:val="32"/>
    </w:rPr>
  </w:style>
  <w:style w:type="paragraph" w:customStyle="1" w:styleId="110">
    <w:name w:val="样式 标题 2 + 楷体_GB2312"/>
    <w:basedOn w:val="4"/>
    <w:link w:val="109"/>
    <w:qFormat/>
    <w:uiPriority w:val="0"/>
    <w:pPr>
      <w:keepNext w:val="0"/>
      <w:keepLines w:val="0"/>
      <w:spacing w:before="120" w:after="120" w:line="500" w:lineRule="exact"/>
    </w:pPr>
    <w:rPr>
      <w:rFonts w:ascii="楷体_GB2312" w:hAnsi="楷体_GB2312" w:eastAsia="楷体_GB2312" w:cs="宋体"/>
      <w:sz w:val="30"/>
    </w:rPr>
  </w:style>
  <w:style w:type="paragraph" w:customStyle="1" w:styleId="111">
    <w:name w:val="样式 样式 标题 2 + 楷体_GB2312 + 字距调整三号"/>
    <w:basedOn w:val="110"/>
    <w:link w:val="108"/>
    <w:qFormat/>
    <w:uiPriority w:val="0"/>
    <w:rPr>
      <w:kern w:val="32"/>
      <w:szCs w:val="30"/>
    </w:rPr>
  </w:style>
  <w:style w:type="character" w:customStyle="1" w:styleId="112">
    <w:name w:val="222 Char"/>
    <w:basedOn w:val="61"/>
    <w:link w:val="113"/>
    <w:qFormat/>
    <w:uiPriority w:val="0"/>
    <w:rPr>
      <w:rFonts w:ascii="Arial" w:hAnsi="Arial" w:eastAsia="楷体_GB2312" w:cs="宋体"/>
      <w:b/>
      <w:bCs/>
      <w:sz w:val="24"/>
      <w:szCs w:val="28"/>
    </w:rPr>
  </w:style>
  <w:style w:type="paragraph" w:customStyle="1" w:styleId="113">
    <w:name w:val="222"/>
    <w:basedOn w:val="4"/>
    <w:link w:val="112"/>
    <w:qFormat/>
    <w:uiPriority w:val="0"/>
    <w:pPr>
      <w:keepLines w:val="0"/>
      <w:spacing w:before="0" w:after="0" w:line="360" w:lineRule="auto"/>
    </w:pPr>
    <w:rPr>
      <w:rFonts w:eastAsia="楷体_GB2312" w:cs="宋体"/>
      <w:sz w:val="24"/>
      <w:szCs w:val="28"/>
    </w:rPr>
  </w:style>
  <w:style w:type="character" w:customStyle="1" w:styleId="114">
    <w:name w:val="文档结构图 Char1"/>
    <w:basedOn w:val="61"/>
    <w:link w:val="115"/>
    <w:qFormat/>
    <w:uiPriority w:val="0"/>
    <w:rPr>
      <w:rFonts w:ascii="宋体" w:hAnsi="宋体" w:cs="宋体"/>
      <w:sz w:val="18"/>
      <w:szCs w:val="18"/>
    </w:rPr>
  </w:style>
  <w:style w:type="paragraph" w:customStyle="1" w:styleId="115">
    <w:name w:val="文档结构图1"/>
    <w:basedOn w:val="1"/>
    <w:link w:val="114"/>
    <w:qFormat/>
    <w:uiPriority w:val="0"/>
    <w:rPr>
      <w:rFonts w:ascii="宋体" w:hAnsi="宋体" w:cs="宋体" w:eastAsiaTheme="minorEastAsia"/>
      <w:sz w:val="18"/>
      <w:szCs w:val="18"/>
    </w:rPr>
  </w:style>
  <w:style w:type="character" w:customStyle="1" w:styleId="116">
    <w:name w:val="+正文 Char"/>
    <w:basedOn w:val="61"/>
    <w:link w:val="117"/>
    <w:qFormat/>
    <w:uiPriority w:val="0"/>
    <w:rPr>
      <w:rFonts w:ascii="宋体" w:hAnsi="宋体" w:cs="宋体"/>
      <w:sz w:val="24"/>
      <w:szCs w:val="28"/>
    </w:rPr>
  </w:style>
  <w:style w:type="paragraph" w:customStyle="1" w:styleId="117">
    <w:name w:val="+正文"/>
    <w:basedOn w:val="1"/>
    <w:link w:val="116"/>
    <w:qFormat/>
    <w:uiPriority w:val="0"/>
    <w:pPr>
      <w:spacing w:line="360" w:lineRule="auto"/>
      <w:ind w:firstLine="200" w:firstLineChars="200"/>
    </w:pPr>
    <w:rPr>
      <w:rFonts w:ascii="宋体" w:hAnsi="宋体" w:cs="宋体" w:eastAsiaTheme="minorEastAsia"/>
      <w:sz w:val="24"/>
      <w:szCs w:val="28"/>
    </w:rPr>
  </w:style>
  <w:style w:type="character" w:customStyle="1" w:styleId="118">
    <w:name w:val="正文001 Char"/>
    <w:basedOn w:val="61"/>
    <w:link w:val="119"/>
    <w:qFormat/>
    <w:uiPriority w:val="0"/>
    <w:rPr>
      <w:rFonts w:ascii="Arial" w:hAnsi="Arial" w:cs="宋体"/>
      <w:sz w:val="24"/>
      <w:szCs w:val="26"/>
    </w:rPr>
  </w:style>
  <w:style w:type="paragraph" w:customStyle="1" w:styleId="119">
    <w:name w:val="正文001"/>
    <w:basedOn w:val="1"/>
    <w:link w:val="118"/>
    <w:qFormat/>
    <w:uiPriority w:val="0"/>
    <w:pPr>
      <w:spacing w:before="60" w:line="360" w:lineRule="auto"/>
      <w:ind w:firstLine="200" w:firstLineChars="200"/>
    </w:pPr>
    <w:rPr>
      <w:rFonts w:ascii="Arial" w:hAnsi="Arial" w:cs="宋体" w:eastAsiaTheme="minorEastAsia"/>
      <w:sz w:val="24"/>
      <w:szCs w:val="26"/>
    </w:rPr>
  </w:style>
  <w:style w:type="character" w:customStyle="1" w:styleId="120">
    <w:name w:val="标题3 Char Char"/>
    <w:link w:val="121"/>
    <w:qFormat/>
    <w:uiPriority w:val="0"/>
    <w:rPr>
      <w:rFonts w:ascii="黑体" w:eastAsia="宋体"/>
      <w:b/>
      <w:bCs/>
      <w:color w:val="0000FF"/>
      <w:spacing w:val="6"/>
      <w:sz w:val="28"/>
      <w:szCs w:val="32"/>
    </w:rPr>
  </w:style>
  <w:style w:type="paragraph" w:customStyle="1" w:styleId="121">
    <w:name w:val="标题3"/>
    <w:basedOn w:val="5"/>
    <w:link w:val="120"/>
    <w:qFormat/>
    <w:uiPriority w:val="0"/>
    <w:pPr>
      <w:widowControl/>
      <w:tabs>
        <w:tab w:val="left" w:pos="720"/>
      </w:tabs>
      <w:spacing w:before="156" w:line="360" w:lineRule="auto"/>
      <w:ind w:left="720" w:hanging="720"/>
    </w:pPr>
    <w:rPr>
      <w:rFonts w:eastAsia="宋体" w:hAnsiTheme="minorHAnsi" w:cstheme="minorBidi"/>
      <w:b/>
      <w:bCs/>
      <w:color w:val="0000FF"/>
      <w:sz w:val="28"/>
      <w:szCs w:val="32"/>
    </w:rPr>
  </w:style>
  <w:style w:type="character" w:customStyle="1" w:styleId="122">
    <w:name w:val="样式9 Char"/>
    <w:basedOn w:val="61"/>
    <w:link w:val="123"/>
    <w:qFormat/>
    <w:uiPriority w:val="0"/>
    <w:rPr>
      <w:rFonts w:ascii="宋体" w:hAnsi="宋体" w:cs="宋体"/>
      <w:sz w:val="24"/>
      <w:szCs w:val="26"/>
    </w:rPr>
  </w:style>
  <w:style w:type="paragraph" w:customStyle="1" w:styleId="123">
    <w:name w:val="样式9"/>
    <w:basedOn w:val="1"/>
    <w:link w:val="122"/>
    <w:qFormat/>
    <w:uiPriority w:val="0"/>
    <w:pPr>
      <w:spacing w:line="360" w:lineRule="auto"/>
      <w:ind w:firstLine="480" w:firstLineChars="200"/>
    </w:pPr>
    <w:rPr>
      <w:rFonts w:ascii="宋体" w:hAnsi="宋体" w:cs="宋体" w:eastAsiaTheme="minorEastAsia"/>
      <w:sz w:val="24"/>
      <w:szCs w:val="26"/>
    </w:rPr>
  </w:style>
  <w:style w:type="character" w:customStyle="1" w:styleId="124">
    <w:name w:val="表格文字-居中 Char Char"/>
    <w:link w:val="125"/>
    <w:qFormat/>
    <w:uiPriority w:val="0"/>
    <w:rPr>
      <w:rFonts w:eastAsia="宋体"/>
      <w:szCs w:val="21"/>
    </w:rPr>
  </w:style>
  <w:style w:type="paragraph" w:customStyle="1" w:styleId="125">
    <w:name w:val="表格文字-居中"/>
    <w:basedOn w:val="1"/>
    <w:link w:val="124"/>
    <w:qFormat/>
    <w:uiPriority w:val="0"/>
    <w:pPr>
      <w:widowControl/>
      <w:adjustRightInd w:val="0"/>
      <w:spacing w:line="400" w:lineRule="exact"/>
      <w:jc w:val="center"/>
      <w:textAlignment w:val="center"/>
    </w:pPr>
    <w:rPr>
      <w:rFonts w:asciiTheme="minorHAnsi" w:hAnsiTheme="minorHAnsi" w:cstheme="minorBidi"/>
      <w:szCs w:val="21"/>
    </w:rPr>
  </w:style>
  <w:style w:type="character" w:customStyle="1" w:styleId="126">
    <w:name w:val="特点标题 Char"/>
    <w:basedOn w:val="61"/>
    <w:qFormat/>
    <w:uiPriority w:val="0"/>
    <w:rPr>
      <w:rFonts w:ascii="宋体" w:hAnsi="宋体" w:eastAsia="宋体" w:cs="宋体"/>
      <w:kern w:val="2"/>
      <w:sz w:val="24"/>
      <w:szCs w:val="24"/>
      <w:lang w:val="en-US" w:eastAsia="zh-CN" w:bidi="ar-SA"/>
    </w:rPr>
  </w:style>
  <w:style w:type="character" w:customStyle="1" w:styleId="127">
    <w:name w:val="文本框小五 Char Char"/>
    <w:basedOn w:val="61"/>
    <w:link w:val="128"/>
    <w:qFormat/>
    <w:uiPriority w:val="0"/>
    <w:rPr>
      <w:rFonts w:ascii="宋体" w:hAnsi="宋体" w:eastAsia="仿宋_GB2312" w:cs="宋体"/>
      <w:sz w:val="18"/>
      <w:szCs w:val="21"/>
    </w:rPr>
  </w:style>
  <w:style w:type="paragraph" w:customStyle="1" w:styleId="128">
    <w:name w:val="文本框小五"/>
    <w:basedOn w:val="1"/>
    <w:link w:val="127"/>
    <w:qFormat/>
    <w:uiPriority w:val="0"/>
    <w:pPr>
      <w:jc w:val="center"/>
    </w:pPr>
    <w:rPr>
      <w:rFonts w:ascii="宋体" w:hAnsi="宋体" w:eastAsia="仿宋_GB2312" w:cs="宋体"/>
      <w:sz w:val="18"/>
      <w:szCs w:val="21"/>
    </w:rPr>
  </w:style>
  <w:style w:type="character" w:customStyle="1" w:styleId="129">
    <w:name w:val="样式 样式 标题 2节H2节标题 1.1二级标题标题 lxb21.1h2第一层条二级标题 Char表标题单位名... + 宋体... Char Char"/>
    <w:basedOn w:val="130"/>
    <w:link w:val="132"/>
    <w:qFormat/>
    <w:uiPriority w:val="0"/>
    <w:rPr>
      <w:rFonts w:ascii="宋体" w:hAnsi="宋体" w:eastAsia="黑体" w:cs="宋体"/>
      <w:color w:val="000000"/>
      <w:sz w:val="24"/>
      <w:szCs w:val="28"/>
    </w:rPr>
  </w:style>
  <w:style w:type="character" w:customStyle="1" w:styleId="130">
    <w:name w:val="样式 标题 2节H2节标题 1.1二级标题标题 lxb21.1h2第一层条二级标题 Char表标题单位名... Char Char"/>
    <w:basedOn w:val="61"/>
    <w:link w:val="131"/>
    <w:qFormat/>
    <w:uiPriority w:val="0"/>
    <w:rPr>
      <w:rFonts w:ascii="黑体" w:hAnsi="宋体" w:eastAsia="黑体" w:cs="宋体"/>
      <w:bCs/>
      <w:color w:val="000000"/>
      <w:sz w:val="28"/>
      <w:szCs w:val="28"/>
    </w:rPr>
  </w:style>
  <w:style w:type="paragraph" w:customStyle="1" w:styleId="131">
    <w:name w:val="样式 标题 2节H2节标题 1.1二级标题标题 lxb21.1h2第一层条二级标题 Char表标题单位名... Char"/>
    <w:basedOn w:val="4"/>
    <w:link w:val="130"/>
    <w:qFormat/>
    <w:uiPriority w:val="0"/>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132">
    <w:name w:val="样式 样式 标题 2节H2节标题 1.1二级标题标题 lxb21.1h2第一层条二级标题 Char表标题单位名... + 宋体... Char"/>
    <w:basedOn w:val="131"/>
    <w:link w:val="129"/>
    <w:qFormat/>
    <w:uiPriority w:val="0"/>
    <w:pPr>
      <w:ind w:left="0"/>
    </w:pPr>
    <w:rPr>
      <w:rFonts w:ascii="宋体"/>
      <w:sz w:val="24"/>
    </w:rPr>
  </w:style>
  <w:style w:type="character" w:customStyle="1" w:styleId="133">
    <w:name w:val="文档结构图 字符"/>
    <w:basedOn w:val="61"/>
    <w:link w:val="18"/>
    <w:qFormat/>
    <w:uiPriority w:val="0"/>
    <w:rPr>
      <w:rFonts w:ascii="宋体" w:hAnsi="宋体" w:eastAsia="宋体" w:cs="宋体"/>
      <w:szCs w:val="24"/>
      <w:shd w:val="clear" w:color="auto" w:fill="000080"/>
    </w:rPr>
  </w:style>
  <w:style w:type="character" w:customStyle="1" w:styleId="134">
    <w:name w:val="纯文本 Char"/>
    <w:qFormat/>
    <w:uiPriority w:val="0"/>
    <w:rPr>
      <w:rFonts w:ascii="宋体" w:hAnsi="Courier New" w:eastAsia="宋体"/>
      <w:kern w:val="2"/>
      <w:sz w:val="28"/>
      <w:lang w:val="en-US" w:eastAsia="zh-CN" w:bidi="ar-SA"/>
    </w:rPr>
  </w:style>
  <w:style w:type="character" w:customStyle="1" w:styleId="135">
    <w:name w:val="表格文字 Char"/>
    <w:basedOn w:val="61"/>
    <w:link w:val="136"/>
    <w:qFormat/>
    <w:uiPriority w:val="0"/>
    <w:rPr>
      <w:rFonts w:ascii="宋体" w:hAnsi="宋体" w:eastAsia="宋体" w:cs="宋体"/>
      <w:szCs w:val="21"/>
    </w:rPr>
  </w:style>
  <w:style w:type="paragraph" w:customStyle="1" w:styleId="136">
    <w:name w:val="表格文字"/>
    <w:basedOn w:val="1"/>
    <w:link w:val="135"/>
    <w:qFormat/>
    <w:uiPriority w:val="0"/>
    <w:pPr>
      <w:adjustRightInd w:val="0"/>
      <w:spacing w:line="400" w:lineRule="exact"/>
      <w:jc w:val="center"/>
      <w:textAlignment w:val="baseline"/>
    </w:pPr>
    <w:rPr>
      <w:rFonts w:ascii="宋体" w:hAnsi="宋体" w:cs="宋体"/>
      <w:szCs w:val="21"/>
    </w:rPr>
  </w:style>
  <w:style w:type="character" w:customStyle="1" w:styleId="137">
    <w:name w:val="正文样式1 Char"/>
    <w:basedOn w:val="61"/>
    <w:link w:val="138"/>
    <w:qFormat/>
    <w:uiPriority w:val="0"/>
    <w:rPr>
      <w:rFonts w:ascii="宋体" w:hAnsi="宋体" w:eastAsia="宋体" w:cs="Calibri"/>
      <w:sz w:val="28"/>
      <w:szCs w:val="26"/>
    </w:rPr>
  </w:style>
  <w:style w:type="paragraph" w:customStyle="1" w:styleId="138">
    <w:name w:val="正文样式1"/>
    <w:basedOn w:val="1"/>
    <w:link w:val="137"/>
    <w:qFormat/>
    <w:uiPriority w:val="0"/>
    <w:pPr>
      <w:adjustRightInd w:val="0"/>
      <w:spacing w:line="480" w:lineRule="atLeast"/>
      <w:ind w:firstLine="567"/>
      <w:jc w:val="left"/>
      <w:textAlignment w:val="baseline"/>
    </w:pPr>
    <w:rPr>
      <w:rFonts w:ascii="宋体" w:hAnsi="宋体" w:cs="Calibri"/>
      <w:sz w:val="28"/>
      <w:szCs w:val="26"/>
    </w:rPr>
  </w:style>
  <w:style w:type="character" w:customStyle="1" w:styleId="139">
    <w:name w:val="报告 Char"/>
    <w:basedOn w:val="61"/>
    <w:link w:val="140"/>
    <w:qFormat/>
    <w:uiPriority w:val="0"/>
    <w:rPr>
      <w:rFonts w:ascii="宋体" w:hAnsi="宋体" w:cs="宋体"/>
      <w:sz w:val="24"/>
      <w:szCs w:val="26"/>
    </w:rPr>
  </w:style>
  <w:style w:type="paragraph" w:customStyle="1" w:styleId="140">
    <w:name w:val="报告"/>
    <w:basedOn w:val="1"/>
    <w:link w:val="139"/>
    <w:qFormat/>
    <w:uiPriority w:val="0"/>
    <w:pPr>
      <w:adjustRightInd w:val="0"/>
      <w:spacing w:line="360" w:lineRule="auto"/>
      <w:ind w:firstLine="505"/>
      <w:textAlignment w:val="center"/>
    </w:pPr>
    <w:rPr>
      <w:rFonts w:ascii="宋体" w:hAnsi="宋体" w:cs="宋体" w:eastAsiaTheme="minorEastAsia"/>
      <w:sz w:val="24"/>
      <w:szCs w:val="26"/>
    </w:rPr>
  </w:style>
  <w:style w:type="character" w:customStyle="1" w:styleId="141">
    <w:name w:val="Char Char4"/>
    <w:basedOn w:val="61"/>
    <w:qFormat/>
    <w:uiPriority w:val="0"/>
    <w:rPr>
      <w:rFonts w:ascii="宋体" w:hAnsi="宋体" w:eastAsia="宋体" w:cs="宋体"/>
      <w:b/>
      <w:bCs/>
      <w:spacing w:val="4"/>
      <w:kern w:val="44"/>
      <w:sz w:val="44"/>
      <w:szCs w:val="44"/>
      <w:lang w:val="en-US" w:eastAsia="zh-CN" w:bidi="ar-SA"/>
    </w:rPr>
  </w:style>
  <w:style w:type="character" w:customStyle="1" w:styleId="142">
    <w:name w:val="标题三A Char"/>
    <w:basedOn w:val="61"/>
    <w:link w:val="143"/>
    <w:qFormat/>
    <w:uiPriority w:val="0"/>
    <w:rPr>
      <w:rFonts w:ascii="华文仿宋" w:hAnsi="华文仿宋" w:eastAsia="华文仿宋" w:cs="宋体"/>
      <w:b/>
      <w:bCs/>
      <w:sz w:val="28"/>
      <w:szCs w:val="28"/>
    </w:rPr>
  </w:style>
  <w:style w:type="paragraph" w:customStyle="1" w:styleId="143">
    <w:name w:val="标题三A"/>
    <w:basedOn w:val="5"/>
    <w:link w:val="142"/>
    <w:qFormat/>
    <w:uiPriority w:val="0"/>
    <w:pPr>
      <w:keepNext w:val="0"/>
      <w:keepLines w:val="0"/>
      <w:spacing w:before="0" w:line="500" w:lineRule="exact"/>
      <w:ind w:left="720" w:hanging="720"/>
    </w:pPr>
    <w:rPr>
      <w:rFonts w:ascii="华文仿宋" w:hAnsi="华文仿宋" w:eastAsia="华文仿宋" w:cs="宋体"/>
      <w:b/>
      <w:bCs/>
      <w:spacing w:val="0"/>
      <w:sz w:val="28"/>
      <w:szCs w:val="28"/>
    </w:rPr>
  </w:style>
  <w:style w:type="character" w:customStyle="1" w:styleId="144">
    <w:name w:val="报告正文 Char1"/>
    <w:basedOn w:val="61"/>
    <w:qFormat/>
    <w:uiPriority w:val="0"/>
    <w:rPr>
      <w:rFonts w:ascii="宋体" w:hAnsi="宋体" w:eastAsia="宋体" w:cs="宋体"/>
      <w:bCs/>
      <w:spacing w:val="-4"/>
      <w:kern w:val="2"/>
      <w:sz w:val="24"/>
      <w:szCs w:val="24"/>
      <w:lang w:val="en-US" w:eastAsia="zh-CN" w:bidi="ar-SA"/>
    </w:rPr>
  </w:style>
  <w:style w:type="character" w:customStyle="1" w:styleId="145">
    <w:name w:val="样式 楷体_GB2312 小四 居中 行距: 单倍行距 Char"/>
    <w:basedOn w:val="61"/>
    <w:link w:val="146"/>
    <w:qFormat/>
    <w:uiPriority w:val="0"/>
    <w:rPr>
      <w:rFonts w:ascii="宋体" w:hAnsi="宋体" w:eastAsia="楷体_GB2312" w:cs="宋体"/>
      <w:sz w:val="24"/>
      <w:szCs w:val="24"/>
    </w:rPr>
  </w:style>
  <w:style w:type="paragraph" w:customStyle="1" w:styleId="146">
    <w:name w:val="样式 楷体_GB2312 小四 居中 行距: 单倍行距"/>
    <w:basedOn w:val="1"/>
    <w:link w:val="145"/>
    <w:qFormat/>
    <w:uiPriority w:val="0"/>
    <w:pPr>
      <w:jc w:val="center"/>
    </w:pPr>
    <w:rPr>
      <w:rFonts w:ascii="宋体" w:hAnsi="宋体" w:eastAsia="楷体_GB2312" w:cs="宋体"/>
      <w:sz w:val="24"/>
    </w:rPr>
  </w:style>
  <w:style w:type="character" w:customStyle="1" w:styleId="147">
    <w:name w:val="正文(首行缩进) Char"/>
    <w:basedOn w:val="61"/>
    <w:link w:val="148"/>
    <w:qFormat/>
    <w:uiPriority w:val="0"/>
    <w:rPr>
      <w:rFonts w:ascii="宋体" w:hAnsi="宋体" w:eastAsia="宋体" w:cs="宋体"/>
      <w:snapToGrid w:val="0"/>
      <w:color w:val="000000"/>
      <w:sz w:val="24"/>
      <w:szCs w:val="26"/>
    </w:rPr>
  </w:style>
  <w:style w:type="paragraph" w:customStyle="1" w:styleId="148">
    <w:name w:val="正文(首行缩进)"/>
    <w:basedOn w:val="1"/>
    <w:next w:val="1"/>
    <w:link w:val="147"/>
    <w:qFormat/>
    <w:uiPriority w:val="0"/>
    <w:pPr>
      <w:spacing w:line="360" w:lineRule="auto"/>
      <w:ind w:firstLine="540" w:firstLineChars="225"/>
    </w:pPr>
    <w:rPr>
      <w:rFonts w:ascii="宋体" w:hAnsi="宋体" w:cs="宋体"/>
      <w:snapToGrid w:val="0"/>
      <w:color w:val="000000"/>
      <w:sz w:val="24"/>
      <w:szCs w:val="26"/>
    </w:rPr>
  </w:style>
  <w:style w:type="character" w:customStyle="1" w:styleId="149">
    <w:name w:val="上标"/>
    <w:basedOn w:val="61"/>
    <w:qFormat/>
    <w:uiPriority w:val="0"/>
    <w:rPr>
      <w:rFonts w:ascii="宋体" w:hAnsi="宋体" w:cs="宋体"/>
      <w:sz w:val="24"/>
      <w:szCs w:val="26"/>
      <w:vertAlign w:val="superscript"/>
    </w:rPr>
  </w:style>
  <w:style w:type="character" w:customStyle="1" w:styleId="150">
    <w:name w:val="注释标题 字符"/>
    <w:basedOn w:val="61"/>
    <w:link w:val="13"/>
    <w:qFormat/>
    <w:uiPriority w:val="0"/>
    <w:rPr>
      <w:rFonts w:ascii="宋体" w:hAnsi="宋体" w:eastAsia="黑体" w:cs="宋体"/>
      <w:sz w:val="24"/>
      <w:szCs w:val="24"/>
    </w:rPr>
  </w:style>
  <w:style w:type="character" w:customStyle="1" w:styleId="151">
    <w:name w:val="正文A Char"/>
    <w:basedOn w:val="152"/>
    <w:link w:val="156"/>
    <w:qFormat/>
    <w:uiPriority w:val="0"/>
    <w:rPr>
      <w:rFonts w:ascii="华文仿宋" w:hAnsi="华文仿宋" w:eastAsia="华文仿宋" w:cs="宋体"/>
      <w:sz w:val="24"/>
      <w:szCs w:val="24"/>
    </w:rPr>
  </w:style>
  <w:style w:type="character" w:customStyle="1" w:styleId="152">
    <w:name w:val="正文!!!!!!!!!!! Char"/>
    <w:basedOn w:val="153"/>
    <w:link w:val="155"/>
    <w:qFormat/>
    <w:uiPriority w:val="0"/>
    <w:rPr>
      <w:rFonts w:ascii="华文仿宋" w:hAnsi="华文仿宋" w:eastAsia="华文仿宋" w:cs="宋体"/>
      <w:sz w:val="24"/>
      <w:szCs w:val="24"/>
    </w:rPr>
  </w:style>
  <w:style w:type="character" w:customStyle="1" w:styleId="153">
    <w:name w:val="正文 楷体 Char Char"/>
    <w:basedOn w:val="61"/>
    <w:link w:val="154"/>
    <w:qFormat/>
    <w:uiPriority w:val="0"/>
    <w:rPr>
      <w:rFonts w:ascii="华文仿宋" w:hAnsi="华文仿宋" w:eastAsia="华文仿宋" w:cs="宋体"/>
      <w:sz w:val="24"/>
      <w:szCs w:val="24"/>
    </w:rPr>
  </w:style>
  <w:style w:type="paragraph" w:customStyle="1" w:styleId="154">
    <w:name w:val="正文 楷体"/>
    <w:basedOn w:val="1"/>
    <w:link w:val="153"/>
    <w:qFormat/>
    <w:uiPriority w:val="0"/>
    <w:pPr>
      <w:spacing w:line="500" w:lineRule="exact"/>
      <w:ind w:firstLine="200" w:firstLineChars="200"/>
      <w:jc w:val="left"/>
    </w:pPr>
    <w:rPr>
      <w:rFonts w:ascii="华文仿宋" w:hAnsi="华文仿宋" w:eastAsia="华文仿宋" w:cs="宋体"/>
      <w:sz w:val="24"/>
    </w:rPr>
  </w:style>
  <w:style w:type="paragraph" w:customStyle="1" w:styleId="155">
    <w:name w:val="正文!!!!!!!!!!!"/>
    <w:basedOn w:val="154"/>
    <w:link w:val="152"/>
    <w:qFormat/>
    <w:uiPriority w:val="0"/>
    <w:pPr>
      <w:ind w:firstLine="480"/>
      <w:jc w:val="both"/>
    </w:pPr>
  </w:style>
  <w:style w:type="paragraph" w:customStyle="1" w:styleId="156">
    <w:name w:val="正文A"/>
    <w:basedOn w:val="155"/>
    <w:link w:val="151"/>
    <w:qFormat/>
    <w:uiPriority w:val="0"/>
  </w:style>
  <w:style w:type="character" w:customStyle="1" w:styleId="157">
    <w:name w:val="可研正文 Char"/>
    <w:basedOn w:val="158"/>
    <w:link w:val="160"/>
    <w:qFormat/>
    <w:uiPriority w:val="0"/>
    <w:rPr>
      <w:rFonts w:ascii="宋体" w:hAnsi="Arial" w:eastAsia="楷体_GB2312" w:cs="宋体"/>
      <w:sz w:val="24"/>
      <w:szCs w:val="24"/>
    </w:rPr>
  </w:style>
  <w:style w:type="character" w:customStyle="1" w:styleId="158">
    <w:name w:val="正文样式 Char"/>
    <w:basedOn w:val="61"/>
    <w:link w:val="159"/>
    <w:qFormat/>
    <w:uiPriority w:val="0"/>
    <w:rPr>
      <w:rFonts w:ascii="楷体_GB2312" w:hAnsi="宋体" w:eastAsia="楷体_GB2312" w:cs="宋体"/>
      <w:sz w:val="24"/>
      <w:szCs w:val="24"/>
    </w:rPr>
  </w:style>
  <w:style w:type="paragraph" w:customStyle="1" w:styleId="159">
    <w:name w:val="正文样式"/>
    <w:basedOn w:val="1"/>
    <w:link w:val="158"/>
    <w:qFormat/>
    <w:uiPriority w:val="0"/>
    <w:pPr>
      <w:adjustRightInd w:val="0"/>
      <w:spacing w:line="360" w:lineRule="auto"/>
      <w:ind w:firstLine="480" w:firstLineChars="200"/>
    </w:pPr>
    <w:rPr>
      <w:rFonts w:ascii="楷体_GB2312" w:hAnsi="宋体" w:eastAsia="楷体_GB2312" w:cs="宋体"/>
      <w:sz w:val="24"/>
    </w:rPr>
  </w:style>
  <w:style w:type="paragraph" w:customStyle="1" w:styleId="160">
    <w:name w:val="可研正文"/>
    <w:basedOn w:val="159"/>
    <w:link w:val="157"/>
    <w:qFormat/>
    <w:uiPriority w:val="0"/>
    <w:pPr>
      <w:snapToGrid w:val="0"/>
      <w:spacing w:line="440" w:lineRule="exact"/>
      <w:ind w:firstLine="200"/>
    </w:pPr>
    <w:rPr>
      <w:rFonts w:ascii="宋体" w:hAnsi="Arial"/>
    </w:rPr>
  </w:style>
  <w:style w:type="character" w:customStyle="1" w:styleId="161">
    <w:name w:val="样式 样式 楷体_GB2312 小四 居中 行距: 单倍行距 + 宋体 Char"/>
    <w:basedOn w:val="145"/>
    <w:link w:val="162"/>
    <w:qFormat/>
    <w:uiPriority w:val="0"/>
    <w:rPr>
      <w:rFonts w:ascii="宋体" w:hAnsi="宋体" w:eastAsia="楷体_GB2312" w:cs="宋体"/>
      <w:sz w:val="24"/>
      <w:szCs w:val="24"/>
    </w:rPr>
  </w:style>
  <w:style w:type="paragraph" w:customStyle="1" w:styleId="162">
    <w:name w:val="样式 样式 楷体_GB2312 小四 居中 行距: 单倍行距 + 宋体"/>
    <w:basedOn w:val="146"/>
    <w:link w:val="161"/>
    <w:qFormat/>
    <w:uiPriority w:val="0"/>
  </w:style>
  <w:style w:type="character" w:customStyle="1" w:styleId="163">
    <w:name w:val="样式 标题 3 Char"/>
    <w:basedOn w:val="61"/>
    <w:link w:val="164"/>
    <w:qFormat/>
    <w:uiPriority w:val="0"/>
    <w:rPr>
      <w:rFonts w:ascii="黑体" w:hAnsi="宋体" w:eastAsia="黑体" w:cs="宋体"/>
      <w:b/>
      <w:bCs/>
      <w:color w:val="FF0000"/>
      <w:sz w:val="24"/>
      <w:szCs w:val="32"/>
    </w:rPr>
  </w:style>
  <w:style w:type="paragraph" w:customStyle="1" w:styleId="164">
    <w:name w:val="样式 标题 3"/>
    <w:basedOn w:val="5"/>
    <w:link w:val="163"/>
    <w:qFormat/>
    <w:uiPriority w:val="0"/>
    <w:pPr>
      <w:spacing w:before="0" w:line="360" w:lineRule="auto"/>
      <w:ind w:left="720" w:hanging="720"/>
    </w:pPr>
    <w:rPr>
      <w:rFonts w:hAnsi="宋体" w:cs="宋体"/>
      <w:b/>
      <w:bCs/>
      <w:color w:val="FF0000"/>
      <w:spacing w:val="0"/>
      <w:szCs w:val="32"/>
    </w:rPr>
  </w:style>
  <w:style w:type="character" w:customStyle="1" w:styleId="165">
    <w:name w:val="Char Char Char Char Char Char Char Char"/>
    <w:link w:val="166"/>
    <w:qFormat/>
    <w:uiPriority w:val="0"/>
    <w:rPr>
      <w:rFonts w:ascii="宋体" w:hAnsi="宋体"/>
      <w:b/>
      <w:szCs w:val="24"/>
    </w:rPr>
  </w:style>
  <w:style w:type="paragraph" w:customStyle="1" w:styleId="166">
    <w:name w:val="Char3"/>
    <w:basedOn w:val="1"/>
    <w:link w:val="165"/>
    <w:qFormat/>
    <w:uiPriority w:val="0"/>
    <w:pPr>
      <w:widowControl/>
      <w:snapToGrid w:val="0"/>
      <w:spacing w:line="360" w:lineRule="auto"/>
      <w:ind w:firstLine="529" w:firstLineChars="200"/>
      <w:jc w:val="left"/>
    </w:pPr>
    <w:rPr>
      <w:rFonts w:ascii="宋体" w:hAnsi="宋体" w:eastAsiaTheme="minorEastAsia" w:cstheme="minorBidi"/>
      <w:b/>
    </w:rPr>
  </w:style>
  <w:style w:type="character" w:customStyle="1" w:styleId="167">
    <w:name w:val="正文JWJ Char"/>
    <w:basedOn w:val="61"/>
    <w:link w:val="168"/>
    <w:semiHidden/>
    <w:qFormat/>
    <w:uiPriority w:val="0"/>
    <w:rPr>
      <w:rFonts w:ascii="宋体" w:hAnsi="宋体" w:cs="宋体"/>
      <w:sz w:val="24"/>
      <w:szCs w:val="24"/>
    </w:rPr>
  </w:style>
  <w:style w:type="paragraph" w:customStyle="1" w:styleId="168">
    <w:name w:val="正文JWJ"/>
    <w:basedOn w:val="1"/>
    <w:link w:val="167"/>
    <w:semiHidden/>
    <w:qFormat/>
    <w:uiPriority w:val="0"/>
    <w:pPr>
      <w:spacing w:line="360" w:lineRule="auto"/>
      <w:ind w:firstLine="480" w:firstLineChars="200"/>
    </w:pPr>
    <w:rPr>
      <w:rFonts w:ascii="宋体" w:hAnsi="宋体" w:cs="宋体" w:eastAsiaTheme="minorEastAsia"/>
      <w:sz w:val="24"/>
    </w:rPr>
  </w:style>
  <w:style w:type="character" w:customStyle="1" w:styleId="169">
    <w:name w:val="tz_input"/>
    <w:basedOn w:val="61"/>
    <w:qFormat/>
    <w:uiPriority w:val="0"/>
    <w:rPr>
      <w:rFonts w:ascii="宋体" w:hAnsi="宋体" w:cs="宋体"/>
      <w:color w:val="A01211"/>
      <w:sz w:val="24"/>
      <w:szCs w:val="24"/>
    </w:rPr>
  </w:style>
  <w:style w:type="character" w:customStyle="1" w:styleId="170">
    <w:name w:val="标题5 Char Char1"/>
    <w:basedOn w:val="61"/>
    <w:link w:val="171"/>
    <w:qFormat/>
    <w:uiPriority w:val="0"/>
    <w:rPr>
      <w:rFonts w:ascii="宋体" w:hAnsi="宋体" w:cs="宋体"/>
      <w:b/>
      <w:spacing w:val="10"/>
      <w:sz w:val="28"/>
      <w:szCs w:val="26"/>
    </w:rPr>
  </w:style>
  <w:style w:type="paragraph" w:customStyle="1" w:styleId="171">
    <w:name w:val="标题5"/>
    <w:basedOn w:val="15"/>
    <w:link w:val="170"/>
    <w:qFormat/>
    <w:uiPriority w:val="0"/>
    <w:pPr>
      <w:tabs>
        <w:tab w:val="left" w:pos="900"/>
      </w:tabs>
      <w:ind w:left="900" w:hanging="900"/>
    </w:pPr>
    <w:rPr>
      <w:rFonts w:ascii="宋体" w:hAnsi="宋体" w:cs="宋体" w:eastAsiaTheme="minorEastAsia"/>
      <w:b/>
      <w:spacing w:val="10"/>
      <w:sz w:val="28"/>
      <w:szCs w:val="26"/>
    </w:rPr>
  </w:style>
  <w:style w:type="character" w:customStyle="1" w:styleId="172">
    <w:name w:val="正文文本 2 字符"/>
    <w:basedOn w:val="61"/>
    <w:link w:val="50"/>
    <w:qFormat/>
    <w:uiPriority w:val="0"/>
    <w:rPr>
      <w:rFonts w:ascii="宋体" w:hAnsi="宋体" w:eastAsia="宋体" w:cs="宋体"/>
      <w:szCs w:val="24"/>
    </w:rPr>
  </w:style>
  <w:style w:type="character" w:customStyle="1" w:styleId="173">
    <w:name w:val="报告书正文 Char"/>
    <w:basedOn w:val="61"/>
    <w:link w:val="174"/>
    <w:qFormat/>
    <w:uiPriority w:val="0"/>
    <w:rPr>
      <w:rFonts w:ascii="宋体" w:hAnsi="宋体" w:eastAsia="宋体" w:cs="宋体"/>
      <w:sz w:val="28"/>
      <w:szCs w:val="28"/>
    </w:rPr>
  </w:style>
  <w:style w:type="paragraph" w:customStyle="1" w:styleId="174">
    <w:name w:val="报告书正文"/>
    <w:basedOn w:val="1"/>
    <w:link w:val="173"/>
    <w:qFormat/>
    <w:uiPriority w:val="0"/>
    <w:pPr>
      <w:autoSpaceDE w:val="0"/>
      <w:autoSpaceDN w:val="0"/>
      <w:spacing w:line="520" w:lineRule="exact"/>
      <w:ind w:firstLine="200" w:firstLineChars="200"/>
    </w:pPr>
    <w:rPr>
      <w:rFonts w:ascii="宋体" w:hAnsi="宋体" w:cs="宋体"/>
      <w:sz w:val="28"/>
      <w:szCs w:val="28"/>
    </w:rPr>
  </w:style>
  <w:style w:type="character" w:customStyle="1" w:styleId="175">
    <w:name w:val="项目正文内容 Char1"/>
    <w:basedOn w:val="61"/>
    <w:link w:val="176"/>
    <w:qFormat/>
    <w:uiPriority w:val="0"/>
    <w:rPr>
      <w:rFonts w:ascii="宋体" w:hAnsi="Courier New" w:cs="宋体"/>
      <w:sz w:val="24"/>
      <w:szCs w:val="21"/>
    </w:rPr>
  </w:style>
  <w:style w:type="paragraph" w:customStyle="1" w:styleId="176">
    <w:name w:val="项目正文内容"/>
    <w:basedOn w:val="1"/>
    <w:link w:val="175"/>
    <w:qFormat/>
    <w:uiPriority w:val="0"/>
    <w:pPr>
      <w:adjustRightInd w:val="0"/>
      <w:snapToGrid w:val="0"/>
      <w:spacing w:line="360" w:lineRule="auto"/>
      <w:ind w:firstLine="200" w:firstLineChars="200"/>
    </w:pPr>
    <w:rPr>
      <w:rFonts w:ascii="宋体" w:hAnsi="Courier New" w:cs="宋体" w:eastAsiaTheme="minorEastAsia"/>
      <w:sz w:val="24"/>
      <w:szCs w:val="21"/>
    </w:rPr>
  </w:style>
  <w:style w:type="character" w:customStyle="1" w:styleId="177">
    <w:name w:val="正文86 Char"/>
    <w:basedOn w:val="178"/>
    <w:link w:val="180"/>
    <w:qFormat/>
    <w:uiPriority w:val="0"/>
    <w:rPr>
      <w:rFonts w:ascii="楷体_GB2312" w:hAnsi="宋体" w:eastAsia="楷体_GB2312" w:cs="宋体"/>
      <w:sz w:val="24"/>
      <w:szCs w:val="24"/>
    </w:rPr>
  </w:style>
  <w:style w:type="character" w:customStyle="1" w:styleId="178">
    <w:name w:val="正文88 Char"/>
    <w:basedOn w:val="61"/>
    <w:link w:val="179"/>
    <w:qFormat/>
    <w:uiPriority w:val="0"/>
    <w:rPr>
      <w:rFonts w:ascii="楷体_GB2312" w:hAnsi="宋体" w:eastAsia="楷体_GB2312" w:cs="宋体"/>
      <w:sz w:val="24"/>
      <w:szCs w:val="24"/>
    </w:rPr>
  </w:style>
  <w:style w:type="paragraph" w:customStyle="1" w:styleId="179">
    <w:name w:val="正文88"/>
    <w:basedOn w:val="1"/>
    <w:link w:val="178"/>
    <w:qFormat/>
    <w:uiPriority w:val="0"/>
    <w:pPr>
      <w:tabs>
        <w:tab w:val="left" w:pos="567"/>
      </w:tabs>
      <w:adjustRightInd w:val="0"/>
      <w:spacing w:line="500" w:lineRule="exact"/>
      <w:ind w:firstLine="480" w:firstLineChars="200"/>
    </w:pPr>
    <w:rPr>
      <w:rFonts w:ascii="楷体_GB2312" w:hAnsi="宋体" w:eastAsia="楷体_GB2312" w:cs="宋体"/>
      <w:sz w:val="24"/>
    </w:rPr>
  </w:style>
  <w:style w:type="paragraph" w:customStyle="1" w:styleId="180">
    <w:name w:val="正文86"/>
    <w:basedOn w:val="179"/>
    <w:link w:val="177"/>
    <w:qFormat/>
    <w:uiPriority w:val="0"/>
  </w:style>
  <w:style w:type="character" w:customStyle="1" w:styleId="181">
    <w:name w:val="表格后空行 Char Char"/>
    <w:basedOn w:val="61"/>
    <w:link w:val="182"/>
    <w:qFormat/>
    <w:locked/>
    <w:uiPriority w:val="0"/>
    <w:rPr>
      <w:rFonts w:ascii="宋体" w:hAnsi="宋体" w:cs="宋体"/>
      <w:color w:val="000000"/>
      <w:szCs w:val="26"/>
      <w:u w:color="000000"/>
    </w:rPr>
  </w:style>
  <w:style w:type="paragraph" w:customStyle="1" w:styleId="182">
    <w:name w:val="表格后空行"/>
    <w:basedOn w:val="1"/>
    <w:link w:val="181"/>
    <w:qFormat/>
    <w:uiPriority w:val="0"/>
    <w:pPr>
      <w:widowControl/>
      <w:spacing w:line="240" w:lineRule="exact"/>
      <w:textAlignment w:val="baseline"/>
    </w:pPr>
    <w:rPr>
      <w:rFonts w:ascii="宋体" w:hAnsi="宋体" w:cs="宋体" w:eastAsiaTheme="minorEastAsia"/>
      <w:color w:val="000000"/>
      <w:szCs w:val="26"/>
      <w:u w:color="000000"/>
    </w:rPr>
  </w:style>
  <w:style w:type="character" w:customStyle="1" w:styleId="183">
    <w:name w:val="标题四！！！！！！！！！！！！！！！！！！ Char"/>
    <w:basedOn w:val="61"/>
    <w:link w:val="184"/>
    <w:qFormat/>
    <w:uiPriority w:val="0"/>
    <w:rPr>
      <w:rFonts w:ascii="楷体_GB2312" w:hAnsi="宋体" w:eastAsia="楷体_GB2312" w:cs="宋体"/>
      <w:b/>
      <w:sz w:val="24"/>
      <w:szCs w:val="21"/>
    </w:rPr>
  </w:style>
  <w:style w:type="paragraph" w:customStyle="1" w:styleId="184">
    <w:name w:val="标题四！！！！！！！！！！！！！！！！！！"/>
    <w:basedOn w:val="1"/>
    <w:link w:val="183"/>
    <w:qFormat/>
    <w:uiPriority w:val="0"/>
    <w:pPr>
      <w:spacing w:line="500" w:lineRule="exact"/>
    </w:pPr>
    <w:rPr>
      <w:rFonts w:ascii="楷体_GB2312" w:hAnsi="宋体" w:eastAsia="楷体_GB2312" w:cs="宋体"/>
      <w:b/>
      <w:sz w:val="24"/>
      <w:szCs w:val="21"/>
    </w:rPr>
  </w:style>
  <w:style w:type="character" w:customStyle="1" w:styleId="185">
    <w:name w:val="样式 标题 3H3B Head标题 3 Char条标题1.1.1三级标题标题3h33rd level第二层条...1 Char Char"/>
    <w:basedOn w:val="61"/>
    <w:link w:val="186"/>
    <w:qFormat/>
    <w:uiPriority w:val="0"/>
    <w:rPr>
      <w:rFonts w:ascii="黑体" w:hAnsi="宋体" w:eastAsia="黑体" w:cs="宋体"/>
      <w:b/>
      <w:bCs/>
      <w:snapToGrid w:val="0"/>
      <w:color w:val="FF0000"/>
      <w:sz w:val="24"/>
      <w:szCs w:val="24"/>
    </w:rPr>
  </w:style>
  <w:style w:type="paragraph" w:customStyle="1" w:styleId="186">
    <w:name w:val="样式 标题 3H3B Head标题 3 Char条标题1.1.1三级标题标题3h33rd level第二层条...1 Char"/>
    <w:basedOn w:val="5"/>
    <w:link w:val="185"/>
    <w:qFormat/>
    <w:uiPriority w:val="0"/>
    <w:pPr>
      <w:keepNext w:val="0"/>
      <w:keepLines w:val="0"/>
      <w:overflowPunct w:val="0"/>
      <w:autoSpaceDE w:val="0"/>
      <w:autoSpaceDN w:val="0"/>
      <w:adjustRightInd w:val="0"/>
      <w:snapToGrid w:val="0"/>
      <w:spacing w:before="31" w:after="31" w:line="360" w:lineRule="auto"/>
      <w:ind w:left="720" w:hanging="720"/>
      <w:textAlignment w:val="baseline"/>
    </w:pPr>
    <w:rPr>
      <w:rFonts w:hAnsi="宋体" w:cs="宋体"/>
      <w:b/>
      <w:bCs/>
      <w:snapToGrid w:val="0"/>
      <w:color w:val="FF0000"/>
      <w:spacing w:val="0"/>
      <w:szCs w:val="24"/>
    </w:rPr>
  </w:style>
  <w:style w:type="character" w:customStyle="1" w:styleId="187">
    <w:name w:val="尾注文本 字符"/>
    <w:basedOn w:val="61"/>
    <w:link w:val="34"/>
    <w:qFormat/>
    <w:uiPriority w:val="0"/>
    <w:rPr>
      <w:rFonts w:ascii="楷体_GB2312" w:hAnsi="楷体_GB2312" w:eastAsia="楷体_GB2312" w:cs="宋体"/>
      <w:sz w:val="24"/>
      <w:szCs w:val="24"/>
    </w:rPr>
  </w:style>
  <w:style w:type="character" w:customStyle="1" w:styleId="188">
    <w:name w:val="正文表格 Char"/>
    <w:basedOn w:val="61"/>
    <w:link w:val="189"/>
    <w:qFormat/>
    <w:uiPriority w:val="0"/>
    <w:rPr>
      <w:rFonts w:ascii="宋体" w:hAnsi="宋体" w:cs="宋体"/>
      <w:szCs w:val="24"/>
    </w:rPr>
  </w:style>
  <w:style w:type="paragraph" w:customStyle="1" w:styleId="189">
    <w:name w:val="正文表格"/>
    <w:basedOn w:val="1"/>
    <w:link w:val="188"/>
    <w:qFormat/>
    <w:uiPriority w:val="0"/>
    <w:pPr>
      <w:keepNext/>
      <w:keepLines/>
      <w:spacing w:before="80"/>
      <w:jc w:val="center"/>
      <w:textAlignment w:val="bottom"/>
    </w:pPr>
    <w:rPr>
      <w:rFonts w:ascii="宋体" w:hAnsi="宋体" w:cs="宋体" w:eastAsiaTheme="minorEastAsia"/>
    </w:rPr>
  </w:style>
  <w:style w:type="character" w:customStyle="1" w:styleId="190">
    <w:name w:val="样式 标题 2 + 黑色 Char"/>
    <w:basedOn w:val="61"/>
    <w:link w:val="191"/>
    <w:qFormat/>
    <w:uiPriority w:val="0"/>
    <w:rPr>
      <w:rFonts w:ascii="黑体" w:hAnsi="Arial" w:eastAsia="黑体" w:cs="宋体"/>
      <w:b/>
      <w:bCs/>
      <w:color w:val="000000"/>
      <w:kern w:val="18"/>
      <w:sz w:val="30"/>
      <w:szCs w:val="30"/>
    </w:rPr>
  </w:style>
  <w:style w:type="paragraph" w:customStyle="1" w:styleId="191">
    <w:name w:val="样式 标题 2 + 黑色"/>
    <w:basedOn w:val="4"/>
    <w:next w:val="58"/>
    <w:link w:val="190"/>
    <w:qFormat/>
    <w:uiPriority w:val="0"/>
    <w:pPr>
      <w:snapToGrid w:val="0"/>
      <w:spacing w:before="100" w:beforeAutospacing="1" w:after="0" w:line="360" w:lineRule="auto"/>
    </w:pPr>
    <w:rPr>
      <w:rFonts w:ascii="黑体" w:cs="宋体"/>
      <w:color w:val="000000"/>
      <w:kern w:val="18"/>
      <w:sz w:val="30"/>
      <w:szCs w:val="30"/>
    </w:rPr>
  </w:style>
  <w:style w:type="character" w:customStyle="1" w:styleId="192">
    <w:name w:val="四级 Char"/>
    <w:basedOn w:val="193"/>
    <w:link w:val="197"/>
    <w:qFormat/>
    <w:uiPriority w:val="0"/>
    <w:rPr>
      <w:rFonts w:ascii="宋体" w:hAnsi="宋体" w:eastAsia="Times New Roman" w:cs="Arial"/>
      <w:sz w:val="32"/>
      <w:szCs w:val="32"/>
    </w:rPr>
  </w:style>
  <w:style w:type="character" w:customStyle="1" w:styleId="193">
    <w:name w:val="三级 Char"/>
    <w:basedOn w:val="194"/>
    <w:link w:val="196"/>
    <w:qFormat/>
    <w:uiPriority w:val="0"/>
    <w:rPr>
      <w:rFonts w:ascii="宋体" w:hAnsi="宋体" w:eastAsia="Times New Roman" w:cs="Arial"/>
      <w:sz w:val="32"/>
      <w:szCs w:val="32"/>
    </w:rPr>
  </w:style>
  <w:style w:type="character" w:customStyle="1" w:styleId="194">
    <w:name w:val="二级 Char"/>
    <w:basedOn w:val="61"/>
    <w:link w:val="195"/>
    <w:qFormat/>
    <w:uiPriority w:val="0"/>
    <w:rPr>
      <w:rFonts w:ascii="宋体" w:hAnsi="宋体" w:eastAsia="Times New Roman" w:cs="Arial"/>
      <w:b/>
      <w:bCs/>
      <w:sz w:val="32"/>
      <w:szCs w:val="32"/>
    </w:rPr>
  </w:style>
  <w:style w:type="paragraph" w:customStyle="1" w:styleId="195">
    <w:name w:val="二级"/>
    <w:link w:val="194"/>
    <w:qFormat/>
    <w:uiPriority w:val="0"/>
    <w:pPr>
      <w:spacing w:beforeLines="50" w:afterLines="50"/>
      <w:outlineLvl w:val="1"/>
    </w:pPr>
    <w:rPr>
      <w:rFonts w:ascii="宋体" w:hAnsi="宋体" w:eastAsia="Times New Roman" w:cs="Arial"/>
      <w:b/>
      <w:bCs/>
      <w:kern w:val="2"/>
      <w:sz w:val="32"/>
      <w:szCs w:val="32"/>
      <w:lang w:val="en-US" w:eastAsia="zh-CN" w:bidi="ar-SA"/>
    </w:rPr>
  </w:style>
  <w:style w:type="paragraph" w:customStyle="1" w:styleId="196">
    <w:name w:val="三级"/>
    <w:basedOn w:val="55"/>
    <w:link w:val="193"/>
    <w:qFormat/>
    <w:uiPriority w:val="0"/>
    <w:pPr>
      <w:widowControl/>
      <w:adjustRightInd w:val="0"/>
      <w:snapToGrid w:val="0"/>
      <w:spacing w:beforeLines="50" w:afterLines="50" w:line="240" w:lineRule="auto"/>
      <w:ind w:firstLine="0" w:firstLineChars="0"/>
      <w:contextualSpacing/>
      <w:jc w:val="both"/>
      <w:outlineLvl w:val="2"/>
    </w:pPr>
    <w:rPr>
      <w:rFonts w:ascii="宋体" w:hAnsi="宋体" w:eastAsia="Times New Roman" w:cs="Arial"/>
    </w:rPr>
  </w:style>
  <w:style w:type="paragraph" w:customStyle="1" w:styleId="197">
    <w:name w:val="四级"/>
    <w:link w:val="192"/>
    <w:qFormat/>
    <w:uiPriority w:val="0"/>
    <w:pPr>
      <w:outlineLvl w:val="3"/>
    </w:pPr>
    <w:rPr>
      <w:rFonts w:ascii="宋体" w:hAnsi="宋体" w:eastAsia="Times New Roman" w:cs="Arial"/>
      <w:b/>
      <w:bCs/>
      <w:kern w:val="2"/>
      <w:sz w:val="32"/>
      <w:szCs w:val="32"/>
      <w:lang w:val="en-US" w:eastAsia="zh-CN" w:bidi="ar-SA"/>
    </w:rPr>
  </w:style>
  <w:style w:type="character" w:customStyle="1" w:styleId="198">
    <w:name w:val="正文3 Char Char"/>
    <w:link w:val="199"/>
    <w:qFormat/>
    <w:uiPriority w:val="0"/>
    <w:rPr>
      <w:rFonts w:ascii="宋体" w:hAnsi="宋体" w:eastAsia="宋体" w:cs="宋体"/>
      <w:sz w:val="24"/>
      <w:szCs w:val="24"/>
    </w:rPr>
  </w:style>
  <w:style w:type="paragraph" w:customStyle="1" w:styleId="199">
    <w:name w:val="正文3"/>
    <w:basedOn w:val="1"/>
    <w:next w:val="1"/>
    <w:link w:val="198"/>
    <w:qFormat/>
    <w:uiPriority w:val="0"/>
    <w:pPr>
      <w:spacing w:line="529" w:lineRule="exact"/>
      <w:ind w:firstLine="200" w:firstLineChars="200"/>
    </w:pPr>
    <w:rPr>
      <w:rFonts w:ascii="宋体" w:hAnsi="宋体" w:cs="宋体"/>
      <w:sz w:val="24"/>
    </w:rPr>
  </w:style>
  <w:style w:type="character" w:customStyle="1" w:styleId="200">
    <w:name w:val="正文文本首行缩进 字符"/>
    <w:basedOn w:val="61"/>
    <w:link w:val="57"/>
    <w:qFormat/>
    <w:uiPriority w:val="0"/>
    <w:rPr>
      <w:rFonts w:ascii="宋体" w:hAnsi="宋体" w:eastAsia="宋体" w:cs="宋体"/>
      <w:szCs w:val="24"/>
    </w:rPr>
  </w:style>
  <w:style w:type="character" w:customStyle="1" w:styleId="201">
    <w:name w:val="二级标题 Char"/>
    <w:link w:val="202"/>
    <w:qFormat/>
    <w:uiPriority w:val="0"/>
    <w:rPr>
      <w:b/>
      <w:bCs/>
      <w:sz w:val="30"/>
      <w:szCs w:val="32"/>
    </w:rPr>
  </w:style>
  <w:style w:type="paragraph" w:customStyle="1" w:styleId="202">
    <w:name w:val="二级标题"/>
    <w:basedOn w:val="4"/>
    <w:link w:val="201"/>
    <w:qFormat/>
    <w:uiPriority w:val="0"/>
    <w:pPr>
      <w:spacing w:beforeLines="50" w:after="0" w:line="420" w:lineRule="exact"/>
      <w:jc w:val="left"/>
    </w:pPr>
    <w:rPr>
      <w:rFonts w:asciiTheme="minorHAnsi" w:hAnsiTheme="minorHAnsi" w:eastAsiaTheme="minorEastAsia" w:cstheme="minorBidi"/>
      <w:sz w:val="30"/>
    </w:rPr>
  </w:style>
  <w:style w:type="character" w:customStyle="1" w:styleId="203">
    <w:name w:val="123 Char"/>
    <w:basedOn w:val="61"/>
    <w:qFormat/>
    <w:uiPriority w:val="0"/>
    <w:rPr>
      <w:rFonts w:ascii="宋体" w:hAnsi="Courier New" w:eastAsia="宋体" w:cs="Courier New"/>
      <w:spacing w:val="4"/>
      <w:sz w:val="24"/>
      <w:szCs w:val="21"/>
      <w:lang w:val="en-US" w:eastAsia="zh-CN" w:bidi="ar-SA"/>
    </w:rPr>
  </w:style>
  <w:style w:type="character" w:customStyle="1" w:styleId="204">
    <w:name w:val="样式15 Char"/>
    <w:basedOn w:val="61"/>
    <w:link w:val="205"/>
    <w:qFormat/>
    <w:uiPriority w:val="0"/>
    <w:rPr>
      <w:rFonts w:ascii="宋体" w:hAnsi="宋体" w:cs="宋体"/>
      <w:b/>
      <w:sz w:val="28"/>
      <w:szCs w:val="26"/>
    </w:rPr>
  </w:style>
  <w:style w:type="paragraph" w:customStyle="1" w:styleId="205">
    <w:name w:val="样式15"/>
    <w:basedOn w:val="206"/>
    <w:link w:val="204"/>
    <w:qFormat/>
    <w:uiPriority w:val="0"/>
  </w:style>
  <w:style w:type="paragraph" w:customStyle="1" w:styleId="206">
    <w:name w:val="样式1.1.1三级标题"/>
    <w:basedOn w:val="1"/>
    <w:next w:val="1"/>
    <w:link w:val="390"/>
    <w:qFormat/>
    <w:uiPriority w:val="0"/>
    <w:pPr>
      <w:spacing w:line="360" w:lineRule="auto"/>
      <w:outlineLvl w:val="2"/>
    </w:pPr>
    <w:rPr>
      <w:rFonts w:ascii="宋体" w:hAnsi="宋体" w:cs="宋体" w:eastAsiaTheme="minorEastAsia"/>
      <w:b/>
      <w:sz w:val="28"/>
      <w:szCs w:val="26"/>
    </w:rPr>
  </w:style>
  <w:style w:type="character" w:customStyle="1" w:styleId="207">
    <w:name w:val="普通(网站) 字符"/>
    <w:basedOn w:val="61"/>
    <w:link w:val="53"/>
    <w:qFormat/>
    <w:locked/>
    <w:uiPriority w:val="0"/>
    <w:rPr>
      <w:rFonts w:ascii="宋体" w:hAnsi="宋体" w:eastAsia="宋体" w:cs="宋体"/>
      <w:sz w:val="24"/>
      <w:szCs w:val="24"/>
    </w:rPr>
  </w:style>
  <w:style w:type="character" w:customStyle="1" w:styleId="208">
    <w:name w:val="样式 仿宋_GB2312 四号"/>
    <w:basedOn w:val="61"/>
    <w:qFormat/>
    <w:uiPriority w:val="0"/>
    <w:rPr>
      <w:rFonts w:ascii="仿宋_GB2312" w:hAnsi="宋体" w:eastAsia="仿宋_GB2312" w:cs="宋体"/>
      <w:sz w:val="28"/>
      <w:szCs w:val="28"/>
    </w:rPr>
  </w:style>
  <w:style w:type="character" w:customStyle="1" w:styleId="209">
    <w:name w:val="正文(首行缩进) Char Char Char Char"/>
    <w:basedOn w:val="61"/>
    <w:link w:val="210"/>
    <w:qFormat/>
    <w:uiPriority w:val="0"/>
    <w:rPr>
      <w:rFonts w:ascii="宋体" w:hAnsi="宋体" w:cs="宋体"/>
      <w:snapToGrid w:val="0"/>
      <w:sz w:val="24"/>
      <w:szCs w:val="24"/>
    </w:rPr>
  </w:style>
  <w:style w:type="paragraph" w:customStyle="1" w:styleId="210">
    <w:name w:val="正文(首行缩进) Char Char Char"/>
    <w:basedOn w:val="1"/>
    <w:link w:val="209"/>
    <w:qFormat/>
    <w:uiPriority w:val="0"/>
    <w:pPr>
      <w:spacing w:line="360" w:lineRule="auto"/>
      <w:ind w:firstLine="480" w:firstLineChars="200"/>
    </w:pPr>
    <w:rPr>
      <w:rFonts w:ascii="宋体" w:hAnsi="宋体" w:cs="宋体" w:eastAsiaTheme="minorEastAsia"/>
      <w:snapToGrid w:val="0"/>
      <w:sz w:val="24"/>
    </w:rPr>
  </w:style>
  <w:style w:type="character" w:customStyle="1" w:styleId="211">
    <w:name w:val="样式 首行缩进:  2 字符 Char"/>
    <w:link w:val="212"/>
    <w:qFormat/>
    <w:uiPriority w:val="0"/>
    <w:rPr>
      <w:rFonts w:ascii="宋体" w:hAnsi="宋体" w:eastAsia="宋体"/>
      <w:sz w:val="24"/>
      <w:szCs w:val="18"/>
    </w:rPr>
  </w:style>
  <w:style w:type="paragraph" w:customStyle="1" w:styleId="212">
    <w:name w:val="样式 首行缩进:  2 字符"/>
    <w:basedOn w:val="1"/>
    <w:link w:val="211"/>
    <w:qFormat/>
    <w:uiPriority w:val="0"/>
    <w:pPr>
      <w:spacing w:line="360" w:lineRule="auto"/>
      <w:ind w:firstLine="480" w:firstLineChars="200"/>
    </w:pPr>
    <w:rPr>
      <w:rFonts w:ascii="宋体" w:hAnsi="宋体" w:cstheme="minorBidi"/>
      <w:sz w:val="24"/>
      <w:szCs w:val="18"/>
    </w:rPr>
  </w:style>
  <w:style w:type="character" w:customStyle="1" w:styleId="213">
    <w:name w:val="样式 纯文本表格内容纯文本 Char普通文字加粗正文普通文字 Char Char普通文字 Char Char Cha...3 Char"/>
    <w:basedOn w:val="61"/>
    <w:link w:val="214"/>
    <w:qFormat/>
    <w:uiPriority w:val="0"/>
    <w:rPr>
      <w:rFonts w:ascii="楷体_GB2312" w:hAnsi="楷体_GB2312" w:eastAsia="楷体_GB2312" w:cs="宋体"/>
      <w:sz w:val="24"/>
      <w:szCs w:val="24"/>
    </w:rPr>
  </w:style>
  <w:style w:type="paragraph" w:customStyle="1" w:styleId="214">
    <w:name w:val="样式 纯文本表格内容纯文本 Char普通文字加粗正文普通文字 Char Char普通文字 Char Char Cha...3"/>
    <w:basedOn w:val="30"/>
    <w:link w:val="213"/>
    <w:qFormat/>
    <w:uiPriority w:val="0"/>
    <w:pPr>
      <w:ind w:firstLine="200" w:firstLineChars="200"/>
    </w:pPr>
    <w:rPr>
      <w:rFonts w:ascii="楷体_GB2312" w:hAnsi="楷体_GB2312" w:eastAsia="楷体_GB2312" w:cs="宋体"/>
      <w:sz w:val="24"/>
      <w:szCs w:val="24"/>
    </w:rPr>
  </w:style>
  <w:style w:type="character" w:customStyle="1" w:styleId="215">
    <w:name w:val="样式5 Char"/>
    <w:basedOn w:val="61"/>
    <w:link w:val="216"/>
    <w:qFormat/>
    <w:uiPriority w:val="0"/>
    <w:rPr>
      <w:rFonts w:ascii="宋体" w:hAnsi="宋体" w:eastAsia="仿宋_GB2312" w:cs="宋体"/>
      <w:sz w:val="24"/>
      <w:szCs w:val="24"/>
    </w:rPr>
  </w:style>
  <w:style w:type="paragraph" w:customStyle="1" w:styleId="216">
    <w:name w:val="样式5"/>
    <w:basedOn w:val="1"/>
    <w:link w:val="215"/>
    <w:qFormat/>
    <w:uiPriority w:val="0"/>
    <w:pPr>
      <w:spacing w:line="360" w:lineRule="auto"/>
      <w:ind w:firstLine="480" w:firstLineChars="200"/>
    </w:pPr>
    <w:rPr>
      <w:rFonts w:ascii="宋体" w:hAnsi="宋体" w:eastAsia="仿宋_GB2312" w:cs="宋体"/>
      <w:sz w:val="24"/>
    </w:rPr>
  </w:style>
  <w:style w:type="character" w:customStyle="1" w:styleId="217">
    <w:name w:val="2级标题 Char"/>
    <w:link w:val="218"/>
    <w:qFormat/>
    <w:uiPriority w:val="0"/>
    <w:rPr>
      <w:rFonts w:ascii="Arial" w:hAnsi="Arial"/>
      <w:b/>
      <w:sz w:val="28"/>
      <w:szCs w:val="28"/>
    </w:rPr>
  </w:style>
  <w:style w:type="paragraph" w:customStyle="1" w:styleId="218">
    <w:name w:val="2级标题"/>
    <w:basedOn w:val="1"/>
    <w:link w:val="217"/>
    <w:qFormat/>
    <w:uiPriority w:val="0"/>
    <w:pPr>
      <w:keepNext/>
      <w:keepLines/>
      <w:spacing w:line="240" w:lineRule="atLeast"/>
      <w:outlineLvl w:val="1"/>
    </w:pPr>
    <w:rPr>
      <w:rFonts w:ascii="Arial" w:hAnsi="Arial" w:eastAsiaTheme="minorEastAsia" w:cstheme="minorBidi"/>
      <w:b/>
      <w:sz w:val="28"/>
      <w:szCs w:val="28"/>
    </w:rPr>
  </w:style>
  <w:style w:type="character" w:customStyle="1" w:styleId="219">
    <w:name w:val="表蕊 Char1"/>
    <w:basedOn w:val="61"/>
    <w:link w:val="220"/>
    <w:qFormat/>
    <w:uiPriority w:val="0"/>
    <w:rPr>
      <w:rFonts w:ascii="宋体" w:hAnsi="宋体" w:eastAsia="楷体_GB2312" w:cs="宋体"/>
      <w:spacing w:val="-10"/>
      <w:szCs w:val="26"/>
    </w:rPr>
  </w:style>
  <w:style w:type="paragraph" w:customStyle="1" w:styleId="220">
    <w:name w:val="表蕊"/>
    <w:basedOn w:val="1"/>
    <w:link w:val="219"/>
    <w:qFormat/>
    <w:uiPriority w:val="0"/>
    <w:pPr>
      <w:adjustRightInd w:val="0"/>
      <w:spacing w:line="320" w:lineRule="atLeast"/>
      <w:jc w:val="left"/>
      <w:textAlignment w:val="baseline"/>
    </w:pPr>
    <w:rPr>
      <w:rFonts w:ascii="宋体" w:hAnsi="宋体" w:eastAsia="楷体_GB2312" w:cs="宋体"/>
      <w:spacing w:val="-10"/>
      <w:szCs w:val="26"/>
    </w:rPr>
  </w:style>
  <w:style w:type="character" w:customStyle="1" w:styleId="221">
    <w:name w:val="信息标题 字符"/>
    <w:basedOn w:val="61"/>
    <w:link w:val="51"/>
    <w:qFormat/>
    <w:uiPriority w:val="0"/>
    <w:rPr>
      <w:rFonts w:ascii="Arial" w:hAnsi="Arial" w:cs="宋体"/>
      <w:sz w:val="24"/>
      <w:szCs w:val="24"/>
      <w:shd w:val="pct20" w:color="auto" w:fill="auto"/>
    </w:rPr>
  </w:style>
  <w:style w:type="character" w:customStyle="1" w:styleId="222">
    <w:name w:val="Char Char Char1"/>
    <w:basedOn w:val="61"/>
    <w:qFormat/>
    <w:uiPriority w:val="0"/>
    <w:rPr>
      <w:rFonts w:ascii="宋体" w:hAnsi="Courier New" w:eastAsia="宋体" w:cs="Courier New"/>
      <w:kern w:val="2"/>
      <w:sz w:val="21"/>
      <w:szCs w:val="21"/>
      <w:lang w:val="en-US" w:eastAsia="zh-CN" w:bidi="ar-SA"/>
    </w:rPr>
  </w:style>
  <w:style w:type="character" w:customStyle="1" w:styleId="223">
    <w:name w:val="Char Char12"/>
    <w:basedOn w:val="61"/>
    <w:qFormat/>
    <w:uiPriority w:val="0"/>
    <w:rPr>
      <w:rFonts w:ascii="宋体" w:hAnsi="宋体" w:eastAsia="宋体" w:cs="宋体"/>
      <w:kern w:val="2"/>
      <w:sz w:val="18"/>
      <w:szCs w:val="18"/>
      <w:lang w:val="en-US" w:eastAsia="zh-CN" w:bidi="ar-SA"/>
    </w:rPr>
  </w:style>
  <w:style w:type="character" w:customStyle="1" w:styleId="224">
    <w:name w:val="环保专篇 Char"/>
    <w:basedOn w:val="61"/>
    <w:link w:val="225"/>
    <w:qFormat/>
    <w:uiPriority w:val="0"/>
    <w:rPr>
      <w:rFonts w:ascii="宋体" w:hAnsi="宋体" w:eastAsia="Times New Roman" w:cs="宋体"/>
      <w:sz w:val="24"/>
      <w:szCs w:val="24"/>
    </w:rPr>
  </w:style>
  <w:style w:type="paragraph" w:customStyle="1" w:styleId="225">
    <w:name w:val="环保专篇"/>
    <w:link w:val="224"/>
    <w:qFormat/>
    <w:uiPriority w:val="0"/>
    <w:pPr>
      <w:spacing w:line="360" w:lineRule="auto"/>
      <w:ind w:firstLine="200" w:firstLineChars="200"/>
      <w:jc w:val="both"/>
    </w:pPr>
    <w:rPr>
      <w:rFonts w:ascii="宋体" w:hAnsi="宋体" w:eastAsia="Times New Roman" w:cs="宋体"/>
      <w:kern w:val="2"/>
      <w:sz w:val="24"/>
      <w:szCs w:val="24"/>
      <w:lang w:val="en-US" w:eastAsia="zh-CN" w:bidi="ar-SA"/>
    </w:rPr>
  </w:style>
  <w:style w:type="character" w:customStyle="1" w:styleId="226">
    <w:name w:val="1正文段落 Char"/>
    <w:link w:val="227"/>
    <w:qFormat/>
    <w:uiPriority w:val="0"/>
    <w:rPr>
      <w:rFonts w:eastAsia="宋体"/>
      <w:snapToGrid w:val="0"/>
      <w:sz w:val="24"/>
      <w:szCs w:val="24"/>
    </w:rPr>
  </w:style>
  <w:style w:type="paragraph" w:customStyle="1" w:styleId="227">
    <w:name w:val="1正文段落"/>
    <w:basedOn w:val="1"/>
    <w:link w:val="226"/>
    <w:qFormat/>
    <w:uiPriority w:val="0"/>
    <w:pPr>
      <w:spacing w:line="360" w:lineRule="auto"/>
      <w:ind w:firstLine="480" w:firstLineChars="200"/>
      <w:jc w:val="left"/>
    </w:pPr>
    <w:rPr>
      <w:rFonts w:asciiTheme="minorHAnsi" w:hAnsiTheme="minorHAnsi" w:cstheme="minorBidi"/>
      <w:snapToGrid w:val="0"/>
      <w:sz w:val="24"/>
    </w:rPr>
  </w:style>
  <w:style w:type="character" w:customStyle="1" w:styleId="228">
    <w:name w:val="标2 Char"/>
    <w:basedOn w:val="61"/>
    <w:link w:val="229"/>
    <w:qFormat/>
    <w:uiPriority w:val="0"/>
    <w:rPr>
      <w:rFonts w:ascii="宋体" w:hAnsi="宋体" w:cs="宋体"/>
      <w:b/>
      <w:color w:val="FF0000"/>
      <w:sz w:val="30"/>
      <w:szCs w:val="30"/>
    </w:rPr>
  </w:style>
  <w:style w:type="paragraph" w:customStyle="1" w:styleId="229">
    <w:name w:val="标2"/>
    <w:basedOn w:val="4"/>
    <w:next w:val="30"/>
    <w:link w:val="228"/>
    <w:qFormat/>
    <w:uiPriority w:val="0"/>
    <w:pPr>
      <w:tabs>
        <w:tab w:val="left" w:pos="315"/>
        <w:tab w:val="left" w:pos="1134"/>
        <w:tab w:val="left" w:pos="1400"/>
        <w:tab w:val="center" w:pos="6804"/>
        <w:tab w:val="right" w:pos="7371"/>
      </w:tabs>
      <w:spacing w:before="0" w:after="0" w:line="500" w:lineRule="exact"/>
      <w:ind w:left="1400" w:hanging="420" w:firstLineChars="200"/>
      <w:jc w:val="left"/>
    </w:pPr>
    <w:rPr>
      <w:rFonts w:ascii="宋体" w:hAnsi="宋体" w:cs="宋体" w:eastAsiaTheme="minorEastAsia"/>
      <w:bCs w:val="0"/>
      <w:color w:val="FF0000"/>
      <w:sz w:val="30"/>
      <w:szCs w:val="30"/>
    </w:rPr>
  </w:style>
  <w:style w:type="character" w:customStyle="1" w:styleId="230">
    <w:name w:val="（1）标题 Char"/>
    <w:basedOn w:val="61"/>
    <w:link w:val="231"/>
    <w:qFormat/>
    <w:uiPriority w:val="0"/>
    <w:rPr>
      <w:rFonts w:ascii="宋体" w:hAnsi="宋体" w:cs="宋体"/>
      <w:sz w:val="28"/>
      <w:szCs w:val="26"/>
    </w:rPr>
  </w:style>
  <w:style w:type="paragraph" w:customStyle="1" w:styleId="231">
    <w:name w:val="（1）标题"/>
    <w:basedOn w:val="1"/>
    <w:link w:val="230"/>
    <w:qFormat/>
    <w:uiPriority w:val="0"/>
    <w:pPr>
      <w:widowControl/>
      <w:ind w:firstLine="560" w:firstLineChars="200"/>
      <w:jc w:val="left"/>
    </w:pPr>
    <w:rPr>
      <w:rFonts w:ascii="宋体" w:hAnsi="宋体" w:cs="宋体" w:eastAsiaTheme="minorEastAsia"/>
      <w:sz w:val="28"/>
      <w:szCs w:val="26"/>
    </w:rPr>
  </w:style>
  <w:style w:type="character" w:customStyle="1" w:styleId="232">
    <w:name w:val="text2"/>
    <w:basedOn w:val="61"/>
    <w:qFormat/>
    <w:uiPriority w:val="0"/>
    <w:rPr>
      <w:rFonts w:ascii="宋体" w:hAnsi="宋体" w:cs="宋体"/>
      <w:sz w:val="24"/>
      <w:szCs w:val="26"/>
    </w:rPr>
  </w:style>
  <w:style w:type="character" w:customStyle="1" w:styleId="233">
    <w:name w:val="我的表格文字 Char"/>
    <w:basedOn w:val="61"/>
    <w:link w:val="234"/>
    <w:qFormat/>
    <w:uiPriority w:val="0"/>
    <w:rPr>
      <w:rFonts w:ascii="宋体" w:hAnsi="宋体" w:cs="宋体"/>
      <w:szCs w:val="21"/>
    </w:rPr>
  </w:style>
  <w:style w:type="paragraph" w:customStyle="1" w:styleId="234">
    <w:name w:val="我的表格文字"/>
    <w:basedOn w:val="1"/>
    <w:link w:val="233"/>
    <w:qFormat/>
    <w:uiPriority w:val="0"/>
    <w:pPr>
      <w:adjustRightInd w:val="0"/>
      <w:spacing w:line="320" w:lineRule="exact"/>
      <w:jc w:val="center"/>
      <w:textAlignment w:val="center"/>
    </w:pPr>
    <w:rPr>
      <w:rFonts w:ascii="宋体" w:hAnsi="宋体" w:cs="宋体" w:eastAsiaTheme="minorEastAsia"/>
      <w:szCs w:val="21"/>
    </w:rPr>
  </w:style>
  <w:style w:type="character" w:customStyle="1" w:styleId="235">
    <w:name w:val="标题 1[858D7CFB-ED40-4347-BF05-701D383B685F]"/>
    <w:qFormat/>
    <w:uiPriority w:val="0"/>
    <w:rPr>
      <w:sz w:val="44"/>
    </w:rPr>
  </w:style>
  <w:style w:type="character" w:customStyle="1" w:styleId="236">
    <w:name w:val="四级标题 Char"/>
    <w:link w:val="237"/>
    <w:qFormat/>
    <w:uiPriority w:val="0"/>
    <w:rPr>
      <w:b/>
      <w:bCs/>
      <w:sz w:val="28"/>
      <w:szCs w:val="28"/>
    </w:rPr>
  </w:style>
  <w:style w:type="paragraph" w:customStyle="1" w:styleId="237">
    <w:name w:val="四级标题"/>
    <w:basedOn w:val="2"/>
    <w:link w:val="236"/>
    <w:qFormat/>
    <w:uiPriority w:val="0"/>
    <w:pPr>
      <w:keepNext/>
      <w:keepLines/>
      <w:wordWrap/>
      <w:topLinePunct w:val="0"/>
      <w:autoSpaceDN/>
      <w:spacing w:beforeLines="50" w:line="420" w:lineRule="exact"/>
      <w:ind w:firstLine="0" w:firstLineChars="0"/>
      <w:jc w:val="left"/>
    </w:pPr>
    <w:rPr>
      <w:rFonts w:asciiTheme="minorHAnsi" w:hAnsiTheme="minorHAnsi" w:eastAsiaTheme="minorEastAsia" w:cstheme="minorBidi"/>
      <w:b/>
      <w:color w:val="auto"/>
    </w:rPr>
  </w:style>
  <w:style w:type="character" w:customStyle="1" w:styleId="238">
    <w:name w:val="L4 Char Char Char Char2"/>
    <w:basedOn w:val="61"/>
    <w:qFormat/>
    <w:uiPriority w:val="0"/>
    <w:rPr>
      <w:rFonts w:ascii="Arial" w:hAnsi="Arial" w:eastAsia="黑体" w:cs="宋体"/>
      <w:b/>
      <w:bCs/>
      <w:kern w:val="2"/>
      <w:sz w:val="28"/>
      <w:szCs w:val="28"/>
      <w:lang w:val="en-US" w:eastAsia="zh-CN" w:bidi="ar-SA"/>
    </w:rPr>
  </w:style>
  <w:style w:type="character" w:customStyle="1" w:styleId="239">
    <w:name w:val="正文文本首行缩进 2 字符"/>
    <w:basedOn w:val="61"/>
    <w:link w:val="58"/>
    <w:qFormat/>
    <w:uiPriority w:val="0"/>
    <w:rPr>
      <w:rFonts w:ascii="宋体" w:hAnsi="宋体" w:cs="宋体"/>
      <w:szCs w:val="26"/>
    </w:rPr>
  </w:style>
  <w:style w:type="character" w:customStyle="1" w:styleId="240">
    <w:name w:val="说明书1 Char Char"/>
    <w:basedOn w:val="61"/>
    <w:link w:val="241"/>
    <w:qFormat/>
    <w:uiPriority w:val="0"/>
    <w:rPr>
      <w:rFonts w:ascii="宋体" w:hAnsi="宋体" w:cs="宋体"/>
      <w:sz w:val="28"/>
      <w:szCs w:val="26"/>
    </w:rPr>
  </w:style>
  <w:style w:type="paragraph" w:customStyle="1" w:styleId="241">
    <w:name w:val="说明书1"/>
    <w:basedOn w:val="1"/>
    <w:link w:val="240"/>
    <w:qFormat/>
    <w:uiPriority w:val="0"/>
    <w:pPr>
      <w:spacing w:line="520" w:lineRule="exact"/>
      <w:ind w:firstLine="567"/>
    </w:pPr>
    <w:rPr>
      <w:rFonts w:ascii="宋体" w:hAnsi="宋体" w:cs="宋体" w:eastAsiaTheme="minorEastAsia"/>
      <w:sz w:val="28"/>
      <w:szCs w:val="26"/>
    </w:rPr>
  </w:style>
  <w:style w:type="character" w:customStyle="1" w:styleId="242">
    <w:name w:val="表格名称 Char Char"/>
    <w:basedOn w:val="61"/>
    <w:link w:val="243"/>
    <w:qFormat/>
    <w:locked/>
    <w:uiPriority w:val="0"/>
    <w:rPr>
      <w:rFonts w:ascii="宋体" w:hAnsi="宋体" w:cs="宋体"/>
      <w:sz w:val="28"/>
      <w:szCs w:val="28"/>
    </w:rPr>
  </w:style>
  <w:style w:type="paragraph" w:customStyle="1" w:styleId="243">
    <w:name w:val="表格名称"/>
    <w:basedOn w:val="1"/>
    <w:next w:val="244"/>
    <w:link w:val="242"/>
    <w:qFormat/>
    <w:uiPriority w:val="0"/>
    <w:pPr>
      <w:spacing w:line="480" w:lineRule="exact"/>
    </w:pPr>
    <w:rPr>
      <w:rFonts w:ascii="宋体" w:hAnsi="宋体" w:cs="宋体" w:eastAsiaTheme="minorEastAsia"/>
      <w:sz w:val="28"/>
      <w:szCs w:val="28"/>
    </w:rPr>
  </w:style>
  <w:style w:type="paragraph" w:customStyle="1" w:styleId="244">
    <w:name w:val="表格"/>
    <w:next w:val="1"/>
    <w:link w:val="401"/>
    <w:qFormat/>
    <w:uiPriority w:val="0"/>
    <w:pPr>
      <w:spacing w:line="360" w:lineRule="exact"/>
      <w:jc w:val="center"/>
    </w:pPr>
    <w:rPr>
      <w:rFonts w:asciiTheme="minorHAnsi" w:hAnsiTheme="minorHAnsi" w:eastAsiaTheme="minorEastAsia" w:cstheme="minorBidi"/>
      <w:kern w:val="2"/>
      <w:sz w:val="21"/>
      <w:szCs w:val="21"/>
      <w:lang w:val="en-US" w:eastAsia="zh-CN" w:bidi="ar-SA"/>
    </w:rPr>
  </w:style>
  <w:style w:type="character" w:customStyle="1" w:styleId="245">
    <w:name w:val="表格标题自定 Char"/>
    <w:basedOn w:val="246"/>
    <w:link w:val="248"/>
    <w:qFormat/>
    <w:uiPriority w:val="0"/>
    <w:rPr>
      <w:rFonts w:ascii="宋体" w:hAnsi="宋体" w:eastAsia="华文仿宋" w:cs="宋体"/>
      <w:color w:val="000000"/>
      <w:sz w:val="24"/>
      <w:szCs w:val="24"/>
    </w:rPr>
  </w:style>
  <w:style w:type="character" w:customStyle="1" w:styleId="246">
    <w:name w:val="样式7 Char"/>
    <w:basedOn w:val="152"/>
    <w:link w:val="247"/>
    <w:qFormat/>
    <w:uiPriority w:val="0"/>
    <w:rPr>
      <w:rFonts w:ascii="宋体" w:hAnsi="华文仿宋" w:eastAsia="华文仿宋" w:cs="宋体"/>
      <w:b/>
      <w:sz w:val="24"/>
      <w:szCs w:val="24"/>
    </w:rPr>
  </w:style>
  <w:style w:type="paragraph" w:customStyle="1" w:styleId="247">
    <w:name w:val="样式7"/>
    <w:basedOn w:val="8"/>
    <w:link w:val="246"/>
    <w:qFormat/>
    <w:uiPriority w:val="0"/>
    <w:pPr>
      <w:spacing w:before="0" w:after="0" w:line="360" w:lineRule="auto"/>
    </w:pPr>
    <w:rPr>
      <w:rFonts w:ascii="宋体" w:hAnsi="华文仿宋" w:eastAsia="华文仿宋" w:cs="宋体"/>
      <w:bCs w:val="0"/>
    </w:rPr>
  </w:style>
  <w:style w:type="paragraph" w:customStyle="1" w:styleId="248">
    <w:name w:val="表格标题自定"/>
    <w:basedOn w:val="247"/>
    <w:link w:val="245"/>
    <w:qFormat/>
    <w:uiPriority w:val="0"/>
    <w:pPr>
      <w:keepNext w:val="0"/>
      <w:keepLines w:val="0"/>
      <w:jc w:val="center"/>
      <w:outlineLvl w:val="9"/>
    </w:pPr>
    <w:rPr>
      <w:rFonts w:hAnsi="宋体"/>
      <w:color w:val="000000"/>
    </w:rPr>
  </w:style>
  <w:style w:type="character" w:customStyle="1" w:styleId="249">
    <w:name w:val="五级 Char"/>
    <w:basedOn w:val="192"/>
    <w:link w:val="250"/>
    <w:qFormat/>
    <w:uiPriority w:val="0"/>
    <w:rPr>
      <w:rFonts w:ascii="宋体" w:hAnsi="宋体" w:eastAsia="Times New Roman" w:cs="Arial"/>
      <w:sz w:val="32"/>
      <w:szCs w:val="32"/>
    </w:rPr>
  </w:style>
  <w:style w:type="paragraph" w:customStyle="1" w:styleId="250">
    <w:name w:val="五级"/>
    <w:basedOn w:val="197"/>
    <w:link w:val="249"/>
    <w:qFormat/>
    <w:uiPriority w:val="0"/>
    <w:pPr>
      <w:outlineLvl w:val="4"/>
    </w:pPr>
  </w:style>
  <w:style w:type="character" w:customStyle="1" w:styleId="251">
    <w:name w:val="777777777 Char"/>
    <w:basedOn w:val="61"/>
    <w:link w:val="252"/>
    <w:qFormat/>
    <w:uiPriority w:val="0"/>
    <w:rPr>
      <w:rFonts w:ascii="宋体" w:hAnsi="宋体" w:cs="宋体"/>
      <w:sz w:val="28"/>
      <w:szCs w:val="26"/>
    </w:rPr>
  </w:style>
  <w:style w:type="paragraph" w:customStyle="1" w:styleId="252">
    <w:name w:val="777777777"/>
    <w:basedOn w:val="1"/>
    <w:link w:val="251"/>
    <w:qFormat/>
    <w:uiPriority w:val="0"/>
    <w:pPr>
      <w:widowControl/>
      <w:spacing w:line="400" w:lineRule="exact"/>
      <w:ind w:firstLine="560" w:firstLineChars="200"/>
      <w:jc w:val="left"/>
    </w:pPr>
    <w:rPr>
      <w:rFonts w:ascii="宋体" w:hAnsi="宋体" w:cs="宋体" w:eastAsiaTheme="minorEastAsia"/>
      <w:sz w:val="28"/>
      <w:szCs w:val="26"/>
    </w:rPr>
  </w:style>
  <w:style w:type="character" w:customStyle="1" w:styleId="253">
    <w:name w:val="纯文本 字符"/>
    <w:link w:val="30"/>
    <w:qFormat/>
    <w:uiPriority w:val="0"/>
    <w:rPr>
      <w:rFonts w:ascii="宋体" w:hAnsi="Courier New" w:eastAsia="宋体"/>
      <w:sz w:val="28"/>
      <w:szCs w:val="21"/>
    </w:rPr>
  </w:style>
  <w:style w:type="character" w:customStyle="1" w:styleId="254">
    <w:name w:val="Char Char15"/>
    <w:qFormat/>
    <w:locked/>
    <w:uiPriority w:val="0"/>
    <w:rPr>
      <w:kern w:val="2"/>
      <w:sz w:val="21"/>
      <w:szCs w:val="24"/>
    </w:rPr>
  </w:style>
  <w:style w:type="character" w:customStyle="1" w:styleId="255">
    <w:name w:val="文本_zxj Char"/>
    <w:link w:val="256"/>
    <w:qFormat/>
    <w:uiPriority w:val="0"/>
    <w:rPr>
      <w:sz w:val="28"/>
    </w:rPr>
  </w:style>
  <w:style w:type="paragraph" w:customStyle="1" w:styleId="256">
    <w:name w:val="文本_zxj"/>
    <w:basedOn w:val="1"/>
    <w:link w:val="255"/>
    <w:qFormat/>
    <w:uiPriority w:val="0"/>
    <w:pPr>
      <w:spacing w:line="360" w:lineRule="auto"/>
      <w:ind w:firstLine="560"/>
    </w:pPr>
    <w:rPr>
      <w:rFonts w:asciiTheme="minorHAnsi" w:hAnsiTheme="minorHAnsi" w:eastAsiaTheme="minorEastAsia" w:cstheme="minorBidi"/>
      <w:sz w:val="28"/>
      <w:szCs w:val="22"/>
    </w:rPr>
  </w:style>
  <w:style w:type="character" w:customStyle="1" w:styleId="257">
    <w:name w:val="表底说明 Char"/>
    <w:basedOn w:val="61"/>
    <w:link w:val="258"/>
    <w:qFormat/>
    <w:uiPriority w:val="0"/>
    <w:rPr>
      <w:rFonts w:ascii="宋体" w:hAnsi="宋体" w:cs="宋体"/>
      <w:sz w:val="18"/>
      <w:szCs w:val="24"/>
    </w:rPr>
  </w:style>
  <w:style w:type="paragraph" w:customStyle="1" w:styleId="258">
    <w:name w:val="表底说明"/>
    <w:basedOn w:val="1"/>
    <w:link w:val="257"/>
    <w:qFormat/>
    <w:uiPriority w:val="0"/>
    <w:rPr>
      <w:rFonts w:ascii="宋体" w:hAnsi="宋体" w:cs="宋体" w:eastAsiaTheme="minorEastAsia"/>
      <w:sz w:val="18"/>
    </w:rPr>
  </w:style>
  <w:style w:type="character" w:customStyle="1" w:styleId="259">
    <w:name w:val="纯文本 Char Char"/>
    <w:qFormat/>
    <w:uiPriority w:val="0"/>
    <w:rPr>
      <w:rFonts w:ascii="宋体" w:hAnsi="Courier New" w:eastAsia="宋体"/>
      <w:kern w:val="2"/>
      <w:sz w:val="28"/>
      <w:lang w:val="en-US" w:eastAsia="zh-CN" w:bidi="ar-SA"/>
    </w:rPr>
  </w:style>
  <w:style w:type="character" w:customStyle="1" w:styleId="260">
    <w:name w:val="666666-正文文本 Char"/>
    <w:basedOn w:val="61"/>
    <w:link w:val="261"/>
    <w:semiHidden/>
    <w:qFormat/>
    <w:locked/>
    <w:uiPriority w:val="0"/>
    <w:rPr>
      <w:rFonts w:ascii="宋体" w:hAnsi="宋体" w:eastAsia="Times New Roman" w:cs="宋体"/>
      <w:sz w:val="24"/>
      <w:szCs w:val="24"/>
    </w:rPr>
  </w:style>
  <w:style w:type="paragraph" w:customStyle="1" w:styleId="261">
    <w:name w:val="666666-正文文本"/>
    <w:link w:val="260"/>
    <w:semiHidden/>
    <w:qFormat/>
    <w:uiPriority w:val="0"/>
    <w:pPr>
      <w:autoSpaceDE w:val="0"/>
      <w:autoSpaceDN w:val="0"/>
      <w:adjustRightInd w:val="0"/>
      <w:spacing w:line="360" w:lineRule="auto"/>
      <w:ind w:firstLine="200" w:firstLineChars="200"/>
      <w:jc w:val="both"/>
    </w:pPr>
    <w:rPr>
      <w:rFonts w:ascii="宋体" w:hAnsi="宋体" w:eastAsia="Times New Roman" w:cs="宋体"/>
      <w:kern w:val="2"/>
      <w:sz w:val="24"/>
      <w:szCs w:val="24"/>
      <w:lang w:val="en-US" w:eastAsia="zh-CN" w:bidi="ar-SA"/>
    </w:rPr>
  </w:style>
  <w:style w:type="character" w:customStyle="1" w:styleId="262">
    <w:name w:val="自定表格 Char"/>
    <w:basedOn w:val="233"/>
    <w:link w:val="263"/>
    <w:qFormat/>
    <w:uiPriority w:val="0"/>
    <w:rPr>
      <w:rFonts w:ascii="宋体" w:hAnsi="宋体" w:cs="宋体"/>
      <w:szCs w:val="21"/>
    </w:rPr>
  </w:style>
  <w:style w:type="paragraph" w:customStyle="1" w:styleId="263">
    <w:name w:val="自定表格"/>
    <w:basedOn w:val="234"/>
    <w:link w:val="262"/>
    <w:qFormat/>
    <w:uiPriority w:val="0"/>
  </w:style>
  <w:style w:type="character" w:customStyle="1" w:styleId="264">
    <w:name w:val="标题4！！！！！ Char"/>
    <w:basedOn w:val="265"/>
    <w:link w:val="266"/>
    <w:qFormat/>
    <w:uiPriority w:val="0"/>
    <w:rPr>
      <w:rFonts w:ascii="楷体_GB2312" w:hAnsi="楷体_GB2312" w:eastAsia="楷体_GB2312" w:cs="宋体"/>
      <w:b/>
      <w:kern w:val="2"/>
      <w:sz w:val="24"/>
      <w:szCs w:val="24"/>
    </w:rPr>
  </w:style>
  <w:style w:type="character" w:customStyle="1" w:styleId="265">
    <w:name w:val="正文 楷体 Char"/>
    <w:basedOn w:val="61"/>
    <w:qFormat/>
    <w:uiPriority w:val="0"/>
    <w:rPr>
      <w:rFonts w:ascii="楷体_GB2312" w:hAnsi="楷体_GB2312" w:eastAsia="楷体_GB2312" w:cs="宋体"/>
      <w:kern w:val="2"/>
      <w:sz w:val="24"/>
      <w:szCs w:val="24"/>
    </w:rPr>
  </w:style>
  <w:style w:type="paragraph" w:customStyle="1" w:styleId="266">
    <w:name w:val="标题4！！！！！"/>
    <w:basedOn w:val="154"/>
    <w:link w:val="264"/>
    <w:qFormat/>
    <w:uiPriority w:val="0"/>
    <w:pPr>
      <w:ind w:firstLine="0" w:firstLineChars="0"/>
    </w:pPr>
    <w:rPr>
      <w:rFonts w:ascii="楷体_GB2312" w:hAnsi="楷体_GB2312" w:eastAsia="楷体_GB2312"/>
      <w:b/>
    </w:rPr>
  </w:style>
  <w:style w:type="character" w:customStyle="1" w:styleId="267">
    <w:name w:val="标题003 Char"/>
    <w:basedOn w:val="61"/>
    <w:link w:val="268"/>
    <w:qFormat/>
    <w:uiPriority w:val="0"/>
    <w:rPr>
      <w:rFonts w:ascii="宋体" w:hAnsi="Monospac821 BT" w:eastAsia="楷体_GB2312" w:cs="宋体"/>
      <w:b/>
      <w:bCs/>
      <w:color w:val="000000"/>
      <w:sz w:val="28"/>
      <w:szCs w:val="24"/>
    </w:rPr>
  </w:style>
  <w:style w:type="paragraph" w:customStyle="1" w:styleId="268">
    <w:name w:val="标题003"/>
    <w:basedOn w:val="5"/>
    <w:link w:val="267"/>
    <w:qFormat/>
    <w:uiPriority w:val="0"/>
    <w:pPr>
      <w:adjustRightInd w:val="0"/>
      <w:snapToGrid w:val="0"/>
      <w:spacing w:before="0" w:line="360" w:lineRule="auto"/>
      <w:ind w:left="720" w:firstLine="562" w:firstLineChars="200"/>
    </w:pPr>
    <w:rPr>
      <w:rFonts w:ascii="宋体" w:hAnsi="Monospac821 BT" w:eastAsia="楷体_GB2312" w:cs="宋体"/>
      <w:b/>
      <w:bCs/>
      <w:color w:val="000000"/>
      <w:spacing w:val="0"/>
      <w:sz w:val="28"/>
      <w:szCs w:val="24"/>
    </w:rPr>
  </w:style>
  <w:style w:type="character" w:customStyle="1" w:styleId="269">
    <w:name w:val="正文文本缩进 字符"/>
    <w:basedOn w:val="61"/>
    <w:link w:val="24"/>
    <w:qFormat/>
    <w:uiPriority w:val="0"/>
    <w:rPr>
      <w:rFonts w:ascii="宋体" w:hAnsi="宋体" w:cs="宋体"/>
      <w:color w:val="000000"/>
      <w:kern w:val="0"/>
      <w:sz w:val="24"/>
      <w:szCs w:val="26"/>
    </w:rPr>
  </w:style>
  <w:style w:type="character" w:customStyle="1" w:styleId="270">
    <w:name w:val="日期 字符"/>
    <w:link w:val="32"/>
    <w:qFormat/>
    <w:uiPriority w:val="0"/>
    <w:rPr>
      <w:szCs w:val="24"/>
    </w:rPr>
  </w:style>
  <w:style w:type="character" w:customStyle="1" w:styleId="271">
    <w:name w:val="中文报告书样式 Char"/>
    <w:basedOn w:val="61"/>
    <w:link w:val="272"/>
    <w:qFormat/>
    <w:uiPriority w:val="0"/>
    <w:rPr>
      <w:rFonts w:ascii="宋体" w:hAnsi="宋体" w:cs="宋体"/>
      <w:kern w:val="24"/>
      <w:sz w:val="24"/>
      <w:szCs w:val="26"/>
    </w:rPr>
  </w:style>
  <w:style w:type="paragraph" w:customStyle="1" w:styleId="272">
    <w:name w:val="中文报告书样式"/>
    <w:basedOn w:val="1"/>
    <w:link w:val="271"/>
    <w:qFormat/>
    <w:uiPriority w:val="0"/>
    <w:pPr>
      <w:adjustRightInd w:val="0"/>
      <w:spacing w:line="480" w:lineRule="atLeast"/>
      <w:ind w:firstLine="482"/>
      <w:textAlignment w:val="baseline"/>
    </w:pPr>
    <w:rPr>
      <w:rFonts w:ascii="宋体" w:hAnsi="宋体" w:cs="宋体" w:eastAsiaTheme="minorEastAsia"/>
      <w:kern w:val="24"/>
      <w:sz w:val="24"/>
      <w:szCs w:val="26"/>
    </w:rPr>
  </w:style>
  <w:style w:type="character" w:customStyle="1" w:styleId="273">
    <w:name w:val="Quote Char"/>
    <w:basedOn w:val="61"/>
    <w:link w:val="274"/>
    <w:semiHidden/>
    <w:qFormat/>
    <w:locked/>
    <w:uiPriority w:val="0"/>
    <w:rPr>
      <w:rFonts w:ascii="宋体" w:hAnsi="宋体" w:cs="宋体"/>
      <w:i/>
      <w:iCs/>
      <w:color w:val="000000"/>
      <w:sz w:val="22"/>
      <w:lang w:eastAsia="en-US"/>
    </w:rPr>
  </w:style>
  <w:style w:type="paragraph" w:customStyle="1" w:styleId="274">
    <w:name w:val="引用1"/>
    <w:basedOn w:val="1"/>
    <w:next w:val="1"/>
    <w:link w:val="273"/>
    <w:semiHidden/>
    <w:qFormat/>
    <w:uiPriority w:val="0"/>
    <w:pPr>
      <w:widowControl/>
      <w:spacing w:after="200" w:line="276" w:lineRule="auto"/>
      <w:jc w:val="left"/>
    </w:pPr>
    <w:rPr>
      <w:rFonts w:ascii="宋体" w:hAnsi="宋体" w:cs="宋体" w:eastAsiaTheme="minorEastAsia"/>
      <w:i/>
      <w:iCs/>
      <w:color w:val="000000"/>
      <w:sz w:val="22"/>
      <w:szCs w:val="22"/>
      <w:lang w:eastAsia="en-US"/>
    </w:rPr>
  </w:style>
  <w:style w:type="character" w:customStyle="1" w:styleId="275">
    <w:name w:val="a) Char"/>
    <w:basedOn w:val="61"/>
    <w:link w:val="276"/>
    <w:qFormat/>
    <w:uiPriority w:val="0"/>
    <w:rPr>
      <w:rFonts w:ascii="宋体" w:hAnsi="宋体" w:cs="宋体"/>
      <w:sz w:val="28"/>
      <w:szCs w:val="26"/>
    </w:rPr>
  </w:style>
  <w:style w:type="paragraph" w:customStyle="1" w:styleId="276">
    <w:name w:val="a)"/>
    <w:basedOn w:val="1"/>
    <w:link w:val="275"/>
    <w:qFormat/>
    <w:uiPriority w:val="0"/>
    <w:pPr>
      <w:widowControl/>
      <w:adjustRightInd w:val="0"/>
      <w:spacing w:line="360" w:lineRule="auto"/>
      <w:ind w:firstLine="567"/>
      <w:jc w:val="left"/>
      <w:textAlignment w:val="baseline"/>
    </w:pPr>
    <w:rPr>
      <w:rFonts w:ascii="宋体" w:hAnsi="宋体" w:cs="宋体" w:eastAsiaTheme="minorEastAsia"/>
      <w:sz w:val="28"/>
      <w:szCs w:val="26"/>
    </w:rPr>
  </w:style>
  <w:style w:type="character" w:customStyle="1" w:styleId="277">
    <w:name w:val="正文缩进 字符"/>
    <w:link w:val="15"/>
    <w:qFormat/>
    <w:uiPriority w:val="0"/>
    <w:rPr>
      <w:rFonts w:eastAsia="宋体"/>
      <w:szCs w:val="24"/>
    </w:rPr>
  </w:style>
  <w:style w:type="character" w:customStyle="1" w:styleId="278">
    <w:name w:val="样式 标题 3H3 + 黑色 Char"/>
    <w:link w:val="279"/>
    <w:qFormat/>
    <w:uiPriority w:val="0"/>
    <w:rPr>
      <w:b/>
      <w:snapToGrid w:val="0"/>
      <w:color w:val="000000"/>
      <w:sz w:val="24"/>
      <w:szCs w:val="24"/>
    </w:rPr>
  </w:style>
  <w:style w:type="paragraph" w:customStyle="1" w:styleId="279">
    <w:name w:val="样式 标题 3H3 + 黑色"/>
    <w:basedOn w:val="5"/>
    <w:link w:val="278"/>
    <w:qFormat/>
    <w:uiPriority w:val="0"/>
    <w:pPr>
      <w:keepNext w:val="0"/>
      <w:keepLines w:val="0"/>
      <w:adjustRightInd w:val="0"/>
      <w:snapToGrid w:val="0"/>
      <w:spacing w:before="0" w:line="460" w:lineRule="exact"/>
      <w:ind w:left="720" w:hanging="720"/>
    </w:pPr>
    <w:rPr>
      <w:rFonts w:asciiTheme="minorHAnsi" w:hAnsiTheme="minorHAnsi" w:eastAsiaTheme="minorEastAsia" w:cstheme="minorBidi"/>
      <w:b/>
      <w:snapToGrid w:val="0"/>
      <w:color w:val="000000"/>
      <w:spacing w:val="0"/>
      <w:szCs w:val="24"/>
    </w:rPr>
  </w:style>
  <w:style w:type="character" w:customStyle="1" w:styleId="280">
    <w:name w:val="表头1 Char"/>
    <w:link w:val="281"/>
    <w:qFormat/>
    <w:uiPriority w:val="0"/>
    <w:rPr>
      <w:rFonts w:eastAsia="黑体"/>
      <w:szCs w:val="28"/>
    </w:rPr>
  </w:style>
  <w:style w:type="paragraph" w:customStyle="1" w:styleId="281">
    <w:name w:val="表头1"/>
    <w:basedOn w:val="1"/>
    <w:next w:val="1"/>
    <w:link w:val="280"/>
    <w:qFormat/>
    <w:uiPriority w:val="0"/>
    <w:pPr>
      <w:tabs>
        <w:tab w:val="left" w:pos="605"/>
      </w:tabs>
      <w:adjustRightInd w:val="0"/>
      <w:snapToGrid w:val="0"/>
      <w:jc w:val="center"/>
    </w:pPr>
    <w:rPr>
      <w:rFonts w:eastAsia="黑体" w:asciiTheme="minorHAnsi" w:hAnsiTheme="minorHAnsi" w:cstheme="minorBidi"/>
      <w:szCs w:val="28"/>
    </w:rPr>
  </w:style>
  <w:style w:type="character" w:customStyle="1" w:styleId="282">
    <w:name w:val="Char Char"/>
    <w:basedOn w:val="61"/>
    <w:link w:val="283"/>
    <w:qFormat/>
    <w:uiPriority w:val="0"/>
    <w:rPr>
      <w:rFonts w:ascii="仿宋_GB2312" w:hAnsi="宋体" w:eastAsia="仿宋_GB2312" w:cs="宋体"/>
      <w:b/>
      <w:sz w:val="32"/>
      <w:szCs w:val="32"/>
    </w:rPr>
  </w:style>
  <w:style w:type="paragraph" w:customStyle="1" w:styleId="283">
    <w:name w:val="Char1"/>
    <w:basedOn w:val="1"/>
    <w:link w:val="282"/>
    <w:qFormat/>
    <w:uiPriority w:val="0"/>
    <w:rPr>
      <w:rFonts w:ascii="仿宋_GB2312" w:hAnsi="宋体" w:eastAsia="仿宋_GB2312" w:cs="宋体"/>
      <w:b/>
      <w:sz w:val="32"/>
      <w:szCs w:val="32"/>
    </w:rPr>
  </w:style>
  <w:style w:type="character" w:customStyle="1" w:styleId="284">
    <w:name w:val="表头标题格式 Char"/>
    <w:basedOn w:val="61"/>
    <w:link w:val="285"/>
    <w:qFormat/>
    <w:uiPriority w:val="0"/>
    <w:rPr>
      <w:rFonts w:ascii="黑体" w:hAnsi="宋体" w:eastAsia="黑体" w:cs="宋体"/>
      <w:b/>
      <w:bCs/>
      <w:sz w:val="24"/>
      <w:szCs w:val="26"/>
    </w:rPr>
  </w:style>
  <w:style w:type="paragraph" w:customStyle="1" w:styleId="285">
    <w:name w:val="表头标题格式"/>
    <w:basedOn w:val="1"/>
    <w:link w:val="284"/>
    <w:qFormat/>
    <w:uiPriority w:val="0"/>
    <w:pPr>
      <w:tabs>
        <w:tab w:val="left" w:pos="360"/>
        <w:tab w:val="left" w:pos="1620"/>
      </w:tabs>
      <w:spacing w:line="360" w:lineRule="auto"/>
      <w:jc w:val="center"/>
    </w:pPr>
    <w:rPr>
      <w:rFonts w:ascii="黑体" w:hAnsi="宋体" w:eastAsia="黑体" w:cs="宋体"/>
      <w:b/>
      <w:bCs/>
      <w:sz w:val="24"/>
      <w:szCs w:val="26"/>
    </w:rPr>
  </w:style>
  <w:style w:type="character" w:customStyle="1" w:styleId="286">
    <w:name w:val="标题二A Char"/>
    <w:basedOn w:val="96"/>
    <w:link w:val="287"/>
    <w:qFormat/>
    <w:uiPriority w:val="0"/>
    <w:rPr>
      <w:rFonts w:ascii="华文仿宋" w:hAnsi="华文仿宋" w:eastAsia="华文仿宋" w:cs="楷体_GB2312"/>
      <w:sz w:val="30"/>
      <w:szCs w:val="30"/>
    </w:rPr>
  </w:style>
  <w:style w:type="paragraph" w:customStyle="1" w:styleId="287">
    <w:name w:val="标题二A"/>
    <w:basedOn w:val="99"/>
    <w:link w:val="286"/>
    <w:qFormat/>
    <w:uiPriority w:val="0"/>
    <w:rPr>
      <w:rFonts w:ascii="华文仿宋" w:hAnsi="华文仿宋" w:eastAsia="华文仿宋"/>
    </w:rPr>
  </w:style>
  <w:style w:type="character" w:customStyle="1" w:styleId="288">
    <w:name w:val="标题 字符"/>
    <w:basedOn w:val="61"/>
    <w:link w:val="55"/>
    <w:qFormat/>
    <w:uiPriority w:val="0"/>
    <w:rPr>
      <w:rFonts w:ascii="Cambria" w:hAnsi="Cambria" w:eastAsia="宋体" w:cs="宋体"/>
      <w:b/>
      <w:bCs/>
      <w:sz w:val="32"/>
      <w:szCs w:val="32"/>
    </w:rPr>
  </w:style>
  <w:style w:type="character" w:customStyle="1" w:styleId="289">
    <w:name w:val="无间隔 字符"/>
    <w:basedOn w:val="61"/>
    <w:link w:val="290"/>
    <w:qFormat/>
    <w:uiPriority w:val="0"/>
    <w:rPr>
      <w:rFonts w:ascii="宋体" w:hAnsi="宋体" w:eastAsia="Times New Roman" w:cs="宋体"/>
      <w:sz w:val="22"/>
      <w:lang w:eastAsia="en-US" w:bidi="en-US"/>
    </w:rPr>
  </w:style>
  <w:style w:type="paragraph" w:styleId="290">
    <w:name w:val="No Spacing"/>
    <w:link w:val="289"/>
    <w:qFormat/>
    <w:uiPriority w:val="0"/>
    <w:rPr>
      <w:rFonts w:ascii="宋体" w:hAnsi="宋体" w:eastAsia="Times New Roman" w:cs="宋体"/>
      <w:kern w:val="2"/>
      <w:sz w:val="22"/>
      <w:szCs w:val="22"/>
      <w:lang w:val="en-US" w:eastAsia="en-US" w:bidi="en-US"/>
    </w:rPr>
  </w:style>
  <w:style w:type="character" w:customStyle="1" w:styleId="291">
    <w:name w:val="表名 Char"/>
    <w:basedOn w:val="61"/>
    <w:link w:val="292"/>
    <w:qFormat/>
    <w:uiPriority w:val="0"/>
    <w:rPr>
      <w:rFonts w:ascii="宋体" w:hAnsi="宋体" w:eastAsia="宋体" w:cs="宋体"/>
      <w:b/>
      <w:szCs w:val="24"/>
    </w:rPr>
  </w:style>
  <w:style w:type="paragraph" w:customStyle="1" w:styleId="292">
    <w:name w:val="表名"/>
    <w:basedOn w:val="1"/>
    <w:next w:val="293"/>
    <w:link w:val="291"/>
    <w:qFormat/>
    <w:uiPriority w:val="0"/>
    <w:pPr>
      <w:keepNext/>
      <w:spacing w:before="120"/>
      <w:jc w:val="center"/>
    </w:pPr>
    <w:rPr>
      <w:rFonts w:ascii="宋体" w:hAnsi="宋体" w:cs="宋体"/>
      <w:b/>
    </w:rPr>
  </w:style>
  <w:style w:type="paragraph" w:customStyle="1" w:styleId="293">
    <w:name w:val="表头，alt+D"/>
    <w:basedOn w:val="1"/>
    <w:qFormat/>
    <w:uiPriority w:val="0"/>
    <w:pPr>
      <w:spacing w:before="60" w:after="60" w:line="240" w:lineRule="atLeast"/>
      <w:ind w:left="-113" w:right="-113"/>
      <w:jc w:val="center"/>
      <w:textAlignment w:val="center"/>
    </w:pPr>
    <w:rPr>
      <w:color w:val="808000"/>
      <w:sz w:val="24"/>
    </w:rPr>
  </w:style>
  <w:style w:type="character" w:customStyle="1" w:styleId="294">
    <w:name w:val="报告正文小四 Char"/>
    <w:basedOn w:val="61"/>
    <w:link w:val="295"/>
    <w:qFormat/>
    <w:uiPriority w:val="0"/>
    <w:rPr>
      <w:rFonts w:ascii="宋体" w:hAnsi="宋体" w:eastAsia="宋体" w:cs="宋体"/>
      <w:sz w:val="24"/>
      <w:szCs w:val="24"/>
    </w:rPr>
  </w:style>
  <w:style w:type="paragraph" w:customStyle="1" w:styleId="295">
    <w:name w:val="报告正文小四"/>
    <w:basedOn w:val="1"/>
    <w:link w:val="294"/>
    <w:qFormat/>
    <w:uiPriority w:val="0"/>
    <w:pPr>
      <w:adjustRightInd w:val="0"/>
      <w:snapToGrid w:val="0"/>
      <w:spacing w:before="120" w:line="360" w:lineRule="atLeast"/>
      <w:ind w:firstLine="750"/>
    </w:pPr>
    <w:rPr>
      <w:rFonts w:ascii="宋体" w:hAnsi="宋体" w:cs="宋体"/>
      <w:sz w:val="24"/>
    </w:rPr>
  </w:style>
  <w:style w:type="character" w:customStyle="1" w:styleId="296">
    <w:name w:val="批注文字 字符"/>
    <w:basedOn w:val="61"/>
    <w:link w:val="19"/>
    <w:qFormat/>
    <w:uiPriority w:val="0"/>
    <w:rPr>
      <w:rFonts w:ascii="宋体" w:hAnsi="宋体" w:eastAsia="宋体" w:cs="宋体"/>
      <w:szCs w:val="24"/>
    </w:rPr>
  </w:style>
  <w:style w:type="character" w:customStyle="1" w:styleId="297">
    <w:name w:val="000 Char"/>
    <w:basedOn w:val="61"/>
    <w:link w:val="298"/>
    <w:qFormat/>
    <w:uiPriority w:val="0"/>
    <w:rPr>
      <w:rFonts w:ascii="Arial" w:hAnsi="Arial" w:eastAsia="楷体_GB2312" w:cs="宋体"/>
      <w:color w:val="000000"/>
      <w:sz w:val="24"/>
      <w:szCs w:val="26"/>
    </w:rPr>
  </w:style>
  <w:style w:type="paragraph" w:customStyle="1" w:styleId="298">
    <w:name w:val="000"/>
    <w:basedOn w:val="1"/>
    <w:link w:val="297"/>
    <w:qFormat/>
    <w:uiPriority w:val="0"/>
    <w:pPr>
      <w:ind w:firstLine="2" w:firstLineChars="2"/>
      <w:jc w:val="center"/>
    </w:pPr>
    <w:rPr>
      <w:rFonts w:ascii="Arial" w:hAnsi="Arial" w:eastAsia="楷体_GB2312" w:cs="宋体"/>
      <w:color w:val="000000"/>
      <w:sz w:val="24"/>
      <w:szCs w:val="26"/>
    </w:rPr>
  </w:style>
  <w:style w:type="character" w:customStyle="1" w:styleId="299">
    <w:name w:val="样式 居中 首行缩进:  0 字符 Char"/>
    <w:basedOn w:val="61"/>
    <w:link w:val="300"/>
    <w:qFormat/>
    <w:locked/>
    <w:uiPriority w:val="0"/>
    <w:rPr>
      <w:rFonts w:ascii="宋体" w:hAnsi="宋体" w:eastAsia="仿宋_GB2312" w:cs="宋体"/>
      <w:szCs w:val="26"/>
    </w:rPr>
  </w:style>
  <w:style w:type="paragraph" w:customStyle="1" w:styleId="300">
    <w:name w:val="样式 居中 首行缩进:  0 字符"/>
    <w:basedOn w:val="1"/>
    <w:next w:val="1"/>
    <w:link w:val="299"/>
    <w:qFormat/>
    <w:uiPriority w:val="0"/>
    <w:pPr>
      <w:tabs>
        <w:tab w:val="left" w:pos="9128"/>
      </w:tabs>
      <w:spacing w:line="500" w:lineRule="exact"/>
      <w:jc w:val="center"/>
    </w:pPr>
    <w:rPr>
      <w:rFonts w:ascii="宋体" w:hAnsi="宋体" w:eastAsia="仿宋_GB2312" w:cs="宋体"/>
      <w:szCs w:val="26"/>
    </w:rPr>
  </w:style>
  <w:style w:type="character" w:customStyle="1" w:styleId="301">
    <w:name w:val="样式16 Char"/>
    <w:basedOn w:val="61"/>
    <w:link w:val="302"/>
    <w:qFormat/>
    <w:uiPriority w:val="0"/>
    <w:rPr>
      <w:rFonts w:ascii="宋体" w:hAnsi="宋体" w:eastAsia="黑体" w:cs="宋体"/>
      <w:b/>
      <w:sz w:val="30"/>
      <w:szCs w:val="26"/>
    </w:rPr>
  </w:style>
  <w:style w:type="paragraph" w:customStyle="1" w:styleId="302">
    <w:name w:val="样式16"/>
    <w:basedOn w:val="303"/>
    <w:link w:val="301"/>
    <w:qFormat/>
    <w:uiPriority w:val="0"/>
    <w:pPr>
      <w:spacing w:before="163"/>
    </w:pPr>
  </w:style>
  <w:style w:type="paragraph" w:customStyle="1" w:styleId="303">
    <w:name w:val="1.1二级标题"/>
    <w:basedOn w:val="1"/>
    <w:link w:val="463"/>
    <w:qFormat/>
    <w:uiPriority w:val="0"/>
    <w:pPr>
      <w:spacing w:beforeLines="50" w:line="360" w:lineRule="auto"/>
      <w:outlineLvl w:val="1"/>
    </w:pPr>
    <w:rPr>
      <w:rFonts w:ascii="宋体" w:hAnsi="宋体" w:eastAsia="黑体" w:cs="宋体"/>
      <w:b/>
      <w:sz w:val="30"/>
      <w:szCs w:val="26"/>
    </w:rPr>
  </w:style>
  <w:style w:type="character" w:customStyle="1" w:styleId="304">
    <w:name w:val="样式 标题4 1.1.1.1 Char"/>
    <w:basedOn w:val="61"/>
    <w:link w:val="305"/>
    <w:qFormat/>
    <w:locked/>
    <w:uiPriority w:val="0"/>
    <w:rPr>
      <w:rFonts w:ascii="宋体" w:hAnsi="宋体" w:cs="宋体"/>
      <w:bCs/>
      <w:color w:val="000000"/>
      <w:sz w:val="24"/>
      <w:szCs w:val="26"/>
    </w:rPr>
  </w:style>
  <w:style w:type="paragraph" w:customStyle="1" w:styleId="305">
    <w:name w:val="样式 标题4 1.1.1.1"/>
    <w:basedOn w:val="2"/>
    <w:next w:val="85"/>
    <w:link w:val="304"/>
    <w:qFormat/>
    <w:uiPriority w:val="0"/>
    <w:pPr>
      <w:keepNext/>
      <w:keepLines/>
      <w:wordWrap/>
      <w:topLinePunct w:val="0"/>
      <w:autoSpaceDN/>
      <w:spacing w:line="360" w:lineRule="auto"/>
      <w:ind w:firstLine="470" w:firstLineChars="196"/>
      <w:outlineLvl w:val="9"/>
    </w:pPr>
    <w:rPr>
      <w:rFonts w:ascii="宋体" w:hAnsi="宋体" w:cs="宋体" w:eastAsiaTheme="minorEastAsia"/>
      <w:szCs w:val="26"/>
    </w:rPr>
  </w:style>
  <w:style w:type="character" w:customStyle="1" w:styleId="306">
    <w:name w:val="Char Char3"/>
    <w:link w:val="307"/>
    <w:qFormat/>
    <w:uiPriority w:val="0"/>
    <w:rPr>
      <w:szCs w:val="24"/>
    </w:rPr>
  </w:style>
  <w:style w:type="paragraph" w:customStyle="1" w:styleId="307">
    <w:name w:val="Char2"/>
    <w:basedOn w:val="1"/>
    <w:link w:val="306"/>
    <w:qFormat/>
    <w:uiPriority w:val="0"/>
    <w:rPr>
      <w:rFonts w:asciiTheme="minorHAnsi" w:hAnsiTheme="minorHAnsi" w:eastAsiaTheme="minorEastAsia" w:cstheme="minorBidi"/>
    </w:rPr>
  </w:style>
  <w:style w:type="character" w:customStyle="1" w:styleId="308">
    <w:name w:val="样式 1.1二级标题 Char"/>
    <w:basedOn w:val="61"/>
    <w:link w:val="309"/>
    <w:qFormat/>
    <w:locked/>
    <w:uiPriority w:val="0"/>
    <w:rPr>
      <w:rFonts w:ascii="黑体" w:hAnsi="宋体" w:eastAsia="黑体" w:cs="宋体"/>
      <w:b/>
      <w:sz w:val="30"/>
      <w:szCs w:val="30"/>
    </w:rPr>
  </w:style>
  <w:style w:type="paragraph" w:customStyle="1" w:styleId="309">
    <w:name w:val="样式 1.1二级标题"/>
    <w:basedOn w:val="303"/>
    <w:link w:val="308"/>
    <w:qFormat/>
    <w:uiPriority w:val="0"/>
    <w:pPr>
      <w:spacing w:before="120"/>
    </w:pPr>
    <w:rPr>
      <w:rFonts w:ascii="黑体"/>
      <w:szCs w:val="30"/>
    </w:rPr>
  </w:style>
  <w:style w:type="character" w:customStyle="1" w:styleId="310">
    <w:name w:val="表格内部样式 Char"/>
    <w:basedOn w:val="61"/>
    <w:link w:val="311"/>
    <w:qFormat/>
    <w:uiPriority w:val="0"/>
    <w:rPr>
      <w:rFonts w:ascii="楷体_GB2312" w:hAnsi="宋体" w:eastAsia="楷体_GB2312" w:cs="宋体"/>
      <w:color w:val="000000"/>
      <w:sz w:val="18"/>
      <w:szCs w:val="18"/>
    </w:rPr>
  </w:style>
  <w:style w:type="paragraph" w:customStyle="1" w:styleId="311">
    <w:name w:val="表格内部样式"/>
    <w:basedOn w:val="1"/>
    <w:link w:val="310"/>
    <w:qFormat/>
    <w:uiPriority w:val="0"/>
    <w:pPr>
      <w:widowControl/>
      <w:spacing w:line="280" w:lineRule="exact"/>
      <w:jc w:val="center"/>
    </w:pPr>
    <w:rPr>
      <w:rFonts w:ascii="楷体_GB2312" w:hAnsi="宋体" w:eastAsia="楷体_GB2312" w:cs="宋体"/>
      <w:color w:val="000000"/>
      <w:sz w:val="18"/>
      <w:szCs w:val="18"/>
    </w:rPr>
  </w:style>
  <w:style w:type="character" w:customStyle="1" w:styleId="312">
    <w:name w:val="自定正文 Char"/>
    <w:basedOn w:val="246"/>
    <w:link w:val="313"/>
    <w:qFormat/>
    <w:uiPriority w:val="0"/>
    <w:rPr>
      <w:rFonts w:ascii="宋体" w:hAnsi="宋体" w:eastAsia="华文仿宋" w:cs="宋体"/>
      <w:color w:val="000000"/>
      <w:sz w:val="24"/>
      <w:szCs w:val="24"/>
    </w:rPr>
  </w:style>
  <w:style w:type="paragraph" w:customStyle="1" w:styleId="313">
    <w:name w:val="自定正文"/>
    <w:basedOn w:val="247"/>
    <w:link w:val="312"/>
    <w:qFormat/>
    <w:uiPriority w:val="0"/>
    <w:pPr>
      <w:keepNext w:val="0"/>
      <w:keepLines w:val="0"/>
      <w:ind w:firstLine="480" w:firstLineChars="200"/>
      <w:outlineLvl w:val="9"/>
    </w:pPr>
    <w:rPr>
      <w:rFonts w:hAnsi="宋体"/>
      <w:color w:val="000000"/>
    </w:rPr>
  </w:style>
  <w:style w:type="character" w:customStyle="1" w:styleId="314">
    <w:name w:val="引用 字符"/>
    <w:basedOn w:val="61"/>
    <w:link w:val="315"/>
    <w:qFormat/>
    <w:uiPriority w:val="0"/>
    <w:rPr>
      <w:rFonts w:ascii="Calibri" w:hAnsi="Calibri" w:eastAsia="宋体" w:cs="宋体"/>
      <w:i/>
      <w:iCs/>
      <w:color w:val="000000"/>
      <w:sz w:val="22"/>
      <w:szCs w:val="26"/>
      <w:lang w:eastAsia="en-US" w:bidi="en-US"/>
    </w:rPr>
  </w:style>
  <w:style w:type="paragraph" w:styleId="315">
    <w:name w:val="Quote"/>
    <w:basedOn w:val="1"/>
    <w:next w:val="1"/>
    <w:link w:val="314"/>
    <w:qFormat/>
    <w:uiPriority w:val="0"/>
    <w:pPr>
      <w:widowControl/>
      <w:spacing w:after="200" w:line="276" w:lineRule="auto"/>
      <w:jc w:val="left"/>
    </w:pPr>
    <w:rPr>
      <w:rFonts w:ascii="Calibri" w:hAnsi="Calibri" w:cs="宋体"/>
      <w:i/>
      <w:iCs/>
      <w:color w:val="000000"/>
      <w:sz w:val="22"/>
      <w:szCs w:val="26"/>
      <w:lang w:eastAsia="en-US" w:bidi="en-US"/>
    </w:rPr>
  </w:style>
  <w:style w:type="character" w:customStyle="1" w:styleId="316">
    <w:name w:val="样式 题注 + 首行缩进:  2 字符2 Char"/>
    <w:link w:val="317"/>
    <w:qFormat/>
    <w:uiPriority w:val="0"/>
    <w:rPr>
      <w:rFonts w:ascii="黑体" w:hAnsi="宋体" w:eastAsia="黑体"/>
      <w:color w:val="000000"/>
      <w:sz w:val="24"/>
      <w:szCs w:val="28"/>
    </w:rPr>
  </w:style>
  <w:style w:type="paragraph" w:customStyle="1" w:styleId="317">
    <w:name w:val="样式 题注 + 首行缩进:  2 字符2"/>
    <w:basedOn w:val="16"/>
    <w:link w:val="316"/>
    <w:qFormat/>
    <w:uiPriority w:val="0"/>
    <w:pPr>
      <w:keepNext/>
      <w:adjustRightInd w:val="0"/>
      <w:snapToGrid w:val="0"/>
      <w:spacing w:line="240" w:lineRule="auto"/>
      <w:ind w:firstLine="0" w:firstLineChars="0"/>
      <w:jc w:val="center"/>
    </w:pPr>
    <w:rPr>
      <w:rFonts w:ascii="黑体" w:hAnsi="宋体" w:cstheme="minorBidi"/>
      <w:color w:val="000000"/>
      <w:szCs w:val="28"/>
    </w:rPr>
  </w:style>
  <w:style w:type="character" w:customStyle="1" w:styleId="318">
    <w:name w:val="段落 Char1 Char Char Char Char Char Char Char"/>
    <w:link w:val="319"/>
    <w:qFormat/>
    <w:uiPriority w:val="0"/>
    <w:rPr>
      <w:color w:val="000000"/>
      <w:kern w:val="24"/>
      <w:sz w:val="24"/>
      <w:szCs w:val="24"/>
    </w:rPr>
  </w:style>
  <w:style w:type="paragraph" w:customStyle="1" w:styleId="319">
    <w:name w:val="段落 Char1 Char Char Char Char Char Char"/>
    <w:basedOn w:val="1"/>
    <w:link w:val="318"/>
    <w:qFormat/>
    <w:uiPriority w:val="0"/>
    <w:pPr>
      <w:tabs>
        <w:tab w:val="left" w:pos="1021"/>
      </w:tabs>
      <w:spacing w:line="326" w:lineRule="auto"/>
      <w:ind w:firstLine="480" w:firstLineChars="200"/>
    </w:pPr>
    <w:rPr>
      <w:rFonts w:asciiTheme="minorHAnsi" w:hAnsiTheme="minorHAnsi" w:eastAsiaTheme="minorEastAsia" w:cstheme="minorBidi"/>
      <w:color w:val="000000"/>
      <w:kern w:val="24"/>
      <w:sz w:val="24"/>
    </w:rPr>
  </w:style>
  <w:style w:type="character" w:customStyle="1" w:styleId="320">
    <w:name w:val="正文缩进 Char"/>
    <w:qFormat/>
    <w:uiPriority w:val="0"/>
    <w:rPr>
      <w:rFonts w:eastAsia="宋体"/>
      <w:kern w:val="2"/>
      <w:sz w:val="21"/>
      <w:szCs w:val="24"/>
      <w:lang w:val="en-US" w:eastAsia="zh-CN" w:bidi="ar-SA"/>
    </w:rPr>
  </w:style>
  <w:style w:type="character" w:customStyle="1" w:styleId="321">
    <w:name w:val="正文01 Char Char"/>
    <w:basedOn w:val="61"/>
    <w:link w:val="322"/>
    <w:qFormat/>
    <w:locked/>
    <w:uiPriority w:val="0"/>
    <w:rPr>
      <w:rFonts w:ascii="Arial" w:hAnsi="Arial" w:cs="宋体"/>
      <w:sz w:val="24"/>
      <w:szCs w:val="26"/>
    </w:rPr>
  </w:style>
  <w:style w:type="paragraph" w:customStyle="1" w:styleId="322">
    <w:name w:val="正文01"/>
    <w:basedOn w:val="1"/>
    <w:link w:val="321"/>
    <w:qFormat/>
    <w:uiPriority w:val="0"/>
    <w:pPr>
      <w:spacing w:before="60" w:line="460" w:lineRule="exact"/>
      <w:ind w:firstLine="200" w:firstLineChars="200"/>
    </w:pPr>
    <w:rPr>
      <w:rFonts w:ascii="Arial" w:hAnsi="Arial" w:cs="宋体" w:eastAsiaTheme="minorEastAsia"/>
      <w:sz w:val="24"/>
      <w:szCs w:val="26"/>
    </w:rPr>
  </w:style>
  <w:style w:type="character" w:customStyle="1" w:styleId="323">
    <w:name w:val="正文四号 Char"/>
    <w:link w:val="324"/>
    <w:qFormat/>
    <w:uiPriority w:val="0"/>
    <w:rPr>
      <w:sz w:val="24"/>
      <w:szCs w:val="24"/>
    </w:rPr>
  </w:style>
  <w:style w:type="paragraph" w:customStyle="1" w:styleId="324">
    <w:name w:val="正文四号"/>
    <w:basedOn w:val="1"/>
    <w:link w:val="323"/>
    <w:qFormat/>
    <w:uiPriority w:val="0"/>
    <w:pPr>
      <w:spacing w:line="360" w:lineRule="auto"/>
      <w:ind w:firstLine="200" w:firstLineChars="200"/>
    </w:pPr>
    <w:rPr>
      <w:rFonts w:asciiTheme="minorHAnsi" w:hAnsiTheme="minorHAnsi" w:eastAsiaTheme="minorEastAsia" w:cstheme="minorBidi"/>
      <w:sz w:val="24"/>
    </w:rPr>
  </w:style>
  <w:style w:type="character" w:customStyle="1" w:styleId="325">
    <w:name w:val="样式 列表1 + 左侧:  0 厘米 悬挂缩进: 2 字符1 Char Char"/>
    <w:basedOn w:val="61"/>
    <w:link w:val="326"/>
    <w:semiHidden/>
    <w:qFormat/>
    <w:locked/>
    <w:uiPriority w:val="0"/>
    <w:rPr>
      <w:rFonts w:ascii="仿宋_GB2312" w:hAnsi="宋体" w:eastAsia="仿宋_GB2312" w:cs="宋体"/>
      <w:sz w:val="28"/>
      <w:szCs w:val="26"/>
    </w:rPr>
  </w:style>
  <w:style w:type="paragraph" w:customStyle="1" w:styleId="326">
    <w:name w:val="样式 列表1 + 左侧:  0 厘米 悬挂缩进: 2 字符1"/>
    <w:basedOn w:val="1"/>
    <w:link w:val="325"/>
    <w:semiHidden/>
    <w:qFormat/>
    <w:uiPriority w:val="0"/>
    <w:rPr>
      <w:rFonts w:ascii="仿宋_GB2312" w:hAnsi="宋体" w:eastAsia="仿宋_GB2312" w:cs="宋体"/>
      <w:sz w:val="28"/>
      <w:szCs w:val="26"/>
    </w:rPr>
  </w:style>
  <w:style w:type="character" w:customStyle="1" w:styleId="327">
    <w:name w:val="单晶硅表头 Char"/>
    <w:basedOn w:val="61"/>
    <w:link w:val="328"/>
    <w:qFormat/>
    <w:uiPriority w:val="0"/>
    <w:rPr>
      <w:rFonts w:ascii="黑体" w:hAnsi="宋体" w:eastAsia="黑体" w:cs="宋体"/>
      <w:shadow/>
      <w:sz w:val="24"/>
      <w:szCs w:val="24"/>
    </w:rPr>
  </w:style>
  <w:style w:type="paragraph" w:customStyle="1" w:styleId="328">
    <w:name w:val="单晶硅表头"/>
    <w:basedOn w:val="1"/>
    <w:link w:val="327"/>
    <w:qFormat/>
    <w:uiPriority w:val="0"/>
    <w:pPr>
      <w:spacing w:line="560" w:lineRule="exact"/>
      <w:jc w:val="center"/>
    </w:pPr>
    <w:rPr>
      <w:rFonts w:ascii="黑体" w:hAnsi="宋体" w:eastAsia="黑体" w:cs="宋体"/>
      <w:shadow/>
      <w:sz w:val="24"/>
    </w:rPr>
  </w:style>
  <w:style w:type="character" w:customStyle="1" w:styleId="329">
    <w:name w:val="表体 Char"/>
    <w:basedOn w:val="61"/>
    <w:link w:val="330"/>
    <w:qFormat/>
    <w:uiPriority w:val="0"/>
    <w:rPr>
      <w:rFonts w:ascii="宋体" w:hAnsi="宋体" w:cs="宋体"/>
      <w:color w:val="000080"/>
      <w:sz w:val="24"/>
      <w:szCs w:val="24"/>
    </w:rPr>
  </w:style>
  <w:style w:type="paragraph" w:customStyle="1" w:styleId="330">
    <w:name w:val="表体"/>
    <w:link w:val="329"/>
    <w:qFormat/>
    <w:uiPriority w:val="0"/>
    <w:pPr>
      <w:spacing w:before="40" w:after="40"/>
      <w:jc w:val="center"/>
    </w:pPr>
    <w:rPr>
      <w:rFonts w:ascii="宋体" w:hAnsi="宋体" w:cs="宋体" w:eastAsiaTheme="minorEastAsia"/>
      <w:color w:val="000080"/>
      <w:kern w:val="2"/>
      <w:sz w:val="24"/>
      <w:szCs w:val="24"/>
      <w:lang w:val="en-US" w:eastAsia="zh-CN" w:bidi="ar-SA"/>
    </w:rPr>
  </w:style>
  <w:style w:type="character" w:customStyle="1" w:styleId="331">
    <w:name w:val="预案3号 Char"/>
    <w:basedOn w:val="61"/>
    <w:link w:val="332"/>
    <w:qFormat/>
    <w:uiPriority w:val="0"/>
    <w:rPr>
      <w:rFonts w:ascii="宋体" w:hAnsi="宋体" w:eastAsia="宋体" w:cs="楷体_GB2312"/>
      <w:b/>
      <w:color w:val="000000"/>
      <w:sz w:val="28"/>
      <w:szCs w:val="28"/>
    </w:rPr>
  </w:style>
  <w:style w:type="paragraph" w:customStyle="1" w:styleId="332">
    <w:name w:val="预案3号"/>
    <w:basedOn w:val="333"/>
    <w:link w:val="331"/>
    <w:qFormat/>
    <w:uiPriority w:val="0"/>
    <w:pPr>
      <w:keepNext w:val="0"/>
      <w:keepLines w:val="0"/>
      <w:widowControl w:val="0"/>
      <w:spacing w:before="0" w:after="0" w:line="360" w:lineRule="auto"/>
      <w:jc w:val="both"/>
    </w:pPr>
    <w:rPr>
      <w:rFonts w:ascii="宋体" w:hAnsi="宋体" w:eastAsia="宋体"/>
      <w:b/>
      <w:color w:val="000000"/>
      <w:kern w:val="2"/>
    </w:rPr>
  </w:style>
  <w:style w:type="paragraph" w:customStyle="1" w:styleId="333">
    <w:name w:val="标题三！！！！！！！"/>
    <w:basedOn w:val="5"/>
    <w:qFormat/>
    <w:uiPriority w:val="0"/>
    <w:pPr>
      <w:widowControl/>
      <w:spacing w:before="260" w:after="260" w:line="500" w:lineRule="exact"/>
      <w:ind w:left="720" w:hanging="720"/>
      <w:jc w:val="left"/>
    </w:pPr>
    <w:rPr>
      <w:rFonts w:ascii="楷体_GB2312" w:hAnsi="楷体_GB2312" w:eastAsia="楷体_GB2312" w:cs="楷体_GB2312"/>
      <w:spacing w:val="0"/>
      <w:kern w:val="0"/>
      <w:sz w:val="28"/>
      <w:szCs w:val="28"/>
    </w:rPr>
  </w:style>
  <w:style w:type="character" w:customStyle="1" w:styleId="334">
    <w:name w:val="J【表头】 Char"/>
    <w:basedOn w:val="61"/>
    <w:link w:val="335"/>
    <w:qFormat/>
    <w:uiPriority w:val="0"/>
    <w:rPr>
      <w:rFonts w:ascii="宋体" w:hAnsi="宋体" w:cs="宋体"/>
      <w:b/>
      <w:sz w:val="24"/>
      <w:szCs w:val="24"/>
    </w:rPr>
  </w:style>
  <w:style w:type="paragraph" w:customStyle="1" w:styleId="335">
    <w:name w:val="J【表头】"/>
    <w:basedOn w:val="1"/>
    <w:link w:val="334"/>
    <w:qFormat/>
    <w:uiPriority w:val="0"/>
    <w:pPr>
      <w:spacing w:line="360" w:lineRule="auto"/>
      <w:jc w:val="center"/>
    </w:pPr>
    <w:rPr>
      <w:rFonts w:ascii="宋体" w:hAnsi="宋体" w:cs="宋体" w:eastAsiaTheme="minorEastAsia"/>
      <w:b/>
      <w:sz w:val="24"/>
    </w:rPr>
  </w:style>
  <w:style w:type="character" w:customStyle="1" w:styleId="336">
    <w:name w:val="样式 样式 正文文本 + 首行缩进:  2 字符 + 宋体 首行缩进:  2 字符 Char"/>
    <w:link w:val="337"/>
    <w:qFormat/>
    <w:uiPriority w:val="0"/>
    <w:rPr>
      <w:color w:val="FF0000"/>
      <w:sz w:val="24"/>
      <w:szCs w:val="24"/>
    </w:rPr>
  </w:style>
  <w:style w:type="paragraph" w:customStyle="1" w:styleId="337">
    <w:name w:val="样式 样式 正文文本 + 首行缩进:  2 字符 + 宋体 首行缩进:  2 字符"/>
    <w:basedOn w:val="95"/>
    <w:link w:val="336"/>
    <w:qFormat/>
    <w:uiPriority w:val="0"/>
    <w:pPr>
      <w:ind w:firstLine="480"/>
    </w:pPr>
  </w:style>
  <w:style w:type="character" w:customStyle="1" w:styleId="338">
    <w:name w:val="正文（首行缩进两字） Char"/>
    <w:basedOn w:val="61"/>
    <w:qFormat/>
    <w:uiPriority w:val="0"/>
    <w:rPr>
      <w:rFonts w:ascii="宋体" w:hAnsi="宋体" w:eastAsia="宋体" w:cs="宋体"/>
      <w:kern w:val="2"/>
      <w:sz w:val="28"/>
      <w:szCs w:val="26"/>
      <w:lang w:val="en-US" w:eastAsia="zh-CN" w:bidi="ar-SA"/>
    </w:rPr>
  </w:style>
  <w:style w:type="character" w:customStyle="1" w:styleId="339">
    <w:name w:val="文本框五号 Char"/>
    <w:basedOn w:val="61"/>
    <w:link w:val="340"/>
    <w:qFormat/>
    <w:uiPriority w:val="0"/>
    <w:rPr>
      <w:rFonts w:ascii="宋体" w:hAnsi="宋体" w:eastAsia="仿宋_GB2312" w:cs="宋体"/>
      <w:szCs w:val="21"/>
    </w:rPr>
  </w:style>
  <w:style w:type="paragraph" w:customStyle="1" w:styleId="340">
    <w:name w:val="文本框五号"/>
    <w:basedOn w:val="1"/>
    <w:link w:val="339"/>
    <w:qFormat/>
    <w:uiPriority w:val="0"/>
    <w:pPr>
      <w:jc w:val="center"/>
    </w:pPr>
    <w:rPr>
      <w:rFonts w:ascii="宋体" w:hAnsi="宋体" w:eastAsia="仿宋_GB2312" w:cs="宋体"/>
      <w:szCs w:val="21"/>
    </w:rPr>
  </w:style>
  <w:style w:type="character" w:customStyle="1" w:styleId="341">
    <w:name w:val="样式 标题 3H3 + 黑色1 Char"/>
    <w:link w:val="342"/>
    <w:qFormat/>
    <w:uiPriority w:val="0"/>
    <w:rPr>
      <w:b/>
      <w:snapToGrid w:val="0"/>
      <w:color w:val="000000"/>
      <w:sz w:val="24"/>
      <w:szCs w:val="24"/>
    </w:rPr>
  </w:style>
  <w:style w:type="paragraph" w:customStyle="1" w:styleId="342">
    <w:name w:val="样式 标题 3H3 + 黑色1"/>
    <w:basedOn w:val="5"/>
    <w:link w:val="341"/>
    <w:qFormat/>
    <w:uiPriority w:val="0"/>
    <w:pPr>
      <w:keepNext w:val="0"/>
      <w:keepLines w:val="0"/>
      <w:adjustRightInd w:val="0"/>
      <w:snapToGrid w:val="0"/>
      <w:spacing w:before="0" w:line="460" w:lineRule="exact"/>
      <w:ind w:left="720" w:hanging="720"/>
      <w:jc w:val="left"/>
    </w:pPr>
    <w:rPr>
      <w:rFonts w:asciiTheme="minorHAnsi" w:hAnsiTheme="minorHAnsi" w:eastAsiaTheme="minorEastAsia" w:cstheme="minorBidi"/>
      <w:b/>
      <w:snapToGrid w:val="0"/>
      <w:color w:val="000000"/>
      <w:spacing w:val="0"/>
      <w:szCs w:val="24"/>
    </w:rPr>
  </w:style>
  <w:style w:type="character" w:customStyle="1" w:styleId="343">
    <w:name w:val="样式 (符号) 宋体 小四 行距: 固定值 26 磅 Char Char Char"/>
    <w:basedOn w:val="61"/>
    <w:link w:val="344"/>
    <w:qFormat/>
    <w:uiPriority w:val="0"/>
    <w:rPr>
      <w:rFonts w:ascii="宋体" w:hAnsi="宋体" w:cs="宋体"/>
      <w:color w:val="000000"/>
      <w:sz w:val="28"/>
      <w:szCs w:val="28"/>
    </w:rPr>
  </w:style>
  <w:style w:type="paragraph" w:customStyle="1" w:styleId="344">
    <w:name w:val="样式 (符号) 宋体 小四 行距: 固定值 26 磅 Char Char"/>
    <w:basedOn w:val="1"/>
    <w:link w:val="343"/>
    <w:qFormat/>
    <w:uiPriority w:val="0"/>
    <w:pPr>
      <w:spacing w:line="360" w:lineRule="auto"/>
      <w:ind w:firstLine="480" w:firstLineChars="200"/>
    </w:pPr>
    <w:rPr>
      <w:rFonts w:ascii="宋体" w:hAnsi="宋体" w:cs="宋体" w:eastAsiaTheme="minorEastAsia"/>
      <w:color w:val="000000"/>
      <w:sz w:val="28"/>
      <w:szCs w:val="28"/>
    </w:rPr>
  </w:style>
  <w:style w:type="character" w:customStyle="1" w:styleId="345">
    <w:name w:val="表文字 Char Char"/>
    <w:basedOn w:val="61"/>
    <w:link w:val="346"/>
    <w:qFormat/>
    <w:uiPriority w:val="0"/>
    <w:rPr>
      <w:rFonts w:ascii="仿宋_GB2312" w:hAnsi="宋体" w:eastAsia="仿宋_GB2312" w:cs="宋体"/>
      <w:b/>
      <w:bCs/>
      <w:sz w:val="18"/>
      <w:szCs w:val="18"/>
    </w:rPr>
  </w:style>
  <w:style w:type="paragraph" w:customStyle="1" w:styleId="346">
    <w:name w:val="表文字 Char"/>
    <w:basedOn w:val="1"/>
    <w:link w:val="345"/>
    <w:qFormat/>
    <w:uiPriority w:val="0"/>
    <w:pPr>
      <w:keepNext/>
      <w:widowControl/>
      <w:spacing w:line="240" w:lineRule="exact"/>
    </w:pPr>
    <w:rPr>
      <w:rFonts w:ascii="仿宋_GB2312" w:hAnsi="宋体" w:eastAsia="仿宋_GB2312" w:cs="宋体"/>
      <w:b/>
      <w:bCs/>
      <w:sz w:val="18"/>
      <w:szCs w:val="18"/>
    </w:rPr>
  </w:style>
  <w:style w:type="character" w:customStyle="1" w:styleId="347">
    <w:name w:val="图框 Char"/>
    <w:link w:val="348"/>
    <w:qFormat/>
    <w:uiPriority w:val="0"/>
    <w:rPr>
      <w:rFonts w:eastAsia="宋体"/>
      <w:szCs w:val="21"/>
      <w:lang w:val="zh-CN"/>
    </w:rPr>
  </w:style>
  <w:style w:type="paragraph" w:customStyle="1" w:styleId="348">
    <w:name w:val="图框"/>
    <w:basedOn w:val="1"/>
    <w:link w:val="347"/>
    <w:qFormat/>
    <w:uiPriority w:val="0"/>
    <w:pPr>
      <w:jc w:val="center"/>
    </w:pPr>
    <w:rPr>
      <w:rFonts w:asciiTheme="minorHAnsi" w:hAnsiTheme="minorHAnsi" w:cstheme="minorBidi"/>
      <w:szCs w:val="21"/>
      <w:lang w:val="zh-CN"/>
    </w:rPr>
  </w:style>
  <w:style w:type="character" w:customStyle="1" w:styleId="349">
    <w:name w:val="预案2号 Char"/>
    <w:basedOn w:val="61"/>
    <w:link w:val="350"/>
    <w:qFormat/>
    <w:uiPriority w:val="0"/>
    <w:rPr>
      <w:rFonts w:ascii="宋体" w:hAnsi="宋体" w:eastAsia="宋体" w:cs="楷体_GB2312"/>
      <w:b/>
      <w:bCs/>
      <w:sz w:val="30"/>
      <w:szCs w:val="30"/>
    </w:rPr>
  </w:style>
  <w:style w:type="paragraph" w:customStyle="1" w:styleId="350">
    <w:name w:val="预案2号"/>
    <w:basedOn w:val="98"/>
    <w:link w:val="349"/>
    <w:qFormat/>
    <w:uiPriority w:val="0"/>
    <w:rPr>
      <w:rFonts w:ascii="宋体" w:hAnsi="宋体" w:eastAsia="宋体"/>
    </w:rPr>
  </w:style>
  <w:style w:type="character" w:customStyle="1" w:styleId="351">
    <w:name w:val="表格后 Char"/>
    <w:basedOn w:val="61"/>
    <w:link w:val="352"/>
    <w:qFormat/>
    <w:uiPriority w:val="0"/>
    <w:rPr>
      <w:rFonts w:ascii="宋体" w:hAnsi="宋体" w:eastAsia="宋体" w:cs="宋体"/>
      <w:sz w:val="24"/>
      <w:szCs w:val="24"/>
    </w:rPr>
  </w:style>
  <w:style w:type="paragraph" w:customStyle="1" w:styleId="352">
    <w:name w:val="表格后"/>
    <w:basedOn w:val="1"/>
    <w:next w:val="1"/>
    <w:link w:val="351"/>
    <w:qFormat/>
    <w:uiPriority w:val="0"/>
    <w:pPr>
      <w:spacing w:beforeLines="50" w:line="360" w:lineRule="auto"/>
      <w:ind w:firstLine="200" w:firstLineChars="200"/>
    </w:pPr>
    <w:rPr>
      <w:rFonts w:ascii="宋体" w:hAnsi="宋体" w:cs="宋体"/>
      <w:sz w:val="24"/>
    </w:rPr>
  </w:style>
  <w:style w:type="character" w:customStyle="1" w:styleId="353">
    <w:name w:val="5 Char"/>
    <w:basedOn w:val="61"/>
    <w:link w:val="354"/>
    <w:qFormat/>
    <w:uiPriority w:val="0"/>
    <w:rPr>
      <w:rFonts w:ascii="宋体" w:hAnsi="宋体" w:cs="宋体"/>
      <w:sz w:val="24"/>
      <w:szCs w:val="26"/>
    </w:rPr>
  </w:style>
  <w:style w:type="paragraph" w:customStyle="1" w:styleId="354">
    <w:name w:val="5"/>
    <w:basedOn w:val="1"/>
    <w:next w:val="15"/>
    <w:link w:val="353"/>
    <w:qFormat/>
    <w:uiPriority w:val="0"/>
    <w:pPr>
      <w:snapToGrid w:val="0"/>
      <w:spacing w:before="120" w:line="360" w:lineRule="auto"/>
      <w:ind w:firstLine="510"/>
    </w:pPr>
    <w:rPr>
      <w:rFonts w:ascii="宋体" w:hAnsi="宋体" w:cs="宋体" w:eastAsiaTheme="minorEastAsia"/>
      <w:sz w:val="24"/>
      <w:szCs w:val="26"/>
    </w:rPr>
  </w:style>
  <w:style w:type="character" w:customStyle="1" w:styleId="355">
    <w:name w:val="正文文本 3 字符"/>
    <w:basedOn w:val="61"/>
    <w:link w:val="21"/>
    <w:qFormat/>
    <w:uiPriority w:val="0"/>
    <w:rPr>
      <w:rFonts w:ascii="宋体" w:hAnsi="宋体" w:eastAsia="宋体" w:cs="宋体"/>
      <w:sz w:val="16"/>
      <w:szCs w:val="16"/>
    </w:rPr>
  </w:style>
  <w:style w:type="character" w:customStyle="1" w:styleId="356">
    <w:name w:val="正文首行不缩进 Char Char"/>
    <w:basedOn w:val="172"/>
    <w:link w:val="357"/>
    <w:semiHidden/>
    <w:qFormat/>
    <w:locked/>
    <w:uiPriority w:val="0"/>
    <w:rPr>
      <w:rFonts w:ascii="宋体" w:hAnsi="宋体" w:eastAsia="宋体" w:cs="宋体"/>
      <w:sz w:val="24"/>
      <w:szCs w:val="28"/>
      <w:lang w:eastAsia="en-US" w:bidi="en-US"/>
    </w:rPr>
  </w:style>
  <w:style w:type="paragraph" w:customStyle="1" w:styleId="357">
    <w:name w:val="正文首行不缩进"/>
    <w:basedOn w:val="1"/>
    <w:link w:val="356"/>
    <w:semiHidden/>
    <w:qFormat/>
    <w:uiPriority w:val="0"/>
    <w:pPr>
      <w:widowControl/>
      <w:spacing w:line="360" w:lineRule="auto"/>
    </w:pPr>
    <w:rPr>
      <w:rFonts w:ascii="宋体" w:hAnsi="宋体" w:cs="宋体"/>
      <w:sz w:val="24"/>
      <w:szCs w:val="28"/>
      <w:lang w:eastAsia="en-US" w:bidi="en-US"/>
    </w:rPr>
  </w:style>
  <w:style w:type="character" w:customStyle="1" w:styleId="358">
    <w:name w:val="标题四 Char"/>
    <w:basedOn w:val="265"/>
    <w:link w:val="359"/>
    <w:qFormat/>
    <w:uiPriority w:val="0"/>
    <w:rPr>
      <w:rFonts w:ascii="楷体_GB2312" w:hAnsi="楷体_GB2312" w:eastAsia="楷体_GB2312" w:cs="宋体"/>
      <w:b/>
      <w:kern w:val="2"/>
      <w:sz w:val="24"/>
      <w:szCs w:val="24"/>
    </w:rPr>
  </w:style>
  <w:style w:type="paragraph" w:customStyle="1" w:styleId="359">
    <w:name w:val="标题四"/>
    <w:basedOn w:val="154"/>
    <w:link w:val="358"/>
    <w:qFormat/>
    <w:uiPriority w:val="0"/>
    <w:pPr>
      <w:ind w:firstLine="0" w:firstLineChars="0"/>
    </w:pPr>
    <w:rPr>
      <w:rFonts w:ascii="楷体_GB2312" w:hAnsi="楷体_GB2312" w:eastAsia="楷体_GB2312"/>
      <w:b/>
    </w:rPr>
  </w:style>
  <w:style w:type="character" w:customStyle="1" w:styleId="360">
    <w:name w:val="4 Char"/>
    <w:basedOn w:val="61"/>
    <w:link w:val="361"/>
    <w:qFormat/>
    <w:uiPriority w:val="0"/>
    <w:rPr>
      <w:rFonts w:ascii="宋体" w:hAnsi="宋体" w:eastAsia="汉鼎简书宋" w:cs="宋体"/>
      <w:szCs w:val="21"/>
    </w:rPr>
  </w:style>
  <w:style w:type="paragraph" w:customStyle="1" w:styleId="361">
    <w:name w:val="4"/>
    <w:basedOn w:val="1"/>
    <w:next w:val="15"/>
    <w:link w:val="360"/>
    <w:qFormat/>
    <w:uiPriority w:val="0"/>
    <w:pPr>
      <w:ind w:firstLine="482" w:firstLineChars="200"/>
    </w:pPr>
    <w:rPr>
      <w:rFonts w:ascii="宋体" w:hAnsi="宋体" w:eastAsia="汉鼎简书宋" w:cs="宋体"/>
      <w:szCs w:val="21"/>
    </w:rPr>
  </w:style>
  <w:style w:type="character" w:customStyle="1" w:styleId="362">
    <w:name w:val="标题四A Char"/>
    <w:basedOn w:val="61"/>
    <w:link w:val="363"/>
    <w:qFormat/>
    <w:uiPriority w:val="0"/>
    <w:rPr>
      <w:rFonts w:ascii="华文仿宋" w:hAnsi="华文仿宋" w:eastAsia="华文仿宋" w:cs="宋体"/>
      <w:b/>
      <w:sz w:val="24"/>
      <w:szCs w:val="24"/>
    </w:rPr>
  </w:style>
  <w:style w:type="paragraph" w:customStyle="1" w:styleId="363">
    <w:name w:val="标题四A"/>
    <w:basedOn w:val="1"/>
    <w:link w:val="362"/>
    <w:qFormat/>
    <w:uiPriority w:val="0"/>
    <w:pPr>
      <w:spacing w:line="500" w:lineRule="exact"/>
      <w:outlineLvl w:val="3"/>
    </w:pPr>
    <w:rPr>
      <w:rFonts w:ascii="华文仿宋" w:hAnsi="华文仿宋" w:eastAsia="华文仿宋" w:cs="宋体"/>
      <w:b/>
      <w:sz w:val="24"/>
    </w:rPr>
  </w:style>
  <w:style w:type="character" w:customStyle="1" w:styleId="364">
    <w:name w:val="题注 字符"/>
    <w:basedOn w:val="61"/>
    <w:link w:val="16"/>
    <w:qFormat/>
    <w:uiPriority w:val="0"/>
    <w:rPr>
      <w:rFonts w:ascii="Arial" w:hAnsi="Arial" w:eastAsia="黑体" w:cs="Arial"/>
      <w:sz w:val="24"/>
      <w:szCs w:val="26"/>
    </w:rPr>
  </w:style>
  <w:style w:type="character" w:customStyle="1" w:styleId="365">
    <w:name w:val="Char Char411"/>
    <w:basedOn w:val="61"/>
    <w:link w:val="366"/>
    <w:qFormat/>
    <w:uiPriority w:val="0"/>
    <w:rPr>
      <w:rFonts w:ascii="宋体" w:hAnsi="宋体" w:eastAsia="宋体" w:cs="宋体"/>
      <w:b/>
      <w:bCs/>
      <w:kern w:val="44"/>
      <w:sz w:val="28"/>
      <w:szCs w:val="28"/>
    </w:rPr>
  </w:style>
  <w:style w:type="paragraph" w:customStyle="1" w:styleId="366">
    <w:name w:val="Char4"/>
    <w:basedOn w:val="1"/>
    <w:link w:val="365"/>
    <w:qFormat/>
    <w:uiPriority w:val="0"/>
    <w:pPr>
      <w:widowControl/>
      <w:snapToGrid w:val="0"/>
      <w:spacing w:line="360" w:lineRule="auto"/>
      <w:ind w:firstLine="529" w:firstLineChars="200"/>
      <w:jc w:val="left"/>
    </w:pPr>
    <w:rPr>
      <w:rFonts w:ascii="宋体" w:hAnsi="宋体" w:cs="宋体"/>
      <w:b/>
      <w:bCs/>
      <w:kern w:val="44"/>
      <w:sz w:val="28"/>
      <w:szCs w:val="28"/>
    </w:rPr>
  </w:style>
  <w:style w:type="character" w:customStyle="1" w:styleId="367">
    <w:name w:val="表格注 Char"/>
    <w:basedOn w:val="61"/>
    <w:link w:val="368"/>
    <w:qFormat/>
    <w:uiPriority w:val="0"/>
    <w:rPr>
      <w:rFonts w:ascii="宋体" w:hAnsi="宋体" w:eastAsia="宋体" w:cs="宋体"/>
      <w:sz w:val="18"/>
      <w:szCs w:val="24"/>
    </w:rPr>
  </w:style>
  <w:style w:type="paragraph" w:customStyle="1" w:styleId="368">
    <w:name w:val="表格注"/>
    <w:basedOn w:val="1"/>
    <w:next w:val="1"/>
    <w:link w:val="367"/>
    <w:qFormat/>
    <w:uiPriority w:val="0"/>
    <w:pPr>
      <w:spacing w:line="240" w:lineRule="exact"/>
      <w:jc w:val="left"/>
    </w:pPr>
    <w:rPr>
      <w:rFonts w:ascii="宋体" w:hAnsi="宋体" w:cs="宋体"/>
      <w:sz w:val="18"/>
    </w:rPr>
  </w:style>
  <w:style w:type="character" w:customStyle="1" w:styleId="369">
    <w:name w:val="标题一!!!! Char"/>
    <w:basedOn w:val="61"/>
    <w:link w:val="370"/>
    <w:qFormat/>
    <w:uiPriority w:val="0"/>
    <w:rPr>
      <w:rFonts w:ascii="华文仿宋" w:hAnsi="华文仿宋" w:eastAsia="华文仿宋" w:cs="宋体"/>
      <w:b/>
      <w:bCs/>
      <w:color w:val="000000"/>
      <w:spacing w:val="5"/>
      <w:kern w:val="44"/>
      <w:sz w:val="32"/>
      <w:szCs w:val="32"/>
      <w:lang w:val="zh-CN"/>
    </w:rPr>
  </w:style>
  <w:style w:type="paragraph" w:customStyle="1" w:styleId="370">
    <w:name w:val="标题一!!!!"/>
    <w:basedOn w:val="3"/>
    <w:link w:val="369"/>
    <w:qFormat/>
    <w:uiPriority w:val="0"/>
    <w:pPr>
      <w:keepNext w:val="0"/>
      <w:tabs>
        <w:tab w:val="left" w:pos="2100"/>
        <w:tab w:val="center" w:pos="4170"/>
      </w:tabs>
      <w:adjustRightInd w:val="0"/>
      <w:snapToGrid w:val="0"/>
      <w:spacing w:beforeLines="200" w:afterLines="100"/>
      <w:jc w:val="center"/>
    </w:pPr>
    <w:rPr>
      <w:rFonts w:ascii="华文仿宋" w:hAnsi="华文仿宋" w:eastAsia="华文仿宋" w:cs="宋体"/>
      <w:b/>
      <w:bCs/>
      <w:color w:val="000000"/>
      <w:spacing w:val="5"/>
      <w:kern w:val="44"/>
      <w:sz w:val="32"/>
      <w:szCs w:val="32"/>
      <w:lang w:val="zh-CN"/>
    </w:rPr>
  </w:style>
  <w:style w:type="character" w:customStyle="1" w:styleId="371">
    <w:name w:val="表格头 Char Char"/>
    <w:link w:val="372"/>
    <w:qFormat/>
    <w:uiPriority w:val="0"/>
    <w:rPr>
      <w:rFonts w:ascii="宋体" w:hAnsi="宋体" w:eastAsia="宋体"/>
      <w:sz w:val="24"/>
      <w:szCs w:val="24"/>
    </w:rPr>
  </w:style>
  <w:style w:type="paragraph" w:customStyle="1" w:styleId="372">
    <w:name w:val="表格头"/>
    <w:basedOn w:val="1"/>
    <w:link w:val="371"/>
    <w:qFormat/>
    <w:uiPriority w:val="0"/>
    <w:pPr>
      <w:spacing w:line="360" w:lineRule="auto"/>
      <w:jc w:val="left"/>
    </w:pPr>
    <w:rPr>
      <w:rFonts w:ascii="宋体" w:hAnsi="宋体" w:cstheme="minorBidi"/>
      <w:sz w:val="24"/>
    </w:rPr>
  </w:style>
  <w:style w:type="character" w:customStyle="1" w:styleId="373">
    <w:name w:val="签名 字符"/>
    <w:basedOn w:val="61"/>
    <w:link w:val="38"/>
    <w:qFormat/>
    <w:uiPriority w:val="0"/>
    <w:rPr>
      <w:rFonts w:ascii="宋体" w:hAnsi="宋体" w:cs="宋体"/>
      <w:szCs w:val="24"/>
    </w:rPr>
  </w:style>
  <w:style w:type="character" w:customStyle="1" w:styleId="374">
    <w:name w:val="dl正文 Char"/>
    <w:link w:val="375"/>
    <w:qFormat/>
    <w:uiPriority w:val="0"/>
    <w:rPr>
      <w:rFonts w:eastAsia="宋体"/>
      <w:color w:val="000000"/>
      <w:kern w:val="10"/>
      <w:sz w:val="28"/>
      <w:szCs w:val="28"/>
    </w:rPr>
  </w:style>
  <w:style w:type="paragraph" w:customStyle="1" w:styleId="375">
    <w:name w:val="dl正文"/>
    <w:basedOn w:val="1"/>
    <w:link w:val="374"/>
    <w:qFormat/>
    <w:uiPriority w:val="0"/>
    <w:pPr>
      <w:ind w:firstLine="708" w:firstLineChars="253"/>
    </w:pPr>
    <w:rPr>
      <w:rFonts w:asciiTheme="minorHAnsi" w:hAnsiTheme="minorHAnsi" w:cstheme="minorBidi"/>
      <w:color w:val="000000"/>
      <w:kern w:val="10"/>
      <w:sz w:val="28"/>
      <w:szCs w:val="28"/>
    </w:rPr>
  </w:style>
  <w:style w:type="character" w:customStyle="1" w:styleId="376">
    <w:name w:val="表头 Char2"/>
    <w:basedOn w:val="61"/>
    <w:qFormat/>
    <w:uiPriority w:val="0"/>
    <w:rPr>
      <w:rFonts w:ascii="宋体" w:hAnsi="宋体" w:eastAsia="仿宋_GB2312" w:cs="宋体"/>
      <w:bCs/>
      <w:color w:val="000000"/>
      <w:sz w:val="28"/>
      <w:szCs w:val="24"/>
    </w:rPr>
  </w:style>
  <w:style w:type="character" w:customStyle="1" w:styleId="377">
    <w:name w:val="标题1 Char"/>
    <w:basedOn w:val="61"/>
    <w:qFormat/>
    <w:uiPriority w:val="0"/>
    <w:rPr>
      <w:rFonts w:ascii="Arial" w:hAnsi="Arial" w:eastAsia="黑体" w:cs="宋体"/>
      <w:b/>
      <w:bCs/>
      <w:kern w:val="44"/>
      <w:sz w:val="44"/>
      <w:szCs w:val="44"/>
      <w:lang w:val="en-US" w:eastAsia="zh-CN" w:bidi="ar-SA"/>
    </w:rPr>
  </w:style>
  <w:style w:type="character" w:customStyle="1" w:styleId="378">
    <w:name w:val="_正文格式 Char Char"/>
    <w:link w:val="379"/>
    <w:qFormat/>
    <w:uiPriority w:val="0"/>
    <w:rPr>
      <w:rFonts w:eastAsia="宋体"/>
      <w:sz w:val="24"/>
      <w:szCs w:val="24"/>
    </w:rPr>
  </w:style>
  <w:style w:type="paragraph" w:customStyle="1" w:styleId="379">
    <w:name w:val="_正文格式"/>
    <w:basedOn w:val="1"/>
    <w:link w:val="378"/>
    <w:qFormat/>
    <w:uiPriority w:val="0"/>
    <w:pPr>
      <w:spacing w:line="500" w:lineRule="exact"/>
      <w:ind w:firstLine="567"/>
      <w:jc w:val="left"/>
    </w:pPr>
    <w:rPr>
      <w:rFonts w:asciiTheme="minorHAnsi" w:hAnsiTheme="minorHAnsi" w:cstheme="minorBidi"/>
      <w:sz w:val="24"/>
    </w:rPr>
  </w:style>
  <w:style w:type="character" w:customStyle="1" w:styleId="380">
    <w:name w:val="自定图标题 Char"/>
    <w:basedOn w:val="61"/>
    <w:link w:val="381"/>
    <w:qFormat/>
    <w:uiPriority w:val="0"/>
    <w:rPr>
      <w:rFonts w:ascii="宋体" w:hAnsi="宋体" w:cs="宋体"/>
      <w:b/>
      <w:sz w:val="24"/>
      <w:szCs w:val="24"/>
    </w:rPr>
  </w:style>
  <w:style w:type="paragraph" w:customStyle="1" w:styleId="381">
    <w:name w:val="自定图标题"/>
    <w:basedOn w:val="1"/>
    <w:link w:val="380"/>
    <w:qFormat/>
    <w:uiPriority w:val="0"/>
    <w:pPr>
      <w:widowControl/>
      <w:jc w:val="center"/>
    </w:pPr>
    <w:rPr>
      <w:rFonts w:ascii="宋体" w:hAnsi="宋体" w:cs="宋体" w:eastAsiaTheme="minorEastAsia"/>
      <w:b/>
      <w:sz w:val="24"/>
    </w:rPr>
  </w:style>
  <w:style w:type="character" w:customStyle="1" w:styleId="382">
    <w:name w:val="样式 正文001 + 首行缩进:  2 字符 Char"/>
    <w:link w:val="383"/>
    <w:qFormat/>
    <w:uiPriority w:val="0"/>
    <w:rPr>
      <w:sz w:val="24"/>
    </w:rPr>
  </w:style>
  <w:style w:type="paragraph" w:customStyle="1" w:styleId="383">
    <w:name w:val="样式 正文001 + 首行缩进:  2 字符"/>
    <w:basedOn w:val="1"/>
    <w:link w:val="382"/>
    <w:qFormat/>
    <w:uiPriority w:val="0"/>
    <w:pPr>
      <w:spacing w:before="60" w:line="460" w:lineRule="atLeast"/>
      <w:ind w:firstLine="480" w:firstLineChars="200"/>
    </w:pPr>
    <w:rPr>
      <w:rFonts w:asciiTheme="minorHAnsi" w:hAnsiTheme="minorHAnsi" w:eastAsiaTheme="minorEastAsia" w:cstheme="minorBidi"/>
      <w:sz w:val="24"/>
      <w:szCs w:val="22"/>
    </w:rPr>
  </w:style>
  <w:style w:type="character" w:customStyle="1" w:styleId="384">
    <w:name w:val="★正文缩进2字符 Char"/>
    <w:basedOn w:val="61"/>
    <w:link w:val="385"/>
    <w:qFormat/>
    <w:uiPriority w:val="0"/>
    <w:rPr>
      <w:rFonts w:ascii="宋体" w:hAnsi="宋体" w:eastAsia="宋体" w:cs="宋体"/>
      <w:color w:val="000000"/>
      <w:sz w:val="22"/>
      <w:szCs w:val="26"/>
      <w:lang w:val="en-GB" w:eastAsia="en-US" w:bidi="en-US"/>
    </w:rPr>
  </w:style>
  <w:style w:type="paragraph" w:customStyle="1" w:styleId="385">
    <w:name w:val="★正文缩进2字符"/>
    <w:basedOn w:val="1"/>
    <w:link w:val="384"/>
    <w:qFormat/>
    <w:uiPriority w:val="0"/>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386">
    <w:name w:val="脚注文本 字符"/>
    <w:basedOn w:val="61"/>
    <w:link w:val="44"/>
    <w:qFormat/>
    <w:uiPriority w:val="0"/>
    <w:rPr>
      <w:rFonts w:ascii="Arial" w:hAnsi="Arial" w:eastAsia="宋体" w:cs="宋体"/>
      <w:sz w:val="18"/>
      <w:szCs w:val="18"/>
    </w:rPr>
  </w:style>
  <w:style w:type="character" w:customStyle="1" w:styleId="387">
    <w:name w:val="表头标题 Char"/>
    <w:basedOn w:val="61"/>
    <w:link w:val="388"/>
    <w:qFormat/>
    <w:uiPriority w:val="0"/>
    <w:rPr>
      <w:rFonts w:ascii="黑体" w:hAnsi="微软雅黑" w:eastAsia="黑体" w:cs="宋体"/>
      <w:bCs/>
      <w:sz w:val="24"/>
      <w:szCs w:val="24"/>
      <w:lang w:val="zh-CN"/>
    </w:rPr>
  </w:style>
  <w:style w:type="paragraph" w:customStyle="1" w:styleId="388">
    <w:name w:val="表头标题"/>
    <w:basedOn w:val="1"/>
    <w:link w:val="387"/>
    <w:qFormat/>
    <w:uiPriority w:val="0"/>
    <w:pPr>
      <w:tabs>
        <w:tab w:val="left" w:pos="905"/>
      </w:tabs>
      <w:snapToGrid w:val="0"/>
      <w:jc w:val="center"/>
    </w:pPr>
    <w:rPr>
      <w:rFonts w:ascii="黑体" w:hAnsi="微软雅黑" w:eastAsia="黑体" w:cs="宋体"/>
      <w:bCs/>
      <w:sz w:val="24"/>
      <w:lang w:val="zh-CN"/>
    </w:rPr>
  </w:style>
  <w:style w:type="character" w:customStyle="1" w:styleId="389">
    <w:name w:val="结束语 字符"/>
    <w:basedOn w:val="61"/>
    <w:link w:val="22"/>
    <w:qFormat/>
    <w:uiPriority w:val="0"/>
    <w:rPr>
      <w:rFonts w:ascii="宋体" w:hAnsi="宋体" w:cs="宋体"/>
      <w:szCs w:val="24"/>
    </w:rPr>
  </w:style>
  <w:style w:type="character" w:customStyle="1" w:styleId="390">
    <w:name w:val="样式1.1.1三级标题 Char"/>
    <w:basedOn w:val="61"/>
    <w:link w:val="206"/>
    <w:qFormat/>
    <w:uiPriority w:val="0"/>
    <w:rPr>
      <w:rFonts w:ascii="宋体" w:hAnsi="宋体" w:cs="宋体"/>
      <w:b/>
      <w:sz w:val="28"/>
      <w:szCs w:val="26"/>
    </w:rPr>
  </w:style>
  <w:style w:type="character" w:customStyle="1" w:styleId="391">
    <w:name w:val="样式12 Char"/>
    <w:basedOn w:val="312"/>
    <w:link w:val="392"/>
    <w:qFormat/>
    <w:uiPriority w:val="0"/>
    <w:rPr>
      <w:rFonts w:ascii="宋体" w:hAnsi="宋体" w:eastAsia="华文仿宋" w:cs="宋体"/>
      <w:snapToGrid w:val="0"/>
      <w:color w:val="000000"/>
      <w:sz w:val="24"/>
      <w:szCs w:val="24"/>
    </w:rPr>
  </w:style>
  <w:style w:type="paragraph" w:customStyle="1" w:styleId="392">
    <w:name w:val="样式12"/>
    <w:basedOn w:val="313"/>
    <w:link w:val="391"/>
    <w:qFormat/>
    <w:uiPriority w:val="0"/>
    <w:pPr>
      <w:ind w:firstLine="0" w:firstLineChars="0"/>
    </w:pPr>
    <w:rPr>
      <w:snapToGrid w:val="0"/>
    </w:rPr>
  </w:style>
  <w:style w:type="character" w:customStyle="1" w:styleId="393">
    <w:name w:val="CEE正文 Char"/>
    <w:link w:val="394"/>
    <w:qFormat/>
    <w:uiPriority w:val="0"/>
    <w:rPr>
      <w:sz w:val="24"/>
      <w:szCs w:val="24"/>
    </w:rPr>
  </w:style>
  <w:style w:type="paragraph" w:customStyle="1" w:styleId="394">
    <w:name w:val="CEE正文"/>
    <w:basedOn w:val="1"/>
    <w:link w:val="393"/>
    <w:qFormat/>
    <w:uiPriority w:val="0"/>
    <w:pPr>
      <w:spacing w:line="312" w:lineRule="auto"/>
      <w:ind w:firstLine="200" w:firstLineChars="200"/>
    </w:pPr>
    <w:rPr>
      <w:rFonts w:asciiTheme="minorHAnsi" w:hAnsiTheme="minorHAnsi" w:eastAsiaTheme="minorEastAsia" w:cstheme="minorBidi"/>
      <w:sz w:val="24"/>
    </w:rPr>
  </w:style>
  <w:style w:type="character" w:customStyle="1" w:styleId="395">
    <w:name w:val="一标题 Char Char"/>
    <w:basedOn w:val="61"/>
    <w:link w:val="396"/>
    <w:qFormat/>
    <w:uiPriority w:val="0"/>
    <w:rPr>
      <w:rFonts w:ascii="宋体" w:hAnsi="宋体" w:cs="宋体"/>
      <w:sz w:val="28"/>
      <w:szCs w:val="26"/>
    </w:rPr>
  </w:style>
  <w:style w:type="paragraph" w:customStyle="1" w:styleId="396">
    <w:name w:val="一标题 Char"/>
    <w:basedOn w:val="1"/>
    <w:link w:val="395"/>
    <w:qFormat/>
    <w:uiPriority w:val="0"/>
    <w:pPr>
      <w:widowControl/>
      <w:ind w:firstLine="538" w:firstLineChars="192"/>
      <w:jc w:val="left"/>
    </w:pPr>
    <w:rPr>
      <w:rFonts w:ascii="宋体" w:hAnsi="宋体" w:cs="宋体" w:eastAsiaTheme="minorEastAsia"/>
      <w:sz w:val="28"/>
      <w:szCs w:val="26"/>
    </w:rPr>
  </w:style>
  <w:style w:type="character" w:customStyle="1" w:styleId="397">
    <w:name w:val="Normal Char"/>
    <w:link w:val="398"/>
    <w:qFormat/>
    <w:uiPriority w:val="0"/>
    <w:rPr>
      <w:rFonts w:ascii="宋体" w:eastAsia="Times New Roman"/>
      <w:sz w:val="24"/>
    </w:rPr>
  </w:style>
  <w:style w:type="paragraph" w:customStyle="1" w:styleId="398">
    <w:name w:val="正文1"/>
    <w:link w:val="397"/>
    <w:qFormat/>
    <w:uiPriority w:val="0"/>
    <w:pPr>
      <w:widowControl w:val="0"/>
      <w:adjustRightInd w:val="0"/>
      <w:spacing w:line="315" w:lineRule="atLeast"/>
      <w:textAlignment w:val="baseline"/>
    </w:pPr>
    <w:rPr>
      <w:rFonts w:ascii="宋体" w:eastAsia="Times New Roman" w:hAnsiTheme="minorHAnsi" w:cstheme="minorBidi"/>
      <w:kern w:val="2"/>
      <w:sz w:val="24"/>
      <w:szCs w:val="22"/>
      <w:lang w:val="en-US" w:eastAsia="zh-CN" w:bidi="ar-SA"/>
    </w:rPr>
  </w:style>
  <w:style w:type="character" w:customStyle="1" w:styleId="399">
    <w:name w:val="正文样板 Char"/>
    <w:basedOn w:val="61"/>
    <w:link w:val="400"/>
    <w:qFormat/>
    <w:uiPriority w:val="0"/>
    <w:rPr>
      <w:rFonts w:ascii="宋体" w:hAnsi="宋体" w:cs="宋体"/>
      <w:snapToGrid w:val="0"/>
      <w:spacing w:val="6"/>
      <w:sz w:val="24"/>
      <w:szCs w:val="26"/>
    </w:rPr>
  </w:style>
  <w:style w:type="paragraph" w:customStyle="1" w:styleId="400">
    <w:name w:val="正文样板"/>
    <w:basedOn w:val="1"/>
    <w:link w:val="399"/>
    <w:qFormat/>
    <w:uiPriority w:val="0"/>
    <w:pPr>
      <w:adjustRightInd w:val="0"/>
      <w:snapToGrid w:val="0"/>
      <w:spacing w:line="360" w:lineRule="auto"/>
      <w:ind w:firstLine="504" w:firstLineChars="200"/>
    </w:pPr>
    <w:rPr>
      <w:rFonts w:ascii="宋体" w:hAnsi="宋体" w:cs="宋体" w:eastAsiaTheme="minorEastAsia"/>
      <w:snapToGrid w:val="0"/>
      <w:spacing w:val="6"/>
      <w:sz w:val="24"/>
      <w:szCs w:val="26"/>
    </w:rPr>
  </w:style>
  <w:style w:type="character" w:customStyle="1" w:styleId="401">
    <w:name w:val="表格 Char"/>
    <w:link w:val="244"/>
    <w:qFormat/>
    <w:uiPriority w:val="0"/>
    <w:rPr>
      <w:szCs w:val="21"/>
    </w:rPr>
  </w:style>
  <w:style w:type="character" w:customStyle="1" w:styleId="402">
    <w:name w:val="单晶硅图中文字格式 Char"/>
    <w:basedOn w:val="376"/>
    <w:link w:val="403"/>
    <w:qFormat/>
    <w:uiPriority w:val="0"/>
    <w:rPr>
      <w:rFonts w:ascii="楷体_GB2312" w:hAnsi="宋体" w:eastAsia="楷体_GB2312" w:cs="楷体_GB2312"/>
      <w:b/>
      <w:color w:val="000000"/>
      <w:sz w:val="28"/>
      <w:szCs w:val="21"/>
    </w:rPr>
  </w:style>
  <w:style w:type="paragraph" w:customStyle="1" w:styleId="403">
    <w:name w:val="单晶硅图中文字格式"/>
    <w:basedOn w:val="404"/>
    <w:link w:val="402"/>
    <w:qFormat/>
    <w:uiPriority w:val="0"/>
    <w:pPr>
      <w:widowControl/>
      <w:tabs>
        <w:tab w:val="left" w:pos="360"/>
        <w:tab w:val="left" w:pos="1620"/>
      </w:tabs>
      <w:topLinePunct w:val="0"/>
      <w:snapToGrid/>
      <w:spacing w:line="320" w:lineRule="exact"/>
    </w:pPr>
    <w:rPr>
      <w:rFonts w:ascii="楷体_GB2312" w:eastAsia="楷体_GB2312" w:cs="楷体_GB2312"/>
      <w:color w:val="000000"/>
      <w:kern w:val="2"/>
      <w:sz w:val="21"/>
      <w:szCs w:val="21"/>
    </w:rPr>
  </w:style>
  <w:style w:type="paragraph" w:customStyle="1" w:styleId="404">
    <w:name w:val="表头"/>
    <w:basedOn w:val="1"/>
    <w:next w:val="1"/>
    <w:link w:val="436"/>
    <w:qFormat/>
    <w:uiPriority w:val="0"/>
    <w:pPr>
      <w:tabs>
        <w:tab w:val="left" w:pos="6840"/>
      </w:tabs>
      <w:topLinePunct/>
      <w:snapToGrid w:val="0"/>
      <w:spacing w:line="529" w:lineRule="exact"/>
      <w:jc w:val="center"/>
    </w:pPr>
    <w:rPr>
      <w:rFonts w:ascii="宋体" w:hAnsi="宋体" w:eastAsiaTheme="minorEastAsia" w:cstheme="minorBidi"/>
      <w:b/>
      <w:bCs/>
      <w:kern w:val="24"/>
      <w:sz w:val="24"/>
      <w:szCs w:val="28"/>
    </w:rPr>
  </w:style>
  <w:style w:type="character" w:customStyle="1" w:styleId="405">
    <w:name w:val="自定三级标题 Char"/>
    <w:basedOn w:val="61"/>
    <w:link w:val="406"/>
    <w:qFormat/>
    <w:uiPriority w:val="0"/>
    <w:rPr>
      <w:rFonts w:ascii="宋体" w:hAnsi="宋体" w:cs="宋体"/>
      <w:b/>
      <w:sz w:val="28"/>
      <w:szCs w:val="28"/>
    </w:rPr>
  </w:style>
  <w:style w:type="paragraph" w:customStyle="1" w:styleId="406">
    <w:name w:val="自定三级标题"/>
    <w:basedOn w:val="1"/>
    <w:link w:val="405"/>
    <w:qFormat/>
    <w:uiPriority w:val="0"/>
    <w:pPr>
      <w:widowControl/>
      <w:spacing w:line="360" w:lineRule="auto"/>
      <w:jc w:val="left"/>
    </w:pPr>
    <w:rPr>
      <w:rFonts w:ascii="宋体" w:hAnsi="宋体" w:cs="宋体" w:eastAsiaTheme="minorEastAsia"/>
      <w:b/>
      <w:sz w:val="28"/>
      <w:szCs w:val="28"/>
    </w:rPr>
  </w:style>
  <w:style w:type="character" w:customStyle="1" w:styleId="407">
    <w:name w:val="样式 标题 3s Char"/>
    <w:basedOn w:val="61"/>
    <w:link w:val="408"/>
    <w:qFormat/>
    <w:uiPriority w:val="0"/>
    <w:rPr>
      <w:rFonts w:ascii="黑体" w:hAnsi="黑体" w:eastAsia="黑体" w:cs="宋体"/>
      <w:b/>
      <w:bCs/>
      <w:sz w:val="24"/>
      <w:szCs w:val="32"/>
    </w:rPr>
  </w:style>
  <w:style w:type="paragraph" w:customStyle="1" w:styleId="408">
    <w:name w:val="样式 标题 3s"/>
    <w:basedOn w:val="5"/>
    <w:link w:val="407"/>
    <w:qFormat/>
    <w:uiPriority w:val="0"/>
    <w:pPr>
      <w:spacing w:beforeLines="50" w:afterLines="50" w:line="360" w:lineRule="auto"/>
      <w:ind w:left="720" w:hanging="720"/>
    </w:pPr>
    <w:rPr>
      <w:rFonts w:hAnsi="黑体" w:cs="宋体"/>
      <w:b/>
      <w:bCs/>
      <w:spacing w:val="0"/>
      <w:szCs w:val="32"/>
    </w:rPr>
  </w:style>
  <w:style w:type="character" w:customStyle="1" w:styleId="409">
    <w:name w:val="样式 居中 首行缩进:  0 字符 Char Char Char"/>
    <w:basedOn w:val="61"/>
    <w:link w:val="410"/>
    <w:qFormat/>
    <w:uiPriority w:val="0"/>
    <w:rPr>
      <w:rFonts w:ascii="宋体" w:hAnsi="宋体" w:cs="宋体"/>
      <w:color w:val="000000"/>
      <w:sz w:val="18"/>
      <w:szCs w:val="18"/>
    </w:rPr>
  </w:style>
  <w:style w:type="paragraph" w:customStyle="1" w:styleId="410">
    <w:name w:val="样式 居中 首行缩进:  0 字符 Char Char"/>
    <w:basedOn w:val="1"/>
    <w:next w:val="1"/>
    <w:link w:val="409"/>
    <w:qFormat/>
    <w:uiPriority w:val="0"/>
    <w:pPr>
      <w:tabs>
        <w:tab w:val="left" w:pos="9128"/>
      </w:tabs>
      <w:snapToGrid w:val="0"/>
      <w:jc w:val="center"/>
    </w:pPr>
    <w:rPr>
      <w:rFonts w:ascii="宋体" w:hAnsi="宋体" w:cs="宋体" w:eastAsiaTheme="minorEastAsia"/>
      <w:color w:val="000000"/>
      <w:sz w:val="18"/>
      <w:szCs w:val="18"/>
    </w:rPr>
  </w:style>
  <w:style w:type="character" w:customStyle="1" w:styleId="411">
    <w:name w:val="样式 样式 首行缩进:  0.85 厘米 + 段前: 0.5 行 Char1"/>
    <w:basedOn w:val="61"/>
    <w:link w:val="412"/>
    <w:qFormat/>
    <w:uiPriority w:val="0"/>
    <w:rPr>
      <w:rFonts w:ascii="宋体" w:hAnsi="宋体" w:cs="宋体"/>
      <w:sz w:val="24"/>
      <w:szCs w:val="26"/>
    </w:rPr>
  </w:style>
  <w:style w:type="paragraph" w:customStyle="1" w:styleId="412">
    <w:name w:val="样式 样式 首行缩进:  0.85 厘米 + 段前: 0.5 行"/>
    <w:basedOn w:val="1"/>
    <w:link w:val="411"/>
    <w:qFormat/>
    <w:uiPriority w:val="0"/>
    <w:pPr>
      <w:spacing w:before="50" w:line="360" w:lineRule="auto"/>
      <w:ind w:firstLine="482"/>
    </w:pPr>
    <w:rPr>
      <w:rFonts w:ascii="宋体" w:hAnsi="宋体" w:cs="宋体" w:eastAsiaTheme="minorEastAsia"/>
      <w:sz w:val="24"/>
      <w:szCs w:val="26"/>
    </w:rPr>
  </w:style>
  <w:style w:type="character" w:customStyle="1" w:styleId="413">
    <w:name w:val="三级标题 Char1"/>
    <w:basedOn w:val="61"/>
    <w:link w:val="414"/>
    <w:qFormat/>
    <w:uiPriority w:val="0"/>
    <w:rPr>
      <w:rFonts w:ascii="宋体" w:hAnsi="宋体" w:eastAsia="宋体" w:cs="宋体"/>
      <w:b/>
      <w:bCs/>
      <w:sz w:val="28"/>
      <w:szCs w:val="32"/>
    </w:rPr>
  </w:style>
  <w:style w:type="paragraph" w:customStyle="1" w:styleId="414">
    <w:name w:val="三级标题"/>
    <w:basedOn w:val="5"/>
    <w:link w:val="413"/>
    <w:qFormat/>
    <w:uiPriority w:val="0"/>
    <w:pPr>
      <w:spacing w:beforeLines="50" w:line="420" w:lineRule="exact"/>
      <w:ind w:left="720" w:hanging="720"/>
      <w:jc w:val="left"/>
    </w:pPr>
    <w:rPr>
      <w:rFonts w:ascii="宋体" w:hAnsi="宋体" w:eastAsia="宋体" w:cs="宋体"/>
      <w:b/>
      <w:bCs/>
      <w:spacing w:val="0"/>
      <w:sz w:val="28"/>
      <w:szCs w:val="32"/>
    </w:rPr>
  </w:style>
  <w:style w:type="character" w:customStyle="1" w:styleId="415">
    <w:name w:val="正文-ls Char"/>
    <w:basedOn w:val="61"/>
    <w:link w:val="416"/>
    <w:qFormat/>
    <w:uiPriority w:val="0"/>
    <w:rPr>
      <w:rFonts w:ascii="宋体" w:hAnsi="宋体" w:cs="宋体"/>
      <w:sz w:val="24"/>
      <w:szCs w:val="26"/>
    </w:rPr>
  </w:style>
  <w:style w:type="paragraph" w:customStyle="1" w:styleId="416">
    <w:name w:val="正文-ls"/>
    <w:basedOn w:val="1"/>
    <w:link w:val="415"/>
    <w:qFormat/>
    <w:uiPriority w:val="0"/>
    <w:pPr>
      <w:spacing w:line="360" w:lineRule="auto"/>
      <w:ind w:firstLine="200" w:firstLineChars="200"/>
    </w:pPr>
    <w:rPr>
      <w:rFonts w:ascii="宋体" w:hAnsi="宋体" w:cs="宋体" w:eastAsiaTheme="minorEastAsia"/>
      <w:sz w:val="24"/>
      <w:szCs w:val="26"/>
    </w:rPr>
  </w:style>
  <w:style w:type="character" w:customStyle="1" w:styleId="417">
    <w:name w:val="Подзаголовок главы Знак"/>
    <w:link w:val="418"/>
    <w:qFormat/>
    <w:locked/>
    <w:uiPriority w:val="0"/>
    <w:rPr>
      <w:rFonts w:ascii="Arial Narrow" w:hAnsi="Arial Narrow"/>
      <w:b/>
      <w:sz w:val="24"/>
      <w:lang w:eastAsia="ru-RU"/>
    </w:rPr>
  </w:style>
  <w:style w:type="paragraph" w:customStyle="1" w:styleId="418">
    <w:name w:val="Подзаголовок главы"/>
    <w:basedOn w:val="1"/>
    <w:link w:val="417"/>
    <w:qFormat/>
    <w:uiPriority w:val="0"/>
    <w:pPr>
      <w:widowControl/>
      <w:ind w:firstLine="720"/>
    </w:pPr>
    <w:rPr>
      <w:rFonts w:ascii="Arial Narrow" w:hAnsi="Arial Narrow" w:eastAsiaTheme="minorEastAsia" w:cstheme="minorBidi"/>
      <w:b/>
      <w:sz w:val="24"/>
      <w:szCs w:val="22"/>
      <w:lang w:eastAsia="ru-RU"/>
    </w:rPr>
  </w:style>
  <w:style w:type="character" w:customStyle="1" w:styleId="419">
    <w:name w:val="节标题 Char"/>
    <w:basedOn w:val="61"/>
    <w:qFormat/>
    <w:uiPriority w:val="0"/>
    <w:rPr>
      <w:rFonts w:ascii="Arial" w:hAnsi="Arial" w:eastAsia="黑体" w:cs="宋体"/>
      <w:b/>
      <w:bCs/>
      <w:kern w:val="2"/>
      <w:sz w:val="32"/>
      <w:szCs w:val="32"/>
      <w:lang w:val="en-US" w:eastAsia="zh-CN" w:bidi="ar-SA"/>
    </w:rPr>
  </w:style>
  <w:style w:type="character" w:customStyle="1" w:styleId="420">
    <w:name w:val="正文小四首缩1.3行距 Char"/>
    <w:basedOn w:val="61"/>
    <w:link w:val="421"/>
    <w:qFormat/>
    <w:uiPriority w:val="0"/>
    <w:rPr>
      <w:rFonts w:ascii="宋体" w:hAnsi="宋体" w:cs="宋体"/>
      <w:sz w:val="24"/>
      <w:szCs w:val="24"/>
    </w:rPr>
  </w:style>
  <w:style w:type="paragraph" w:customStyle="1" w:styleId="421">
    <w:name w:val="正文小四首缩1.3行距"/>
    <w:basedOn w:val="1"/>
    <w:link w:val="420"/>
    <w:qFormat/>
    <w:uiPriority w:val="0"/>
    <w:pPr>
      <w:spacing w:line="312" w:lineRule="auto"/>
      <w:ind w:firstLine="420" w:firstLineChars="200"/>
    </w:pPr>
    <w:rPr>
      <w:rFonts w:ascii="宋体" w:hAnsi="宋体" w:cs="宋体" w:eastAsiaTheme="minorEastAsia"/>
      <w:sz w:val="24"/>
    </w:rPr>
  </w:style>
  <w:style w:type="character" w:customStyle="1" w:styleId="422">
    <w:name w:val="表头A Char"/>
    <w:basedOn w:val="376"/>
    <w:link w:val="423"/>
    <w:qFormat/>
    <w:uiPriority w:val="0"/>
    <w:rPr>
      <w:rFonts w:ascii="华文仿宋" w:hAnsi="华文仿宋" w:eastAsia="华文仿宋" w:cs="楷体_GB2312"/>
      <w:b/>
      <w:color w:val="000000"/>
      <w:sz w:val="24"/>
      <w:szCs w:val="24"/>
    </w:rPr>
  </w:style>
  <w:style w:type="paragraph" w:customStyle="1" w:styleId="423">
    <w:name w:val="表头A"/>
    <w:basedOn w:val="404"/>
    <w:link w:val="422"/>
    <w:qFormat/>
    <w:uiPriority w:val="0"/>
    <w:pPr>
      <w:tabs>
        <w:tab w:val="clear" w:pos="6840"/>
      </w:tabs>
      <w:topLinePunct w:val="0"/>
      <w:snapToGrid/>
      <w:spacing w:line="400" w:lineRule="exact"/>
    </w:pPr>
    <w:rPr>
      <w:rFonts w:ascii="华文仿宋" w:hAnsi="华文仿宋" w:eastAsia="华文仿宋" w:cs="楷体_GB2312"/>
      <w:color w:val="000000"/>
      <w:kern w:val="2"/>
      <w:szCs w:val="24"/>
    </w:rPr>
  </w:style>
  <w:style w:type="character" w:customStyle="1" w:styleId="424">
    <w:name w:val="333 Char"/>
    <w:basedOn w:val="425"/>
    <w:link w:val="427"/>
    <w:qFormat/>
    <w:uiPriority w:val="0"/>
    <w:rPr>
      <w:rFonts w:ascii="Arial" w:hAnsi="Arial" w:eastAsia="楷体_GB2312" w:cs="宋体"/>
      <w:sz w:val="28"/>
      <w:szCs w:val="26"/>
      <w:lang w:eastAsia="en-US" w:bidi="en-US"/>
    </w:rPr>
  </w:style>
  <w:style w:type="character" w:customStyle="1" w:styleId="425">
    <w:name w:val="444 Char"/>
    <w:basedOn w:val="61"/>
    <w:link w:val="426"/>
    <w:qFormat/>
    <w:uiPriority w:val="0"/>
    <w:rPr>
      <w:rFonts w:ascii="Arial" w:hAnsi="Arial" w:eastAsia="楷体_GB2312" w:cs="宋体"/>
      <w:b/>
      <w:bCs/>
      <w:sz w:val="28"/>
      <w:szCs w:val="26"/>
      <w:lang w:eastAsia="en-US" w:bidi="en-US"/>
    </w:rPr>
  </w:style>
  <w:style w:type="paragraph" w:customStyle="1" w:styleId="426">
    <w:name w:val="444"/>
    <w:basedOn w:val="30"/>
    <w:link w:val="425"/>
    <w:qFormat/>
    <w:uiPriority w:val="0"/>
    <w:pPr>
      <w:spacing w:line="360" w:lineRule="auto"/>
    </w:pPr>
    <w:rPr>
      <w:rFonts w:ascii="Arial" w:hAnsi="Arial" w:eastAsia="楷体_GB2312" w:cs="宋体"/>
      <w:b/>
      <w:bCs/>
      <w:szCs w:val="26"/>
      <w:lang w:eastAsia="en-US" w:bidi="en-US"/>
    </w:rPr>
  </w:style>
  <w:style w:type="paragraph" w:customStyle="1" w:styleId="427">
    <w:name w:val="333"/>
    <w:basedOn w:val="426"/>
    <w:link w:val="424"/>
    <w:qFormat/>
    <w:uiPriority w:val="0"/>
    <w:pPr>
      <w:ind w:firstLine="132" w:firstLineChars="50"/>
    </w:pPr>
  </w:style>
  <w:style w:type="character" w:customStyle="1" w:styleId="428">
    <w:name w:val="明显引用 字符"/>
    <w:basedOn w:val="61"/>
    <w:link w:val="429"/>
    <w:qFormat/>
    <w:uiPriority w:val="0"/>
    <w:rPr>
      <w:rFonts w:ascii="Calibri" w:hAnsi="Calibri" w:eastAsia="宋体" w:cs="宋体"/>
      <w:b/>
      <w:bCs/>
      <w:i/>
      <w:iCs/>
      <w:color w:val="4F81BD"/>
      <w:sz w:val="22"/>
      <w:szCs w:val="26"/>
      <w:lang w:eastAsia="en-US" w:bidi="en-US"/>
    </w:rPr>
  </w:style>
  <w:style w:type="paragraph" w:styleId="429">
    <w:name w:val="Intense Quote"/>
    <w:basedOn w:val="1"/>
    <w:next w:val="1"/>
    <w:link w:val="428"/>
    <w:qFormat/>
    <w:uiPriority w:val="0"/>
    <w:pPr>
      <w:widowControl/>
      <w:pBdr>
        <w:bottom w:val="single" w:color="4F81BD" w:sz="4" w:space="4"/>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430">
    <w:name w:val="段落1 Char1"/>
    <w:basedOn w:val="61"/>
    <w:link w:val="431"/>
    <w:qFormat/>
    <w:uiPriority w:val="0"/>
    <w:rPr>
      <w:rFonts w:ascii="宋体" w:hAnsi="宋体" w:eastAsia="宋体" w:cs="宋体"/>
      <w:iCs/>
      <w:color w:val="000000"/>
      <w:spacing w:val="6"/>
      <w:sz w:val="24"/>
      <w:szCs w:val="24"/>
    </w:rPr>
  </w:style>
  <w:style w:type="paragraph" w:customStyle="1" w:styleId="431">
    <w:name w:val="段落1"/>
    <w:basedOn w:val="1"/>
    <w:link w:val="430"/>
    <w:qFormat/>
    <w:uiPriority w:val="0"/>
    <w:pPr>
      <w:adjustRightInd w:val="0"/>
      <w:spacing w:line="360" w:lineRule="auto"/>
      <w:jc w:val="left"/>
    </w:pPr>
    <w:rPr>
      <w:rFonts w:ascii="宋体" w:hAnsi="宋体" w:cs="宋体"/>
      <w:iCs/>
      <w:color w:val="000000"/>
      <w:spacing w:val="6"/>
      <w:sz w:val="24"/>
    </w:rPr>
  </w:style>
  <w:style w:type="character" w:customStyle="1" w:styleId="432">
    <w:name w:val="正文样式自定 Char"/>
    <w:basedOn w:val="246"/>
    <w:link w:val="433"/>
    <w:qFormat/>
    <w:uiPriority w:val="0"/>
    <w:rPr>
      <w:rFonts w:ascii="宋体" w:hAnsi="宋体" w:eastAsia="华文仿宋" w:cs="宋体"/>
      <w:color w:val="000000"/>
      <w:sz w:val="24"/>
      <w:szCs w:val="24"/>
    </w:rPr>
  </w:style>
  <w:style w:type="paragraph" w:customStyle="1" w:styleId="433">
    <w:name w:val="正文样式自定"/>
    <w:basedOn w:val="247"/>
    <w:link w:val="432"/>
    <w:qFormat/>
    <w:uiPriority w:val="0"/>
    <w:pPr>
      <w:keepNext w:val="0"/>
      <w:keepLines w:val="0"/>
      <w:ind w:firstLine="480" w:firstLineChars="200"/>
      <w:outlineLvl w:val="9"/>
    </w:pPr>
    <w:rPr>
      <w:rFonts w:hAnsi="宋体"/>
      <w:color w:val="000000"/>
    </w:rPr>
  </w:style>
  <w:style w:type="character" w:customStyle="1" w:styleId="434">
    <w:name w:val="1级标题 Char"/>
    <w:basedOn w:val="61"/>
    <w:link w:val="435"/>
    <w:qFormat/>
    <w:uiPriority w:val="0"/>
    <w:rPr>
      <w:rFonts w:ascii="Arial" w:hAnsi="Arial" w:eastAsia="宋体" w:cs="宋体"/>
      <w:b/>
      <w:bCs/>
      <w:kern w:val="44"/>
      <w:sz w:val="28"/>
      <w:szCs w:val="28"/>
    </w:rPr>
  </w:style>
  <w:style w:type="paragraph" w:customStyle="1" w:styleId="435">
    <w:name w:val="1级标题"/>
    <w:basedOn w:val="1"/>
    <w:link w:val="434"/>
    <w:qFormat/>
    <w:uiPriority w:val="0"/>
    <w:pPr>
      <w:keepNext/>
      <w:keepLines/>
      <w:spacing w:line="240" w:lineRule="atLeast"/>
      <w:outlineLvl w:val="0"/>
    </w:pPr>
    <w:rPr>
      <w:rFonts w:ascii="Arial" w:hAnsi="Arial" w:cs="宋体"/>
      <w:b/>
      <w:bCs/>
      <w:kern w:val="44"/>
      <w:sz w:val="28"/>
      <w:szCs w:val="28"/>
    </w:rPr>
  </w:style>
  <w:style w:type="character" w:customStyle="1" w:styleId="436">
    <w:name w:val="表头 Char"/>
    <w:link w:val="404"/>
    <w:qFormat/>
    <w:uiPriority w:val="0"/>
    <w:rPr>
      <w:rFonts w:ascii="宋体" w:hAnsi="宋体"/>
      <w:b/>
      <w:bCs/>
      <w:kern w:val="24"/>
      <w:sz w:val="24"/>
      <w:szCs w:val="28"/>
    </w:rPr>
  </w:style>
  <w:style w:type="character" w:customStyle="1" w:styleId="437">
    <w:name w:val="表格标题004 Char"/>
    <w:basedOn w:val="61"/>
    <w:link w:val="438"/>
    <w:qFormat/>
    <w:uiPriority w:val="0"/>
    <w:rPr>
      <w:rFonts w:ascii="Arial" w:hAnsi="Arial" w:eastAsia="楷体_GB2312" w:cs="宋体"/>
      <w:b/>
      <w:color w:val="000000"/>
      <w:spacing w:val="20"/>
      <w:sz w:val="28"/>
      <w:szCs w:val="28"/>
    </w:rPr>
  </w:style>
  <w:style w:type="paragraph" w:customStyle="1" w:styleId="438">
    <w:name w:val="表格标题004"/>
    <w:basedOn w:val="1"/>
    <w:link w:val="437"/>
    <w:qFormat/>
    <w:uiPriority w:val="0"/>
    <w:pPr>
      <w:adjustRightInd w:val="0"/>
      <w:snapToGrid w:val="0"/>
      <w:spacing w:line="360" w:lineRule="auto"/>
      <w:jc w:val="center"/>
    </w:pPr>
    <w:rPr>
      <w:rFonts w:ascii="Arial" w:hAnsi="Arial" w:eastAsia="楷体_GB2312" w:cs="宋体"/>
      <w:b/>
      <w:color w:val="000000"/>
      <w:spacing w:val="20"/>
      <w:sz w:val="28"/>
      <w:szCs w:val="28"/>
    </w:rPr>
  </w:style>
  <w:style w:type="character" w:customStyle="1" w:styleId="439">
    <w:name w:val="表题重复 Char"/>
    <w:basedOn w:val="233"/>
    <w:link w:val="440"/>
    <w:qFormat/>
    <w:uiPriority w:val="0"/>
    <w:rPr>
      <w:rFonts w:ascii="宋体" w:hAnsi="宋体" w:cs="宋体"/>
      <w:szCs w:val="21"/>
    </w:rPr>
  </w:style>
  <w:style w:type="paragraph" w:customStyle="1" w:styleId="440">
    <w:name w:val="表题重复"/>
    <w:basedOn w:val="234"/>
    <w:link w:val="439"/>
    <w:qFormat/>
    <w:uiPriority w:val="0"/>
  </w:style>
  <w:style w:type="character" w:customStyle="1" w:styleId="441">
    <w:name w:val="图表目录 字符"/>
    <w:basedOn w:val="61"/>
    <w:link w:val="47"/>
    <w:qFormat/>
    <w:uiPriority w:val="0"/>
    <w:rPr>
      <w:rFonts w:ascii="宋体" w:hAnsi="宋体" w:eastAsia="楷体_GB2312" w:cs="宋体"/>
      <w:color w:val="000000"/>
      <w:szCs w:val="24"/>
    </w:rPr>
  </w:style>
  <w:style w:type="character" w:customStyle="1" w:styleId="442">
    <w:name w:val="Intense Quote Char"/>
    <w:basedOn w:val="61"/>
    <w:link w:val="443"/>
    <w:semiHidden/>
    <w:qFormat/>
    <w:locked/>
    <w:uiPriority w:val="0"/>
    <w:rPr>
      <w:rFonts w:ascii="宋体" w:hAnsi="宋体" w:cs="宋体"/>
      <w:b/>
      <w:bCs/>
      <w:i/>
      <w:iCs/>
      <w:color w:val="4F81BD"/>
      <w:sz w:val="22"/>
      <w:lang w:eastAsia="en-US"/>
    </w:rPr>
  </w:style>
  <w:style w:type="paragraph" w:customStyle="1" w:styleId="443">
    <w:name w:val="明显引用1"/>
    <w:basedOn w:val="1"/>
    <w:next w:val="1"/>
    <w:link w:val="442"/>
    <w:semiHidden/>
    <w:qFormat/>
    <w:uiPriority w:val="0"/>
    <w:pPr>
      <w:widowControl/>
      <w:pBdr>
        <w:bottom w:val="single" w:color="4F81BD" w:sz="4" w:space="4"/>
      </w:pBdr>
      <w:spacing w:before="200" w:after="280" w:line="276" w:lineRule="auto"/>
      <w:ind w:left="936" w:right="936"/>
      <w:jc w:val="left"/>
    </w:pPr>
    <w:rPr>
      <w:rFonts w:ascii="宋体" w:hAnsi="宋体" w:cs="宋体" w:eastAsiaTheme="minorEastAsia"/>
      <w:b/>
      <w:bCs/>
      <w:i/>
      <w:iCs/>
      <w:color w:val="4F81BD"/>
      <w:sz w:val="22"/>
      <w:szCs w:val="22"/>
      <w:lang w:eastAsia="en-US"/>
    </w:rPr>
  </w:style>
  <w:style w:type="character" w:customStyle="1" w:styleId="444">
    <w:name w:val="正文文本 Char"/>
    <w:basedOn w:val="61"/>
    <w:qFormat/>
    <w:uiPriority w:val="0"/>
    <w:rPr>
      <w:rFonts w:ascii="宋体" w:hAnsi="宋体" w:cs="宋体"/>
      <w:sz w:val="24"/>
      <w:szCs w:val="26"/>
    </w:rPr>
  </w:style>
  <w:style w:type="character" w:customStyle="1" w:styleId="445">
    <w:name w:val="cauc-0 Char"/>
    <w:basedOn w:val="61"/>
    <w:link w:val="446"/>
    <w:qFormat/>
    <w:locked/>
    <w:uiPriority w:val="0"/>
    <w:rPr>
      <w:rFonts w:ascii="宋体" w:hAnsi="宋体" w:eastAsia="Times New Roman" w:cs="宋体"/>
      <w:sz w:val="24"/>
      <w:szCs w:val="24"/>
      <w:lang w:eastAsia="en-US" w:bidi="en-US"/>
    </w:rPr>
  </w:style>
  <w:style w:type="paragraph" w:customStyle="1" w:styleId="446">
    <w:name w:val="cauc-0"/>
    <w:link w:val="445"/>
    <w:qFormat/>
    <w:uiPriority w:val="0"/>
    <w:pPr>
      <w:spacing w:after="200" w:line="360" w:lineRule="auto"/>
      <w:ind w:firstLine="480" w:firstLineChars="200"/>
    </w:pPr>
    <w:rPr>
      <w:rFonts w:ascii="宋体" w:hAnsi="宋体" w:eastAsia="Times New Roman" w:cs="宋体"/>
      <w:kern w:val="2"/>
      <w:sz w:val="24"/>
      <w:szCs w:val="24"/>
      <w:lang w:val="en-US" w:eastAsia="en-US" w:bidi="en-US"/>
    </w:rPr>
  </w:style>
  <w:style w:type="character" w:customStyle="1" w:styleId="447">
    <w:name w:val="正文文本缩进 3 字符"/>
    <w:basedOn w:val="61"/>
    <w:link w:val="46"/>
    <w:qFormat/>
    <w:uiPriority w:val="0"/>
    <w:rPr>
      <w:rFonts w:ascii="宋体" w:hAnsi="宋体" w:eastAsia="宋体" w:cs="宋体"/>
      <w:sz w:val="24"/>
      <w:szCs w:val="24"/>
    </w:rPr>
  </w:style>
  <w:style w:type="character" w:customStyle="1" w:styleId="448">
    <w:name w:val="正文（首行式样2） Char"/>
    <w:link w:val="449"/>
    <w:qFormat/>
    <w:uiPriority w:val="0"/>
    <w:rPr>
      <w:rFonts w:ascii="宋体" w:hAnsi="宋体"/>
      <w:color w:val="000000"/>
      <w:sz w:val="24"/>
      <w:szCs w:val="24"/>
    </w:rPr>
  </w:style>
  <w:style w:type="paragraph" w:customStyle="1" w:styleId="449">
    <w:name w:val="正文（首行式样2）"/>
    <w:basedOn w:val="15"/>
    <w:link w:val="448"/>
    <w:qFormat/>
    <w:uiPriority w:val="0"/>
    <w:pPr>
      <w:snapToGrid w:val="0"/>
      <w:spacing w:line="360" w:lineRule="auto"/>
      <w:ind w:right="-13" w:rightChars="-6" w:firstLine="526" w:firstLineChars="219"/>
    </w:pPr>
    <w:rPr>
      <w:rFonts w:ascii="宋体" w:hAnsi="宋体" w:eastAsiaTheme="minorEastAsia"/>
      <w:color w:val="000000"/>
      <w:sz w:val="24"/>
    </w:rPr>
  </w:style>
  <w:style w:type="character" w:customStyle="1" w:styleId="450">
    <w:name w:val="电子邮件签名 字符"/>
    <w:basedOn w:val="61"/>
    <w:link w:val="14"/>
    <w:qFormat/>
    <w:uiPriority w:val="0"/>
    <w:rPr>
      <w:rFonts w:ascii="宋体" w:hAnsi="宋体" w:cs="宋体"/>
      <w:szCs w:val="24"/>
    </w:rPr>
  </w:style>
  <w:style w:type="character" w:customStyle="1" w:styleId="451">
    <w:name w:val="样式 正文1 + 首行缩进:  2 字符 Char3"/>
    <w:link w:val="452"/>
    <w:qFormat/>
    <w:uiPriority w:val="0"/>
    <w:rPr>
      <w:rFonts w:ascii="宋体" w:eastAsia="宋体"/>
      <w:sz w:val="24"/>
    </w:rPr>
  </w:style>
  <w:style w:type="paragraph" w:customStyle="1" w:styleId="452">
    <w:name w:val="样式 正文1 + 首行缩进:  2 字符"/>
    <w:basedOn w:val="1"/>
    <w:link w:val="451"/>
    <w:qFormat/>
    <w:uiPriority w:val="0"/>
    <w:pPr>
      <w:spacing w:line="360" w:lineRule="auto"/>
      <w:ind w:firstLine="200" w:firstLineChars="200"/>
    </w:pPr>
    <w:rPr>
      <w:rFonts w:ascii="宋体" w:hAnsiTheme="minorHAnsi" w:cstheme="minorBidi"/>
      <w:sz w:val="24"/>
      <w:szCs w:val="22"/>
    </w:rPr>
  </w:style>
  <w:style w:type="character" w:customStyle="1" w:styleId="453">
    <w:name w:val="副标题 字符"/>
    <w:basedOn w:val="61"/>
    <w:link w:val="41"/>
    <w:qFormat/>
    <w:uiPriority w:val="0"/>
    <w:rPr>
      <w:rFonts w:ascii="Cambria" w:hAnsi="Cambria" w:eastAsia="宋体" w:cs="宋体"/>
      <w:i/>
      <w:iCs/>
      <w:color w:val="4F81BD"/>
      <w:spacing w:val="15"/>
      <w:sz w:val="24"/>
      <w:szCs w:val="24"/>
      <w:lang w:eastAsia="en-US" w:bidi="en-US"/>
    </w:rPr>
  </w:style>
  <w:style w:type="character" w:customStyle="1" w:styleId="454">
    <w:name w:val="表号 Char Char"/>
    <w:link w:val="455"/>
    <w:qFormat/>
    <w:uiPriority w:val="0"/>
    <w:rPr>
      <w:rFonts w:eastAsia="Times New Roman"/>
      <w:sz w:val="24"/>
      <w:szCs w:val="24"/>
    </w:rPr>
  </w:style>
  <w:style w:type="paragraph" w:customStyle="1" w:styleId="455">
    <w:name w:val="表号"/>
    <w:link w:val="454"/>
    <w:qFormat/>
    <w:uiPriority w:val="0"/>
    <w:pPr>
      <w:adjustRightInd w:val="0"/>
      <w:snapToGrid w:val="0"/>
      <w:spacing w:line="240" w:lineRule="atLeast"/>
      <w:jc w:val="both"/>
      <w:outlineLvl w:val="4"/>
    </w:pPr>
    <w:rPr>
      <w:rFonts w:eastAsia="Times New Roman" w:asciiTheme="minorHAnsi" w:hAnsiTheme="minorHAnsi" w:cstheme="minorBidi"/>
      <w:kern w:val="2"/>
      <w:sz w:val="24"/>
      <w:szCs w:val="24"/>
      <w:lang w:val="en-US" w:eastAsia="zh-CN" w:bidi="ar-SA"/>
    </w:rPr>
  </w:style>
  <w:style w:type="character" w:customStyle="1" w:styleId="456">
    <w:name w:val="下标"/>
    <w:basedOn w:val="61"/>
    <w:qFormat/>
    <w:uiPriority w:val="0"/>
    <w:rPr>
      <w:rFonts w:ascii="宋体" w:hAnsi="宋体" w:cs="宋体"/>
      <w:sz w:val="24"/>
      <w:szCs w:val="26"/>
      <w:vertAlign w:val="subscript"/>
    </w:rPr>
  </w:style>
  <w:style w:type="character" w:customStyle="1" w:styleId="457">
    <w:name w:val="1标题 Char"/>
    <w:basedOn w:val="61"/>
    <w:link w:val="458"/>
    <w:qFormat/>
    <w:uiPriority w:val="0"/>
    <w:rPr>
      <w:rFonts w:ascii="宋体" w:hAnsi="宋体" w:cs="宋体"/>
      <w:sz w:val="28"/>
      <w:szCs w:val="26"/>
    </w:rPr>
  </w:style>
  <w:style w:type="paragraph" w:customStyle="1" w:styleId="458">
    <w:name w:val="1标题"/>
    <w:basedOn w:val="1"/>
    <w:link w:val="457"/>
    <w:qFormat/>
    <w:uiPriority w:val="0"/>
    <w:pPr>
      <w:widowControl/>
      <w:ind w:firstLine="560" w:firstLineChars="200"/>
      <w:jc w:val="left"/>
    </w:pPr>
    <w:rPr>
      <w:rFonts w:ascii="宋体" w:hAnsi="宋体" w:cs="宋体" w:eastAsiaTheme="minorEastAsia"/>
      <w:sz w:val="28"/>
      <w:szCs w:val="26"/>
    </w:rPr>
  </w:style>
  <w:style w:type="character" w:customStyle="1" w:styleId="459">
    <w:name w:val="正文的样式 Char Char"/>
    <w:basedOn w:val="61"/>
    <w:link w:val="460"/>
    <w:qFormat/>
    <w:uiPriority w:val="0"/>
    <w:rPr>
      <w:rFonts w:ascii="宋体" w:hAnsi="Symbol" w:cs="宋体"/>
      <w:bCs/>
      <w:sz w:val="24"/>
      <w:szCs w:val="24"/>
    </w:rPr>
  </w:style>
  <w:style w:type="paragraph" w:customStyle="1" w:styleId="460">
    <w:name w:val="正文的样式 Char"/>
    <w:basedOn w:val="1"/>
    <w:link w:val="459"/>
    <w:qFormat/>
    <w:uiPriority w:val="0"/>
    <w:pPr>
      <w:adjustRightInd w:val="0"/>
      <w:snapToGrid w:val="0"/>
      <w:spacing w:line="360" w:lineRule="auto"/>
      <w:ind w:firstLine="480" w:firstLineChars="200"/>
    </w:pPr>
    <w:rPr>
      <w:rFonts w:ascii="宋体" w:hAnsi="Symbol" w:cs="宋体" w:eastAsiaTheme="minorEastAsia"/>
      <w:bCs/>
      <w:sz w:val="24"/>
    </w:rPr>
  </w:style>
  <w:style w:type="character" w:customStyle="1" w:styleId="461">
    <w:name w:val="预案正文 Char"/>
    <w:basedOn w:val="61"/>
    <w:link w:val="462"/>
    <w:qFormat/>
    <w:uiPriority w:val="0"/>
    <w:rPr>
      <w:rFonts w:ascii="宋体" w:hAnsi="宋体" w:eastAsia="宋体" w:cs="宋体"/>
      <w:color w:val="000000"/>
      <w:sz w:val="28"/>
      <w:szCs w:val="28"/>
    </w:rPr>
  </w:style>
  <w:style w:type="paragraph" w:customStyle="1" w:styleId="462">
    <w:name w:val="预案正文"/>
    <w:basedOn w:val="1"/>
    <w:link w:val="461"/>
    <w:qFormat/>
    <w:uiPriority w:val="0"/>
    <w:pPr>
      <w:snapToGrid w:val="0"/>
      <w:spacing w:line="500" w:lineRule="exact"/>
      <w:ind w:firstLine="560" w:firstLineChars="200"/>
      <w:contextualSpacing/>
    </w:pPr>
    <w:rPr>
      <w:rFonts w:ascii="宋体" w:hAnsi="宋体" w:cs="宋体"/>
      <w:color w:val="000000"/>
      <w:sz w:val="28"/>
      <w:szCs w:val="28"/>
    </w:rPr>
  </w:style>
  <w:style w:type="character" w:customStyle="1" w:styleId="463">
    <w:name w:val="1.1二级标题 Char"/>
    <w:basedOn w:val="61"/>
    <w:link w:val="303"/>
    <w:qFormat/>
    <w:uiPriority w:val="0"/>
    <w:rPr>
      <w:rFonts w:ascii="宋体" w:hAnsi="宋体" w:eastAsia="黑体" w:cs="宋体"/>
      <w:b/>
      <w:sz w:val="30"/>
      <w:szCs w:val="26"/>
    </w:rPr>
  </w:style>
  <w:style w:type="character" w:customStyle="1" w:styleId="464">
    <w:name w:val="表头！！！！！！！！！！ Char"/>
    <w:basedOn w:val="61"/>
    <w:link w:val="465"/>
    <w:qFormat/>
    <w:uiPriority w:val="0"/>
    <w:rPr>
      <w:rFonts w:ascii="楷体_GB2312" w:hAnsi="宋体" w:eastAsia="楷体_GB2312" w:cs="宋体"/>
      <w:b/>
      <w:snapToGrid w:val="0"/>
      <w:sz w:val="24"/>
      <w:szCs w:val="24"/>
    </w:rPr>
  </w:style>
  <w:style w:type="paragraph" w:customStyle="1" w:styleId="465">
    <w:name w:val="表头！！！！！！！！！！"/>
    <w:basedOn w:val="15"/>
    <w:link w:val="464"/>
    <w:qFormat/>
    <w:uiPriority w:val="0"/>
    <w:pPr>
      <w:autoSpaceDE w:val="0"/>
      <w:autoSpaceDN w:val="0"/>
      <w:adjustRightInd w:val="0"/>
      <w:spacing w:line="500" w:lineRule="exact"/>
      <w:ind w:firstLine="0"/>
      <w:jc w:val="center"/>
      <w:textAlignment w:val="baseline"/>
    </w:pPr>
    <w:rPr>
      <w:rFonts w:ascii="楷体_GB2312" w:hAnsi="宋体" w:eastAsia="楷体_GB2312" w:cs="宋体"/>
      <w:b/>
      <w:snapToGrid w:val="0"/>
      <w:sz w:val="24"/>
    </w:rPr>
  </w:style>
  <w:style w:type="character" w:customStyle="1" w:styleId="466">
    <w:name w:val="表格1 Char"/>
    <w:basedOn w:val="61"/>
    <w:link w:val="467"/>
    <w:qFormat/>
    <w:uiPriority w:val="0"/>
    <w:rPr>
      <w:rFonts w:ascii="宋体" w:hAnsi="宋体" w:eastAsia="宋体" w:cs="宋体"/>
      <w:sz w:val="24"/>
      <w:szCs w:val="26"/>
    </w:rPr>
  </w:style>
  <w:style w:type="paragraph" w:customStyle="1" w:styleId="467">
    <w:name w:val="表格1"/>
    <w:basedOn w:val="1"/>
    <w:link w:val="466"/>
    <w:qFormat/>
    <w:uiPriority w:val="0"/>
    <w:pPr>
      <w:adjustRightInd w:val="0"/>
      <w:spacing w:line="400" w:lineRule="atLeast"/>
      <w:jc w:val="center"/>
      <w:textAlignment w:val="baseline"/>
    </w:pPr>
    <w:rPr>
      <w:rFonts w:ascii="宋体" w:hAnsi="宋体" w:cs="宋体"/>
      <w:sz w:val="24"/>
      <w:szCs w:val="26"/>
    </w:rPr>
  </w:style>
  <w:style w:type="character" w:customStyle="1" w:styleId="468">
    <w:name w:val="HTML 地址 字符"/>
    <w:basedOn w:val="61"/>
    <w:link w:val="27"/>
    <w:qFormat/>
    <w:uiPriority w:val="0"/>
    <w:rPr>
      <w:rFonts w:ascii="宋体" w:hAnsi="宋体" w:cs="宋体"/>
      <w:i/>
      <w:iCs/>
      <w:szCs w:val="24"/>
    </w:rPr>
  </w:style>
  <w:style w:type="character" w:customStyle="1" w:styleId="469">
    <w:name w:val="样式 (符号) 宋体 小四 加粗"/>
    <w:qFormat/>
    <w:uiPriority w:val="0"/>
    <w:rPr>
      <w:b/>
      <w:bCs/>
      <w:sz w:val="24"/>
    </w:rPr>
  </w:style>
  <w:style w:type="character" w:customStyle="1" w:styleId="470">
    <w:name w:val="分目录1 Char"/>
    <w:basedOn w:val="61"/>
    <w:link w:val="471"/>
    <w:qFormat/>
    <w:uiPriority w:val="0"/>
    <w:rPr>
      <w:rFonts w:ascii="宋体" w:hAnsi="宋体" w:cs="宋体"/>
      <w:snapToGrid w:val="0"/>
      <w:sz w:val="28"/>
      <w:szCs w:val="26"/>
    </w:rPr>
  </w:style>
  <w:style w:type="paragraph" w:customStyle="1" w:styleId="471">
    <w:name w:val="分目录1"/>
    <w:basedOn w:val="1"/>
    <w:link w:val="470"/>
    <w:qFormat/>
    <w:uiPriority w:val="0"/>
    <w:pPr>
      <w:tabs>
        <w:tab w:val="right" w:leader="dot" w:pos="8304"/>
      </w:tabs>
      <w:adjustRightInd w:val="0"/>
      <w:snapToGrid w:val="0"/>
      <w:spacing w:line="360" w:lineRule="auto"/>
    </w:pPr>
    <w:rPr>
      <w:rFonts w:ascii="宋体" w:hAnsi="宋体" w:cs="宋体" w:eastAsiaTheme="minorEastAsia"/>
      <w:snapToGrid w:val="0"/>
      <w:sz w:val="28"/>
      <w:szCs w:val="26"/>
    </w:rPr>
  </w:style>
  <w:style w:type="character" w:customStyle="1" w:styleId="472">
    <w:name w:val="正文wang Char"/>
    <w:basedOn w:val="61"/>
    <w:link w:val="473"/>
    <w:qFormat/>
    <w:uiPriority w:val="0"/>
    <w:rPr>
      <w:rFonts w:ascii="宋体" w:hAnsi="宋体" w:cs="宋体"/>
      <w:szCs w:val="21"/>
    </w:rPr>
  </w:style>
  <w:style w:type="paragraph" w:customStyle="1" w:styleId="473">
    <w:name w:val="正文wang"/>
    <w:basedOn w:val="1"/>
    <w:link w:val="472"/>
    <w:qFormat/>
    <w:uiPriority w:val="0"/>
    <w:pPr>
      <w:adjustRightInd w:val="0"/>
      <w:spacing w:beforeLines="25"/>
      <w:ind w:firstLine="420"/>
    </w:pPr>
    <w:rPr>
      <w:rFonts w:ascii="宋体" w:hAnsi="宋体" w:cs="宋体" w:eastAsiaTheme="minorEastAsia"/>
      <w:szCs w:val="21"/>
    </w:rPr>
  </w:style>
  <w:style w:type="character" w:customStyle="1" w:styleId="474">
    <w:name w:val="样式 样式 表格 + (符号) 宋体 五号 居中 + 小五 Char"/>
    <w:basedOn w:val="61"/>
    <w:link w:val="475"/>
    <w:qFormat/>
    <w:uiPriority w:val="0"/>
    <w:rPr>
      <w:rFonts w:ascii="宋体" w:hAnsi="宋体" w:cs="宋体"/>
      <w:snapToGrid w:val="0"/>
      <w:sz w:val="18"/>
      <w:szCs w:val="21"/>
    </w:rPr>
  </w:style>
  <w:style w:type="paragraph" w:customStyle="1" w:styleId="475">
    <w:name w:val="样式 样式 表格 + (符号) 宋体 五号 居中 + 小五"/>
    <w:basedOn w:val="1"/>
    <w:link w:val="474"/>
    <w:qFormat/>
    <w:uiPriority w:val="0"/>
    <w:pPr>
      <w:kinsoku w:val="0"/>
      <w:overflowPunct w:val="0"/>
      <w:adjustRightInd w:val="0"/>
      <w:snapToGrid w:val="0"/>
      <w:jc w:val="center"/>
    </w:pPr>
    <w:rPr>
      <w:rFonts w:ascii="宋体" w:hAnsi="宋体" w:cs="宋体" w:eastAsiaTheme="minorEastAsia"/>
      <w:snapToGrid w:val="0"/>
      <w:sz w:val="18"/>
      <w:szCs w:val="21"/>
    </w:rPr>
  </w:style>
  <w:style w:type="character" w:customStyle="1" w:styleId="476">
    <w:name w:val="表、图名 Char"/>
    <w:basedOn w:val="61"/>
    <w:link w:val="477"/>
    <w:qFormat/>
    <w:uiPriority w:val="0"/>
    <w:rPr>
      <w:rFonts w:ascii="宋体" w:hAnsi="宋体" w:eastAsia="宋体" w:cs="宋体"/>
      <w:b/>
      <w:bCs/>
      <w:color w:val="000000"/>
      <w:szCs w:val="21"/>
    </w:rPr>
  </w:style>
  <w:style w:type="paragraph" w:customStyle="1" w:styleId="477">
    <w:name w:val="表、图名"/>
    <w:basedOn w:val="1"/>
    <w:link w:val="476"/>
    <w:qFormat/>
    <w:uiPriority w:val="0"/>
    <w:pPr>
      <w:ind w:firstLine="482"/>
      <w:textAlignment w:val="baseline"/>
    </w:pPr>
    <w:rPr>
      <w:rFonts w:ascii="宋体" w:hAnsi="宋体" w:cs="宋体"/>
      <w:b/>
      <w:bCs/>
      <w:color w:val="000000"/>
      <w:szCs w:val="21"/>
    </w:rPr>
  </w:style>
  <w:style w:type="character" w:customStyle="1" w:styleId="478">
    <w:name w:val="报告书表格 Char"/>
    <w:basedOn w:val="61"/>
    <w:link w:val="479"/>
    <w:qFormat/>
    <w:uiPriority w:val="0"/>
    <w:rPr>
      <w:rFonts w:ascii="宋体" w:hAnsi="宋体" w:cs="宋体"/>
      <w:sz w:val="24"/>
      <w:szCs w:val="26"/>
    </w:rPr>
  </w:style>
  <w:style w:type="paragraph" w:customStyle="1" w:styleId="479">
    <w:name w:val="报告书表格"/>
    <w:basedOn w:val="1"/>
    <w:link w:val="478"/>
    <w:qFormat/>
    <w:uiPriority w:val="0"/>
    <w:pPr>
      <w:adjustRightInd w:val="0"/>
      <w:spacing w:before="60" w:after="60" w:line="240" w:lineRule="atLeast"/>
      <w:jc w:val="center"/>
      <w:textAlignment w:val="baseline"/>
    </w:pPr>
    <w:rPr>
      <w:rFonts w:ascii="宋体" w:hAnsi="宋体" w:cs="宋体" w:eastAsiaTheme="minorEastAsia"/>
      <w:sz w:val="24"/>
      <w:szCs w:val="26"/>
    </w:rPr>
  </w:style>
  <w:style w:type="character" w:customStyle="1" w:styleId="480">
    <w:name w:val="表小4 Char"/>
    <w:basedOn w:val="61"/>
    <w:link w:val="481"/>
    <w:qFormat/>
    <w:locked/>
    <w:uiPriority w:val="0"/>
    <w:rPr>
      <w:rFonts w:ascii="宋体" w:hAnsi="宋体" w:cs="宋体"/>
      <w:sz w:val="28"/>
      <w:szCs w:val="26"/>
    </w:rPr>
  </w:style>
  <w:style w:type="paragraph" w:customStyle="1" w:styleId="481">
    <w:name w:val="表小4"/>
    <w:basedOn w:val="1"/>
    <w:link w:val="480"/>
    <w:qFormat/>
    <w:uiPriority w:val="0"/>
    <w:pPr>
      <w:tabs>
        <w:tab w:val="left" w:pos="0"/>
        <w:tab w:val="left" w:pos="2619"/>
      </w:tabs>
      <w:adjustRightInd w:val="0"/>
      <w:spacing w:line="0" w:lineRule="atLeast"/>
      <w:jc w:val="center"/>
    </w:pPr>
    <w:rPr>
      <w:rFonts w:ascii="宋体" w:hAnsi="宋体" w:cs="宋体" w:eastAsiaTheme="minorEastAsia"/>
      <w:sz w:val="28"/>
      <w:szCs w:val="26"/>
    </w:rPr>
  </w:style>
  <w:style w:type="character" w:customStyle="1" w:styleId="482">
    <w:name w:val="环评正文 Char"/>
    <w:link w:val="483"/>
    <w:qFormat/>
    <w:uiPriority w:val="0"/>
    <w:rPr>
      <w:sz w:val="24"/>
      <w:szCs w:val="24"/>
    </w:rPr>
  </w:style>
  <w:style w:type="paragraph" w:customStyle="1" w:styleId="483">
    <w:name w:val="环评正文"/>
    <w:basedOn w:val="1"/>
    <w:link w:val="482"/>
    <w:qFormat/>
    <w:uiPriority w:val="0"/>
    <w:pPr>
      <w:spacing w:line="360" w:lineRule="auto"/>
      <w:ind w:firstLine="200" w:firstLineChars="200"/>
    </w:pPr>
    <w:rPr>
      <w:rFonts w:asciiTheme="minorHAnsi" w:hAnsiTheme="minorHAnsi" w:eastAsiaTheme="minorEastAsia" w:cstheme="minorBidi"/>
      <w:sz w:val="24"/>
    </w:rPr>
  </w:style>
  <w:style w:type="character" w:customStyle="1" w:styleId="484">
    <w:name w:val="样式 标题 2 + (西文) Times New Roman (中文) 黑体 三号 自动设置 Char"/>
    <w:basedOn w:val="61"/>
    <w:link w:val="485"/>
    <w:semiHidden/>
    <w:qFormat/>
    <w:uiPriority w:val="0"/>
    <w:rPr>
      <w:rFonts w:ascii="楷体_GB2312" w:hAnsi="宋体" w:eastAsia="黑体" w:cs="宋体"/>
      <w:b/>
      <w:spacing w:val="10"/>
      <w:sz w:val="30"/>
      <w:szCs w:val="30"/>
    </w:rPr>
  </w:style>
  <w:style w:type="paragraph" w:customStyle="1" w:styleId="485">
    <w:name w:val="样式 标题 2 + (西文) Times New Roman (中文) 黑体 三号 自动设置"/>
    <w:basedOn w:val="4"/>
    <w:link w:val="484"/>
    <w:semiHidden/>
    <w:qFormat/>
    <w:uiPriority w:val="0"/>
    <w:pPr>
      <w:snapToGrid w:val="0"/>
      <w:spacing w:before="120" w:after="0" w:line="360" w:lineRule="auto"/>
      <w:ind w:left="723" w:hanging="723" w:hangingChars="240"/>
    </w:pPr>
    <w:rPr>
      <w:rFonts w:ascii="楷体_GB2312" w:hAnsi="宋体" w:cs="宋体"/>
      <w:bCs w:val="0"/>
      <w:spacing w:val="10"/>
      <w:sz w:val="30"/>
      <w:szCs w:val="30"/>
    </w:rPr>
  </w:style>
  <w:style w:type="character" w:customStyle="1" w:styleId="486">
    <w:name w:val="正文内容 Char"/>
    <w:basedOn w:val="61"/>
    <w:link w:val="487"/>
    <w:qFormat/>
    <w:uiPriority w:val="0"/>
    <w:rPr>
      <w:rFonts w:ascii="宋体" w:hAnsi="宋体" w:cs="宋体"/>
      <w:color w:val="1C1C1C"/>
      <w:spacing w:val="8"/>
      <w:sz w:val="24"/>
      <w:szCs w:val="26"/>
    </w:rPr>
  </w:style>
  <w:style w:type="paragraph" w:customStyle="1" w:styleId="487">
    <w:name w:val="正文内容"/>
    <w:basedOn w:val="50"/>
    <w:link w:val="486"/>
    <w:qFormat/>
    <w:uiPriority w:val="0"/>
    <w:pPr>
      <w:spacing w:before="60" w:after="0" w:line="360" w:lineRule="auto"/>
      <w:ind w:firstLine="200" w:firstLineChars="200"/>
    </w:pPr>
    <w:rPr>
      <w:rFonts w:eastAsiaTheme="minorEastAsia"/>
      <w:color w:val="1C1C1C"/>
      <w:spacing w:val="8"/>
      <w:sz w:val="24"/>
      <w:szCs w:val="26"/>
    </w:rPr>
  </w:style>
  <w:style w:type="character" w:customStyle="1" w:styleId="488">
    <w:name w:val="TOC 1 字符"/>
    <w:link w:val="39"/>
    <w:qFormat/>
    <w:uiPriority w:val="0"/>
    <w:rPr>
      <w:rFonts w:ascii="楷体_GB2312" w:eastAsia="楷体_GB2312"/>
      <w:color w:val="000000"/>
      <w:szCs w:val="21"/>
    </w:rPr>
  </w:style>
  <w:style w:type="character" w:customStyle="1" w:styleId="489">
    <w:name w:val="Footer-Even Char2"/>
    <w:qFormat/>
    <w:uiPriority w:val="0"/>
    <w:rPr>
      <w:rFonts w:ascii="Calibri" w:hAnsi="Calibri" w:eastAsia="宋体" w:cs="Times New Roman"/>
      <w:sz w:val="18"/>
      <w:szCs w:val="18"/>
    </w:rPr>
  </w:style>
  <w:style w:type="character" w:customStyle="1" w:styleId="490">
    <w:name w:val="555 Char"/>
    <w:basedOn w:val="61"/>
    <w:link w:val="491"/>
    <w:qFormat/>
    <w:uiPriority w:val="0"/>
    <w:rPr>
      <w:rFonts w:ascii="Arial" w:hAnsi="Arial" w:eastAsia="楷体_GB2312" w:cs="宋体"/>
      <w:sz w:val="28"/>
      <w:szCs w:val="26"/>
    </w:rPr>
  </w:style>
  <w:style w:type="paragraph" w:customStyle="1" w:styleId="491">
    <w:name w:val="555"/>
    <w:basedOn w:val="1"/>
    <w:link w:val="490"/>
    <w:qFormat/>
    <w:uiPriority w:val="0"/>
    <w:pPr>
      <w:spacing w:line="360" w:lineRule="auto"/>
      <w:ind w:firstLine="527" w:firstLineChars="200"/>
    </w:pPr>
    <w:rPr>
      <w:rFonts w:ascii="Arial" w:hAnsi="Arial" w:eastAsia="楷体_GB2312" w:cs="宋体"/>
      <w:sz w:val="28"/>
      <w:szCs w:val="26"/>
    </w:rPr>
  </w:style>
  <w:style w:type="character" w:customStyle="1" w:styleId="492">
    <w:name w:val="正文1 Char Char"/>
    <w:basedOn w:val="61"/>
    <w:link w:val="493"/>
    <w:qFormat/>
    <w:locked/>
    <w:uiPriority w:val="0"/>
    <w:rPr>
      <w:rFonts w:ascii="宋体" w:hAnsi="宋体" w:cs="宋体"/>
      <w:sz w:val="24"/>
      <w:szCs w:val="24"/>
    </w:rPr>
  </w:style>
  <w:style w:type="paragraph" w:customStyle="1" w:styleId="493">
    <w:name w:val="正文111"/>
    <w:basedOn w:val="1"/>
    <w:link w:val="492"/>
    <w:qFormat/>
    <w:uiPriority w:val="0"/>
    <w:pPr>
      <w:spacing w:line="480" w:lineRule="exact"/>
      <w:ind w:firstLine="200" w:firstLineChars="200"/>
    </w:pPr>
    <w:rPr>
      <w:rFonts w:ascii="宋体" w:hAnsi="宋体" w:cs="宋体" w:eastAsiaTheme="minorEastAsia"/>
      <w:sz w:val="24"/>
    </w:rPr>
  </w:style>
  <w:style w:type="character" w:customStyle="1" w:styleId="494">
    <w:name w:val="缩进 Char"/>
    <w:basedOn w:val="61"/>
    <w:link w:val="495"/>
    <w:qFormat/>
    <w:uiPriority w:val="0"/>
    <w:rPr>
      <w:rFonts w:ascii="宋体" w:hAnsi="宋体" w:eastAsia="宋体" w:cs="宋体"/>
      <w:sz w:val="24"/>
      <w:szCs w:val="26"/>
    </w:rPr>
  </w:style>
  <w:style w:type="paragraph" w:customStyle="1" w:styleId="495">
    <w:name w:val="缩进"/>
    <w:basedOn w:val="1"/>
    <w:link w:val="494"/>
    <w:qFormat/>
    <w:uiPriority w:val="0"/>
    <w:pPr>
      <w:autoSpaceDE w:val="0"/>
      <w:autoSpaceDN w:val="0"/>
      <w:adjustRightInd w:val="0"/>
      <w:spacing w:line="400" w:lineRule="atLeast"/>
      <w:ind w:firstLine="200" w:firstLineChars="200"/>
      <w:textAlignment w:val="baseline"/>
    </w:pPr>
    <w:rPr>
      <w:rFonts w:ascii="宋体" w:hAnsi="宋体" w:cs="宋体"/>
      <w:sz w:val="24"/>
      <w:szCs w:val="26"/>
    </w:rPr>
  </w:style>
  <w:style w:type="character" w:customStyle="1" w:styleId="496">
    <w:name w:val="表后空格 Char"/>
    <w:basedOn w:val="265"/>
    <w:link w:val="497"/>
    <w:qFormat/>
    <w:uiPriority w:val="0"/>
    <w:rPr>
      <w:rFonts w:ascii="楷体_GB2312" w:hAnsi="楷体_GB2312" w:eastAsia="楷体_GB2312" w:cs="宋体"/>
      <w:kern w:val="2"/>
      <w:sz w:val="24"/>
      <w:szCs w:val="24"/>
    </w:rPr>
  </w:style>
  <w:style w:type="paragraph" w:customStyle="1" w:styleId="497">
    <w:name w:val="表后空格"/>
    <w:basedOn w:val="154"/>
    <w:link w:val="496"/>
    <w:qFormat/>
    <w:uiPriority w:val="0"/>
    <w:pPr>
      <w:spacing w:line="240" w:lineRule="exact"/>
      <w:ind w:firstLine="480"/>
      <w:jc w:val="both"/>
    </w:pPr>
    <w:rPr>
      <w:rFonts w:ascii="楷体_GB2312" w:hAnsi="楷体_GB2312" w:eastAsia="楷体_GB2312"/>
    </w:rPr>
  </w:style>
  <w:style w:type="character" w:customStyle="1" w:styleId="498">
    <w:name w:val="！正文 Char"/>
    <w:link w:val="499"/>
    <w:qFormat/>
    <w:uiPriority w:val="0"/>
    <w:rPr>
      <w:sz w:val="24"/>
      <w:szCs w:val="24"/>
    </w:rPr>
  </w:style>
  <w:style w:type="paragraph" w:customStyle="1" w:styleId="499">
    <w:name w:val="！正文"/>
    <w:basedOn w:val="1"/>
    <w:link w:val="498"/>
    <w:qFormat/>
    <w:uiPriority w:val="0"/>
    <w:pPr>
      <w:spacing w:line="500" w:lineRule="exact"/>
      <w:ind w:firstLine="200" w:firstLineChars="200"/>
    </w:pPr>
    <w:rPr>
      <w:rFonts w:asciiTheme="minorHAnsi" w:hAnsiTheme="minorHAnsi" w:eastAsiaTheme="minorEastAsia" w:cstheme="minorBidi"/>
      <w:sz w:val="24"/>
    </w:rPr>
  </w:style>
  <w:style w:type="character" w:customStyle="1" w:styleId="500">
    <w:name w:val="单晶硅项目正文 Char"/>
    <w:basedOn w:val="61"/>
    <w:link w:val="501"/>
    <w:qFormat/>
    <w:uiPriority w:val="0"/>
    <w:rPr>
      <w:rFonts w:ascii="宋体" w:hAnsi="宋体" w:cs="宋体"/>
      <w:color w:val="000000"/>
      <w:sz w:val="24"/>
      <w:szCs w:val="24"/>
    </w:rPr>
  </w:style>
  <w:style w:type="paragraph" w:customStyle="1" w:styleId="501">
    <w:name w:val="单晶硅项目正文"/>
    <w:basedOn w:val="1"/>
    <w:link w:val="500"/>
    <w:qFormat/>
    <w:uiPriority w:val="0"/>
    <w:pPr>
      <w:spacing w:line="560" w:lineRule="exact"/>
      <w:ind w:firstLine="480" w:firstLineChars="200"/>
    </w:pPr>
    <w:rPr>
      <w:rFonts w:ascii="宋体" w:hAnsi="宋体" w:cs="宋体" w:eastAsiaTheme="minorEastAsia"/>
      <w:color w:val="000000"/>
      <w:sz w:val="24"/>
    </w:rPr>
  </w:style>
  <w:style w:type="character" w:customStyle="1" w:styleId="502">
    <w:name w:val="Char Char25"/>
    <w:basedOn w:val="61"/>
    <w:link w:val="503"/>
    <w:qFormat/>
    <w:uiPriority w:val="0"/>
    <w:rPr>
      <w:rFonts w:ascii="宋体" w:hAnsi="宋体" w:cs="宋体"/>
      <w:b/>
      <w:bCs/>
      <w:kern w:val="44"/>
      <w:sz w:val="44"/>
      <w:szCs w:val="44"/>
    </w:rPr>
  </w:style>
  <w:style w:type="paragraph" w:customStyle="1" w:styleId="503">
    <w:name w:val="Char Char25 Para"/>
    <w:basedOn w:val="1"/>
    <w:link w:val="502"/>
    <w:qFormat/>
    <w:uiPriority w:val="0"/>
    <w:pPr>
      <w:widowControl/>
      <w:jc w:val="left"/>
    </w:pPr>
    <w:rPr>
      <w:rFonts w:ascii="宋体" w:hAnsi="宋体" w:cs="宋体" w:eastAsiaTheme="minorEastAsia"/>
      <w:b/>
      <w:bCs/>
      <w:kern w:val="44"/>
      <w:sz w:val="44"/>
      <w:szCs w:val="44"/>
    </w:rPr>
  </w:style>
  <w:style w:type="character" w:customStyle="1" w:styleId="504">
    <w:name w:val="5级正文 Char"/>
    <w:basedOn w:val="61"/>
    <w:link w:val="505"/>
    <w:qFormat/>
    <w:uiPriority w:val="0"/>
    <w:rPr>
      <w:rFonts w:ascii="宋体" w:hAnsi="宋体" w:eastAsia="宋体" w:cs="宋体"/>
      <w:b/>
      <w:sz w:val="24"/>
      <w:szCs w:val="24"/>
    </w:rPr>
  </w:style>
  <w:style w:type="paragraph" w:customStyle="1" w:styleId="505">
    <w:name w:val="5级正文"/>
    <w:basedOn w:val="1"/>
    <w:next w:val="495"/>
    <w:link w:val="504"/>
    <w:qFormat/>
    <w:uiPriority w:val="0"/>
    <w:pPr>
      <w:tabs>
        <w:tab w:val="left" w:pos="420"/>
        <w:tab w:val="left" w:pos="432"/>
      </w:tabs>
      <w:spacing w:line="360" w:lineRule="auto"/>
      <w:ind w:left="432" w:hanging="432"/>
      <w:outlineLvl w:val="4"/>
    </w:pPr>
    <w:rPr>
      <w:rFonts w:ascii="宋体" w:hAnsi="宋体" w:cs="宋体"/>
      <w:b/>
      <w:sz w:val="24"/>
    </w:rPr>
  </w:style>
  <w:style w:type="character" w:customStyle="1" w:styleId="506">
    <w:name w:val="无间隔 Char Char"/>
    <w:basedOn w:val="61"/>
    <w:link w:val="507"/>
    <w:qFormat/>
    <w:uiPriority w:val="0"/>
    <w:rPr>
      <w:rFonts w:ascii="宋体" w:hAnsi="宋体" w:eastAsia="Times New Roman" w:cs="宋体"/>
      <w:sz w:val="22"/>
      <w:szCs w:val="26"/>
    </w:rPr>
  </w:style>
  <w:style w:type="paragraph" w:customStyle="1" w:styleId="507">
    <w:name w:val="无间隔1"/>
    <w:link w:val="506"/>
    <w:qFormat/>
    <w:uiPriority w:val="0"/>
    <w:rPr>
      <w:rFonts w:ascii="宋体" w:hAnsi="宋体" w:eastAsia="Times New Roman" w:cs="宋体"/>
      <w:kern w:val="2"/>
      <w:sz w:val="22"/>
      <w:szCs w:val="26"/>
      <w:lang w:val="en-US" w:eastAsia="zh-CN" w:bidi="ar-SA"/>
    </w:rPr>
  </w:style>
  <w:style w:type="character" w:customStyle="1" w:styleId="508">
    <w:name w:val="样式 标题 2 Char"/>
    <w:basedOn w:val="61"/>
    <w:link w:val="509"/>
    <w:qFormat/>
    <w:uiPriority w:val="0"/>
    <w:rPr>
      <w:rFonts w:ascii="黑体" w:hAnsi="黑体" w:eastAsia="黑体" w:cs="宋体"/>
      <w:color w:val="000000"/>
      <w:sz w:val="28"/>
      <w:szCs w:val="32"/>
    </w:rPr>
  </w:style>
  <w:style w:type="paragraph" w:customStyle="1" w:styleId="509">
    <w:name w:val="样式 标题 2"/>
    <w:basedOn w:val="4"/>
    <w:link w:val="508"/>
    <w:qFormat/>
    <w:uiPriority w:val="0"/>
    <w:pPr>
      <w:spacing w:after="0" w:line="360" w:lineRule="auto"/>
    </w:pPr>
    <w:rPr>
      <w:rFonts w:ascii="黑体" w:hAnsi="黑体" w:cs="宋体"/>
      <w:b w:val="0"/>
      <w:bCs w:val="0"/>
      <w:color w:val="000000"/>
    </w:rPr>
  </w:style>
  <w:style w:type="character" w:customStyle="1" w:styleId="510">
    <w:name w:val="样式 标题 3 + 宋体 Char Char Char"/>
    <w:basedOn w:val="61"/>
    <w:link w:val="511"/>
    <w:qFormat/>
    <w:uiPriority w:val="0"/>
    <w:rPr>
      <w:rFonts w:ascii="宋体" w:hAnsi="宋体" w:cs="宋体"/>
      <w:b/>
      <w:bCs/>
      <w:sz w:val="32"/>
      <w:szCs w:val="32"/>
    </w:rPr>
  </w:style>
  <w:style w:type="paragraph" w:customStyle="1" w:styleId="511">
    <w:name w:val="样式 标题 3 + 宋体 Char Char"/>
    <w:basedOn w:val="5"/>
    <w:link w:val="510"/>
    <w:qFormat/>
    <w:uiPriority w:val="0"/>
    <w:pPr>
      <w:spacing w:before="200" w:line="420" w:lineRule="auto"/>
      <w:ind w:left="720" w:hanging="720"/>
    </w:pPr>
    <w:rPr>
      <w:rFonts w:ascii="宋体" w:hAnsi="宋体" w:cs="宋体" w:eastAsiaTheme="minorEastAsia"/>
      <w:b/>
      <w:bCs/>
      <w:spacing w:val="0"/>
      <w:sz w:val="32"/>
      <w:szCs w:val="32"/>
    </w:rPr>
  </w:style>
  <w:style w:type="character" w:customStyle="1" w:styleId="512">
    <w:name w:val="表格后缀 Char"/>
    <w:basedOn w:val="265"/>
    <w:link w:val="513"/>
    <w:qFormat/>
    <w:uiPriority w:val="0"/>
    <w:rPr>
      <w:rFonts w:ascii="楷体_GB2312" w:hAnsi="楷体_GB2312" w:eastAsia="楷体_GB2312" w:cs="宋体"/>
      <w:kern w:val="2"/>
      <w:sz w:val="24"/>
      <w:szCs w:val="24"/>
    </w:rPr>
  </w:style>
  <w:style w:type="paragraph" w:customStyle="1" w:styleId="513">
    <w:name w:val="表格后缀"/>
    <w:basedOn w:val="154"/>
    <w:link w:val="512"/>
    <w:qFormat/>
    <w:uiPriority w:val="0"/>
    <w:pPr>
      <w:spacing w:line="240" w:lineRule="exact"/>
      <w:ind w:firstLine="480"/>
    </w:pPr>
    <w:rPr>
      <w:rFonts w:ascii="楷体_GB2312" w:hAnsi="楷体_GB2312" w:eastAsia="楷体_GB2312"/>
    </w:rPr>
  </w:style>
  <w:style w:type="character" w:customStyle="1" w:styleId="514">
    <w:name w:val="表头应急预案 Char"/>
    <w:basedOn w:val="61"/>
    <w:link w:val="515"/>
    <w:qFormat/>
    <w:uiPriority w:val="0"/>
    <w:rPr>
      <w:rFonts w:ascii="宋体" w:hAnsi="宋体" w:eastAsia="宋体" w:cs="宋体"/>
      <w:b/>
      <w:color w:val="000000"/>
      <w:sz w:val="24"/>
      <w:szCs w:val="24"/>
    </w:rPr>
  </w:style>
  <w:style w:type="paragraph" w:customStyle="1" w:styleId="515">
    <w:name w:val="表头应急预案"/>
    <w:basedOn w:val="1"/>
    <w:link w:val="514"/>
    <w:qFormat/>
    <w:uiPriority w:val="0"/>
    <w:pPr>
      <w:snapToGrid w:val="0"/>
      <w:spacing w:line="500" w:lineRule="exact"/>
      <w:contextualSpacing/>
      <w:jc w:val="center"/>
    </w:pPr>
    <w:rPr>
      <w:rFonts w:ascii="宋体" w:hAnsi="宋体" w:cs="宋体"/>
      <w:b/>
      <w:color w:val="000000"/>
      <w:sz w:val="24"/>
    </w:rPr>
  </w:style>
  <w:style w:type="character" w:customStyle="1" w:styleId="516">
    <w:name w:val="文本框小四 Char Char"/>
    <w:basedOn w:val="61"/>
    <w:link w:val="517"/>
    <w:qFormat/>
    <w:uiPriority w:val="0"/>
    <w:rPr>
      <w:rFonts w:ascii="宋体" w:hAnsi="宋体" w:eastAsia="仿宋_GB2312" w:cs="宋体"/>
      <w:sz w:val="24"/>
      <w:szCs w:val="24"/>
    </w:rPr>
  </w:style>
  <w:style w:type="paragraph" w:customStyle="1" w:styleId="517">
    <w:name w:val="文本框小四"/>
    <w:basedOn w:val="1"/>
    <w:link w:val="516"/>
    <w:qFormat/>
    <w:uiPriority w:val="0"/>
    <w:pPr>
      <w:spacing w:line="360" w:lineRule="auto"/>
      <w:jc w:val="center"/>
    </w:pPr>
    <w:rPr>
      <w:rFonts w:ascii="宋体" w:hAnsi="宋体" w:eastAsia="仿宋_GB2312" w:cs="宋体"/>
      <w:sz w:val="24"/>
    </w:rPr>
  </w:style>
  <w:style w:type="character" w:customStyle="1" w:styleId="518">
    <w:name w:val="样式1 Char"/>
    <w:basedOn w:val="61"/>
    <w:link w:val="519"/>
    <w:qFormat/>
    <w:uiPriority w:val="0"/>
    <w:rPr>
      <w:rFonts w:ascii="仿宋_GB2312" w:hAnsi="宋体" w:eastAsia="仿宋_GB2312" w:cs="宋体"/>
      <w:sz w:val="28"/>
      <w:szCs w:val="24"/>
    </w:rPr>
  </w:style>
  <w:style w:type="paragraph" w:customStyle="1" w:styleId="519">
    <w:name w:val="样式1"/>
    <w:basedOn w:val="1"/>
    <w:link w:val="518"/>
    <w:qFormat/>
    <w:uiPriority w:val="0"/>
    <w:pPr>
      <w:spacing w:line="500" w:lineRule="exact"/>
    </w:pPr>
    <w:rPr>
      <w:rFonts w:ascii="仿宋_GB2312" w:hAnsi="宋体" w:eastAsia="仿宋_GB2312" w:cs="宋体"/>
      <w:sz w:val="28"/>
    </w:rPr>
  </w:style>
  <w:style w:type="character" w:customStyle="1" w:styleId="520">
    <w:name w:val="称呼 字符"/>
    <w:basedOn w:val="61"/>
    <w:link w:val="20"/>
    <w:qFormat/>
    <w:uiPriority w:val="0"/>
    <w:rPr>
      <w:rFonts w:ascii="宋体" w:hAnsi="宋体" w:cs="宋体"/>
      <w:szCs w:val="24"/>
    </w:rPr>
  </w:style>
  <w:style w:type="character" w:customStyle="1" w:styleId="521">
    <w:name w:val="文字 Char"/>
    <w:basedOn w:val="61"/>
    <w:link w:val="522"/>
    <w:qFormat/>
    <w:uiPriority w:val="0"/>
    <w:rPr>
      <w:rFonts w:ascii="宋体" w:hAnsi="宋体" w:cs="宋体"/>
      <w:sz w:val="24"/>
      <w:szCs w:val="24"/>
    </w:rPr>
  </w:style>
  <w:style w:type="paragraph" w:customStyle="1" w:styleId="522">
    <w:name w:val="文字"/>
    <w:basedOn w:val="1"/>
    <w:link w:val="521"/>
    <w:qFormat/>
    <w:uiPriority w:val="0"/>
    <w:pPr>
      <w:widowControl/>
      <w:spacing w:afterLines="50" w:line="360" w:lineRule="auto"/>
      <w:ind w:firstLine="420"/>
    </w:pPr>
    <w:rPr>
      <w:rFonts w:ascii="宋体" w:hAnsi="宋体" w:cs="宋体" w:eastAsiaTheme="minorEastAsia"/>
      <w:sz w:val="24"/>
    </w:rPr>
  </w:style>
  <w:style w:type="character" w:customStyle="1" w:styleId="523">
    <w:name w:val="样式8 Char Char"/>
    <w:basedOn w:val="61"/>
    <w:link w:val="524"/>
    <w:qFormat/>
    <w:uiPriority w:val="0"/>
    <w:rPr>
      <w:rFonts w:ascii="宋体" w:hAnsi="宋体" w:cs="宋体"/>
      <w:sz w:val="24"/>
      <w:szCs w:val="26"/>
    </w:rPr>
  </w:style>
  <w:style w:type="paragraph" w:customStyle="1" w:styleId="524">
    <w:name w:val="样式8"/>
    <w:basedOn w:val="1"/>
    <w:link w:val="523"/>
    <w:qFormat/>
    <w:uiPriority w:val="0"/>
    <w:pPr>
      <w:ind w:firstLine="499"/>
    </w:pPr>
    <w:rPr>
      <w:rFonts w:ascii="宋体" w:hAnsi="宋体" w:cs="宋体" w:eastAsiaTheme="minorEastAsia"/>
      <w:sz w:val="24"/>
      <w:szCs w:val="26"/>
    </w:rPr>
  </w:style>
  <w:style w:type="character" w:customStyle="1" w:styleId="525">
    <w:name w:val="批注框文本 字符"/>
    <w:link w:val="35"/>
    <w:qFormat/>
    <w:uiPriority w:val="0"/>
    <w:rPr>
      <w:sz w:val="18"/>
      <w:szCs w:val="18"/>
    </w:rPr>
  </w:style>
  <w:style w:type="character" w:customStyle="1" w:styleId="526">
    <w:name w:val="样式 标题 2_Heading 2HEAD_2HEAD_21HEAD_22HEAD_211HEAD_23HEAD_... Char"/>
    <w:link w:val="527"/>
    <w:qFormat/>
    <w:uiPriority w:val="0"/>
    <w:rPr>
      <w:rFonts w:hAnsi="宋体"/>
      <w:b/>
      <w:snapToGrid w:val="0"/>
      <w:color w:val="000000"/>
      <w:sz w:val="24"/>
      <w:szCs w:val="24"/>
    </w:rPr>
  </w:style>
  <w:style w:type="paragraph" w:customStyle="1" w:styleId="527">
    <w:name w:val="样式 标题 2_Heading 2HEAD_2HEAD_21HEAD_22HEAD_211HEAD_23HEAD_..."/>
    <w:basedOn w:val="4"/>
    <w:link w:val="526"/>
    <w:qFormat/>
    <w:uiPriority w:val="0"/>
    <w:pPr>
      <w:keepNext w:val="0"/>
      <w:keepLines w:val="0"/>
      <w:widowControl/>
      <w:adjustRightInd w:val="0"/>
      <w:snapToGrid w:val="0"/>
      <w:spacing w:before="0" w:after="0" w:line="460" w:lineRule="exact"/>
      <w:ind w:firstLine="445" w:firstLineChars="196"/>
      <w:jc w:val="left"/>
    </w:pPr>
    <w:rPr>
      <w:rFonts w:hAnsi="宋体" w:asciiTheme="minorHAnsi" w:eastAsiaTheme="minorEastAsia" w:cstheme="minorBidi"/>
      <w:bCs w:val="0"/>
      <w:snapToGrid w:val="0"/>
      <w:color w:val="000000"/>
      <w:sz w:val="24"/>
      <w:szCs w:val="24"/>
    </w:rPr>
  </w:style>
  <w:style w:type="character" w:customStyle="1" w:styleId="528">
    <w:name w:val="样式 标题 2标题 2 Char Char节标题标题 2 Char1节1标题 2 Char标题 2 Char Ch... Char"/>
    <w:link w:val="529"/>
    <w:qFormat/>
    <w:uiPriority w:val="0"/>
    <w:rPr>
      <w:rFonts w:ascii="宋体" w:hAnsi="宋体"/>
      <w:bCs/>
      <w:color w:val="FF0000"/>
      <w:sz w:val="24"/>
      <w:szCs w:val="24"/>
    </w:rPr>
  </w:style>
  <w:style w:type="paragraph" w:customStyle="1" w:styleId="529">
    <w:name w:val="样式 标题 2标题 2 Char Char节标题标题 2 Char1节1标题 2 Char标题 2 Char Ch..."/>
    <w:basedOn w:val="4"/>
    <w:link w:val="528"/>
    <w:qFormat/>
    <w:uiPriority w:val="0"/>
    <w:pPr>
      <w:spacing w:before="100" w:beforeAutospacing="1" w:after="100" w:afterAutospacing="1" w:line="360" w:lineRule="auto"/>
      <w:ind w:firstLine="240"/>
      <w:jc w:val="left"/>
    </w:pPr>
    <w:rPr>
      <w:rFonts w:ascii="宋体" w:hAnsi="宋体" w:eastAsiaTheme="minorEastAsia" w:cstheme="minorBidi"/>
      <w:b w:val="0"/>
      <w:color w:val="FF0000"/>
      <w:sz w:val="24"/>
      <w:szCs w:val="24"/>
    </w:rPr>
  </w:style>
  <w:style w:type="character" w:customStyle="1" w:styleId="530">
    <w:name w:val="样式 样式1 + Char"/>
    <w:link w:val="531"/>
    <w:qFormat/>
    <w:uiPriority w:val="0"/>
    <w:rPr>
      <w:sz w:val="24"/>
      <w:szCs w:val="24"/>
    </w:rPr>
  </w:style>
  <w:style w:type="paragraph" w:customStyle="1" w:styleId="531">
    <w:name w:val="样式 样式1 +"/>
    <w:basedOn w:val="519"/>
    <w:link w:val="530"/>
    <w:qFormat/>
    <w:uiPriority w:val="0"/>
    <w:pPr>
      <w:spacing w:line="480" w:lineRule="exact"/>
      <w:ind w:firstLine="200" w:firstLineChars="200"/>
    </w:pPr>
    <w:rPr>
      <w:rFonts w:asciiTheme="minorHAnsi" w:hAnsiTheme="minorHAnsi" w:eastAsiaTheme="minorEastAsia" w:cstheme="minorBidi"/>
      <w:sz w:val="24"/>
    </w:rPr>
  </w:style>
  <w:style w:type="character" w:customStyle="1" w:styleId="532">
    <w:name w:val="1) Char"/>
    <w:basedOn w:val="275"/>
    <w:link w:val="533"/>
    <w:qFormat/>
    <w:uiPriority w:val="0"/>
    <w:rPr>
      <w:rFonts w:ascii="宋体" w:hAnsi="宋体" w:cs="宋体"/>
      <w:sz w:val="28"/>
      <w:szCs w:val="26"/>
    </w:rPr>
  </w:style>
  <w:style w:type="paragraph" w:customStyle="1" w:styleId="533">
    <w:name w:val="1)"/>
    <w:basedOn w:val="276"/>
    <w:link w:val="532"/>
    <w:qFormat/>
    <w:uiPriority w:val="0"/>
    <w:pPr>
      <w:ind w:firstLine="845"/>
    </w:pPr>
  </w:style>
  <w:style w:type="character" w:customStyle="1" w:styleId="534">
    <w:name w:val="设计四号 Char"/>
    <w:basedOn w:val="61"/>
    <w:link w:val="535"/>
    <w:qFormat/>
    <w:uiPriority w:val="0"/>
    <w:rPr>
      <w:rFonts w:ascii="仿宋_GB2312" w:hAnsi="仿宋_GB2312" w:eastAsia="仿宋_GB2312" w:cs="宋体"/>
      <w:bCs/>
      <w:sz w:val="28"/>
      <w:szCs w:val="26"/>
    </w:rPr>
  </w:style>
  <w:style w:type="paragraph" w:customStyle="1" w:styleId="535">
    <w:name w:val="设计四号"/>
    <w:basedOn w:val="1"/>
    <w:link w:val="534"/>
    <w:qFormat/>
    <w:uiPriority w:val="0"/>
    <w:pPr>
      <w:adjustRightInd w:val="0"/>
      <w:snapToGrid w:val="0"/>
      <w:spacing w:before="120" w:line="500" w:lineRule="atLeast"/>
      <w:ind w:firstLine="624"/>
      <w:jc w:val="left"/>
      <w:textAlignment w:val="baseline"/>
    </w:pPr>
    <w:rPr>
      <w:rFonts w:ascii="仿宋_GB2312" w:hAnsi="仿宋_GB2312" w:eastAsia="仿宋_GB2312" w:cs="宋体"/>
      <w:bCs/>
      <w:sz w:val="28"/>
      <w:szCs w:val="26"/>
    </w:rPr>
  </w:style>
  <w:style w:type="character" w:customStyle="1" w:styleId="536">
    <w:name w:val="分目录2 Char"/>
    <w:basedOn w:val="470"/>
    <w:link w:val="537"/>
    <w:qFormat/>
    <w:uiPriority w:val="0"/>
    <w:rPr>
      <w:rFonts w:ascii="宋体" w:hAnsi="宋体" w:cs="宋体"/>
      <w:snapToGrid w:val="0"/>
      <w:sz w:val="24"/>
      <w:szCs w:val="26"/>
    </w:rPr>
  </w:style>
  <w:style w:type="paragraph" w:customStyle="1" w:styleId="537">
    <w:name w:val="分目录2"/>
    <w:basedOn w:val="471"/>
    <w:link w:val="536"/>
    <w:qFormat/>
    <w:uiPriority w:val="0"/>
    <w:pPr>
      <w:ind w:firstLine="480" w:firstLineChars="200"/>
    </w:pPr>
    <w:rPr>
      <w:sz w:val="24"/>
    </w:rPr>
  </w:style>
  <w:style w:type="character" w:customStyle="1" w:styleId="538">
    <w:name w:val="4号宋体左齐行距1.5倍 Char"/>
    <w:basedOn w:val="61"/>
    <w:qFormat/>
    <w:uiPriority w:val="0"/>
    <w:rPr>
      <w:rFonts w:ascii="黑体" w:hAnsi="宋体" w:eastAsia="黑体" w:cs="宋体"/>
      <w:spacing w:val="6"/>
      <w:kern w:val="2"/>
      <w:sz w:val="30"/>
      <w:szCs w:val="30"/>
      <w:lang w:val="en-US" w:eastAsia="zh-CN" w:bidi="ar-SA"/>
    </w:rPr>
  </w:style>
  <w:style w:type="character" w:customStyle="1" w:styleId="539">
    <w:name w:val="普通文字 Char Char Char1"/>
    <w:basedOn w:val="61"/>
    <w:qFormat/>
    <w:uiPriority w:val="0"/>
    <w:rPr>
      <w:rFonts w:ascii="宋体" w:hAnsi="Courier New" w:eastAsia="宋体" w:cs="Courier New"/>
      <w:kern w:val="2"/>
      <w:sz w:val="21"/>
      <w:szCs w:val="21"/>
      <w:lang w:val="en-US" w:eastAsia="zh-CN" w:bidi="ar-SA"/>
    </w:rPr>
  </w:style>
  <w:style w:type="character" w:customStyle="1" w:styleId="540">
    <w:name w:val="标题 1 字符"/>
    <w:link w:val="3"/>
    <w:qFormat/>
    <w:uiPriority w:val="0"/>
    <w:rPr>
      <w:rFonts w:ascii="Times New Roman" w:hAnsi="Times New Roman" w:eastAsia="宋体" w:cs="Times New Roman"/>
      <w:sz w:val="44"/>
      <w:szCs w:val="24"/>
    </w:rPr>
  </w:style>
  <w:style w:type="character" w:customStyle="1" w:styleId="541">
    <w:name w:val="正文！！！！！ Char"/>
    <w:basedOn w:val="61"/>
    <w:link w:val="542"/>
    <w:qFormat/>
    <w:uiPriority w:val="0"/>
    <w:rPr>
      <w:rFonts w:ascii="宋体" w:hAnsi="宋体" w:cs="宋体"/>
      <w:snapToGrid w:val="0"/>
      <w:sz w:val="24"/>
      <w:szCs w:val="24"/>
    </w:rPr>
  </w:style>
  <w:style w:type="paragraph" w:customStyle="1" w:styleId="542">
    <w:name w:val="正文！！！！！"/>
    <w:basedOn w:val="154"/>
    <w:link w:val="541"/>
    <w:qFormat/>
    <w:uiPriority w:val="0"/>
    <w:pPr>
      <w:adjustRightInd w:val="0"/>
      <w:snapToGrid w:val="0"/>
      <w:spacing w:line="360" w:lineRule="auto"/>
    </w:pPr>
    <w:rPr>
      <w:rFonts w:ascii="宋体" w:hAnsi="宋体" w:eastAsiaTheme="minorEastAsia"/>
      <w:snapToGrid w:val="0"/>
    </w:rPr>
  </w:style>
  <w:style w:type="character" w:customStyle="1" w:styleId="543">
    <w:name w:val="样式 首行缩进:  0.85 厘米 Char1"/>
    <w:basedOn w:val="61"/>
    <w:link w:val="544"/>
    <w:qFormat/>
    <w:uiPriority w:val="0"/>
    <w:rPr>
      <w:rFonts w:ascii="楷体_GB2312" w:hAnsi="楷体_GB2312" w:eastAsia="楷体_GB2312" w:cs="宋体"/>
      <w:sz w:val="24"/>
      <w:szCs w:val="24"/>
    </w:rPr>
  </w:style>
  <w:style w:type="paragraph" w:customStyle="1" w:styleId="544">
    <w:name w:val="样式 首行缩进:  0.85 厘米"/>
    <w:basedOn w:val="1"/>
    <w:link w:val="543"/>
    <w:qFormat/>
    <w:uiPriority w:val="0"/>
    <w:pPr>
      <w:spacing w:line="500" w:lineRule="exact"/>
      <w:ind w:firstLine="200" w:firstLineChars="200"/>
    </w:pPr>
    <w:rPr>
      <w:rFonts w:ascii="楷体_GB2312" w:hAnsi="楷体_GB2312" w:eastAsia="楷体_GB2312" w:cs="宋体"/>
      <w:sz w:val="24"/>
    </w:rPr>
  </w:style>
  <w:style w:type="character" w:customStyle="1" w:styleId="545">
    <w:name w:val="hb4 Char"/>
    <w:basedOn w:val="61"/>
    <w:link w:val="546"/>
    <w:qFormat/>
    <w:uiPriority w:val="0"/>
    <w:rPr>
      <w:rFonts w:ascii="宋体" w:hAnsi="宋体" w:eastAsia="宋体" w:cs="宋体"/>
      <w:b/>
      <w:sz w:val="24"/>
      <w:szCs w:val="24"/>
    </w:rPr>
  </w:style>
  <w:style w:type="paragraph" w:customStyle="1" w:styleId="546">
    <w:name w:val="hb4"/>
    <w:basedOn w:val="2"/>
    <w:link w:val="545"/>
    <w:qFormat/>
    <w:uiPriority w:val="0"/>
    <w:pPr>
      <w:keepNext/>
      <w:keepLines/>
      <w:wordWrap/>
      <w:autoSpaceDN/>
      <w:spacing w:before="360" w:after="360" w:line="240" w:lineRule="auto"/>
      <w:ind w:firstLine="0" w:firstLineChars="0"/>
    </w:pPr>
    <w:rPr>
      <w:rFonts w:ascii="宋体" w:hAnsi="宋体" w:eastAsia="宋体" w:cs="宋体"/>
      <w:b/>
      <w:bCs w:val="0"/>
      <w:color w:val="auto"/>
      <w:szCs w:val="24"/>
    </w:rPr>
  </w:style>
  <w:style w:type="paragraph" w:customStyle="1" w:styleId="547">
    <w:name w:val="Default"/>
    <w:link w:val="780"/>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548">
    <w:name w:val="称呼 Char1"/>
    <w:basedOn w:val="61"/>
    <w:semiHidden/>
    <w:qFormat/>
    <w:uiPriority w:val="0"/>
    <w:rPr>
      <w:rFonts w:ascii="Times New Roman" w:hAnsi="Times New Roman" w:eastAsia="宋体" w:cs="Times New Roman"/>
      <w:szCs w:val="24"/>
    </w:rPr>
  </w:style>
  <w:style w:type="character" w:customStyle="1" w:styleId="549">
    <w:name w:val="文档结构图 Char2"/>
    <w:basedOn w:val="61"/>
    <w:semiHidden/>
    <w:qFormat/>
    <w:uiPriority w:val="0"/>
    <w:rPr>
      <w:rFonts w:ascii="宋体" w:hAnsi="Times New Roman" w:eastAsia="宋体" w:cs="Times New Roman"/>
      <w:sz w:val="18"/>
      <w:szCs w:val="18"/>
    </w:rPr>
  </w:style>
  <w:style w:type="character" w:customStyle="1" w:styleId="550">
    <w:name w:val="注释标题 Char1"/>
    <w:basedOn w:val="61"/>
    <w:semiHidden/>
    <w:qFormat/>
    <w:uiPriority w:val="0"/>
    <w:rPr>
      <w:rFonts w:ascii="Times New Roman" w:hAnsi="Times New Roman" w:eastAsia="宋体" w:cs="Times New Roman"/>
      <w:szCs w:val="24"/>
    </w:rPr>
  </w:style>
  <w:style w:type="character" w:customStyle="1" w:styleId="551">
    <w:name w:val="正文文本 字符"/>
    <w:basedOn w:val="61"/>
    <w:link w:val="23"/>
    <w:semiHidden/>
    <w:qFormat/>
    <w:uiPriority w:val="0"/>
    <w:rPr>
      <w:rFonts w:ascii="Times New Roman" w:hAnsi="Times New Roman" w:eastAsia="宋体" w:cs="Times New Roman"/>
      <w:szCs w:val="24"/>
    </w:rPr>
  </w:style>
  <w:style w:type="character" w:customStyle="1" w:styleId="552">
    <w:name w:val="正文首行缩进 Char1"/>
    <w:basedOn w:val="551"/>
    <w:semiHidden/>
    <w:qFormat/>
    <w:uiPriority w:val="0"/>
    <w:rPr>
      <w:rFonts w:ascii="Times New Roman" w:hAnsi="Times New Roman" w:eastAsia="宋体" w:cs="Times New Roman"/>
      <w:szCs w:val="24"/>
    </w:rPr>
  </w:style>
  <w:style w:type="character" w:customStyle="1" w:styleId="553">
    <w:name w:val="正文文本缩进 Char1"/>
    <w:basedOn w:val="61"/>
    <w:semiHidden/>
    <w:qFormat/>
    <w:uiPriority w:val="0"/>
    <w:rPr>
      <w:rFonts w:ascii="Times New Roman" w:hAnsi="Times New Roman" w:eastAsia="宋体" w:cs="Times New Roman"/>
      <w:szCs w:val="24"/>
    </w:rPr>
  </w:style>
  <w:style w:type="character" w:customStyle="1" w:styleId="554">
    <w:name w:val="结束语 Char1"/>
    <w:basedOn w:val="61"/>
    <w:semiHidden/>
    <w:qFormat/>
    <w:uiPriority w:val="0"/>
    <w:rPr>
      <w:rFonts w:ascii="Times New Roman" w:hAnsi="Times New Roman" w:eastAsia="宋体" w:cs="Times New Roman"/>
      <w:szCs w:val="24"/>
    </w:rPr>
  </w:style>
  <w:style w:type="character" w:customStyle="1" w:styleId="555">
    <w:name w:val="批注文字 Char1"/>
    <w:basedOn w:val="61"/>
    <w:semiHidden/>
    <w:qFormat/>
    <w:uiPriority w:val="0"/>
    <w:rPr>
      <w:rFonts w:ascii="Times New Roman" w:hAnsi="Times New Roman" w:eastAsia="宋体" w:cs="Times New Roman"/>
      <w:szCs w:val="24"/>
    </w:rPr>
  </w:style>
  <w:style w:type="character" w:customStyle="1" w:styleId="556">
    <w:name w:val="批注主题 字符"/>
    <w:basedOn w:val="555"/>
    <w:link w:val="56"/>
    <w:qFormat/>
    <w:uiPriority w:val="0"/>
    <w:rPr>
      <w:rFonts w:ascii="宋体" w:hAnsi="宋体" w:eastAsia="宋体" w:cs="宋体"/>
      <w:b/>
      <w:bCs/>
      <w:szCs w:val="24"/>
    </w:rPr>
  </w:style>
  <w:style w:type="character" w:customStyle="1" w:styleId="557">
    <w:name w:val="HTML 地址 Char1"/>
    <w:basedOn w:val="61"/>
    <w:semiHidden/>
    <w:qFormat/>
    <w:uiPriority w:val="0"/>
    <w:rPr>
      <w:rFonts w:ascii="Times New Roman" w:hAnsi="Times New Roman" w:eastAsia="宋体" w:cs="Times New Roman"/>
      <w:i/>
      <w:iCs/>
      <w:szCs w:val="24"/>
    </w:rPr>
  </w:style>
  <w:style w:type="paragraph" w:customStyle="1" w:styleId="558">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559">
    <w:name w:val="正文文本 3 Char1"/>
    <w:basedOn w:val="61"/>
    <w:semiHidden/>
    <w:qFormat/>
    <w:uiPriority w:val="0"/>
    <w:rPr>
      <w:rFonts w:ascii="Times New Roman" w:hAnsi="Times New Roman" w:eastAsia="宋体" w:cs="Times New Roman"/>
      <w:sz w:val="16"/>
      <w:szCs w:val="16"/>
    </w:rPr>
  </w:style>
  <w:style w:type="character" w:customStyle="1" w:styleId="560">
    <w:name w:val="电子邮件签名 Char1"/>
    <w:basedOn w:val="61"/>
    <w:semiHidden/>
    <w:qFormat/>
    <w:uiPriority w:val="0"/>
    <w:rPr>
      <w:rFonts w:ascii="Times New Roman" w:hAnsi="Times New Roman" w:eastAsia="宋体" w:cs="Times New Roman"/>
      <w:szCs w:val="24"/>
    </w:rPr>
  </w:style>
  <w:style w:type="character" w:customStyle="1" w:styleId="561">
    <w:name w:val="日期 Char1"/>
    <w:basedOn w:val="61"/>
    <w:semiHidden/>
    <w:qFormat/>
    <w:uiPriority w:val="0"/>
    <w:rPr>
      <w:rFonts w:ascii="Times New Roman" w:hAnsi="Times New Roman" w:eastAsia="宋体" w:cs="Times New Roman"/>
      <w:szCs w:val="24"/>
    </w:rPr>
  </w:style>
  <w:style w:type="character" w:customStyle="1" w:styleId="562">
    <w:name w:val="副标题 Char1"/>
    <w:basedOn w:val="61"/>
    <w:qFormat/>
    <w:uiPriority w:val="0"/>
    <w:rPr>
      <w:rFonts w:eastAsia="宋体" w:asciiTheme="majorHAnsi" w:hAnsiTheme="majorHAnsi" w:cstheme="majorBidi"/>
      <w:b/>
      <w:bCs/>
      <w:kern w:val="28"/>
      <w:sz w:val="32"/>
      <w:szCs w:val="32"/>
    </w:rPr>
  </w:style>
  <w:style w:type="character" w:customStyle="1" w:styleId="563">
    <w:name w:val="正文文本缩进 2 字符"/>
    <w:basedOn w:val="61"/>
    <w:link w:val="33"/>
    <w:qFormat/>
    <w:uiPriority w:val="0"/>
    <w:rPr>
      <w:rFonts w:ascii="宋体" w:hAnsi="宋体" w:eastAsia="宋体" w:cs="Times New Roman"/>
      <w:sz w:val="24"/>
      <w:szCs w:val="24"/>
    </w:rPr>
  </w:style>
  <w:style w:type="character" w:customStyle="1" w:styleId="564">
    <w:name w:val="HTML 预设格式 Char1"/>
    <w:basedOn w:val="61"/>
    <w:semiHidden/>
    <w:qFormat/>
    <w:uiPriority w:val="0"/>
    <w:rPr>
      <w:rFonts w:ascii="Courier New" w:hAnsi="Courier New" w:eastAsia="宋体" w:cs="Courier New"/>
      <w:sz w:val="20"/>
      <w:szCs w:val="20"/>
    </w:rPr>
  </w:style>
  <w:style w:type="character" w:customStyle="1" w:styleId="565">
    <w:name w:val="正文文本 2 Char1"/>
    <w:basedOn w:val="61"/>
    <w:semiHidden/>
    <w:qFormat/>
    <w:uiPriority w:val="0"/>
    <w:rPr>
      <w:rFonts w:ascii="Times New Roman" w:hAnsi="Times New Roman" w:eastAsia="宋体" w:cs="Times New Roman"/>
      <w:szCs w:val="24"/>
    </w:rPr>
  </w:style>
  <w:style w:type="character" w:customStyle="1" w:styleId="566">
    <w:name w:val="脚注文本 Char1"/>
    <w:basedOn w:val="61"/>
    <w:semiHidden/>
    <w:qFormat/>
    <w:uiPriority w:val="0"/>
    <w:rPr>
      <w:rFonts w:ascii="Times New Roman" w:hAnsi="Times New Roman" w:eastAsia="宋体" w:cs="Times New Roman"/>
      <w:sz w:val="18"/>
      <w:szCs w:val="18"/>
    </w:rPr>
  </w:style>
  <w:style w:type="character" w:customStyle="1" w:styleId="567">
    <w:name w:val="批注框文本 Char1"/>
    <w:basedOn w:val="61"/>
    <w:semiHidden/>
    <w:qFormat/>
    <w:uiPriority w:val="99"/>
    <w:rPr>
      <w:rFonts w:ascii="Times New Roman" w:hAnsi="Times New Roman" w:eastAsia="宋体" w:cs="Times New Roman"/>
      <w:sz w:val="18"/>
      <w:szCs w:val="18"/>
    </w:rPr>
  </w:style>
  <w:style w:type="character" w:customStyle="1" w:styleId="568">
    <w:name w:val="签名 Char1"/>
    <w:basedOn w:val="61"/>
    <w:semiHidden/>
    <w:qFormat/>
    <w:uiPriority w:val="0"/>
    <w:rPr>
      <w:rFonts w:ascii="Times New Roman" w:hAnsi="Times New Roman" w:eastAsia="宋体" w:cs="Times New Roman"/>
      <w:szCs w:val="24"/>
    </w:rPr>
  </w:style>
  <w:style w:type="character" w:customStyle="1" w:styleId="569">
    <w:name w:val="信息标题 Char1"/>
    <w:basedOn w:val="61"/>
    <w:semiHidden/>
    <w:qFormat/>
    <w:uiPriority w:val="0"/>
    <w:rPr>
      <w:rFonts w:asciiTheme="majorHAnsi" w:hAnsiTheme="majorHAnsi" w:eastAsiaTheme="majorEastAsia" w:cstheme="majorBidi"/>
      <w:sz w:val="24"/>
      <w:szCs w:val="24"/>
      <w:shd w:val="pct20" w:color="auto" w:fill="auto"/>
    </w:rPr>
  </w:style>
  <w:style w:type="character" w:customStyle="1" w:styleId="570">
    <w:name w:val="正文文本缩进 3 Char1"/>
    <w:basedOn w:val="61"/>
    <w:semiHidden/>
    <w:qFormat/>
    <w:uiPriority w:val="0"/>
    <w:rPr>
      <w:rFonts w:ascii="Times New Roman" w:hAnsi="Times New Roman" w:eastAsia="宋体" w:cs="Times New Roman"/>
      <w:sz w:val="16"/>
      <w:szCs w:val="16"/>
    </w:rPr>
  </w:style>
  <w:style w:type="character" w:customStyle="1" w:styleId="571">
    <w:name w:val="正文首行缩进 2 Char1"/>
    <w:basedOn w:val="553"/>
    <w:semiHidden/>
    <w:qFormat/>
    <w:uiPriority w:val="99"/>
    <w:rPr>
      <w:rFonts w:ascii="Times New Roman" w:hAnsi="Times New Roman" w:eastAsia="宋体" w:cs="Times New Roman"/>
      <w:szCs w:val="24"/>
    </w:rPr>
  </w:style>
  <w:style w:type="character" w:customStyle="1" w:styleId="572">
    <w:name w:val="纯文本 Char2"/>
    <w:basedOn w:val="61"/>
    <w:semiHidden/>
    <w:qFormat/>
    <w:uiPriority w:val="0"/>
    <w:rPr>
      <w:rFonts w:ascii="宋体" w:hAnsi="Courier New" w:eastAsia="宋体" w:cs="Courier New"/>
      <w:szCs w:val="21"/>
    </w:rPr>
  </w:style>
  <w:style w:type="character" w:customStyle="1" w:styleId="573">
    <w:name w:val="尾注文本 Char1"/>
    <w:basedOn w:val="61"/>
    <w:semiHidden/>
    <w:qFormat/>
    <w:uiPriority w:val="0"/>
    <w:rPr>
      <w:rFonts w:ascii="Times New Roman" w:hAnsi="Times New Roman" w:eastAsia="宋体" w:cs="Times New Roman"/>
      <w:szCs w:val="24"/>
    </w:rPr>
  </w:style>
  <w:style w:type="character" w:customStyle="1" w:styleId="574">
    <w:name w:val="标题 Char1"/>
    <w:basedOn w:val="61"/>
    <w:qFormat/>
    <w:uiPriority w:val="0"/>
    <w:rPr>
      <w:rFonts w:eastAsia="宋体" w:asciiTheme="majorHAnsi" w:hAnsiTheme="majorHAnsi" w:cstheme="majorBidi"/>
      <w:b/>
      <w:bCs/>
      <w:sz w:val="32"/>
      <w:szCs w:val="32"/>
    </w:rPr>
  </w:style>
  <w:style w:type="paragraph" w:customStyle="1" w:styleId="575">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18"/>
      <w:szCs w:val="18"/>
    </w:rPr>
  </w:style>
  <w:style w:type="paragraph" w:customStyle="1" w:styleId="576">
    <w:name w:val="样式2"/>
    <w:basedOn w:val="1"/>
    <w:qFormat/>
    <w:uiPriority w:val="99"/>
    <w:pPr>
      <w:adjustRightInd w:val="0"/>
      <w:ind w:left="170"/>
      <w:jc w:val="left"/>
    </w:pPr>
    <w:rPr>
      <w:b/>
      <w:kern w:val="0"/>
      <w:sz w:val="24"/>
      <w:szCs w:val="20"/>
    </w:rPr>
  </w:style>
  <w:style w:type="paragraph" w:customStyle="1" w:styleId="577">
    <w:name w:val="Char Char Char Char Char Char Char Char Char Char Char Char Char Char Char Char Char Char Char Char Char Char Char Char"/>
    <w:basedOn w:val="1"/>
    <w:qFormat/>
    <w:uiPriority w:val="0"/>
    <w:pPr>
      <w:widowControl/>
      <w:spacing w:line="360" w:lineRule="auto"/>
      <w:jc w:val="left"/>
    </w:pPr>
    <w:rPr>
      <w:szCs w:val="21"/>
    </w:rPr>
  </w:style>
  <w:style w:type="paragraph" w:styleId="578">
    <w:name w:val="List Paragraph"/>
    <w:basedOn w:val="1"/>
    <w:qFormat/>
    <w:uiPriority w:val="34"/>
    <w:pPr>
      <w:spacing w:line="360" w:lineRule="auto"/>
      <w:ind w:firstLine="420" w:firstLineChars="200"/>
    </w:pPr>
    <w:rPr>
      <w:sz w:val="24"/>
      <w:szCs w:val="20"/>
    </w:rPr>
  </w:style>
  <w:style w:type="paragraph" w:customStyle="1" w:styleId="579">
    <w:name w:val="表正文"/>
    <w:basedOn w:val="1"/>
    <w:qFormat/>
    <w:uiPriority w:val="0"/>
    <w:pPr>
      <w:keepNext/>
      <w:spacing w:line="320" w:lineRule="exact"/>
      <w:jc w:val="center"/>
    </w:pPr>
    <w:rPr>
      <w:rFonts w:eastAsia="仿宋_GB2312"/>
      <w:bCs/>
      <w:sz w:val="28"/>
      <w:szCs w:val="16"/>
    </w:rPr>
  </w:style>
  <w:style w:type="paragraph" w:customStyle="1" w:styleId="580">
    <w:name w:val="节"/>
    <w:basedOn w:val="6"/>
    <w:next w:val="1"/>
    <w:qFormat/>
    <w:uiPriority w:val="0"/>
    <w:pPr>
      <w:spacing w:line="480" w:lineRule="exact"/>
      <w:ind w:firstLine="560" w:firstLineChars="200"/>
    </w:pPr>
    <w:rPr>
      <w:rFonts w:ascii="宋体"/>
    </w:rPr>
  </w:style>
  <w:style w:type="paragraph" w:customStyle="1" w:styleId="581">
    <w:name w:val="样式 标题 23号宋体居中行距2倍三号宋体居中行距2倍标题 2 Char Char Char Char节3号宋体居中2...2"/>
    <w:basedOn w:val="4"/>
    <w:qFormat/>
    <w:uiPriority w:val="0"/>
    <w:pPr>
      <w:keepLines w:val="0"/>
      <w:adjustRightInd w:val="0"/>
      <w:snapToGrid w:val="0"/>
      <w:spacing w:before="100" w:beforeAutospacing="1" w:after="100" w:afterAutospacing="1" w:line="360" w:lineRule="auto"/>
      <w:ind w:left="882" w:hanging="567"/>
      <w:jc w:val="left"/>
    </w:pPr>
    <w:rPr>
      <w:rFonts w:ascii="宋体" w:hAnsi="宋体" w:eastAsia="宋体" w:cs="宋体"/>
      <w:color w:val="2E74B5"/>
      <w:sz w:val="30"/>
      <w:szCs w:val="30"/>
    </w:rPr>
  </w:style>
  <w:style w:type="paragraph" w:customStyle="1" w:styleId="582">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583">
    <w:name w:val="001"/>
    <w:basedOn w:val="1"/>
    <w:next w:val="1"/>
    <w:qFormat/>
    <w:uiPriority w:val="0"/>
    <w:pPr>
      <w:spacing w:line="480" w:lineRule="exact"/>
      <w:ind w:firstLine="200" w:firstLineChars="200"/>
    </w:pPr>
    <w:rPr>
      <w:rFonts w:ascii="宋体" w:hAnsi="宋体"/>
      <w:sz w:val="24"/>
    </w:rPr>
  </w:style>
  <w:style w:type="paragraph" w:customStyle="1" w:styleId="584">
    <w:name w:val="条"/>
    <w:basedOn w:val="7"/>
    <w:next w:val="1"/>
    <w:qFormat/>
    <w:uiPriority w:val="0"/>
    <w:pPr>
      <w:adjustRightInd/>
      <w:snapToGrid/>
      <w:spacing w:line="480" w:lineRule="exact"/>
      <w:ind w:firstLine="560" w:firstLineChars="200"/>
      <w:textAlignment w:val="auto"/>
    </w:pPr>
    <w:rPr>
      <w:rFonts w:ascii="宋体" w:eastAsia="宋体"/>
      <w:spacing w:val="0"/>
      <w:kern w:val="2"/>
      <w:sz w:val="28"/>
    </w:rPr>
  </w:style>
  <w:style w:type="paragraph" w:customStyle="1" w:styleId="585">
    <w:name w:val="正文位子1"/>
    <w:basedOn w:val="23"/>
    <w:qFormat/>
    <w:uiPriority w:val="0"/>
    <w:pPr>
      <w:wordWrap w:val="0"/>
      <w:topLinePunct/>
      <w:autoSpaceDN w:val="0"/>
      <w:spacing w:after="0"/>
      <w:jc w:val="center"/>
    </w:pPr>
    <w:rPr>
      <w:rFonts w:eastAsia="楷体_GB2312"/>
      <w:color w:val="000000"/>
      <w:w w:val="90"/>
    </w:rPr>
  </w:style>
  <w:style w:type="paragraph" w:customStyle="1" w:styleId="586">
    <w:name w:val="样式 1正文段落 + 黑色1"/>
    <w:basedOn w:val="1"/>
    <w:qFormat/>
    <w:uiPriority w:val="0"/>
    <w:pPr>
      <w:widowControl/>
      <w:spacing w:after="200" w:line="540" w:lineRule="exact"/>
      <w:ind w:firstLine="200" w:firstLineChars="200"/>
      <w:jc w:val="left"/>
    </w:pPr>
    <w:rPr>
      <w:rFonts w:ascii="宋体" w:hAnsi="宋体" w:eastAsia="华文中宋"/>
      <w:color w:val="000000"/>
      <w:spacing w:val="2"/>
      <w:kern w:val="0"/>
      <w:sz w:val="24"/>
      <w:szCs w:val="21"/>
    </w:rPr>
  </w:style>
  <w:style w:type="paragraph" w:customStyle="1" w:styleId="58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8">
    <w:name w:val="样式 小四"/>
    <w:basedOn w:val="1"/>
    <w:qFormat/>
    <w:uiPriority w:val="0"/>
    <w:pPr>
      <w:adjustRightInd w:val="0"/>
      <w:snapToGrid w:val="0"/>
      <w:spacing w:line="360" w:lineRule="auto"/>
      <w:ind w:firstLine="200" w:firstLineChars="200"/>
    </w:pPr>
    <w:rPr>
      <w:sz w:val="24"/>
    </w:rPr>
  </w:style>
  <w:style w:type="paragraph" w:customStyle="1" w:styleId="589">
    <w:name w:val="四号正文"/>
    <w:basedOn w:val="1"/>
    <w:qFormat/>
    <w:uiPriority w:val="0"/>
    <w:rPr>
      <w:sz w:val="28"/>
    </w:rPr>
  </w:style>
  <w:style w:type="paragraph" w:customStyle="1" w:styleId="590">
    <w:name w:val="标准正文"/>
    <w:basedOn w:val="1"/>
    <w:qFormat/>
    <w:uiPriority w:val="0"/>
    <w:pPr>
      <w:spacing w:line="360" w:lineRule="auto"/>
      <w:ind w:firstLine="480" w:firstLineChars="200"/>
      <w:jc w:val="left"/>
    </w:pPr>
    <w:rPr>
      <w:rFonts w:ascii="宋体"/>
      <w:sz w:val="28"/>
      <w:szCs w:val="22"/>
    </w:rPr>
  </w:style>
  <w:style w:type="paragraph" w:customStyle="1" w:styleId="591">
    <w:name w:val="表文字"/>
    <w:basedOn w:val="1"/>
    <w:qFormat/>
    <w:uiPriority w:val="0"/>
    <w:pPr>
      <w:topLinePunct/>
      <w:adjustRightInd w:val="0"/>
      <w:spacing w:line="240" w:lineRule="exact"/>
      <w:jc w:val="center"/>
      <w:textAlignment w:val="baseline"/>
    </w:pPr>
    <w:rPr>
      <w:szCs w:val="21"/>
    </w:rPr>
  </w:style>
  <w:style w:type="paragraph" w:customStyle="1" w:styleId="592">
    <w:name w:val="xl27"/>
    <w:basedOn w:val="1"/>
    <w:qFormat/>
    <w:uiPriority w:val="0"/>
    <w:pPr>
      <w:widowControl/>
      <w:spacing w:before="100" w:beforeAutospacing="1" w:after="100" w:afterAutospacing="1"/>
      <w:jc w:val="center"/>
    </w:pPr>
    <w:rPr>
      <w:rFonts w:eastAsia="Arial Unicode MS"/>
      <w:kern w:val="0"/>
      <w:szCs w:val="21"/>
    </w:rPr>
  </w:style>
  <w:style w:type="paragraph" w:customStyle="1" w:styleId="593">
    <w:name w:val="表后空行"/>
    <w:basedOn w:val="1"/>
    <w:next w:val="1"/>
    <w:qFormat/>
    <w:uiPriority w:val="0"/>
    <w:rPr>
      <w:kern w:val="18"/>
    </w:rPr>
  </w:style>
  <w:style w:type="paragraph" w:customStyle="1" w:styleId="594">
    <w:name w:val="CC Char Char Char Char Char Char"/>
    <w:basedOn w:val="33"/>
    <w:next w:val="33"/>
    <w:qFormat/>
    <w:uiPriority w:val="0"/>
    <w:pPr>
      <w:adjustRightInd/>
      <w:snapToGrid/>
      <w:spacing w:after="120" w:line="480" w:lineRule="auto"/>
      <w:ind w:left="630" w:leftChars="100" w:right="100" w:rightChars="100" w:firstLine="0"/>
    </w:pPr>
    <w:rPr>
      <w:rFonts w:ascii="Times New Roman" w:hAnsi="Times New Roman" w:eastAsia="黑体"/>
    </w:rPr>
  </w:style>
  <w:style w:type="paragraph" w:customStyle="1" w:styleId="595">
    <w:name w:val="样式 仿宋_GB2312 四号 黑色 行距: 1.5 倍行距"/>
    <w:basedOn w:val="1"/>
    <w:qFormat/>
    <w:uiPriority w:val="0"/>
    <w:pPr>
      <w:ind w:firstLine="200" w:firstLineChars="200"/>
    </w:pPr>
    <w:rPr>
      <w:rFonts w:ascii="仿宋_GB2312" w:hAnsi="宋体" w:eastAsia="仿宋_GB2312" w:cs="宋体"/>
      <w:color w:val="000000"/>
      <w:sz w:val="28"/>
      <w:szCs w:val="20"/>
    </w:rPr>
  </w:style>
  <w:style w:type="paragraph" w:customStyle="1" w:styleId="596">
    <w:name w:val="p0"/>
    <w:basedOn w:val="1"/>
    <w:qFormat/>
    <w:uiPriority w:val="0"/>
    <w:pPr>
      <w:widowControl/>
      <w:spacing w:line="520" w:lineRule="atLeast"/>
    </w:pPr>
    <w:rPr>
      <w:kern w:val="0"/>
      <w:sz w:val="26"/>
      <w:szCs w:val="26"/>
    </w:rPr>
  </w:style>
  <w:style w:type="paragraph" w:customStyle="1" w:styleId="597">
    <w:name w:val="图标题"/>
    <w:basedOn w:val="404"/>
    <w:qFormat/>
    <w:uiPriority w:val="0"/>
    <w:pPr>
      <w:widowControl/>
      <w:tabs>
        <w:tab w:val="clear" w:pos="6840"/>
      </w:tabs>
      <w:topLinePunct w:val="0"/>
      <w:snapToGrid/>
      <w:spacing w:beforeLines="25" w:line="360" w:lineRule="auto"/>
    </w:pPr>
    <w:rPr>
      <w:rFonts w:ascii="Arial" w:hAnsi="Arial" w:eastAsia="黑体"/>
      <w:b w:val="0"/>
      <w:kern w:val="2"/>
      <w:szCs w:val="24"/>
    </w:rPr>
  </w:style>
  <w:style w:type="paragraph" w:customStyle="1" w:styleId="598">
    <w:name w:val="默认段落字体 Para Char Char Char Char"/>
    <w:basedOn w:val="1"/>
    <w:qFormat/>
    <w:uiPriority w:val="0"/>
    <w:pPr>
      <w:spacing w:beforeLines="50" w:afterLines="50" w:line="360" w:lineRule="auto"/>
      <w:jc w:val="left"/>
    </w:pPr>
    <w:rPr>
      <w:rFonts w:eastAsia="黑体"/>
      <w:sz w:val="30"/>
    </w:rPr>
  </w:style>
  <w:style w:type="paragraph" w:customStyle="1" w:styleId="599">
    <w:name w:val="Char Char Char Char"/>
    <w:basedOn w:val="1"/>
    <w:qFormat/>
    <w:uiPriority w:val="0"/>
  </w:style>
  <w:style w:type="paragraph" w:customStyle="1" w:styleId="600">
    <w:name w:val="样式 正文首行缩进 + 首行缩进:  2 字符1"/>
    <w:basedOn w:val="57"/>
    <w:qFormat/>
    <w:uiPriority w:val="0"/>
    <w:pPr>
      <w:spacing w:after="0" w:line="360" w:lineRule="auto"/>
      <w:ind w:firstLine="480" w:firstLineChars="200"/>
    </w:pPr>
    <w:rPr>
      <w:sz w:val="24"/>
    </w:rPr>
  </w:style>
  <w:style w:type="paragraph" w:customStyle="1" w:styleId="601">
    <w:name w:val="1.1.1.1"/>
    <w:basedOn w:val="1"/>
    <w:qFormat/>
    <w:uiPriority w:val="0"/>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602">
    <w:name w:val="表格居中"/>
    <w:basedOn w:val="1"/>
    <w:qFormat/>
    <w:uiPriority w:val="0"/>
    <w:pPr>
      <w:adjustRightInd w:val="0"/>
      <w:spacing w:line="240" w:lineRule="exact"/>
      <w:jc w:val="center"/>
      <w:textAlignment w:val="baseline"/>
    </w:pPr>
    <w:rPr>
      <w:rFonts w:ascii="仿宋_GB2312" w:hAnsi="宋体" w:eastAsia="仿宋_GB2312"/>
      <w:bCs/>
      <w:kern w:val="0"/>
      <w:sz w:val="18"/>
      <w:szCs w:val="20"/>
    </w:rPr>
  </w:style>
  <w:style w:type="character" w:customStyle="1" w:styleId="603">
    <w:name w:val="引用 Char1"/>
    <w:basedOn w:val="61"/>
    <w:qFormat/>
    <w:uiPriority w:val="0"/>
    <w:rPr>
      <w:rFonts w:ascii="Times New Roman" w:hAnsi="Times New Roman" w:eastAsia="宋体" w:cs="Times New Roman"/>
      <w:i/>
      <w:iCs/>
      <w:color w:val="000000" w:themeColor="text1"/>
      <w:szCs w:val="24"/>
    </w:rPr>
  </w:style>
  <w:style w:type="paragraph" w:customStyle="1" w:styleId="604">
    <w:name w:val="Char Char11"/>
    <w:basedOn w:val="1"/>
    <w:qFormat/>
    <w:uiPriority w:val="0"/>
  </w:style>
  <w:style w:type="paragraph" w:customStyle="1" w:styleId="605">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606">
    <w:name w:val="Char Char Char Char Char Char Char"/>
    <w:basedOn w:val="1"/>
    <w:qFormat/>
    <w:uiPriority w:val="0"/>
    <w:pPr>
      <w:widowControl/>
      <w:spacing w:after="160" w:line="240" w:lineRule="exact"/>
      <w:jc w:val="left"/>
    </w:pPr>
  </w:style>
  <w:style w:type="paragraph" w:customStyle="1" w:styleId="607">
    <w:name w:val="xl29"/>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300" w:lineRule="auto"/>
      <w:jc w:val="center"/>
      <w:textAlignment w:val="center"/>
    </w:pPr>
    <w:rPr>
      <w:rFonts w:hint="eastAsia" w:ascii="仿宋_GB2312" w:hAnsi="Arial Unicode MS" w:eastAsia="仿宋_GB2312" w:cs="Arial Unicode MS"/>
      <w:spacing w:val="4"/>
      <w:kern w:val="0"/>
      <w:sz w:val="24"/>
      <w:szCs w:val="21"/>
    </w:rPr>
  </w:style>
  <w:style w:type="paragraph" w:customStyle="1" w:styleId="608">
    <w:name w:val="font8"/>
    <w:basedOn w:val="1"/>
    <w:qFormat/>
    <w:uiPriority w:val="0"/>
    <w:pPr>
      <w:widowControl/>
      <w:spacing w:before="100" w:beforeAutospacing="1" w:after="100" w:afterAutospacing="1"/>
      <w:jc w:val="left"/>
    </w:pPr>
    <w:rPr>
      <w:rFonts w:eastAsia="Arial Unicode MS"/>
      <w:kern w:val="0"/>
      <w:sz w:val="36"/>
      <w:szCs w:val="36"/>
    </w:rPr>
  </w:style>
  <w:style w:type="paragraph" w:customStyle="1" w:styleId="609">
    <w:name w:val="Char Char Char Char11"/>
    <w:basedOn w:val="1"/>
    <w:qFormat/>
    <w:uiPriority w:val="0"/>
    <w:pPr>
      <w:spacing w:line="360" w:lineRule="auto"/>
      <w:ind w:firstLine="640" w:firstLineChars="200"/>
    </w:pPr>
    <w:rPr>
      <w:sz w:val="24"/>
    </w:rPr>
  </w:style>
  <w:style w:type="paragraph" w:customStyle="1" w:styleId="610">
    <w:name w:val="font6"/>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611">
    <w:name w:val="xl28"/>
    <w:basedOn w:val="1"/>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612">
    <w:name w:val="表"/>
    <w:basedOn w:val="23"/>
    <w:next w:val="15"/>
    <w:qFormat/>
    <w:uiPriority w:val="0"/>
    <w:pPr>
      <w:overflowPunct w:val="0"/>
      <w:adjustRightInd w:val="0"/>
      <w:snapToGrid w:val="0"/>
      <w:contextualSpacing/>
      <w:jc w:val="center"/>
    </w:pPr>
    <w:rPr>
      <w:sz w:val="24"/>
      <w:szCs w:val="20"/>
    </w:rPr>
  </w:style>
  <w:style w:type="paragraph" w:customStyle="1" w:styleId="613">
    <w:name w:val="总结正文"/>
    <w:basedOn w:val="1"/>
    <w:qFormat/>
    <w:uiPriority w:val="0"/>
    <w:pPr>
      <w:adjustRightInd w:val="0"/>
      <w:snapToGrid w:val="0"/>
      <w:spacing w:line="300" w:lineRule="auto"/>
      <w:ind w:firstLine="560" w:firstLineChars="200"/>
      <w:textAlignment w:val="baseline"/>
    </w:pPr>
    <w:rPr>
      <w:rFonts w:ascii="宋体" w:hAnsi="宋体"/>
      <w:spacing w:val="4"/>
      <w:kern w:val="0"/>
      <w:sz w:val="28"/>
      <w:szCs w:val="28"/>
    </w:rPr>
  </w:style>
  <w:style w:type="paragraph" w:customStyle="1" w:styleId="61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615">
    <w:name w:val="正文小四缩"/>
    <w:basedOn w:val="1"/>
    <w:qFormat/>
    <w:uiPriority w:val="0"/>
    <w:pPr>
      <w:adjustRightInd w:val="0"/>
      <w:spacing w:before="120" w:line="420" w:lineRule="atLeast"/>
      <w:ind w:firstLine="510"/>
      <w:textAlignment w:val="baseline"/>
    </w:pPr>
    <w:rPr>
      <w:rFonts w:ascii="宋体"/>
      <w:bCs/>
      <w:kern w:val="0"/>
      <w:sz w:val="24"/>
      <w:szCs w:val="20"/>
    </w:rPr>
  </w:style>
  <w:style w:type="paragraph" w:customStyle="1" w:styleId="616">
    <w:name w:val="正文文本 21"/>
    <w:basedOn w:val="1"/>
    <w:next w:val="1"/>
    <w:qFormat/>
    <w:uiPriority w:val="0"/>
    <w:pPr>
      <w:spacing w:line="360" w:lineRule="auto"/>
      <w:ind w:firstLine="480" w:firstLineChars="200"/>
      <w:jc w:val="left"/>
    </w:pPr>
    <w:rPr>
      <w:rFonts w:ascii="宋体" w:hAnsi="宋体"/>
      <w:sz w:val="24"/>
    </w:rPr>
  </w:style>
  <w:style w:type="paragraph" w:customStyle="1" w:styleId="617">
    <w:name w:val="Char"/>
    <w:basedOn w:val="1"/>
    <w:qFormat/>
    <w:uiPriority w:val="0"/>
    <w:rPr>
      <w:szCs w:val="20"/>
    </w:rPr>
  </w:style>
  <w:style w:type="paragraph" w:customStyle="1" w:styleId="618">
    <w:name w:val="样式 标题 4 + (西文) Times New Roman (中文) 楷体_GB2312 非加粗 黑色 首行缩进:  ..."/>
    <w:basedOn w:val="2"/>
    <w:qFormat/>
    <w:uiPriority w:val="0"/>
    <w:pPr>
      <w:keepNext/>
      <w:keepLines/>
      <w:wordWrap/>
      <w:topLinePunct w:val="0"/>
      <w:autoSpaceDN/>
      <w:spacing w:line="360" w:lineRule="auto"/>
      <w:ind w:firstLine="0" w:firstLineChars="0"/>
      <w:jc w:val="left"/>
    </w:pPr>
    <w:rPr>
      <w:rFonts w:eastAsia="宋体"/>
      <w:b/>
      <w:bCs w:val="0"/>
      <w:kern w:val="0"/>
      <w:szCs w:val="20"/>
    </w:rPr>
  </w:style>
  <w:style w:type="paragraph" w:customStyle="1" w:styleId="619">
    <w:name w:val="表注"/>
    <w:basedOn w:val="1"/>
    <w:next w:val="593"/>
    <w:qFormat/>
    <w:uiPriority w:val="0"/>
    <w:pPr>
      <w:keepLines/>
      <w:ind w:left="300" w:leftChars="100" w:right="50" w:rightChars="50" w:hanging="200" w:hangingChars="200"/>
    </w:pPr>
    <w:rPr>
      <w:rFonts w:ascii="宋体"/>
      <w:color w:val="FF0000"/>
      <w:szCs w:val="20"/>
    </w:rPr>
  </w:style>
  <w:style w:type="paragraph" w:customStyle="1" w:styleId="620">
    <w:name w:val="Char Char Char Char Char Char1 Char"/>
    <w:basedOn w:val="1"/>
    <w:qFormat/>
    <w:uiPriority w:val="0"/>
  </w:style>
  <w:style w:type="paragraph" w:customStyle="1" w:styleId="621">
    <w:name w:val="Char Char Char Char Char Char Char Char Char Char Char Char Char Char Char Char"/>
    <w:basedOn w:val="1"/>
    <w:qFormat/>
    <w:uiPriority w:val="0"/>
  </w:style>
  <w:style w:type="paragraph" w:customStyle="1" w:styleId="622">
    <w:name w:val="区调设计标题1"/>
    <w:basedOn w:val="1"/>
    <w:qFormat/>
    <w:uiPriority w:val="0"/>
    <w:pPr>
      <w:pageBreakBefore/>
      <w:spacing w:beforeLines="50" w:afterLines="50" w:line="480" w:lineRule="exact"/>
      <w:jc w:val="center"/>
    </w:pPr>
    <w:rPr>
      <w:rFonts w:ascii="宋体"/>
      <w:b/>
      <w:bCs/>
      <w:sz w:val="28"/>
    </w:rPr>
  </w:style>
  <w:style w:type="character" w:customStyle="1" w:styleId="623">
    <w:name w:val="明显引用 Char1"/>
    <w:basedOn w:val="61"/>
    <w:qFormat/>
    <w:uiPriority w:val="0"/>
    <w:rPr>
      <w:rFonts w:ascii="Times New Roman" w:hAnsi="Times New Roman" w:eastAsia="宋体" w:cs="Times New Roman"/>
      <w:b/>
      <w:bCs/>
      <w:i/>
      <w:iCs/>
      <w:color w:val="4F81BD" w:themeColor="accent1"/>
      <w:szCs w:val="24"/>
    </w:rPr>
  </w:style>
  <w:style w:type="paragraph" w:customStyle="1" w:styleId="624">
    <w:name w:val="样式 标题 3 + 首行缩进:  2 字符"/>
    <w:basedOn w:val="5"/>
    <w:next w:val="1"/>
    <w:semiHidden/>
    <w:qFormat/>
    <w:uiPriority w:val="0"/>
    <w:pPr>
      <w:snapToGrid w:val="0"/>
      <w:spacing w:before="0" w:after="120"/>
      <w:ind w:left="720" w:hanging="720"/>
    </w:pPr>
    <w:rPr>
      <w:rFonts w:ascii="Times New Roman" w:cs="宋体"/>
      <w:bCs/>
      <w:spacing w:val="-6"/>
      <w:sz w:val="28"/>
      <w:szCs w:val="24"/>
    </w:rPr>
  </w:style>
  <w:style w:type="paragraph" w:customStyle="1" w:styleId="625">
    <w:name w:val="表内容"/>
    <w:qFormat/>
    <w:uiPriority w:val="0"/>
    <w:pPr>
      <w:adjustRightInd w:val="0"/>
      <w:snapToGrid w:val="0"/>
      <w:spacing w:line="288" w:lineRule="auto"/>
      <w:jc w:val="both"/>
    </w:pPr>
    <w:rPr>
      <w:rFonts w:ascii="仿宋_GB2312" w:hAnsi="宋体" w:eastAsia="仿宋_GB2312" w:cs="Times New Roman"/>
      <w:kern w:val="0"/>
      <w:sz w:val="18"/>
      <w:szCs w:val="20"/>
      <w:lang w:val="en-US" w:eastAsia="zh-CN" w:bidi="ar-SA"/>
    </w:rPr>
  </w:style>
  <w:style w:type="paragraph" w:customStyle="1" w:styleId="626">
    <w:name w:val="表格字体"/>
    <w:basedOn w:val="1"/>
    <w:link w:val="798"/>
    <w:qFormat/>
    <w:uiPriority w:val="0"/>
    <w:pPr>
      <w:framePr w:hSpace="180" w:wrap="around" w:vAnchor="page" w:hAnchor="margin" w:y="1887"/>
      <w:adjustRightInd w:val="0"/>
      <w:ind w:left="28" w:right="-65" w:rightChars="-31"/>
      <w:jc w:val="center"/>
      <w:textAlignment w:val="baseline"/>
    </w:pPr>
    <w:rPr>
      <w:rFonts w:ascii="宋体" w:hAnsi="宋体"/>
      <w:kern w:val="12"/>
      <w:sz w:val="18"/>
      <w:szCs w:val="20"/>
    </w:rPr>
  </w:style>
  <w:style w:type="paragraph" w:customStyle="1" w:styleId="627">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628">
    <w:name w:val="日期1"/>
    <w:basedOn w:val="1"/>
    <w:next w:val="1"/>
    <w:qFormat/>
    <w:uiPriority w:val="0"/>
    <w:pPr>
      <w:adjustRightInd w:val="0"/>
      <w:spacing w:line="360" w:lineRule="atLeast"/>
      <w:textAlignment w:val="baseline"/>
    </w:pPr>
    <w:rPr>
      <w:rFonts w:ascii="宋体" w:eastAsia="Times New Roman"/>
      <w:kern w:val="0"/>
      <w:sz w:val="24"/>
      <w:szCs w:val="20"/>
    </w:rPr>
  </w:style>
  <w:style w:type="paragraph" w:customStyle="1" w:styleId="629">
    <w:name w:val="font7"/>
    <w:basedOn w:val="1"/>
    <w:qFormat/>
    <w:uiPriority w:val="0"/>
    <w:pPr>
      <w:widowControl/>
      <w:spacing w:before="100" w:beforeAutospacing="1" w:after="100" w:afterAutospacing="1"/>
      <w:jc w:val="left"/>
    </w:pPr>
    <w:rPr>
      <w:rFonts w:hint="eastAsia" w:ascii="宋体" w:hAnsi="宋体" w:cs="Arial Unicode MS"/>
      <w:kern w:val="0"/>
      <w:sz w:val="36"/>
      <w:szCs w:val="36"/>
    </w:rPr>
  </w:style>
  <w:style w:type="paragraph" w:customStyle="1" w:styleId="630">
    <w:name w:val="表格2"/>
    <w:basedOn w:val="1"/>
    <w:qFormat/>
    <w:uiPriority w:val="0"/>
    <w:pPr>
      <w:tabs>
        <w:tab w:val="left" w:pos="3105"/>
      </w:tabs>
      <w:spacing w:line="240" w:lineRule="atLeast"/>
      <w:ind w:left="-1" w:leftChars="-52" w:right="-125" w:rightChars="-52" w:hanging="124" w:hangingChars="59"/>
      <w:jc w:val="center"/>
    </w:pPr>
    <w:rPr>
      <w:rFonts w:ascii="华文中宋" w:hAnsi="华文中宋" w:eastAsia="华文中宋"/>
      <w:szCs w:val="21"/>
    </w:rPr>
  </w:style>
  <w:style w:type="paragraph" w:customStyle="1" w:styleId="631">
    <w:name w:val="样式 左侧:  -0.23 字符 右侧:  -0.21 字符1"/>
    <w:basedOn w:val="1"/>
    <w:qFormat/>
    <w:uiPriority w:val="0"/>
    <w:pPr>
      <w:widowControl/>
      <w:adjustRightInd w:val="0"/>
      <w:spacing w:line="500" w:lineRule="exact"/>
      <w:ind w:firstLine="200" w:firstLineChars="200"/>
    </w:pPr>
    <w:rPr>
      <w:rFonts w:ascii="宋体" w:hAnsi="宋体" w:cs="宋体"/>
      <w:kern w:val="0"/>
      <w:sz w:val="24"/>
      <w:szCs w:val="20"/>
    </w:rPr>
  </w:style>
  <w:style w:type="paragraph" w:customStyle="1" w:styleId="632">
    <w:name w:val="Char31"/>
    <w:basedOn w:val="1"/>
    <w:qFormat/>
    <w:uiPriority w:val="0"/>
    <w:pPr>
      <w:spacing w:line="360" w:lineRule="auto"/>
      <w:ind w:firstLine="200" w:firstLineChars="200"/>
    </w:pPr>
    <w:rPr>
      <w:szCs w:val="20"/>
    </w:rPr>
  </w:style>
  <w:style w:type="paragraph" w:customStyle="1" w:styleId="633">
    <w:name w:val="Char Char Char Char Char Char Char Char Char Char Char Char Char Char Char Char Char Char Char"/>
    <w:basedOn w:val="1"/>
    <w:qFormat/>
    <w:uiPriority w:val="0"/>
    <w:rPr>
      <w:sz w:val="24"/>
      <w:szCs w:val="20"/>
    </w:rPr>
  </w:style>
  <w:style w:type="paragraph" w:customStyle="1" w:styleId="634">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635">
    <w:name w:val="正文首行缩进 21"/>
    <w:qFormat/>
    <w:uiPriority w:val="0"/>
    <w:pPr>
      <w:spacing w:line="360" w:lineRule="auto"/>
      <w:ind w:firstLine="420" w:firstLineChars="200"/>
    </w:pPr>
    <w:rPr>
      <w:rFonts w:ascii="Times New Roman" w:hAnsi="Times New Roman" w:eastAsia="宋体" w:cs="Times New Roman"/>
      <w:kern w:val="2"/>
      <w:sz w:val="24"/>
      <w:szCs w:val="24"/>
      <w:lang w:val="en-US" w:eastAsia="zh-CN" w:bidi="ar-SA"/>
    </w:rPr>
  </w:style>
  <w:style w:type="paragraph" w:customStyle="1" w:styleId="636">
    <w:name w:val="列出段落1"/>
    <w:basedOn w:val="1"/>
    <w:link w:val="852"/>
    <w:qFormat/>
    <w:uiPriority w:val="0"/>
    <w:pPr>
      <w:ind w:firstLine="420" w:firstLineChars="200"/>
    </w:pPr>
    <w:rPr>
      <w:rFonts w:ascii="Calibri" w:hAnsi="Calibri"/>
      <w:szCs w:val="22"/>
    </w:rPr>
  </w:style>
  <w:style w:type="paragraph" w:customStyle="1" w:styleId="637">
    <w:name w:val="Char Char Char Char Char Char Char Char Char Char Char Char Char Char Char Char Char Char Char11"/>
    <w:basedOn w:val="1"/>
    <w:qFormat/>
    <w:uiPriority w:val="0"/>
    <w:pPr>
      <w:keepNext/>
      <w:spacing w:beforeLines="100" w:afterLines="100" w:line="720" w:lineRule="auto"/>
      <w:ind w:firstLine="567"/>
    </w:pPr>
    <w:rPr>
      <w:rFonts w:eastAsia="仿宋_GB2312"/>
      <w:sz w:val="28"/>
      <w:szCs w:val="20"/>
    </w:rPr>
  </w:style>
  <w:style w:type="paragraph" w:customStyle="1" w:styleId="638">
    <w:name w:val="正文a"/>
    <w:basedOn w:val="1"/>
    <w:qFormat/>
    <w:uiPriority w:val="0"/>
    <w:pPr>
      <w:adjustRightInd w:val="0"/>
      <w:snapToGrid w:val="0"/>
      <w:spacing w:line="360" w:lineRule="auto"/>
      <w:ind w:firstLine="200" w:firstLineChars="200"/>
      <w:textAlignment w:val="baseline"/>
    </w:pPr>
    <w:rPr>
      <w:rFonts w:ascii="宋体" w:hAnsi="宋体"/>
      <w:spacing w:val="4"/>
      <w:kern w:val="0"/>
      <w:sz w:val="24"/>
      <w:szCs w:val="20"/>
    </w:rPr>
  </w:style>
  <w:style w:type="paragraph" w:customStyle="1" w:styleId="639">
    <w:name w:val="zw1"/>
    <w:basedOn w:val="15"/>
    <w:qFormat/>
    <w:uiPriority w:val="0"/>
    <w:pPr>
      <w:spacing w:line="480" w:lineRule="exact"/>
      <w:ind w:firstLine="567"/>
      <w:textAlignment w:val="center"/>
    </w:pPr>
    <w:rPr>
      <w:rFonts w:ascii="仿宋_GB2312" w:hAnsi="宋体" w:eastAsia="仿宋_GB2312"/>
      <w:sz w:val="28"/>
      <w:szCs w:val="20"/>
    </w:rPr>
  </w:style>
  <w:style w:type="paragraph" w:customStyle="1" w:styleId="640">
    <w:name w:val="xl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4"/>
    </w:rPr>
  </w:style>
  <w:style w:type="paragraph" w:customStyle="1" w:styleId="641">
    <w:name w:val="_Style 2"/>
    <w:qFormat/>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642">
    <w:name w:val="标题2 Char Char Char Char Char Char Char Char Char Char"/>
    <w:basedOn w:val="1"/>
    <w:qFormat/>
    <w:uiPriority w:val="0"/>
    <w:pPr>
      <w:snapToGrid w:val="0"/>
      <w:spacing w:line="520" w:lineRule="exact"/>
    </w:pPr>
    <w:rPr>
      <w:szCs w:val="20"/>
    </w:rPr>
  </w:style>
  <w:style w:type="paragraph" w:customStyle="1" w:styleId="643">
    <w:name w:val="简单回函地址"/>
    <w:basedOn w:val="1"/>
    <w:qFormat/>
    <w:uiPriority w:val="0"/>
  </w:style>
  <w:style w:type="paragraph" w:customStyle="1" w:styleId="644">
    <w:name w:val="正文 小四 行距: 1.5 倍行距"/>
    <w:basedOn w:val="1"/>
    <w:qFormat/>
    <w:uiPriority w:val="0"/>
    <w:pPr>
      <w:spacing w:line="360" w:lineRule="auto"/>
      <w:ind w:firstLine="480" w:firstLineChars="200"/>
    </w:pPr>
    <w:rPr>
      <w:sz w:val="24"/>
      <w:szCs w:val="20"/>
    </w:rPr>
  </w:style>
  <w:style w:type="paragraph" w:customStyle="1" w:styleId="64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color w:val="000000"/>
      <w:kern w:val="0"/>
      <w:sz w:val="24"/>
      <w:szCs w:val="21"/>
      <w:lang w:eastAsia="en-US"/>
    </w:rPr>
  </w:style>
  <w:style w:type="paragraph" w:customStyle="1" w:styleId="646">
    <w:name w:val="样式 标题 3 + 段前: 6 磅"/>
    <w:basedOn w:val="5"/>
    <w:qFormat/>
    <w:uiPriority w:val="0"/>
    <w:pPr>
      <w:spacing w:before="0" w:line="413" w:lineRule="auto"/>
      <w:ind w:left="720" w:hanging="720"/>
    </w:pPr>
    <w:rPr>
      <w:rFonts w:ascii="Times New Roman" w:eastAsia="宋体"/>
      <w:b/>
      <w:bCs/>
      <w:spacing w:val="0"/>
      <w:sz w:val="28"/>
      <w:szCs w:val="20"/>
    </w:rPr>
  </w:style>
  <w:style w:type="paragraph" w:customStyle="1" w:styleId="647">
    <w:name w:val="zw-con-con"/>
    <w:basedOn w:val="1"/>
    <w:qFormat/>
    <w:uiPriority w:val="0"/>
    <w:pPr>
      <w:widowControl/>
      <w:spacing w:before="100" w:beforeAutospacing="1" w:after="100" w:afterAutospacing="1"/>
      <w:jc w:val="left"/>
    </w:pPr>
    <w:rPr>
      <w:rFonts w:ascii="宋体" w:hAnsi="宋体" w:cs="宋体"/>
      <w:kern w:val="0"/>
      <w:sz w:val="24"/>
    </w:rPr>
  </w:style>
  <w:style w:type="paragraph" w:customStyle="1" w:styleId="648">
    <w:name w:val="样式 (符号) 宋体 小四 行距: 固定值 25 磅"/>
    <w:basedOn w:val="1"/>
    <w:qFormat/>
    <w:uiPriority w:val="0"/>
    <w:pPr>
      <w:spacing w:line="500" w:lineRule="exact"/>
      <w:ind w:firstLine="200" w:firstLineChars="200"/>
    </w:pPr>
    <w:rPr>
      <w:rFonts w:hAnsi="宋体" w:cs="宋体"/>
      <w:sz w:val="24"/>
    </w:rPr>
  </w:style>
  <w:style w:type="paragraph" w:customStyle="1" w:styleId="649">
    <w:name w:val="正文（首行缩进）"/>
    <w:basedOn w:val="1"/>
    <w:qFormat/>
    <w:uiPriority w:val="0"/>
    <w:pPr>
      <w:widowControl/>
      <w:spacing w:line="360" w:lineRule="auto"/>
      <w:ind w:firstLine="200" w:firstLineChars="200"/>
      <w:jc w:val="left"/>
    </w:pPr>
    <w:rPr>
      <w:rFonts w:ascii="宋体" w:hAnsi="宋体"/>
      <w:snapToGrid w:val="0"/>
      <w:color w:val="000000"/>
      <w:sz w:val="24"/>
      <w:szCs w:val="20"/>
    </w:rPr>
  </w:style>
  <w:style w:type="paragraph" w:customStyle="1" w:styleId="650">
    <w:name w:val="Char111"/>
    <w:basedOn w:val="1"/>
    <w:qFormat/>
    <w:uiPriority w:val="0"/>
    <w:rPr>
      <w:rFonts w:ascii="宋体"/>
      <w:spacing w:val="4"/>
      <w:kern w:val="0"/>
      <w:sz w:val="24"/>
      <w:szCs w:val="20"/>
    </w:rPr>
  </w:style>
  <w:style w:type="paragraph" w:customStyle="1" w:styleId="651">
    <w:name w:val="p16"/>
    <w:basedOn w:val="1"/>
    <w:qFormat/>
    <w:uiPriority w:val="0"/>
    <w:pPr>
      <w:widowControl/>
      <w:spacing w:after="120" w:line="480" w:lineRule="auto"/>
      <w:ind w:left="420"/>
    </w:pPr>
    <w:rPr>
      <w:kern w:val="0"/>
      <w:sz w:val="26"/>
      <w:szCs w:val="26"/>
    </w:rPr>
  </w:style>
  <w:style w:type="paragraph" w:customStyle="1" w:styleId="652">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653">
    <w:name w:val="样式 标题 2H2节标题 1.1节标题 1.1 Char + 非加粗 首行缩进:  0 厘米"/>
    <w:basedOn w:val="4"/>
    <w:qFormat/>
    <w:uiPriority w:val="0"/>
    <w:pPr>
      <w:tabs>
        <w:tab w:val="left" w:pos="720"/>
      </w:tabs>
      <w:adjustRightInd w:val="0"/>
      <w:spacing w:before="0" w:after="0" w:line="560" w:lineRule="exact"/>
      <w:textAlignment w:val="baseline"/>
    </w:pPr>
    <w:rPr>
      <w:rFonts w:ascii="Times New Roman" w:hAnsi="Times New Roman" w:eastAsia="宋体"/>
      <w:b w:val="0"/>
      <w:bCs w:val="0"/>
      <w:kern w:val="0"/>
      <w:szCs w:val="28"/>
    </w:rPr>
  </w:style>
  <w:style w:type="paragraph" w:customStyle="1" w:styleId="654">
    <w:name w:val="表格式"/>
    <w:basedOn w:val="43"/>
    <w:qFormat/>
    <w:uiPriority w:val="0"/>
    <w:pPr>
      <w:spacing w:beforeLines="50" w:afterLines="50" w:line="200" w:lineRule="exact"/>
      <w:ind w:left="0" w:firstLine="0" w:firstLineChars="0"/>
      <w:jc w:val="center"/>
    </w:pPr>
    <w:rPr>
      <w:szCs w:val="20"/>
    </w:rPr>
  </w:style>
  <w:style w:type="paragraph" w:customStyle="1" w:styleId="655">
    <w:name w:val="款"/>
    <w:basedOn w:val="8"/>
    <w:next w:val="1"/>
    <w:qFormat/>
    <w:uiPriority w:val="0"/>
    <w:pPr>
      <w:spacing w:before="0" w:after="0" w:line="400" w:lineRule="exact"/>
    </w:pPr>
    <w:rPr>
      <w:rFonts w:ascii="宋体" w:hAnsi="宋体"/>
    </w:rPr>
  </w:style>
  <w:style w:type="paragraph" w:customStyle="1" w:styleId="656">
    <w:name w:val="图表"/>
    <w:basedOn w:val="47"/>
    <w:qFormat/>
    <w:uiPriority w:val="0"/>
    <w:pPr>
      <w:wordWrap w:val="0"/>
      <w:topLinePunct/>
      <w:autoSpaceDN w:val="0"/>
      <w:spacing w:line="240" w:lineRule="atLeast"/>
      <w:ind w:left="0" w:leftChars="0" w:right="0" w:rightChars="0" w:firstLine="0" w:firstLineChars="0"/>
      <w:jc w:val="both"/>
    </w:pPr>
    <w:rPr>
      <w:color w:val="auto"/>
    </w:rPr>
  </w:style>
  <w:style w:type="paragraph" w:customStyle="1" w:styleId="657">
    <w:name w:val="正文文本2"/>
    <w:basedOn w:val="1"/>
    <w:qFormat/>
    <w:uiPriority w:val="0"/>
    <w:pPr>
      <w:shd w:val="clear" w:color="auto" w:fill="FFFFFF"/>
      <w:spacing w:after="200" w:line="518" w:lineRule="exact"/>
      <w:ind w:hanging="1120"/>
      <w:jc w:val="distribute"/>
    </w:pPr>
    <w:rPr>
      <w:rFonts w:ascii="MingLiU" w:eastAsia="MingLiU"/>
      <w:spacing w:val="10"/>
      <w:kern w:val="0"/>
      <w:sz w:val="22"/>
      <w:szCs w:val="22"/>
    </w:rPr>
  </w:style>
  <w:style w:type="table" w:customStyle="1" w:styleId="658">
    <w:name w:val="网格型2"/>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9">
    <w:name w:val="00表格"/>
    <w:basedOn w:val="1"/>
    <w:qFormat/>
    <w:uiPriority w:val="0"/>
    <w:pPr>
      <w:jc w:val="center"/>
    </w:pPr>
    <w:rPr>
      <w:szCs w:val="20"/>
    </w:rPr>
  </w:style>
  <w:style w:type="paragraph" w:customStyle="1" w:styleId="660">
    <w:name w:val="。。表头"/>
    <w:basedOn w:val="1"/>
    <w:qFormat/>
    <w:uiPriority w:val="0"/>
    <w:pPr>
      <w:spacing w:line="360" w:lineRule="auto"/>
      <w:ind w:firstLine="602" w:firstLineChars="200"/>
      <w:jc w:val="center"/>
    </w:pPr>
    <w:rPr>
      <w:b/>
      <w:bCs/>
      <w:sz w:val="24"/>
    </w:rPr>
  </w:style>
  <w:style w:type="paragraph" w:customStyle="1" w:styleId="661">
    <w:name w:val="农贸市场表格表头"/>
    <w:basedOn w:val="1"/>
    <w:qFormat/>
    <w:uiPriority w:val="0"/>
    <w:pPr>
      <w:ind w:firstLine="640" w:firstLineChars="200"/>
      <w:jc w:val="center"/>
    </w:pPr>
    <w:rPr>
      <w:rFonts w:ascii="宋体" w:hAnsi="宋体" w:cs="仿宋_GB2312"/>
      <w:b/>
      <w:kern w:val="0"/>
      <w:szCs w:val="21"/>
    </w:rPr>
  </w:style>
  <w:style w:type="paragraph" w:customStyle="1" w:styleId="662">
    <w:name w:val="农贸市场正文"/>
    <w:basedOn w:val="1"/>
    <w:qFormat/>
    <w:uiPriority w:val="0"/>
    <w:pPr>
      <w:spacing w:line="460" w:lineRule="exact"/>
      <w:ind w:firstLine="200" w:firstLineChars="200"/>
    </w:pPr>
    <w:rPr>
      <w:snapToGrid w:val="0"/>
      <w:color w:val="000000"/>
      <w:kern w:val="0"/>
      <w:sz w:val="24"/>
    </w:rPr>
  </w:style>
  <w:style w:type="paragraph" w:customStyle="1" w:styleId="663">
    <w:name w:val="3级标题"/>
    <w:basedOn w:val="5"/>
    <w:qFormat/>
    <w:uiPriority w:val="0"/>
    <w:pPr>
      <w:spacing w:before="0" w:line="360" w:lineRule="auto"/>
      <w:ind w:left="720" w:hanging="720"/>
    </w:pPr>
    <w:rPr>
      <w:rFonts w:ascii="Times New Roman" w:eastAsia="宋体"/>
      <w:b/>
      <w:bCs/>
      <w:spacing w:val="0"/>
      <w:sz w:val="28"/>
      <w:szCs w:val="32"/>
    </w:rPr>
  </w:style>
  <w:style w:type="paragraph" w:customStyle="1" w:styleId="664">
    <w:name w:val="。正文格式"/>
    <w:basedOn w:val="1"/>
    <w:qFormat/>
    <w:uiPriority w:val="0"/>
    <w:pPr>
      <w:spacing w:line="360" w:lineRule="auto"/>
      <w:ind w:firstLine="200" w:firstLineChars="200"/>
      <w:jc w:val="left"/>
    </w:pPr>
    <w:rPr>
      <w:kern w:val="0"/>
      <w:sz w:val="24"/>
      <w:szCs w:val="20"/>
    </w:rPr>
  </w:style>
  <w:style w:type="character" w:styleId="665">
    <w:name w:val="Placeholder Text"/>
    <w:basedOn w:val="61"/>
    <w:semiHidden/>
    <w:qFormat/>
    <w:uiPriority w:val="99"/>
    <w:rPr>
      <w:color w:val="808080"/>
    </w:rPr>
  </w:style>
  <w:style w:type="character" w:customStyle="1" w:styleId="666">
    <w:name w:val="正文-1 Char"/>
    <w:link w:val="667"/>
    <w:qFormat/>
    <w:locked/>
    <w:uiPriority w:val="0"/>
    <w:rPr>
      <w:rFonts w:ascii="宋体" w:hAnsi="宋体" w:eastAsia="宋体" w:cs="宋体"/>
      <w:sz w:val="24"/>
    </w:rPr>
  </w:style>
  <w:style w:type="paragraph" w:customStyle="1" w:styleId="667">
    <w:name w:val="正文-1"/>
    <w:link w:val="666"/>
    <w:qFormat/>
    <w:uiPriority w:val="0"/>
    <w:pPr>
      <w:spacing w:line="480" w:lineRule="exact"/>
      <w:ind w:firstLine="200" w:firstLineChars="200"/>
      <w:jc w:val="both"/>
    </w:pPr>
    <w:rPr>
      <w:rFonts w:ascii="宋体" w:hAnsi="宋体" w:eastAsia="宋体" w:cs="宋体"/>
      <w:kern w:val="2"/>
      <w:sz w:val="24"/>
      <w:szCs w:val="22"/>
      <w:lang w:val="en-US" w:eastAsia="zh-CN" w:bidi="ar-SA"/>
    </w:rPr>
  </w:style>
  <w:style w:type="character" w:customStyle="1" w:styleId="668">
    <w:name w:val="表格正文 Char"/>
    <w:link w:val="669"/>
    <w:qFormat/>
    <w:locked/>
    <w:uiPriority w:val="0"/>
    <w:rPr>
      <w:rFonts w:ascii="Times New Roman" w:hAnsi="Times New Roman" w:cs="Times New Roman"/>
      <w:szCs w:val="24"/>
    </w:rPr>
  </w:style>
  <w:style w:type="paragraph" w:customStyle="1" w:styleId="669">
    <w:name w:val="表格正文"/>
    <w:basedOn w:val="1"/>
    <w:link w:val="668"/>
    <w:qFormat/>
    <w:uiPriority w:val="0"/>
    <w:pPr>
      <w:adjustRightInd w:val="0"/>
      <w:snapToGrid w:val="0"/>
      <w:jc w:val="center"/>
    </w:pPr>
    <w:rPr>
      <w:rFonts w:eastAsiaTheme="minorEastAsia"/>
    </w:rPr>
  </w:style>
  <w:style w:type="character" w:customStyle="1" w:styleId="670">
    <w:name w:val="表格题目新 字符"/>
    <w:link w:val="671"/>
    <w:qFormat/>
    <w:locked/>
    <w:uiPriority w:val="0"/>
    <w:rPr>
      <w:rFonts w:ascii="黑体" w:hAnsi="黑体" w:eastAsia="黑体" w:cs="宋体"/>
      <w:szCs w:val="24"/>
    </w:rPr>
  </w:style>
  <w:style w:type="paragraph" w:customStyle="1" w:styleId="671">
    <w:name w:val="表格题目新"/>
    <w:basedOn w:val="1"/>
    <w:link w:val="670"/>
    <w:qFormat/>
    <w:uiPriority w:val="0"/>
    <w:pPr>
      <w:autoSpaceDE w:val="0"/>
      <w:autoSpaceDN w:val="0"/>
      <w:spacing w:line="312" w:lineRule="auto"/>
      <w:jc w:val="center"/>
    </w:pPr>
    <w:rPr>
      <w:rFonts w:ascii="黑体" w:hAnsi="黑体" w:eastAsia="黑体" w:cs="宋体"/>
    </w:rPr>
  </w:style>
  <w:style w:type="character" w:customStyle="1" w:styleId="672">
    <w:name w:val="表格新 字符"/>
    <w:link w:val="673"/>
    <w:qFormat/>
    <w:locked/>
    <w:uiPriority w:val="0"/>
    <w:rPr>
      <w:bCs/>
      <w:szCs w:val="21"/>
    </w:rPr>
  </w:style>
  <w:style w:type="paragraph" w:customStyle="1" w:styleId="673">
    <w:name w:val="表格新"/>
    <w:basedOn w:val="1"/>
    <w:link w:val="672"/>
    <w:qFormat/>
    <w:uiPriority w:val="0"/>
    <w:pPr>
      <w:jc w:val="center"/>
    </w:pPr>
    <w:rPr>
      <w:rFonts w:asciiTheme="minorHAnsi" w:hAnsiTheme="minorHAnsi" w:eastAsiaTheme="minorEastAsia" w:cstheme="minorBidi"/>
      <w:bCs/>
      <w:szCs w:val="21"/>
    </w:rPr>
  </w:style>
  <w:style w:type="paragraph" w:customStyle="1" w:styleId="674">
    <w:name w:val="表内"/>
    <w:basedOn w:val="1"/>
    <w:next w:val="1"/>
    <w:qFormat/>
    <w:uiPriority w:val="0"/>
    <w:pPr>
      <w:jc w:val="center"/>
    </w:pPr>
    <w:rPr>
      <w:szCs w:val="21"/>
    </w:rPr>
  </w:style>
  <w:style w:type="paragraph" w:customStyle="1" w:styleId="675">
    <w:name w:val="Table Paragraph"/>
    <w:basedOn w:val="1"/>
    <w:qFormat/>
    <w:uiPriority w:val="1"/>
    <w:rPr>
      <w:rFonts w:ascii="Noto Sans CJK JP Regular" w:hAnsi="Noto Sans CJK JP Regular" w:eastAsia="Noto Sans CJK JP Regular" w:cs="Noto Sans CJK JP Regular"/>
      <w:lang w:val="zh-CN" w:bidi="zh-CN"/>
    </w:rPr>
  </w:style>
  <w:style w:type="character" w:customStyle="1" w:styleId="676">
    <w:name w:val="表格内容1 字符"/>
    <w:link w:val="677"/>
    <w:qFormat/>
    <w:locked/>
    <w:uiPriority w:val="0"/>
    <w:rPr>
      <w:rFonts w:ascii="Times New Roman" w:hAnsi="Times New Roman" w:eastAsia="宋体" w:cs="Times New Roman"/>
      <w:kern w:val="0"/>
      <w:szCs w:val="21"/>
      <w:lang w:eastAsia="en-US" w:bidi="en-US"/>
    </w:rPr>
  </w:style>
  <w:style w:type="paragraph" w:customStyle="1" w:styleId="677">
    <w:name w:val="表格内容1"/>
    <w:basedOn w:val="1"/>
    <w:link w:val="676"/>
    <w:qFormat/>
    <w:uiPriority w:val="0"/>
    <w:pPr>
      <w:widowControl/>
      <w:spacing w:line="300" w:lineRule="exact"/>
      <w:jc w:val="center"/>
    </w:pPr>
    <w:rPr>
      <w:kern w:val="0"/>
      <w:szCs w:val="21"/>
      <w:lang w:eastAsia="en-US" w:bidi="en-US"/>
    </w:rPr>
  </w:style>
  <w:style w:type="character" w:customStyle="1" w:styleId="678">
    <w:name w:val="表格内容 字符"/>
    <w:basedOn w:val="61"/>
    <w:link w:val="679"/>
    <w:qFormat/>
    <w:locked/>
    <w:uiPriority w:val="0"/>
    <w:rPr>
      <w:rFonts w:ascii="Times New Roman" w:hAnsi="Times New Roman" w:eastAsia="宋体" w:cs="Times New Roman"/>
      <w:color w:val="000000"/>
      <w:kern w:val="0"/>
      <w:sz w:val="24"/>
      <w:szCs w:val="21"/>
      <w:lang w:eastAsia="en-US" w:bidi="en-US"/>
    </w:rPr>
  </w:style>
  <w:style w:type="paragraph" w:customStyle="1" w:styleId="679">
    <w:name w:val="表格内容"/>
    <w:basedOn w:val="1"/>
    <w:link w:val="678"/>
    <w:qFormat/>
    <w:uiPriority w:val="0"/>
    <w:pPr>
      <w:widowControl/>
      <w:spacing w:line="300" w:lineRule="exact"/>
      <w:jc w:val="center"/>
    </w:pPr>
    <w:rPr>
      <w:color w:val="000000"/>
      <w:kern w:val="0"/>
      <w:sz w:val="24"/>
      <w:szCs w:val="21"/>
      <w:lang w:eastAsia="en-US" w:bidi="en-US"/>
    </w:rPr>
  </w:style>
  <w:style w:type="character" w:customStyle="1" w:styleId="680">
    <w:name w:val="A-z正文 Char"/>
    <w:basedOn w:val="61"/>
    <w:link w:val="681"/>
    <w:qFormat/>
    <w:locked/>
    <w:uiPriority w:val="0"/>
    <w:rPr>
      <w:rFonts w:ascii="宋体" w:hAnsi="宋体" w:eastAsia="宋体" w:cs="宋体"/>
      <w:sz w:val="24"/>
    </w:rPr>
  </w:style>
  <w:style w:type="paragraph" w:customStyle="1" w:styleId="681">
    <w:name w:val="A-z正文"/>
    <w:basedOn w:val="1"/>
    <w:link w:val="680"/>
    <w:qFormat/>
    <w:uiPriority w:val="0"/>
    <w:pPr>
      <w:spacing w:after="160" w:line="360" w:lineRule="auto"/>
      <w:ind w:firstLine="200" w:firstLineChars="200"/>
    </w:pPr>
    <w:rPr>
      <w:rFonts w:ascii="宋体" w:hAnsi="宋体" w:cs="宋体"/>
      <w:sz w:val="24"/>
      <w:szCs w:val="22"/>
    </w:rPr>
  </w:style>
  <w:style w:type="character" w:customStyle="1" w:styleId="682">
    <w:name w:val="正文1 字符"/>
    <w:basedOn w:val="61"/>
    <w:qFormat/>
    <w:uiPriority w:val="0"/>
    <w:rPr>
      <w:rFonts w:cs="宋体"/>
      <w:color w:val="000000"/>
      <w:sz w:val="24"/>
      <w:szCs w:val="26"/>
    </w:rPr>
  </w:style>
  <w:style w:type="character" w:customStyle="1" w:styleId="683">
    <w:name w:val="正文新 字符"/>
    <w:link w:val="684"/>
    <w:qFormat/>
    <w:uiPriority w:val="0"/>
    <w:rPr>
      <w:rFonts w:cs="宋体"/>
      <w:sz w:val="24"/>
      <w:szCs w:val="26"/>
    </w:rPr>
  </w:style>
  <w:style w:type="paragraph" w:customStyle="1" w:styleId="684">
    <w:name w:val="正文新"/>
    <w:basedOn w:val="493"/>
    <w:link w:val="683"/>
    <w:qFormat/>
    <w:uiPriority w:val="0"/>
    <w:pPr>
      <w:widowControl/>
      <w:spacing w:line="460" w:lineRule="exact"/>
      <w:ind w:firstLine="480"/>
    </w:pPr>
    <w:rPr>
      <w:rFonts w:asciiTheme="minorHAnsi" w:hAnsiTheme="minorHAnsi"/>
      <w:szCs w:val="26"/>
    </w:rPr>
  </w:style>
  <w:style w:type="paragraph" w:customStyle="1" w:styleId="685">
    <w:name w:val="表格题目1"/>
    <w:basedOn w:val="1"/>
    <w:link w:val="686"/>
    <w:qFormat/>
    <w:uiPriority w:val="0"/>
    <w:pPr>
      <w:spacing w:before="120" w:beforeLines="50"/>
      <w:ind w:firstLine="525" w:firstLineChars="250"/>
      <w:jc w:val="left"/>
    </w:pPr>
    <w:rPr>
      <w:rFonts w:eastAsia="黑体"/>
    </w:rPr>
  </w:style>
  <w:style w:type="character" w:customStyle="1" w:styleId="686">
    <w:name w:val="表格题目1 字符"/>
    <w:basedOn w:val="61"/>
    <w:link w:val="685"/>
    <w:qFormat/>
    <w:uiPriority w:val="0"/>
    <w:rPr>
      <w:rFonts w:ascii="Times New Roman" w:hAnsi="Times New Roman" w:eastAsia="黑体" w:cs="Times New Roman"/>
      <w:szCs w:val="24"/>
    </w:rPr>
  </w:style>
  <w:style w:type="character" w:customStyle="1" w:styleId="687">
    <w:name w:val="日期 字符1"/>
    <w:qFormat/>
    <w:uiPriority w:val="99"/>
    <w:rPr>
      <w:kern w:val="2"/>
      <w:sz w:val="24"/>
      <w:szCs w:val="22"/>
    </w:rPr>
  </w:style>
  <w:style w:type="character" w:customStyle="1" w:styleId="688">
    <w:name w:val="标题 字符1"/>
    <w:qFormat/>
    <w:uiPriority w:val="10"/>
    <w:rPr>
      <w:b/>
      <w:bCs/>
      <w:kern w:val="2"/>
      <w:sz w:val="21"/>
      <w:szCs w:val="32"/>
    </w:rPr>
  </w:style>
  <w:style w:type="paragraph" w:customStyle="1" w:styleId="689">
    <w:name w:val="标题 1 + 段前: 0.5 行 段后: 0.5 行1"/>
    <w:basedOn w:val="1"/>
    <w:link w:val="690"/>
    <w:qFormat/>
    <w:uiPriority w:val="0"/>
    <w:pPr>
      <w:spacing w:line="460" w:lineRule="exact"/>
      <w:jc w:val="center"/>
      <w:outlineLvl w:val="0"/>
    </w:pPr>
    <w:rPr>
      <w:rFonts w:hAnsi="宋体"/>
      <w:b/>
      <w:color w:val="000000"/>
      <w:kern w:val="44"/>
      <w:sz w:val="36"/>
      <w:szCs w:val="36"/>
    </w:rPr>
  </w:style>
  <w:style w:type="character" w:customStyle="1" w:styleId="690">
    <w:name w:val="标题 1 + 段前: 0.5 行 段后: 0.5 行1 字符"/>
    <w:basedOn w:val="61"/>
    <w:link w:val="689"/>
    <w:qFormat/>
    <w:uiPriority w:val="0"/>
    <w:rPr>
      <w:rFonts w:ascii="Times New Roman" w:hAnsi="宋体" w:eastAsia="宋体" w:cs="Times New Roman"/>
      <w:b/>
      <w:color w:val="000000"/>
      <w:kern w:val="44"/>
      <w:sz w:val="36"/>
      <w:szCs w:val="36"/>
    </w:rPr>
  </w:style>
  <w:style w:type="paragraph" w:customStyle="1" w:styleId="691">
    <w:name w:val="一级标题"/>
    <w:basedOn w:val="689"/>
    <w:link w:val="692"/>
    <w:qFormat/>
    <w:uiPriority w:val="0"/>
    <w:pPr>
      <w:pageBreakBefore/>
      <w:spacing w:line="360" w:lineRule="auto"/>
    </w:pPr>
    <w:rPr>
      <w:rFonts w:hAnsi="Times New Roman"/>
    </w:rPr>
  </w:style>
  <w:style w:type="character" w:customStyle="1" w:styleId="692">
    <w:name w:val="一级标题 字符"/>
    <w:basedOn w:val="690"/>
    <w:link w:val="691"/>
    <w:qFormat/>
    <w:uiPriority w:val="0"/>
    <w:rPr>
      <w:rFonts w:ascii="Times New Roman" w:hAnsi="Times New Roman" w:eastAsia="宋体" w:cs="Times New Roman"/>
      <w:color w:val="000000"/>
      <w:kern w:val="44"/>
      <w:sz w:val="36"/>
      <w:szCs w:val="36"/>
    </w:rPr>
  </w:style>
  <w:style w:type="paragraph" w:customStyle="1" w:styleId="693">
    <w:name w:val="前言标题1"/>
    <w:basedOn w:val="1"/>
    <w:link w:val="694"/>
    <w:qFormat/>
    <w:uiPriority w:val="0"/>
    <w:pPr>
      <w:keepNext/>
      <w:keepLines/>
      <w:adjustRightInd w:val="0"/>
      <w:spacing w:before="120" w:after="120" w:line="460" w:lineRule="exact"/>
      <w:jc w:val="left"/>
      <w:textAlignment w:val="baseline"/>
      <w:outlineLvl w:val="1"/>
    </w:pPr>
    <w:rPr>
      <w:rFonts w:eastAsia="黑体"/>
      <w:bCs/>
      <w:color w:val="000000"/>
      <w:sz w:val="28"/>
      <w:szCs w:val="28"/>
    </w:rPr>
  </w:style>
  <w:style w:type="character" w:customStyle="1" w:styleId="694">
    <w:name w:val="前言标题1 字符"/>
    <w:basedOn w:val="61"/>
    <w:link w:val="693"/>
    <w:qFormat/>
    <w:uiPriority w:val="0"/>
    <w:rPr>
      <w:rFonts w:ascii="Times New Roman" w:hAnsi="Times New Roman" w:eastAsia="黑体" w:cs="Times New Roman"/>
      <w:bCs/>
      <w:color w:val="000000"/>
      <w:sz w:val="28"/>
      <w:szCs w:val="28"/>
    </w:rPr>
  </w:style>
  <w:style w:type="character" w:customStyle="1" w:styleId="695">
    <w:name w:val="二级标题 字符"/>
    <w:basedOn w:val="692"/>
    <w:qFormat/>
    <w:uiPriority w:val="0"/>
    <w:rPr>
      <w:rFonts w:ascii="Times New Roman" w:hAnsi="Times New Roman" w:eastAsia="宋体" w:cs="Times New Roman"/>
      <w:color w:val="000000"/>
      <w:kern w:val="44"/>
      <w:sz w:val="28"/>
      <w:szCs w:val="36"/>
    </w:rPr>
  </w:style>
  <w:style w:type="character" w:customStyle="1" w:styleId="696">
    <w:name w:val="三级标题 字符"/>
    <w:basedOn w:val="695"/>
    <w:qFormat/>
    <w:uiPriority w:val="0"/>
    <w:rPr>
      <w:rFonts w:ascii="Times New Roman" w:hAnsi="Times New Roman" w:eastAsia="宋体" w:cs="Times New Roman"/>
      <w:color w:val="000000"/>
      <w:kern w:val="44"/>
      <w:sz w:val="24"/>
      <w:szCs w:val="36"/>
    </w:rPr>
  </w:style>
  <w:style w:type="character" w:customStyle="1" w:styleId="697">
    <w:name w:val="四级标题 字符"/>
    <w:basedOn w:val="696"/>
    <w:qFormat/>
    <w:uiPriority w:val="0"/>
    <w:rPr>
      <w:rFonts w:ascii="Times New Roman" w:hAnsi="Times New Roman" w:eastAsia="宋体" w:cs="Times New Roman"/>
      <w:b w:val="0"/>
      <w:color w:val="000000"/>
      <w:kern w:val="44"/>
      <w:sz w:val="24"/>
      <w:szCs w:val="36"/>
      <w:lang w:bidi="en-US"/>
    </w:rPr>
  </w:style>
  <w:style w:type="paragraph" w:customStyle="1" w:styleId="698">
    <w:name w:val="图片格式"/>
    <w:basedOn w:val="493"/>
    <w:link w:val="699"/>
    <w:qFormat/>
    <w:uiPriority w:val="0"/>
    <w:pPr>
      <w:widowControl/>
      <w:spacing w:line="336" w:lineRule="auto"/>
      <w:ind w:firstLine="480"/>
      <w:jc w:val="center"/>
    </w:pPr>
    <w:rPr>
      <w:rFonts w:eastAsia="宋体" w:cs="Arial"/>
      <w:color w:val="000000"/>
      <w:kern w:val="0"/>
      <w:position w:val="-30"/>
      <w:szCs w:val="26"/>
    </w:rPr>
  </w:style>
  <w:style w:type="character" w:customStyle="1" w:styleId="699">
    <w:name w:val="图片格式 字符"/>
    <w:basedOn w:val="682"/>
    <w:link w:val="698"/>
    <w:qFormat/>
    <w:uiPriority w:val="0"/>
    <w:rPr>
      <w:rFonts w:ascii="宋体" w:hAnsi="宋体" w:eastAsia="宋体" w:cs="Arial"/>
      <w:color w:val="000000"/>
      <w:kern w:val="0"/>
      <w:position w:val="-30"/>
      <w:sz w:val="24"/>
      <w:szCs w:val="26"/>
    </w:rPr>
  </w:style>
  <w:style w:type="paragraph" w:customStyle="1" w:styleId="700">
    <w:name w:val="四级标题新"/>
    <w:basedOn w:val="1"/>
    <w:link w:val="701"/>
    <w:qFormat/>
    <w:uiPriority w:val="0"/>
    <w:pPr>
      <w:spacing w:before="60" w:after="60" w:line="560" w:lineRule="exact"/>
      <w:outlineLvl w:val="3"/>
    </w:pPr>
    <w:rPr>
      <w:rFonts w:ascii="仿宋" w:hAnsi="仿宋" w:eastAsia="仿宋" w:cs="黑体"/>
      <w:b/>
      <w:sz w:val="28"/>
      <w:szCs w:val="28"/>
    </w:rPr>
  </w:style>
  <w:style w:type="character" w:customStyle="1" w:styleId="701">
    <w:name w:val="四级标题新 字符"/>
    <w:basedOn w:val="61"/>
    <w:link w:val="700"/>
    <w:qFormat/>
    <w:uiPriority w:val="0"/>
    <w:rPr>
      <w:rFonts w:ascii="仿宋" w:hAnsi="仿宋" w:eastAsia="仿宋" w:cs="黑体"/>
      <w:b/>
      <w:sz w:val="28"/>
      <w:szCs w:val="28"/>
    </w:rPr>
  </w:style>
  <w:style w:type="character" w:customStyle="1" w:styleId="702">
    <w:name w:val="+正文 Char1"/>
    <w:qFormat/>
    <w:uiPriority w:val="0"/>
    <w:rPr>
      <w:kern w:val="2"/>
      <w:sz w:val="28"/>
      <w:szCs w:val="28"/>
    </w:rPr>
  </w:style>
  <w:style w:type="paragraph" w:customStyle="1" w:styleId="703">
    <w:name w:val="图片题目1"/>
    <w:basedOn w:val="685"/>
    <w:link w:val="704"/>
    <w:qFormat/>
    <w:uiPriority w:val="0"/>
    <w:pPr>
      <w:spacing w:before="0" w:beforeLines="0" w:after="120"/>
      <w:ind w:firstLine="0" w:firstLineChars="0"/>
      <w:jc w:val="center"/>
    </w:pPr>
    <w:rPr>
      <w:lang w:bidi="en-US"/>
    </w:rPr>
  </w:style>
  <w:style w:type="character" w:customStyle="1" w:styleId="704">
    <w:name w:val="图片题目1 字符"/>
    <w:basedOn w:val="686"/>
    <w:link w:val="703"/>
    <w:qFormat/>
    <w:uiPriority w:val="0"/>
    <w:rPr>
      <w:rFonts w:ascii="Times New Roman" w:hAnsi="Times New Roman" w:eastAsia="黑体" w:cs="Times New Roman"/>
      <w:szCs w:val="24"/>
      <w:lang w:bidi="en-US"/>
    </w:rPr>
  </w:style>
  <w:style w:type="character" w:customStyle="1" w:styleId="705">
    <w:name w:val="font61"/>
    <w:basedOn w:val="61"/>
    <w:qFormat/>
    <w:uiPriority w:val="0"/>
    <w:rPr>
      <w:rFonts w:hint="eastAsia" w:ascii="等线" w:hAnsi="等线" w:eastAsia="等线" w:cs="等线"/>
      <w:color w:val="000000"/>
      <w:sz w:val="22"/>
      <w:szCs w:val="22"/>
      <w:u w:val="none"/>
    </w:rPr>
  </w:style>
  <w:style w:type="character" w:customStyle="1" w:styleId="706">
    <w:name w:val="font01"/>
    <w:basedOn w:val="61"/>
    <w:qFormat/>
    <w:uiPriority w:val="0"/>
    <w:rPr>
      <w:rFonts w:hint="eastAsia" w:ascii="等线" w:hAnsi="等线" w:eastAsia="等线" w:cs="等线"/>
      <w:color w:val="000000"/>
      <w:sz w:val="22"/>
      <w:szCs w:val="22"/>
      <w:u w:val="none"/>
    </w:rPr>
  </w:style>
  <w:style w:type="character" w:customStyle="1" w:styleId="707">
    <w:name w:val="font71"/>
    <w:basedOn w:val="61"/>
    <w:qFormat/>
    <w:uiPriority w:val="0"/>
    <w:rPr>
      <w:rFonts w:hint="eastAsia" w:ascii="等线" w:hAnsi="等线" w:eastAsia="等线" w:cs="等线"/>
      <w:color w:val="000000"/>
      <w:sz w:val="22"/>
      <w:szCs w:val="22"/>
      <w:u w:val="none"/>
    </w:rPr>
  </w:style>
  <w:style w:type="character" w:customStyle="1" w:styleId="708">
    <w:name w:val="font11"/>
    <w:basedOn w:val="61"/>
    <w:qFormat/>
    <w:uiPriority w:val="0"/>
    <w:rPr>
      <w:rFonts w:hint="eastAsia" w:ascii="宋体" w:hAnsi="宋体" w:eastAsia="宋体"/>
      <w:color w:val="000000"/>
      <w:sz w:val="21"/>
      <w:szCs w:val="21"/>
      <w:u w:val="none"/>
    </w:rPr>
  </w:style>
  <w:style w:type="paragraph" w:customStyle="1" w:styleId="709">
    <w:name w:val="TOC 标题1"/>
    <w:basedOn w:val="3"/>
    <w:next w:val="1"/>
    <w:unhideWhenUsed/>
    <w:qFormat/>
    <w:uiPriority w:val="39"/>
    <w:pPr>
      <w:keepLines/>
      <w:widowControl/>
      <w:spacing w:before="480" w:line="276" w:lineRule="auto"/>
      <w:jc w:val="left"/>
      <w:outlineLvl w:val="9"/>
    </w:pPr>
    <w:rPr>
      <w:rFonts w:asciiTheme="majorHAnsi" w:hAnsiTheme="majorHAnsi" w:eastAsiaTheme="majorEastAsia" w:cstheme="majorBidi"/>
      <w:b/>
      <w:bCs/>
      <w:color w:val="366091" w:themeColor="accent1" w:themeShade="BF"/>
      <w:kern w:val="0"/>
      <w:sz w:val="28"/>
      <w:szCs w:val="28"/>
    </w:rPr>
  </w:style>
  <w:style w:type="paragraph" w:customStyle="1" w:styleId="710">
    <w:name w:val="样式 纯文本 + (符号) 宋体"/>
    <w:basedOn w:val="30"/>
    <w:qFormat/>
    <w:uiPriority w:val="0"/>
    <w:pPr>
      <w:spacing w:line="360" w:lineRule="auto"/>
      <w:ind w:firstLine="200" w:firstLineChars="200"/>
    </w:pPr>
    <w:rPr>
      <w:rFonts w:cs="Century"/>
      <w:kern w:val="0"/>
      <w:sz w:val="24"/>
    </w:rPr>
  </w:style>
  <w:style w:type="character" w:customStyle="1" w:styleId="711">
    <w:name w:val="占位符文本1"/>
    <w:basedOn w:val="61"/>
    <w:semiHidden/>
    <w:qFormat/>
    <w:uiPriority w:val="99"/>
    <w:rPr>
      <w:color w:val="808080"/>
    </w:rPr>
  </w:style>
  <w:style w:type="paragraph" w:customStyle="1" w:styleId="712">
    <w:name w:val="表格内"/>
    <w:basedOn w:val="1"/>
    <w:link w:val="713"/>
    <w:qFormat/>
    <w:uiPriority w:val="0"/>
    <w:pPr>
      <w:jc w:val="center"/>
    </w:pPr>
    <w:rPr>
      <w:snapToGrid w:val="0"/>
      <w:szCs w:val="21"/>
    </w:rPr>
  </w:style>
  <w:style w:type="character" w:customStyle="1" w:styleId="713">
    <w:name w:val="表格内 字符"/>
    <w:link w:val="712"/>
    <w:qFormat/>
    <w:uiPriority w:val="0"/>
    <w:rPr>
      <w:rFonts w:ascii="Times New Roman" w:hAnsi="Times New Roman" w:eastAsia="宋体" w:cs="Times New Roman"/>
      <w:snapToGrid w:val="0"/>
      <w:szCs w:val="21"/>
    </w:rPr>
  </w:style>
  <w:style w:type="character" w:customStyle="1" w:styleId="714">
    <w:name w:val="批注框文本 Char"/>
    <w:semiHidden/>
    <w:qFormat/>
    <w:uiPriority w:val="99"/>
    <w:rPr>
      <w:kern w:val="2"/>
      <w:sz w:val="18"/>
      <w:szCs w:val="18"/>
    </w:rPr>
  </w:style>
  <w:style w:type="character" w:customStyle="1" w:styleId="715">
    <w:name w:val="正文1 Char"/>
    <w:qFormat/>
    <w:uiPriority w:val="0"/>
    <w:rPr>
      <w:rFonts w:cs="宋体"/>
      <w:sz w:val="24"/>
    </w:rPr>
  </w:style>
  <w:style w:type="character" w:customStyle="1" w:styleId="716">
    <w:name w:val="标题 2 Char"/>
    <w:qFormat/>
    <w:uiPriority w:val="9"/>
    <w:rPr>
      <w:rFonts w:ascii="Times New Roman" w:hAnsi="Times New Roman"/>
      <w:b/>
      <w:kern w:val="2"/>
      <w:sz w:val="28"/>
      <w:szCs w:val="22"/>
    </w:rPr>
  </w:style>
  <w:style w:type="character" w:customStyle="1" w:styleId="717">
    <w:name w:val="批注主题 Char"/>
    <w:semiHidden/>
    <w:qFormat/>
    <w:uiPriority w:val="99"/>
    <w:rPr>
      <w:b/>
      <w:bCs/>
      <w:kern w:val="2"/>
      <w:sz w:val="24"/>
      <w:szCs w:val="22"/>
    </w:rPr>
  </w:style>
  <w:style w:type="character" w:customStyle="1" w:styleId="718">
    <w:name w:val="标题 4 Char"/>
    <w:qFormat/>
    <w:uiPriority w:val="9"/>
    <w:rPr>
      <w:rFonts w:ascii="Cambria" w:hAnsi="Cambria" w:eastAsia="宋体" w:cs="Times New Roman"/>
      <w:b/>
      <w:bCs/>
      <w:kern w:val="2"/>
      <w:sz w:val="28"/>
      <w:szCs w:val="28"/>
    </w:rPr>
  </w:style>
  <w:style w:type="character" w:customStyle="1" w:styleId="719">
    <w:name w:val="正文文本缩进 Char"/>
    <w:semiHidden/>
    <w:qFormat/>
    <w:uiPriority w:val="99"/>
    <w:rPr>
      <w:kern w:val="2"/>
      <w:sz w:val="24"/>
      <w:szCs w:val="22"/>
    </w:rPr>
  </w:style>
  <w:style w:type="character" w:customStyle="1" w:styleId="720">
    <w:name w:val="批注文字 Char"/>
    <w:qFormat/>
    <w:uiPriority w:val="0"/>
    <w:rPr>
      <w:kern w:val="2"/>
      <w:sz w:val="24"/>
      <w:szCs w:val="22"/>
    </w:rPr>
  </w:style>
  <w:style w:type="character" w:customStyle="1" w:styleId="721">
    <w:name w:val="纯文本 Char1"/>
    <w:qFormat/>
    <w:uiPriority w:val="0"/>
    <w:rPr>
      <w:rFonts w:ascii="宋体" w:hAnsi="Courier New"/>
      <w:kern w:val="2"/>
      <w:sz w:val="28"/>
    </w:rPr>
  </w:style>
  <w:style w:type="character" w:customStyle="1" w:styleId="722">
    <w:name w:val="页脚 Char"/>
    <w:qFormat/>
    <w:uiPriority w:val="99"/>
    <w:rPr>
      <w:sz w:val="18"/>
      <w:szCs w:val="18"/>
    </w:rPr>
  </w:style>
  <w:style w:type="character" w:customStyle="1" w:styleId="723">
    <w:name w:val="正文首行缩进 Char"/>
    <w:qFormat/>
    <w:uiPriority w:val="0"/>
    <w:rPr>
      <w:kern w:val="10"/>
      <w:sz w:val="24"/>
    </w:rPr>
  </w:style>
  <w:style w:type="character" w:customStyle="1" w:styleId="724">
    <w:name w:val="标题 3 Char"/>
    <w:qFormat/>
    <w:uiPriority w:val="9"/>
    <w:rPr>
      <w:rFonts w:ascii="Times New Roman" w:hAnsi="Times New Roman"/>
      <w:b/>
      <w:kern w:val="2"/>
      <w:sz w:val="24"/>
      <w:szCs w:val="22"/>
    </w:rPr>
  </w:style>
  <w:style w:type="character" w:customStyle="1" w:styleId="725">
    <w:name w:val="页眉 Char"/>
    <w:semiHidden/>
    <w:qFormat/>
    <w:uiPriority w:val="99"/>
    <w:rPr>
      <w:sz w:val="18"/>
      <w:szCs w:val="18"/>
    </w:rPr>
  </w:style>
  <w:style w:type="character" w:customStyle="1" w:styleId="726">
    <w:name w:val="文档结构图 Char"/>
    <w:semiHidden/>
    <w:qFormat/>
    <w:uiPriority w:val="99"/>
    <w:rPr>
      <w:rFonts w:ascii="宋体"/>
      <w:kern w:val="2"/>
      <w:sz w:val="18"/>
      <w:szCs w:val="18"/>
    </w:rPr>
  </w:style>
  <w:style w:type="paragraph" w:customStyle="1" w:styleId="727">
    <w:name w:val="图表字体"/>
    <w:basedOn w:val="1"/>
    <w:qFormat/>
    <w:uiPriority w:val="0"/>
    <w:pPr>
      <w:spacing w:line="440" w:lineRule="exact"/>
      <w:ind w:firstLine="480" w:firstLineChars="200"/>
      <w:jc w:val="center"/>
    </w:pPr>
    <w:rPr>
      <w:sz w:val="24"/>
      <w:szCs w:val="22"/>
    </w:rPr>
  </w:style>
  <w:style w:type="paragraph" w:customStyle="1" w:styleId="728">
    <w:name w:val="邵 正文"/>
    <w:basedOn w:val="1"/>
    <w:qFormat/>
    <w:uiPriority w:val="0"/>
    <w:pPr>
      <w:spacing w:line="360" w:lineRule="auto"/>
      <w:ind w:firstLine="200" w:firstLineChars="200"/>
    </w:pPr>
    <w:rPr>
      <w:color w:val="000000"/>
      <w:sz w:val="24"/>
    </w:rPr>
  </w:style>
  <w:style w:type="table" w:customStyle="1" w:styleId="729">
    <w:name w:val="网格型1"/>
    <w:basedOn w:val="59"/>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30">
    <w:name w:val="TOC 标题2"/>
    <w:basedOn w:val="3"/>
    <w:next w:val="1"/>
    <w:unhideWhenUsed/>
    <w:qFormat/>
    <w:uiPriority w:val="39"/>
    <w:pPr>
      <w:keepLines/>
      <w:widowControl/>
      <w:spacing w:before="480" w:line="276" w:lineRule="auto"/>
      <w:jc w:val="left"/>
      <w:outlineLvl w:val="9"/>
    </w:pPr>
    <w:rPr>
      <w:rFonts w:ascii="Cambria" w:hAnsi="Cambria"/>
      <w:b/>
      <w:bCs/>
      <w:color w:val="365F91"/>
      <w:kern w:val="0"/>
      <w:sz w:val="28"/>
      <w:szCs w:val="28"/>
    </w:rPr>
  </w:style>
  <w:style w:type="character" w:customStyle="1" w:styleId="731">
    <w:name w:val="正文文本(使用中) Char Char"/>
    <w:link w:val="732"/>
    <w:qFormat/>
    <w:uiPriority w:val="0"/>
    <w:rPr>
      <w:rFonts w:ascii="新宋体" w:hAnsi="新宋体" w:eastAsia="新宋体"/>
      <w:sz w:val="28"/>
      <w:szCs w:val="28"/>
    </w:rPr>
  </w:style>
  <w:style w:type="paragraph" w:customStyle="1" w:styleId="732">
    <w:name w:val="正文文本(使用中)"/>
    <w:basedOn w:val="1"/>
    <w:next w:val="1"/>
    <w:link w:val="731"/>
    <w:qFormat/>
    <w:uiPriority w:val="0"/>
    <w:pPr>
      <w:spacing w:line="560" w:lineRule="exact"/>
      <w:ind w:firstLine="560" w:firstLineChars="200"/>
    </w:pPr>
    <w:rPr>
      <w:rFonts w:ascii="新宋体" w:hAnsi="新宋体" w:eastAsia="新宋体" w:cstheme="minorBidi"/>
      <w:sz w:val="28"/>
      <w:szCs w:val="28"/>
    </w:rPr>
  </w:style>
  <w:style w:type="character" w:customStyle="1" w:styleId="733">
    <w:name w:val="aa正文 Char Char Char Char"/>
    <w:link w:val="734"/>
    <w:qFormat/>
    <w:uiPriority w:val="0"/>
    <w:rPr>
      <w:sz w:val="24"/>
      <w:szCs w:val="24"/>
    </w:rPr>
  </w:style>
  <w:style w:type="paragraph" w:customStyle="1" w:styleId="734">
    <w:name w:val="aa正文 Char Char"/>
    <w:basedOn w:val="1"/>
    <w:link w:val="733"/>
    <w:qFormat/>
    <w:uiPriority w:val="0"/>
    <w:pPr>
      <w:spacing w:line="500" w:lineRule="exact"/>
      <w:ind w:firstLine="561"/>
    </w:pPr>
    <w:rPr>
      <w:rFonts w:asciiTheme="minorHAnsi" w:hAnsiTheme="minorHAnsi" w:eastAsiaTheme="minorEastAsia" w:cstheme="minorBidi"/>
      <w:sz w:val="24"/>
    </w:rPr>
  </w:style>
  <w:style w:type="character" w:customStyle="1" w:styleId="735">
    <w:name w:val="表头1 字符"/>
    <w:qFormat/>
    <w:uiPriority w:val="0"/>
    <w:rPr>
      <w:rFonts w:eastAsia="黑体"/>
      <w:kern w:val="2"/>
      <w:sz w:val="21"/>
      <w:szCs w:val="21"/>
    </w:rPr>
  </w:style>
  <w:style w:type="character" w:customStyle="1" w:styleId="736">
    <w:name w:val="表头 字符"/>
    <w:qFormat/>
    <w:uiPriority w:val="0"/>
    <w:rPr>
      <w:rFonts w:eastAsia="黑体"/>
      <w:kern w:val="2"/>
      <w:sz w:val="21"/>
      <w:szCs w:val="24"/>
      <w:lang w:bidi="en-US"/>
    </w:rPr>
  </w:style>
  <w:style w:type="paragraph" w:customStyle="1" w:styleId="737">
    <w:name w:val="表格后文字"/>
    <w:basedOn w:val="493"/>
    <w:link w:val="738"/>
    <w:qFormat/>
    <w:uiPriority w:val="0"/>
    <w:pPr>
      <w:widowControl/>
      <w:spacing w:line="240" w:lineRule="auto"/>
      <w:ind w:firstLine="480"/>
    </w:pPr>
    <w:rPr>
      <w:rFonts w:ascii="Times New Roman" w:hAnsi="Times New Roman" w:eastAsia="宋体"/>
      <w:color w:val="000000"/>
      <w:kern w:val="0"/>
      <w:sz w:val="10"/>
      <w:szCs w:val="10"/>
    </w:rPr>
  </w:style>
  <w:style w:type="character" w:customStyle="1" w:styleId="738">
    <w:name w:val="表格后文字 字符"/>
    <w:basedOn w:val="682"/>
    <w:link w:val="737"/>
    <w:qFormat/>
    <w:uiPriority w:val="0"/>
    <w:rPr>
      <w:rFonts w:ascii="Times New Roman" w:hAnsi="Times New Roman" w:eastAsia="宋体" w:cs="宋体"/>
      <w:color w:val="000000"/>
      <w:kern w:val="0"/>
      <w:sz w:val="10"/>
      <w:szCs w:val="10"/>
    </w:rPr>
  </w:style>
  <w:style w:type="table" w:customStyle="1" w:styleId="739">
    <w:name w:val="Table Normal"/>
    <w:unhideWhenUsed/>
    <w:qFormat/>
    <w:uiPriority w:val="2"/>
    <w:pPr>
      <w:widowControl w:val="0"/>
    </w:pPr>
    <w:rPr>
      <w:kern w:val="0"/>
      <w:sz w:val="22"/>
      <w:lang w:eastAsia="en-US"/>
    </w:rPr>
    <w:tblPr>
      <w:tblCellMar>
        <w:top w:w="0" w:type="dxa"/>
        <w:left w:w="0" w:type="dxa"/>
        <w:bottom w:w="0" w:type="dxa"/>
        <w:right w:w="0" w:type="dxa"/>
      </w:tblCellMar>
    </w:tblPr>
  </w:style>
  <w:style w:type="character" w:customStyle="1" w:styleId="740">
    <w:name w:val="正文    首行缩进:  2 字符1 + 首行缩进:  2 字符1 Char Char"/>
    <w:link w:val="741"/>
    <w:qFormat/>
    <w:uiPriority w:val="0"/>
    <w:rPr>
      <w:rFonts w:ascii="宋体" w:hAnsi="宋体" w:cs="宋体"/>
      <w:kern w:val="24"/>
      <w:szCs w:val="21"/>
      <w:lang w:val="pt-BR"/>
    </w:rPr>
  </w:style>
  <w:style w:type="paragraph" w:customStyle="1" w:styleId="741">
    <w:name w:val="正文    首行缩进:  2 字符1 + 首行缩进:  2 字符1"/>
    <w:basedOn w:val="1"/>
    <w:link w:val="740"/>
    <w:qFormat/>
    <w:uiPriority w:val="0"/>
    <w:pPr>
      <w:widowControl/>
      <w:tabs>
        <w:tab w:val="left" w:pos="2835"/>
        <w:tab w:val="left" w:pos="4725"/>
      </w:tabs>
      <w:adjustRightInd w:val="0"/>
      <w:snapToGrid w:val="0"/>
      <w:spacing w:line="360" w:lineRule="auto"/>
      <w:ind w:firstLine="420" w:firstLineChars="200"/>
      <w:jc w:val="center"/>
    </w:pPr>
    <w:rPr>
      <w:rFonts w:ascii="宋体" w:hAnsi="宋体" w:cs="宋体" w:eastAsiaTheme="minorEastAsia"/>
      <w:kern w:val="24"/>
      <w:szCs w:val="21"/>
      <w:shd w:val="clear" w:color="auto" w:fill="FFFFFF"/>
      <w:lang w:val="pt-BR"/>
    </w:rPr>
  </w:style>
  <w:style w:type="paragraph" w:customStyle="1" w:styleId="742">
    <w:name w:val="图图"/>
    <w:basedOn w:val="684"/>
    <w:link w:val="743"/>
    <w:qFormat/>
    <w:uiPriority w:val="0"/>
    <w:pPr>
      <w:spacing w:beforeLines="50"/>
    </w:pPr>
    <w:rPr>
      <w:rFonts w:ascii="Times New Roman" w:hAnsi="Times New Roman" w:eastAsia="宋体"/>
      <w:kern w:val="0"/>
      <w:lang w:val="zh-CN"/>
    </w:rPr>
  </w:style>
  <w:style w:type="character" w:customStyle="1" w:styleId="743">
    <w:name w:val="图图 字符"/>
    <w:basedOn w:val="683"/>
    <w:link w:val="742"/>
    <w:qFormat/>
    <w:uiPriority w:val="0"/>
    <w:rPr>
      <w:rFonts w:ascii="Times New Roman" w:hAnsi="Times New Roman" w:eastAsia="宋体" w:cs="宋体"/>
      <w:kern w:val="0"/>
      <w:sz w:val="24"/>
      <w:szCs w:val="26"/>
      <w:lang w:val="zh-CN"/>
    </w:rPr>
  </w:style>
  <w:style w:type="character" w:customStyle="1" w:styleId="744">
    <w:name w:val="正文缩进 Char1 Char Char"/>
    <w:qFormat/>
    <w:uiPriority w:val="0"/>
    <w:rPr>
      <w:rFonts w:ascii="宋体" w:eastAsia="宋体"/>
      <w:kern w:val="2"/>
      <w:sz w:val="24"/>
      <w:lang w:val="en-US" w:eastAsia="zh-CN" w:bidi="ar-SA"/>
    </w:rPr>
  </w:style>
  <w:style w:type="character" w:customStyle="1" w:styleId="745">
    <w:name w:val="图、表标题 Char1"/>
    <w:link w:val="746"/>
    <w:qFormat/>
    <w:locked/>
    <w:uiPriority w:val="0"/>
    <w:rPr>
      <w:b/>
    </w:rPr>
  </w:style>
  <w:style w:type="paragraph" w:customStyle="1" w:styleId="746">
    <w:name w:val="图、表标题"/>
    <w:basedOn w:val="1"/>
    <w:link w:val="745"/>
    <w:qFormat/>
    <w:uiPriority w:val="0"/>
    <w:pPr>
      <w:adjustRightInd w:val="0"/>
      <w:snapToGrid w:val="0"/>
      <w:spacing w:line="360" w:lineRule="auto"/>
      <w:ind w:firstLine="1032" w:firstLineChars="200"/>
      <w:jc w:val="center"/>
    </w:pPr>
    <w:rPr>
      <w:rFonts w:asciiTheme="minorHAnsi" w:hAnsiTheme="minorHAnsi" w:eastAsiaTheme="minorEastAsia" w:cstheme="minorBidi"/>
      <w:b/>
      <w:szCs w:val="22"/>
    </w:rPr>
  </w:style>
  <w:style w:type="character" w:customStyle="1" w:styleId="747">
    <w:name w:val="apple-converted-space"/>
    <w:basedOn w:val="61"/>
    <w:qFormat/>
    <w:uiPriority w:val="0"/>
  </w:style>
  <w:style w:type="paragraph" w:customStyle="1" w:styleId="748">
    <w:name w:val="付正文"/>
    <w:basedOn w:val="1"/>
    <w:semiHidden/>
    <w:qFormat/>
    <w:uiPriority w:val="0"/>
    <w:pPr>
      <w:spacing w:line="360" w:lineRule="auto"/>
      <w:ind w:firstLine="200" w:firstLineChars="200"/>
    </w:pPr>
    <w:rPr>
      <w:rFonts w:ascii="宋体"/>
      <w:color w:val="000000"/>
      <w:sz w:val="24"/>
      <w:szCs w:val="21"/>
    </w:rPr>
  </w:style>
  <w:style w:type="paragraph" w:customStyle="1" w:styleId="749">
    <w:name w:val="表格标题"/>
    <w:basedOn w:val="1"/>
    <w:qFormat/>
    <w:uiPriority w:val="0"/>
    <w:pPr>
      <w:spacing w:before="60" w:line="460" w:lineRule="exact"/>
      <w:jc w:val="center"/>
    </w:pPr>
    <w:rPr>
      <w:sz w:val="24"/>
    </w:rPr>
  </w:style>
  <w:style w:type="table" w:customStyle="1" w:styleId="750">
    <w:name w:val="网格型21"/>
    <w:basedOn w:val="59"/>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
    <w:name w:val="网格型3"/>
    <w:basedOn w:val="59"/>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2">
    <w:name w:val="无间隔2"/>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753">
    <w:name w:val="font21"/>
    <w:uiPriority w:val="0"/>
    <w:rPr>
      <w:rFonts w:hint="eastAsia" w:ascii="宋体" w:hAnsi="宋体" w:eastAsia="宋体" w:cs="宋体"/>
      <w:color w:val="000000"/>
      <w:kern w:val="2"/>
      <w:sz w:val="24"/>
      <w:szCs w:val="24"/>
      <w:u w:val="none"/>
      <w:lang w:eastAsia="zh-CN" w:bidi="ar-SA"/>
    </w:rPr>
  </w:style>
  <w:style w:type="table" w:customStyle="1" w:styleId="754">
    <w:name w:val="网格型4"/>
    <w:basedOn w:val="59"/>
    <w:qFormat/>
    <w:uiPriority w:val="5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5">
    <w:name w:val="网格型5"/>
    <w:basedOn w:val="59"/>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6">
    <w:name w:val="网格型6"/>
    <w:basedOn w:val="59"/>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7">
    <w:name w:val="网格型7"/>
    <w:basedOn w:val="59"/>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8">
    <w:name w:val="报告书表头"/>
    <w:basedOn w:val="1"/>
    <w:next w:val="1"/>
    <w:link w:val="759"/>
    <w:qFormat/>
    <w:uiPriority w:val="0"/>
    <w:pPr>
      <w:tabs>
        <w:tab w:val="left" w:pos="6840"/>
      </w:tabs>
      <w:topLinePunct/>
      <w:snapToGrid w:val="0"/>
      <w:ind w:firstLine="200" w:firstLineChars="200"/>
    </w:pPr>
    <w:rPr>
      <w:rFonts w:eastAsia="黑体" w:cstheme="minorBidi"/>
      <w:bCs/>
      <w:kern w:val="24"/>
      <w:szCs w:val="28"/>
    </w:rPr>
  </w:style>
  <w:style w:type="character" w:customStyle="1" w:styleId="759">
    <w:name w:val="报告书表头 字符"/>
    <w:link w:val="758"/>
    <w:qFormat/>
    <w:uiPriority w:val="0"/>
    <w:rPr>
      <w:rFonts w:ascii="Times New Roman" w:hAnsi="Times New Roman" w:eastAsia="黑体"/>
      <w:bCs/>
      <w:kern w:val="24"/>
      <w:szCs w:val="28"/>
    </w:rPr>
  </w:style>
  <w:style w:type="character" w:customStyle="1" w:styleId="760">
    <w:name w:val="报告书文本 字符"/>
    <w:link w:val="761"/>
    <w:uiPriority w:val="0"/>
    <w:rPr>
      <w:sz w:val="24"/>
      <w:szCs w:val="24"/>
    </w:rPr>
  </w:style>
  <w:style w:type="paragraph" w:customStyle="1" w:styleId="761">
    <w:name w:val="报告书文本"/>
    <w:basedOn w:val="1"/>
    <w:link w:val="760"/>
    <w:qFormat/>
    <w:uiPriority w:val="0"/>
    <w:pPr>
      <w:spacing w:line="460" w:lineRule="exact"/>
      <w:ind w:firstLine="200" w:firstLineChars="200"/>
    </w:pPr>
    <w:rPr>
      <w:rFonts w:asciiTheme="minorHAnsi" w:hAnsiTheme="minorHAnsi" w:eastAsiaTheme="minorEastAsia" w:cstheme="minorBidi"/>
      <w:sz w:val="24"/>
    </w:rPr>
  </w:style>
  <w:style w:type="paragraph" w:customStyle="1" w:styleId="762">
    <w:name w:val="报告书表格内容"/>
    <w:basedOn w:val="1"/>
    <w:link w:val="763"/>
    <w:qFormat/>
    <w:uiPriority w:val="0"/>
    <w:pPr>
      <w:widowControl/>
      <w:jc w:val="center"/>
    </w:pPr>
    <w:rPr>
      <w:kern w:val="0"/>
      <w:szCs w:val="21"/>
      <w:lang w:eastAsia="en-US" w:bidi="en-US"/>
    </w:rPr>
  </w:style>
  <w:style w:type="character" w:customStyle="1" w:styleId="763">
    <w:name w:val="报告书表格内容 字符"/>
    <w:basedOn w:val="61"/>
    <w:link w:val="762"/>
    <w:uiPriority w:val="0"/>
    <w:rPr>
      <w:rFonts w:ascii="Times New Roman" w:hAnsi="Times New Roman" w:eastAsia="宋体" w:cs="Times New Roman"/>
      <w:kern w:val="0"/>
      <w:szCs w:val="21"/>
      <w:lang w:eastAsia="en-US" w:bidi="en-US"/>
    </w:rPr>
  </w:style>
  <w:style w:type="paragraph" w:customStyle="1" w:styleId="764">
    <w:name w:val="Heading #2|1"/>
    <w:basedOn w:val="1"/>
    <w:qFormat/>
    <w:uiPriority w:val="0"/>
    <w:pPr>
      <w:autoSpaceDE w:val="0"/>
      <w:autoSpaceDN w:val="0"/>
      <w:spacing w:after="200"/>
      <w:jc w:val="left"/>
      <w:outlineLvl w:val="1"/>
    </w:pPr>
    <w:rPr>
      <w:rFonts w:ascii="宋体" w:hAnsi="宋体" w:cs="宋体"/>
      <w:kern w:val="0"/>
      <w:sz w:val="28"/>
      <w:szCs w:val="28"/>
      <w:lang w:val="zh-TW" w:eastAsia="zh-TW" w:bidi="zh-TW"/>
    </w:rPr>
  </w:style>
  <w:style w:type="paragraph" w:customStyle="1" w:styleId="765">
    <w:name w:val="Body text|1"/>
    <w:basedOn w:val="1"/>
    <w:qFormat/>
    <w:uiPriority w:val="0"/>
    <w:pPr>
      <w:autoSpaceDE w:val="0"/>
      <w:autoSpaceDN w:val="0"/>
      <w:spacing w:after="330" w:line="480" w:lineRule="auto"/>
      <w:ind w:firstLine="400"/>
      <w:jc w:val="left"/>
    </w:pPr>
    <w:rPr>
      <w:rFonts w:ascii="宋体" w:hAnsi="宋体" w:cs="宋体"/>
      <w:kern w:val="0"/>
      <w:sz w:val="20"/>
      <w:szCs w:val="20"/>
      <w:lang w:val="zh-TW" w:eastAsia="zh-TW" w:bidi="zh-TW"/>
    </w:rPr>
  </w:style>
  <w:style w:type="paragraph" w:customStyle="1" w:styleId="766">
    <w:name w:val="Table caption|1"/>
    <w:basedOn w:val="1"/>
    <w:qFormat/>
    <w:uiPriority w:val="0"/>
    <w:pPr>
      <w:autoSpaceDE w:val="0"/>
      <w:autoSpaceDN w:val="0"/>
      <w:jc w:val="left"/>
    </w:pPr>
    <w:rPr>
      <w:rFonts w:ascii="宋体" w:hAnsi="宋体" w:cs="宋体"/>
      <w:b/>
      <w:bCs/>
      <w:kern w:val="0"/>
      <w:sz w:val="20"/>
      <w:szCs w:val="20"/>
      <w:lang w:val="zh-TW" w:eastAsia="zh-TW" w:bidi="zh-TW"/>
    </w:rPr>
  </w:style>
  <w:style w:type="paragraph" w:customStyle="1" w:styleId="767">
    <w:name w:val="Other|1"/>
    <w:basedOn w:val="1"/>
    <w:qFormat/>
    <w:uiPriority w:val="0"/>
    <w:pPr>
      <w:autoSpaceDE w:val="0"/>
      <w:autoSpaceDN w:val="0"/>
      <w:jc w:val="left"/>
    </w:pPr>
    <w:rPr>
      <w:rFonts w:ascii="宋体" w:hAnsi="宋体" w:cs="宋体"/>
      <w:kern w:val="0"/>
      <w:sz w:val="20"/>
      <w:szCs w:val="20"/>
      <w:lang w:val="zh-TW" w:eastAsia="zh-TW" w:bidi="zh-TW"/>
    </w:rPr>
  </w:style>
  <w:style w:type="paragraph" w:customStyle="1" w:styleId="768">
    <w:name w:val="Picture caption|1"/>
    <w:basedOn w:val="1"/>
    <w:qFormat/>
    <w:uiPriority w:val="0"/>
    <w:pPr>
      <w:autoSpaceDE w:val="0"/>
      <w:autoSpaceDN w:val="0"/>
      <w:jc w:val="left"/>
    </w:pPr>
    <w:rPr>
      <w:rFonts w:ascii="宋体" w:hAnsi="宋体" w:cs="宋体"/>
      <w:b/>
      <w:bCs/>
      <w:kern w:val="0"/>
      <w:sz w:val="20"/>
      <w:szCs w:val="20"/>
      <w:lang w:val="zh-TW" w:eastAsia="zh-TW" w:bidi="zh-TW"/>
    </w:rPr>
  </w:style>
  <w:style w:type="paragraph" w:customStyle="1" w:styleId="769">
    <w:name w:val="Heading #1|1"/>
    <w:basedOn w:val="1"/>
    <w:qFormat/>
    <w:uiPriority w:val="0"/>
    <w:pPr>
      <w:autoSpaceDE w:val="0"/>
      <w:autoSpaceDN w:val="0"/>
      <w:spacing w:after="300"/>
      <w:jc w:val="left"/>
      <w:outlineLvl w:val="0"/>
    </w:pPr>
    <w:rPr>
      <w:rFonts w:ascii="宋体" w:hAnsi="宋体" w:cs="宋体"/>
      <w:kern w:val="0"/>
      <w:sz w:val="28"/>
      <w:szCs w:val="28"/>
      <w:lang w:val="zh-TW" w:eastAsia="zh-TW" w:bidi="zh-TW"/>
    </w:rPr>
  </w:style>
  <w:style w:type="paragraph" w:customStyle="1" w:styleId="770">
    <w:name w:val="Heading #3|1"/>
    <w:basedOn w:val="1"/>
    <w:qFormat/>
    <w:uiPriority w:val="0"/>
    <w:pPr>
      <w:autoSpaceDE w:val="0"/>
      <w:autoSpaceDN w:val="0"/>
      <w:spacing w:after="200"/>
      <w:jc w:val="left"/>
      <w:outlineLvl w:val="2"/>
    </w:pPr>
    <w:rPr>
      <w:rFonts w:ascii="宋体" w:hAnsi="宋体" w:cs="宋体"/>
      <w:kern w:val="0"/>
      <w:sz w:val="28"/>
      <w:szCs w:val="28"/>
      <w:lang w:val="zh-TW" w:eastAsia="zh-TW" w:bidi="zh-TW"/>
    </w:rPr>
  </w:style>
  <w:style w:type="paragraph" w:customStyle="1" w:styleId="771">
    <w:name w:val="Header or footer|1"/>
    <w:basedOn w:val="1"/>
    <w:qFormat/>
    <w:uiPriority w:val="0"/>
    <w:pPr>
      <w:autoSpaceDE w:val="0"/>
      <w:autoSpaceDN w:val="0"/>
      <w:jc w:val="left"/>
    </w:pPr>
    <w:rPr>
      <w:rFonts w:ascii="宋体" w:hAnsi="宋体" w:cs="宋体"/>
      <w:kern w:val="0"/>
      <w:sz w:val="20"/>
      <w:szCs w:val="20"/>
      <w:lang w:val="zh-TW" w:eastAsia="zh-TW" w:bidi="zh-TW"/>
    </w:rPr>
  </w:style>
  <w:style w:type="character" w:customStyle="1" w:styleId="772">
    <w:name w:val="title-text"/>
    <w:basedOn w:val="61"/>
    <w:qFormat/>
    <w:uiPriority w:val="0"/>
  </w:style>
  <w:style w:type="paragraph" w:customStyle="1" w:styleId="773">
    <w:name w:val="TOC Heading"/>
    <w:basedOn w:val="3"/>
    <w:next w:val="1"/>
    <w:unhideWhenUsed/>
    <w:qFormat/>
    <w:uiPriority w:val="39"/>
    <w:pPr>
      <w:keepLines/>
      <w:widowControl/>
      <w:spacing w:before="240" w:line="259" w:lineRule="auto"/>
      <w:jc w:val="left"/>
      <w:outlineLvl w:val="9"/>
    </w:pPr>
    <w:rPr>
      <w:rFonts w:asciiTheme="majorHAnsi" w:hAnsiTheme="majorHAnsi" w:eastAsiaTheme="majorEastAsia" w:cstheme="majorBidi"/>
      <w:color w:val="366091" w:themeColor="accent1" w:themeShade="BF"/>
      <w:kern w:val="0"/>
      <w:sz w:val="32"/>
      <w:szCs w:val="32"/>
    </w:rPr>
  </w:style>
  <w:style w:type="character" w:customStyle="1" w:styleId="774">
    <w:name w:val="Unresolved Mention"/>
    <w:basedOn w:val="61"/>
    <w:semiHidden/>
    <w:unhideWhenUsed/>
    <w:uiPriority w:val="99"/>
    <w:rPr>
      <w:color w:val="605E5C"/>
      <w:shd w:val="clear" w:color="auto" w:fill="E1DFDD"/>
    </w:rPr>
  </w:style>
  <w:style w:type="character" w:customStyle="1" w:styleId="775">
    <w:name w:val="正文(首行缩进) Char1"/>
    <w:basedOn w:val="61"/>
    <w:uiPriority w:val="0"/>
    <w:rPr>
      <w:rFonts w:ascii="宋体" w:hAnsi="宋体" w:eastAsia="宋体"/>
      <w:snapToGrid w:val="0"/>
      <w:color w:val="000000"/>
      <w:sz w:val="24"/>
      <w:szCs w:val="24"/>
      <w:lang w:val="en-US" w:eastAsia="zh-CN" w:bidi="ar-SA"/>
    </w:rPr>
  </w:style>
  <w:style w:type="character" w:customStyle="1" w:styleId="776">
    <w:name w:val="3表格正文 Char"/>
    <w:link w:val="777"/>
    <w:qFormat/>
    <w:locked/>
    <w:uiPriority w:val="0"/>
    <w:rPr>
      <w:rFonts w:ascii="Times New Roman" w:hAnsi="Times New Roman" w:cs="Times New Roman"/>
      <w:bCs/>
      <w:szCs w:val="21"/>
    </w:rPr>
  </w:style>
  <w:style w:type="paragraph" w:customStyle="1" w:styleId="777">
    <w:name w:val="3表格正文"/>
    <w:basedOn w:val="1"/>
    <w:link w:val="776"/>
    <w:qFormat/>
    <w:uiPriority w:val="0"/>
    <w:pPr>
      <w:jc w:val="center"/>
    </w:pPr>
    <w:rPr>
      <w:rFonts w:eastAsiaTheme="minorEastAsia"/>
      <w:bCs/>
      <w:szCs w:val="21"/>
    </w:rPr>
  </w:style>
  <w:style w:type="character" w:customStyle="1" w:styleId="778">
    <w:name w:val="Char Char41"/>
    <w:basedOn w:val="61"/>
    <w:qFormat/>
    <w:uiPriority w:val="0"/>
    <w:rPr>
      <w:rFonts w:ascii="宋体" w:hAnsi="宋体" w:eastAsia="宋体" w:cs="宋体"/>
      <w:b/>
      <w:bCs/>
      <w:kern w:val="44"/>
      <w:sz w:val="28"/>
      <w:szCs w:val="28"/>
    </w:rPr>
  </w:style>
  <w:style w:type="paragraph" w:customStyle="1" w:styleId="779">
    <w:name w:val="正文11"/>
    <w:basedOn w:val="1"/>
    <w:qFormat/>
    <w:uiPriority w:val="0"/>
    <w:pPr>
      <w:spacing w:line="480" w:lineRule="exact"/>
      <w:ind w:firstLine="200" w:firstLineChars="200"/>
    </w:pPr>
    <w:rPr>
      <w:rFonts w:ascii="宋体" w:hAnsi="宋体" w:cs="宋体" w:eastAsiaTheme="minorEastAsia"/>
      <w:sz w:val="24"/>
    </w:rPr>
  </w:style>
  <w:style w:type="character" w:customStyle="1" w:styleId="780">
    <w:name w:val="Default Char"/>
    <w:link w:val="547"/>
    <w:qFormat/>
    <w:locked/>
    <w:uiPriority w:val="0"/>
    <w:rPr>
      <w:rFonts w:ascii="宋体" w:hAnsi="Times New Roman" w:eastAsia="宋体" w:cs="宋体"/>
      <w:color w:val="000000"/>
      <w:kern w:val="0"/>
      <w:sz w:val="24"/>
      <w:szCs w:val="24"/>
    </w:rPr>
  </w:style>
  <w:style w:type="paragraph" w:customStyle="1" w:styleId="781">
    <w:name w:val="修订1"/>
    <w:semiHidden/>
    <w:qFormat/>
    <w:uiPriority w:val="99"/>
    <w:pPr>
      <w:jc w:val="center"/>
    </w:pPr>
    <w:rPr>
      <w:rFonts w:ascii="Times New Roman" w:hAnsi="Times New Roman" w:eastAsia="宋体" w:cs="Times New Roman"/>
      <w:kern w:val="2"/>
      <w:sz w:val="21"/>
      <w:szCs w:val="24"/>
      <w:lang w:val="en-US" w:eastAsia="zh-CN" w:bidi="ar-SA"/>
    </w:rPr>
  </w:style>
  <w:style w:type="paragraph" w:customStyle="1" w:styleId="782">
    <w:name w:val="Char Char Char Char1"/>
    <w:basedOn w:val="1"/>
    <w:qFormat/>
    <w:uiPriority w:val="0"/>
    <w:pPr>
      <w:spacing w:line="360" w:lineRule="auto"/>
      <w:ind w:firstLine="640" w:firstLineChars="200"/>
    </w:pPr>
    <w:rPr>
      <w:sz w:val="24"/>
    </w:rPr>
  </w:style>
  <w:style w:type="paragraph" w:customStyle="1" w:styleId="783">
    <w:name w:val="Char5"/>
    <w:basedOn w:val="1"/>
    <w:qFormat/>
    <w:uiPriority w:val="0"/>
    <w:pPr>
      <w:spacing w:line="360" w:lineRule="auto"/>
      <w:ind w:firstLine="200" w:firstLineChars="200"/>
    </w:pPr>
    <w:rPr>
      <w:szCs w:val="20"/>
    </w:rPr>
  </w:style>
  <w:style w:type="paragraph" w:customStyle="1" w:styleId="784">
    <w:name w:val="Char Char Char Char Char Char Char Char Char Char Char Char Char Char Char Char Char Char Char1"/>
    <w:basedOn w:val="1"/>
    <w:qFormat/>
    <w:uiPriority w:val="0"/>
    <w:pPr>
      <w:keepNext/>
      <w:spacing w:beforeLines="100" w:afterLines="100" w:line="720" w:lineRule="auto"/>
      <w:ind w:firstLine="567"/>
    </w:pPr>
    <w:rPr>
      <w:rFonts w:eastAsia="仿宋_GB2312"/>
      <w:sz w:val="28"/>
      <w:szCs w:val="20"/>
    </w:rPr>
  </w:style>
  <w:style w:type="paragraph" w:customStyle="1" w:styleId="785">
    <w:name w:val="Char11"/>
    <w:basedOn w:val="1"/>
    <w:qFormat/>
    <w:uiPriority w:val="0"/>
    <w:rPr>
      <w:rFonts w:ascii="宋体"/>
      <w:spacing w:val="4"/>
      <w:kern w:val="0"/>
      <w:sz w:val="24"/>
      <w:szCs w:val="20"/>
    </w:rPr>
  </w:style>
  <w:style w:type="character" w:customStyle="1" w:styleId="786">
    <w:name w:val="表题 Char"/>
    <w:link w:val="787"/>
    <w:qFormat/>
    <w:locked/>
    <w:uiPriority w:val="0"/>
    <w:rPr>
      <w:rFonts w:ascii="宋体" w:hAnsi="宋体" w:eastAsia="宋体"/>
      <w:b/>
      <w:szCs w:val="24"/>
    </w:rPr>
  </w:style>
  <w:style w:type="paragraph" w:customStyle="1" w:styleId="787">
    <w:name w:val="表题"/>
    <w:link w:val="786"/>
    <w:qFormat/>
    <w:uiPriority w:val="0"/>
    <w:pPr>
      <w:spacing w:line="480" w:lineRule="exact"/>
      <w:jc w:val="center"/>
    </w:pPr>
    <w:rPr>
      <w:rFonts w:ascii="宋体" w:hAnsi="宋体" w:eastAsia="宋体" w:cstheme="minorBidi"/>
      <w:b/>
      <w:kern w:val="2"/>
      <w:sz w:val="21"/>
      <w:szCs w:val="24"/>
      <w:lang w:val="en-US" w:eastAsia="zh-CN" w:bidi="ar-SA"/>
    </w:rPr>
  </w:style>
  <w:style w:type="character" w:customStyle="1" w:styleId="788">
    <w:name w:val="-表格 Char"/>
    <w:link w:val="789"/>
    <w:qFormat/>
    <w:locked/>
    <w:uiPriority w:val="0"/>
    <w:rPr>
      <w:szCs w:val="24"/>
    </w:rPr>
  </w:style>
  <w:style w:type="paragraph" w:customStyle="1" w:styleId="789">
    <w:name w:val="-表格"/>
    <w:basedOn w:val="1"/>
    <w:link w:val="788"/>
    <w:qFormat/>
    <w:uiPriority w:val="0"/>
    <w:rPr>
      <w:rFonts w:asciiTheme="minorHAnsi" w:hAnsiTheme="minorHAnsi" w:eastAsiaTheme="minorEastAsia" w:cstheme="minorBidi"/>
    </w:rPr>
  </w:style>
  <w:style w:type="paragraph" w:customStyle="1" w:styleId="790">
    <w:name w:val="邓表格文字"/>
    <w:basedOn w:val="1"/>
    <w:qFormat/>
    <w:uiPriority w:val="0"/>
    <w:pPr>
      <w:widowControl/>
      <w:snapToGrid w:val="0"/>
      <w:spacing w:line="280" w:lineRule="exact"/>
      <w:jc w:val="left"/>
    </w:pPr>
    <w:rPr>
      <w:kern w:val="0"/>
      <w:szCs w:val="21"/>
    </w:rPr>
  </w:style>
  <w:style w:type="paragraph" w:customStyle="1" w:styleId="791">
    <w:name w:val="表内字"/>
    <w:basedOn w:val="1"/>
    <w:qFormat/>
    <w:uiPriority w:val="0"/>
    <w:pPr>
      <w:widowControl/>
      <w:snapToGrid w:val="0"/>
      <w:spacing w:line="320" w:lineRule="exact"/>
      <w:jc w:val="center"/>
    </w:pPr>
    <w:rPr>
      <w:kern w:val="0"/>
      <w:sz w:val="24"/>
    </w:rPr>
  </w:style>
  <w:style w:type="paragraph" w:customStyle="1" w:styleId="792">
    <w:name w:val="邓表头"/>
    <w:basedOn w:val="1"/>
    <w:qFormat/>
    <w:uiPriority w:val="0"/>
    <w:pPr>
      <w:widowControl/>
      <w:snapToGrid w:val="0"/>
      <w:ind w:firstLine="883" w:firstLineChars="200"/>
      <w:contextualSpacing/>
      <w:jc w:val="center"/>
    </w:pPr>
    <w:rPr>
      <w:rFonts w:hAnsi="宋体" w:eastAsia="Times New Roman"/>
      <w:b/>
      <w:kern w:val="0"/>
      <w:sz w:val="24"/>
    </w:rPr>
  </w:style>
  <w:style w:type="paragraph" w:customStyle="1" w:styleId="793">
    <w:name w:val="表格内文字"/>
    <w:basedOn w:val="1"/>
    <w:qFormat/>
    <w:uiPriority w:val="0"/>
    <w:pPr>
      <w:jc w:val="center"/>
    </w:pPr>
    <w:rPr>
      <w:szCs w:val="20"/>
    </w:rPr>
  </w:style>
  <w:style w:type="table" w:customStyle="1" w:styleId="794">
    <w:name w:val="表格样式"/>
    <w:basedOn w:val="59"/>
    <w:qFormat/>
    <w:uiPriority w:val="99"/>
    <w:pPr>
      <w:adjustRightInd w:val="0"/>
      <w:snapToGrid w:val="0"/>
    </w:pPr>
    <w:rPr>
      <w:rFonts w:ascii="Times New Roman" w:hAnsi="Times New Roman" w:eastAsia="宋体" w:cs="Times New Roman"/>
      <w:kern w:val="0"/>
      <w:sz w:val="24"/>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cPr>
      <w:vAlign w:val="center"/>
    </w:tcPr>
    <w:tblStylePr w:type="firstRow">
      <w:pPr>
        <w:jc w:val="center"/>
      </w:pPr>
      <w:rPr>
        <w:rFonts w:hint="default" w:ascii="Times New Roman" w:hAnsi="Times New Roman" w:eastAsia="宋体" w:cs="Times New Roman"/>
        <w:b/>
        <w:i w:val="0"/>
        <w:sz w:val="24"/>
        <w:szCs w:val="24"/>
      </w: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pct10" w:color="auto" w:fill="auto"/>
      </w:tcPr>
    </w:tblStylePr>
  </w:style>
  <w:style w:type="paragraph" w:customStyle="1" w:styleId="795">
    <w:name w:val="xl38"/>
    <w:basedOn w:val="1"/>
    <w:qFormat/>
    <w:uiPriority w:val="0"/>
    <w:pPr>
      <w:widowControl/>
      <w:spacing w:before="100" w:beforeAutospacing="1" w:after="100" w:afterAutospacing="1"/>
      <w:jc w:val="center"/>
    </w:pPr>
    <w:rPr>
      <w:rFonts w:ascii="宋体" w:hAnsi="宋体"/>
      <w:kern w:val="0"/>
      <w:sz w:val="24"/>
      <w:szCs w:val="28"/>
    </w:rPr>
  </w:style>
  <w:style w:type="paragraph" w:customStyle="1" w:styleId="796">
    <w:name w:val="分点段落文字"/>
    <w:basedOn w:val="1"/>
    <w:qFormat/>
    <w:uiPriority w:val="0"/>
    <w:pPr>
      <w:numPr>
        <w:ilvl w:val="0"/>
        <w:numId w:val="2"/>
      </w:numPr>
      <w:spacing w:line="360" w:lineRule="auto"/>
    </w:pPr>
    <w:rPr>
      <w:sz w:val="24"/>
    </w:rPr>
  </w:style>
  <w:style w:type="paragraph" w:customStyle="1" w:styleId="797">
    <w:name w:val="样式 样式 表格标题 + 段前: 0.5 行 + 段前: 0.5 行1"/>
    <w:basedOn w:val="1"/>
    <w:qFormat/>
    <w:uiPriority w:val="0"/>
    <w:pPr>
      <w:autoSpaceDE w:val="0"/>
      <w:autoSpaceDN w:val="0"/>
      <w:adjustRightInd w:val="0"/>
      <w:spacing w:beforeLines="50" w:line="400" w:lineRule="exact"/>
      <w:jc w:val="center"/>
    </w:pPr>
    <w:rPr>
      <w:rFonts w:ascii="宋体" w:hAnsi="宋体" w:cs="宋体"/>
      <w:b/>
      <w:szCs w:val="21"/>
      <w:lang w:val="zh-CN"/>
    </w:rPr>
  </w:style>
  <w:style w:type="character" w:customStyle="1" w:styleId="798">
    <w:name w:val="表格字体 字符"/>
    <w:basedOn w:val="61"/>
    <w:link w:val="626"/>
    <w:qFormat/>
    <w:locked/>
    <w:uiPriority w:val="0"/>
    <w:rPr>
      <w:rFonts w:ascii="宋体" w:hAnsi="宋体" w:eastAsia="宋体" w:cs="Times New Roman"/>
      <w:kern w:val="12"/>
      <w:sz w:val="18"/>
      <w:szCs w:val="20"/>
    </w:rPr>
  </w:style>
  <w:style w:type="character" w:customStyle="1" w:styleId="799">
    <w:name w:val="6表格内 字符"/>
    <w:basedOn w:val="798"/>
    <w:link w:val="800"/>
    <w:qFormat/>
    <w:locked/>
    <w:uiPriority w:val="0"/>
    <w:rPr>
      <w:rFonts w:ascii="宋体" w:hAnsi="宋体" w:eastAsia="宋体" w:cs="Times New Roman"/>
      <w:color w:val="000000" w:themeColor="text1"/>
      <w:kern w:val="12"/>
      <w:sz w:val="18"/>
      <w:szCs w:val="20"/>
    </w:rPr>
  </w:style>
  <w:style w:type="paragraph" w:customStyle="1" w:styleId="800">
    <w:name w:val="6表格内"/>
    <w:basedOn w:val="626"/>
    <w:link w:val="799"/>
    <w:qFormat/>
    <w:uiPriority w:val="0"/>
    <w:pPr>
      <w:framePr w:hSpace="0" w:wrap="auto" w:vAnchor="margin" w:hAnchor="text" w:yAlign="inline"/>
      <w:adjustRightInd/>
      <w:ind w:left="0" w:right="0" w:rightChars="0"/>
      <w:textAlignment w:val="auto"/>
    </w:pPr>
    <w:rPr>
      <w:color w:val="000000" w:themeColor="text1"/>
    </w:rPr>
  </w:style>
  <w:style w:type="table" w:customStyle="1" w:styleId="801">
    <w:name w:val="伊思曼"/>
    <w:basedOn w:val="59"/>
    <w:qFormat/>
    <w:uiPriority w:val="99"/>
    <w:rPr>
      <w:rFonts w:ascii="等线" w:hAnsi="Times New Roman" w:eastAsia="宋体" w:cs="Times New Roman"/>
      <w:kern w:val="0"/>
      <w:sz w:val="20"/>
      <w:szCs w:val="20"/>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
    <w:tcPr>
      <w:vAlign w:val="center"/>
    </w:tcPr>
  </w:style>
  <w:style w:type="character" w:customStyle="1" w:styleId="802">
    <w:name w:val="7 表内 字符"/>
    <w:basedOn w:val="61"/>
    <w:link w:val="803"/>
    <w:qFormat/>
    <w:locked/>
    <w:uiPriority w:val="0"/>
    <w:rPr>
      <w:szCs w:val="21"/>
    </w:rPr>
  </w:style>
  <w:style w:type="paragraph" w:customStyle="1" w:styleId="803">
    <w:name w:val="7 表内"/>
    <w:basedOn w:val="1"/>
    <w:link w:val="802"/>
    <w:qFormat/>
    <w:uiPriority w:val="0"/>
    <w:pPr>
      <w:jc w:val="center"/>
    </w:pPr>
    <w:rPr>
      <w:rFonts w:asciiTheme="minorHAnsi" w:hAnsiTheme="minorHAnsi" w:eastAsiaTheme="minorEastAsia" w:cstheme="minorBidi"/>
      <w:szCs w:val="21"/>
    </w:rPr>
  </w:style>
  <w:style w:type="character" w:customStyle="1" w:styleId="804">
    <w:name w:val="5表格&amp;图标题 字符"/>
    <w:basedOn w:val="61"/>
    <w:link w:val="805"/>
    <w:qFormat/>
    <w:locked/>
    <w:uiPriority w:val="0"/>
    <w:rPr>
      <w:rFonts w:ascii="Times New Roman" w:hAnsi="Times New Roman"/>
      <w:b/>
      <w:bCs/>
      <w:sz w:val="24"/>
    </w:rPr>
  </w:style>
  <w:style w:type="paragraph" w:customStyle="1" w:styleId="805">
    <w:name w:val="5表格&amp;图标题"/>
    <w:basedOn w:val="1"/>
    <w:link w:val="804"/>
    <w:qFormat/>
    <w:uiPriority w:val="0"/>
    <w:pPr>
      <w:spacing w:line="360" w:lineRule="auto"/>
      <w:jc w:val="center"/>
    </w:pPr>
    <w:rPr>
      <w:rFonts w:eastAsiaTheme="minorEastAsia" w:cstheme="minorBidi"/>
      <w:b/>
      <w:bCs/>
      <w:sz w:val="24"/>
      <w:szCs w:val="22"/>
    </w:rPr>
  </w:style>
  <w:style w:type="table" w:customStyle="1" w:styleId="806">
    <w:name w:val="默认"/>
    <w:basedOn w:val="59"/>
    <w:qFormat/>
    <w:uiPriority w:val="99"/>
    <w:rPr>
      <w:rFonts w:ascii="Times New Roman" w:hAnsi="Times New Roman" w:eastAsia="宋体" w:cs="Times New Roman"/>
      <w:kern w:val="0"/>
      <w:sz w:val="20"/>
      <w:szCs w:val="28"/>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Pr>
    <w:tcPr>
      <w:vAlign w:val="center"/>
    </w:tcPr>
  </w:style>
  <w:style w:type="table" w:customStyle="1" w:styleId="807">
    <w:name w:val="标准样式"/>
    <w:basedOn w:val="59"/>
    <w:qFormat/>
    <w:uiPriority w:val="99"/>
    <w:rPr>
      <w:rFonts w:ascii="Times New Roman" w:hAnsi="Times New Roman" w:eastAsia="宋体" w:cs="Times New Roman"/>
      <w:color w:val="000000" w:themeColor="text1"/>
      <w:kern w:val="0"/>
      <w:sz w:val="20"/>
      <w:szCs w:val="20"/>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57" w:type="dxa"/>
        <w:right w:w="57" w:type="dxa"/>
      </w:tblCellMar>
    </w:tblPr>
    <w:tcPr>
      <w:vAlign w:val="center"/>
    </w:tcPr>
  </w:style>
  <w:style w:type="character" w:customStyle="1" w:styleId="808">
    <w:name w:val="表格&amp;图标题 字符"/>
    <w:basedOn w:val="61"/>
    <w:link w:val="809"/>
    <w:qFormat/>
    <w:locked/>
    <w:uiPriority w:val="0"/>
    <w:rPr>
      <w:rFonts w:ascii="Times New Roman" w:hAnsi="Times New Roman"/>
      <w:b/>
      <w:bCs/>
      <w:sz w:val="24"/>
    </w:rPr>
  </w:style>
  <w:style w:type="paragraph" w:customStyle="1" w:styleId="809">
    <w:name w:val="表格&amp;图标题"/>
    <w:basedOn w:val="1"/>
    <w:link w:val="808"/>
    <w:qFormat/>
    <w:uiPriority w:val="0"/>
    <w:pPr>
      <w:spacing w:line="360" w:lineRule="auto"/>
      <w:jc w:val="center"/>
    </w:pPr>
    <w:rPr>
      <w:rFonts w:eastAsiaTheme="minorEastAsia" w:cstheme="minorBidi"/>
      <w:b/>
      <w:bCs/>
      <w:sz w:val="24"/>
      <w:szCs w:val="22"/>
    </w:rPr>
  </w:style>
  <w:style w:type="character" w:customStyle="1" w:styleId="810">
    <w:name w:val="表&amp;图头 字符"/>
    <w:basedOn w:val="61"/>
    <w:link w:val="811"/>
    <w:qFormat/>
    <w:locked/>
    <w:uiPriority w:val="0"/>
    <w:rPr>
      <w:b/>
      <w:color w:val="000000" w:themeColor="text1"/>
      <w:sz w:val="24"/>
    </w:rPr>
  </w:style>
  <w:style w:type="paragraph" w:customStyle="1" w:styleId="811">
    <w:name w:val="表&amp;图头"/>
    <w:basedOn w:val="1"/>
    <w:link w:val="810"/>
    <w:qFormat/>
    <w:uiPriority w:val="0"/>
    <w:pPr>
      <w:spacing w:line="360" w:lineRule="auto"/>
      <w:jc w:val="center"/>
    </w:pPr>
    <w:rPr>
      <w:rFonts w:asciiTheme="minorHAnsi" w:hAnsiTheme="minorHAnsi" w:eastAsiaTheme="minorEastAsia" w:cstheme="minorBidi"/>
      <w:b/>
      <w:color w:val="000000" w:themeColor="text1"/>
      <w:sz w:val="24"/>
      <w:szCs w:val="22"/>
    </w:rPr>
  </w:style>
  <w:style w:type="character" w:customStyle="1" w:styleId="812">
    <w:name w:val="标题-4 字符"/>
    <w:basedOn w:val="61"/>
    <w:link w:val="813"/>
    <w:qFormat/>
    <w:locked/>
    <w:uiPriority w:val="0"/>
    <w:rPr>
      <w:b/>
      <w:iCs/>
      <w:sz w:val="24"/>
      <w:szCs w:val="21"/>
    </w:rPr>
  </w:style>
  <w:style w:type="paragraph" w:customStyle="1" w:styleId="813">
    <w:name w:val="标题-4"/>
    <w:basedOn w:val="2"/>
    <w:next w:val="1"/>
    <w:link w:val="812"/>
    <w:qFormat/>
    <w:uiPriority w:val="0"/>
    <w:pPr>
      <w:keepNext/>
      <w:keepLines/>
      <w:wordWrap/>
      <w:topLinePunct w:val="0"/>
      <w:autoSpaceDN/>
      <w:spacing w:before="280" w:after="290" w:line="376" w:lineRule="auto"/>
      <w:ind w:firstLine="200"/>
    </w:pPr>
    <w:rPr>
      <w:rFonts w:asciiTheme="minorHAnsi" w:hAnsiTheme="minorHAnsi" w:eastAsiaTheme="minorEastAsia" w:cstheme="minorBidi"/>
      <w:b/>
      <w:bCs w:val="0"/>
      <w:iCs/>
      <w:color w:val="auto"/>
      <w:szCs w:val="21"/>
    </w:rPr>
  </w:style>
  <w:style w:type="paragraph" w:customStyle="1" w:styleId="8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1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宋体"/>
      <w:kern w:val="0"/>
      <w:sz w:val="24"/>
    </w:rPr>
  </w:style>
  <w:style w:type="paragraph" w:customStyle="1" w:styleId="8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7">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18">
    <w:name w:val="xl6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19">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character" w:customStyle="1" w:styleId="820">
    <w:name w:val="03表格正文 Char"/>
    <w:link w:val="821"/>
    <w:qFormat/>
    <w:locked/>
    <w:uiPriority w:val="0"/>
    <w:rPr>
      <w:rFonts w:ascii="Times New Roman" w:hAnsi="Times New Roman" w:cs="Times New Roman"/>
      <w:szCs w:val="21"/>
    </w:rPr>
  </w:style>
  <w:style w:type="paragraph" w:customStyle="1" w:styleId="821">
    <w:name w:val="03表格正文"/>
    <w:basedOn w:val="1"/>
    <w:link w:val="820"/>
    <w:qFormat/>
    <w:uiPriority w:val="0"/>
    <w:pPr>
      <w:adjustRightInd w:val="0"/>
      <w:snapToGrid w:val="0"/>
      <w:jc w:val="center"/>
    </w:pPr>
    <w:rPr>
      <w:rFonts w:eastAsiaTheme="minorEastAsia"/>
      <w:szCs w:val="21"/>
    </w:rPr>
  </w:style>
  <w:style w:type="paragraph" w:customStyle="1" w:styleId="822">
    <w:name w:val="表格图文"/>
    <w:basedOn w:val="1"/>
    <w:link w:val="851"/>
    <w:qFormat/>
    <w:uiPriority w:val="0"/>
    <w:pPr>
      <w:jc w:val="center"/>
    </w:pPr>
    <w:rPr>
      <w:rFonts w:ascii="Arial" w:hAnsi="Arial"/>
      <w:szCs w:val="21"/>
    </w:rPr>
  </w:style>
  <w:style w:type="paragraph" w:customStyle="1" w:styleId="823">
    <w:name w:val="111111表格"/>
    <w:basedOn w:val="499"/>
    <w:link w:val="824"/>
    <w:qFormat/>
    <w:uiPriority w:val="0"/>
    <w:pPr>
      <w:spacing w:line="240" w:lineRule="auto"/>
      <w:ind w:firstLine="0" w:firstLineChars="0"/>
      <w:jc w:val="left"/>
    </w:pPr>
    <w:rPr>
      <w:rFonts w:ascii="Times New Roman" w:hAnsi="Times New Roman" w:eastAsia="宋体" w:cs="Times New Roman"/>
      <w:kern w:val="28"/>
    </w:rPr>
  </w:style>
  <w:style w:type="character" w:customStyle="1" w:styleId="824">
    <w:name w:val="111111表格 Char"/>
    <w:basedOn w:val="498"/>
    <w:link w:val="823"/>
    <w:qFormat/>
    <w:uiPriority w:val="0"/>
    <w:rPr>
      <w:rFonts w:ascii="Times New Roman" w:hAnsi="Times New Roman" w:eastAsia="宋体" w:cs="Times New Roman"/>
      <w:kern w:val="28"/>
      <w:sz w:val="24"/>
      <w:szCs w:val="24"/>
    </w:rPr>
  </w:style>
  <w:style w:type="paragraph" w:customStyle="1" w:styleId="825">
    <w:name w:val="流程文字"/>
    <w:basedOn w:val="1"/>
    <w:qFormat/>
    <w:uiPriority w:val="0"/>
    <w:pPr>
      <w:tabs>
        <w:tab w:val="left" w:pos="6480"/>
      </w:tabs>
      <w:topLinePunct/>
      <w:adjustRightInd w:val="0"/>
      <w:snapToGrid w:val="0"/>
      <w:jc w:val="center"/>
    </w:pPr>
    <w:rPr>
      <w:rFonts w:ascii="宋体" w:hAnsi="Calibri" w:eastAsia="仿宋_GB2312" w:cs="Calibri"/>
      <w:kern w:val="0"/>
      <w:sz w:val="24"/>
      <w:szCs w:val="20"/>
    </w:rPr>
  </w:style>
  <w:style w:type="paragraph" w:customStyle="1" w:styleId="826">
    <w:name w:val="Char1 Char Char1 Char"/>
    <w:basedOn w:val="1"/>
    <w:qFormat/>
    <w:uiPriority w:val="0"/>
    <w:pPr>
      <w:adjustRightInd w:val="0"/>
      <w:spacing w:line="360" w:lineRule="atLeast"/>
      <w:textAlignment w:val="baseline"/>
    </w:pPr>
    <w:rPr>
      <w:rFonts w:ascii="宋体" w:hAnsi="Calibri" w:cs="Calibri"/>
      <w:kern w:val="0"/>
      <w:sz w:val="24"/>
      <w:szCs w:val="20"/>
    </w:rPr>
  </w:style>
  <w:style w:type="paragraph" w:customStyle="1" w:styleId="827">
    <w:name w:val="9"/>
    <w:basedOn w:val="1"/>
    <w:next w:val="24"/>
    <w:qFormat/>
    <w:uiPriority w:val="0"/>
    <w:pPr>
      <w:spacing w:line="460" w:lineRule="exact"/>
      <w:ind w:firstLine="480" w:firstLineChars="200"/>
    </w:pPr>
    <w:rPr>
      <w:rFonts w:ascii="宋体" w:hAnsi="宋体" w:cs="Calibri"/>
      <w:kern w:val="0"/>
      <w:sz w:val="24"/>
      <w:szCs w:val="20"/>
    </w:rPr>
  </w:style>
  <w:style w:type="paragraph" w:customStyle="1" w:styleId="828">
    <w:name w:val="样式 样式 标题 2 + 首行缩进： 0磅 + + 段前: 0.1 行 段后: 0.1 行"/>
    <w:basedOn w:val="1"/>
    <w:qFormat/>
    <w:uiPriority w:val="0"/>
    <w:pPr>
      <w:keepNext/>
      <w:keepLines/>
      <w:tabs>
        <w:tab w:val="left" w:pos="8140"/>
      </w:tabs>
      <w:spacing w:beforeLines="10" w:afterLines="10" w:line="560" w:lineRule="exact"/>
      <w:jc w:val="left"/>
      <w:outlineLvl w:val="1"/>
    </w:pPr>
    <w:rPr>
      <w:rFonts w:ascii="宋体" w:hAnsi="Calibri" w:eastAsia="黑体" w:cs="Calibri"/>
      <w:kern w:val="0"/>
      <w:sz w:val="30"/>
      <w:szCs w:val="20"/>
    </w:rPr>
  </w:style>
  <w:style w:type="paragraph" w:customStyle="1" w:styleId="829">
    <w:name w:val="样式 标题3 + 段后: 0.5 行"/>
    <w:basedOn w:val="121"/>
    <w:qFormat/>
    <w:uiPriority w:val="0"/>
    <w:pPr>
      <w:widowControl w:val="0"/>
      <w:tabs>
        <w:tab w:val="clear" w:pos="720"/>
      </w:tabs>
      <w:spacing w:beforeLines="50" w:line="480" w:lineRule="exact"/>
      <w:ind w:left="0" w:firstLine="0"/>
      <w:textAlignment w:val="baseline"/>
      <w:outlineLvl w:val="1"/>
    </w:pPr>
    <w:rPr>
      <w:rFonts w:hAnsi="宋体" w:eastAsia="黑体" w:cs="Times New Roman"/>
      <w:b w:val="0"/>
      <w:bCs w:val="0"/>
      <w:color w:val="auto"/>
      <w:spacing w:val="0"/>
      <w:sz w:val="30"/>
      <w:szCs w:val="20"/>
    </w:rPr>
  </w:style>
  <w:style w:type="paragraph" w:customStyle="1" w:styleId="830">
    <w:name w:val="1正文"/>
    <w:basedOn w:val="1"/>
    <w:link w:val="831"/>
    <w:qFormat/>
    <w:uiPriority w:val="0"/>
    <w:pPr>
      <w:adjustRightInd w:val="0"/>
      <w:snapToGrid w:val="0"/>
      <w:spacing w:line="360" w:lineRule="auto"/>
      <w:ind w:firstLine="200" w:firstLineChars="200"/>
      <w:jc w:val="left"/>
    </w:pPr>
    <w:rPr>
      <w:rFonts w:eastAsiaTheme="minorEastAsia"/>
      <w:sz w:val="24"/>
    </w:rPr>
  </w:style>
  <w:style w:type="character" w:customStyle="1" w:styleId="831">
    <w:name w:val="1正文 Char"/>
    <w:basedOn w:val="61"/>
    <w:link w:val="830"/>
    <w:qFormat/>
    <w:uiPriority w:val="0"/>
    <w:rPr>
      <w:rFonts w:ascii="Times New Roman" w:hAnsi="Times New Roman" w:cs="Times New Roman"/>
      <w:sz w:val="24"/>
      <w:szCs w:val="24"/>
    </w:rPr>
  </w:style>
  <w:style w:type="character" w:customStyle="1" w:styleId="832">
    <w:name w:val="样式 题注 + 左侧:  3 字符 Char"/>
    <w:link w:val="833"/>
    <w:semiHidden/>
    <w:qFormat/>
    <w:uiPriority w:val="0"/>
    <w:rPr>
      <w:rFonts w:ascii="Times New Roman" w:hAnsi="Times New Roman" w:cs="Times New Roman"/>
      <w:b/>
      <w:sz w:val="24"/>
    </w:rPr>
  </w:style>
  <w:style w:type="paragraph" w:customStyle="1" w:styleId="833">
    <w:name w:val="样式 题注 + 左侧:  3 字符"/>
    <w:basedOn w:val="1"/>
    <w:link w:val="832"/>
    <w:semiHidden/>
    <w:qFormat/>
    <w:uiPriority w:val="0"/>
    <w:pPr>
      <w:widowControl/>
      <w:tabs>
        <w:tab w:val="left" w:pos="1200"/>
        <w:tab w:val="center" w:pos="10467"/>
        <w:tab w:val="left" w:pos="13095"/>
      </w:tabs>
      <w:ind w:left="720" w:leftChars="300"/>
      <w:jc w:val="center"/>
    </w:pPr>
    <w:rPr>
      <w:rFonts w:eastAsiaTheme="minorEastAsia"/>
      <w:b/>
      <w:sz w:val="24"/>
      <w:szCs w:val="22"/>
    </w:rPr>
  </w:style>
  <w:style w:type="character" w:customStyle="1" w:styleId="834">
    <w:name w:val="0-shiw-封面日期 Char Char"/>
    <w:link w:val="835"/>
    <w:qFormat/>
    <w:uiPriority w:val="0"/>
    <w:rPr>
      <w:rFonts w:ascii="黑体" w:hAnsi="Times New Roman" w:eastAsia="黑体"/>
      <w:spacing w:val="32"/>
      <w:sz w:val="32"/>
      <w:szCs w:val="32"/>
    </w:rPr>
  </w:style>
  <w:style w:type="paragraph" w:customStyle="1" w:styleId="835">
    <w:name w:val="0-shiw-封面日期"/>
    <w:link w:val="834"/>
    <w:qFormat/>
    <w:uiPriority w:val="0"/>
    <w:pPr>
      <w:jc w:val="center"/>
    </w:pPr>
    <w:rPr>
      <w:rFonts w:ascii="黑体" w:hAnsi="Times New Roman" w:eastAsia="黑体" w:cstheme="minorBidi"/>
      <w:spacing w:val="32"/>
      <w:kern w:val="2"/>
      <w:sz w:val="32"/>
      <w:szCs w:val="32"/>
      <w:lang w:val="en-US" w:eastAsia="zh-CN" w:bidi="ar-SA"/>
    </w:rPr>
  </w:style>
  <w:style w:type="character" w:customStyle="1" w:styleId="836">
    <w:name w:val="无效格式 Char"/>
    <w:qFormat/>
    <w:uiPriority w:val="0"/>
    <w:rPr>
      <w:rFonts w:ascii="黑体" w:hAnsi="Arial" w:eastAsia="黑体"/>
      <w:b/>
      <w:bCs/>
      <w:kern w:val="2"/>
      <w:sz w:val="24"/>
      <w:szCs w:val="24"/>
      <w:lang w:val="en-US" w:eastAsia="zh-CN" w:bidi="ar-SA"/>
    </w:rPr>
  </w:style>
  <w:style w:type="paragraph" w:customStyle="1" w:styleId="837">
    <w:name w:val="二级目录 2"/>
    <w:basedOn w:val="1"/>
    <w:qFormat/>
    <w:uiPriority w:val="0"/>
    <w:pPr>
      <w:spacing w:before="120" w:beforeLines="50" w:after="120" w:afterLines="50" w:line="520" w:lineRule="exact"/>
      <w:outlineLvl w:val="0"/>
    </w:pPr>
    <w:rPr>
      <w:rFonts w:eastAsia="黑体"/>
      <w:b/>
      <w:sz w:val="28"/>
      <w:szCs w:val="28"/>
    </w:rPr>
  </w:style>
  <w:style w:type="paragraph" w:customStyle="1" w:styleId="838">
    <w:name w:val="表中文字"/>
    <w:next w:val="1"/>
    <w:link w:val="839"/>
    <w:qFormat/>
    <w:uiPriority w:val="0"/>
    <w:pPr>
      <w:spacing w:line="360" w:lineRule="exact"/>
      <w:jc w:val="center"/>
    </w:pPr>
    <w:rPr>
      <w:rFonts w:ascii="Times New Roman" w:hAnsi="Times New Roman" w:eastAsia="宋体" w:cstheme="minorBidi"/>
      <w:color w:val="000000"/>
      <w:kern w:val="2"/>
      <w:sz w:val="21"/>
      <w:szCs w:val="24"/>
      <w:lang w:val="en-US" w:eastAsia="zh-CN" w:bidi="ar-SA"/>
    </w:rPr>
  </w:style>
  <w:style w:type="character" w:customStyle="1" w:styleId="839">
    <w:name w:val="表中文字 Char1"/>
    <w:basedOn w:val="61"/>
    <w:link w:val="838"/>
    <w:qFormat/>
    <w:uiPriority w:val="0"/>
    <w:rPr>
      <w:rFonts w:ascii="Times New Roman" w:hAnsi="Times New Roman" w:eastAsia="宋体"/>
      <w:color w:val="000000"/>
      <w:szCs w:val="24"/>
    </w:rPr>
  </w:style>
  <w:style w:type="paragraph" w:customStyle="1" w:styleId="840">
    <w:name w:val="图表标题"/>
    <w:basedOn w:val="1"/>
    <w:link w:val="866"/>
    <w:qFormat/>
    <w:uiPriority w:val="0"/>
    <w:pPr>
      <w:spacing w:line="600" w:lineRule="exact"/>
      <w:jc w:val="center"/>
    </w:pPr>
    <w:rPr>
      <w:rFonts w:eastAsia="黑体" w:cs="Arial"/>
      <w:sz w:val="24"/>
    </w:rPr>
  </w:style>
  <w:style w:type="paragraph" w:customStyle="1" w:styleId="841">
    <w:name w:val="珍珍环评正文"/>
    <w:basedOn w:val="1"/>
    <w:qFormat/>
    <w:uiPriority w:val="0"/>
    <w:pPr>
      <w:adjustRightInd w:val="0"/>
      <w:spacing w:line="360" w:lineRule="auto"/>
      <w:ind w:firstLine="480" w:firstLineChars="200"/>
    </w:pPr>
    <w:rPr>
      <w:rFonts w:cstheme="minorBidi"/>
      <w:sz w:val="24"/>
    </w:rPr>
  </w:style>
  <w:style w:type="paragraph" w:customStyle="1" w:styleId="842">
    <w:name w:val="B正文"/>
    <w:basedOn w:val="1"/>
    <w:qFormat/>
    <w:uiPriority w:val="0"/>
    <w:pPr>
      <w:widowControl/>
      <w:adjustRightInd w:val="0"/>
      <w:spacing w:line="360" w:lineRule="auto"/>
      <w:ind w:firstLine="200" w:firstLineChars="200"/>
    </w:pPr>
    <w:rPr>
      <w:rFonts w:cstheme="minorBidi"/>
      <w:sz w:val="24"/>
    </w:rPr>
  </w:style>
  <w:style w:type="paragraph" w:customStyle="1" w:styleId="843">
    <w:name w:val="A表内容"/>
    <w:basedOn w:val="85"/>
    <w:qFormat/>
    <w:uiPriority w:val="0"/>
    <w:pPr>
      <w:widowControl/>
      <w:spacing w:after="120" w:line="340" w:lineRule="exact"/>
      <w:ind w:firstLine="0" w:firstLineChars="0"/>
      <w:jc w:val="center"/>
    </w:pPr>
    <w:rPr>
      <w:rFonts w:ascii="Times New Roman" w:eastAsia="宋体" w:hAnsiTheme="minorHAnsi" w:cstheme="minorBidi"/>
      <w:sz w:val="21"/>
      <w:szCs w:val="21"/>
    </w:rPr>
  </w:style>
  <w:style w:type="paragraph" w:customStyle="1" w:styleId="844">
    <w:name w:val="A正文"/>
    <w:basedOn w:val="85"/>
    <w:link w:val="845"/>
    <w:qFormat/>
    <w:uiPriority w:val="0"/>
    <w:pPr>
      <w:widowControl/>
      <w:spacing w:after="120" w:line="480" w:lineRule="auto"/>
      <w:jc w:val="left"/>
    </w:pPr>
    <w:rPr>
      <w:rFonts w:eastAsia="宋体" w:hAnsiTheme="minorHAnsi" w:cstheme="minorBidi"/>
      <w:color w:val="000000"/>
    </w:rPr>
  </w:style>
  <w:style w:type="character" w:customStyle="1" w:styleId="845">
    <w:name w:val="A正文 Char"/>
    <w:basedOn w:val="61"/>
    <w:link w:val="844"/>
    <w:qFormat/>
    <w:uiPriority w:val="0"/>
    <w:rPr>
      <w:rFonts w:ascii="宋体" w:eastAsia="宋体"/>
      <w:color w:val="000000"/>
      <w:sz w:val="24"/>
      <w:szCs w:val="24"/>
    </w:rPr>
  </w:style>
  <w:style w:type="paragraph" w:customStyle="1" w:styleId="846">
    <w:name w:val="ZZ，正文"/>
    <w:basedOn w:val="1"/>
    <w:qFormat/>
    <w:uiPriority w:val="0"/>
    <w:pPr>
      <w:adjustRightInd w:val="0"/>
      <w:spacing w:line="360" w:lineRule="auto"/>
      <w:ind w:firstLine="480" w:firstLineChars="200"/>
    </w:pPr>
    <w:rPr>
      <w:sz w:val="24"/>
    </w:rPr>
  </w:style>
  <w:style w:type="paragraph" w:customStyle="1" w:styleId="847">
    <w:name w:val="表中文字X"/>
    <w:next w:val="1"/>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 w:type="table" w:customStyle="1" w:styleId="848">
    <w:name w:val="网格型11"/>
    <w:basedOn w:val="59"/>
    <w:qFormat/>
    <w:uiPriority w:val="0"/>
    <w:pPr>
      <w:spacing w:line="360" w:lineRule="exact"/>
      <w:jc w:val="center"/>
    </w:pPr>
    <w:rPr>
      <w:rFonts w:ascii="宋体" w:hAnsi="Times New Roman" w:eastAsia="宋体" w:cs="Times New Roman"/>
      <w:kern w:val="0"/>
      <w:szCs w:val="20"/>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849">
    <w:name w:val="A.表中文字 用"/>
    <w:basedOn w:val="1"/>
    <w:next w:val="1"/>
    <w:qFormat/>
    <w:uiPriority w:val="0"/>
    <w:pPr>
      <w:spacing w:line="360" w:lineRule="exact"/>
      <w:ind w:firstLine="883" w:firstLineChars="200"/>
      <w:jc w:val="center"/>
    </w:pPr>
    <w:rPr>
      <w:rFonts w:cstheme="minorBidi"/>
      <w:snapToGrid w:val="0"/>
      <w:kern w:val="0"/>
      <w:szCs w:val="20"/>
    </w:rPr>
  </w:style>
  <w:style w:type="paragraph" w:customStyle="1" w:styleId="850">
    <w:name w:val="Char1 Char Char1 Char1"/>
    <w:basedOn w:val="1"/>
    <w:qFormat/>
    <w:uiPriority w:val="0"/>
    <w:pPr>
      <w:adjustRightInd w:val="0"/>
      <w:spacing w:line="360" w:lineRule="atLeast"/>
      <w:textAlignment w:val="baseline"/>
    </w:pPr>
    <w:rPr>
      <w:rFonts w:ascii="宋体"/>
      <w:kern w:val="0"/>
      <w:sz w:val="24"/>
      <w:szCs w:val="20"/>
    </w:rPr>
  </w:style>
  <w:style w:type="character" w:customStyle="1" w:styleId="851">
    <w:name w:val="表格图文 字符"/>
    <w:link w:val="822"/>
    <w:uiPriority w:val="0"/>
    <w:rPr>
      <w:rFonts w:ascii="Arial" w:hAnsi="Arial" w:eastAsia="宋体" w:cs="Times New Roman"/>
      <w:szCs w:val="21"/>
    </w:rPr>
  </w:style>
  <w:style w:type="character" w:customStyle="1" w:styleId="852">
    <w:name w:val="列出段落1 Char"/>
    <w:link w:val="636"/>
    <w:qFormat/>
    <w:uiPriority w:val="0"/>
    <w:rPr>
      <w:rFonts w:ascii="Calibri" w:hAnsi="Calibri" w:eastAsia="宋体" w:cs="Times New Roman"/>
    </w:rPr>
  </w:style>
  <w:style w:type="character" w:customStyle="1" w:styleId="853">
    <w:name w:val="表格1 字符"/>
    <w:qFormat/>
    <w:uiPriority w:val="0"/>
    <w:rPr>
      <w:color w:val="000000"/>
      <w:kern w:val="2"/>
      <w:sz w:val="21"/>
      <w:szCs w:val="21"/>
    </w:rPr>
  </w:style>
  <w:style w:type="paragraph" w:customStyle="1" w:styleId="854">
    <w:name w:val="表文1"/>
    <w:basedOn w:val="1"/>
    <w:next w:val="1"/>
    <w:qFormat/>
    <w:uiPriority w:val="0"/>
    <w:pPr>
      <w:spacing w:before="25" w:beforeLines="25" w:after="25" w:afterLines="25" w:line="312" w:lineRule="auto"/>
      <w:ind w:left="51" w:right="51" w:firstLine="200" w:firstLineChars="200"/>
      <w:jc w:val="center"/>
    </w:pPr>
    <w:rPr>
      <w:rFonts w:ascii="Calibri" w:hAnsi="Calibri"/>
      <w:sz w:val="24"/>
      <w:szCs w:val="21"/>
    </w:rPr>
  </w:style>
  <w:style w:type="character" w:customStyle="1" w:styleId="855">
    <w:name w:val="表格内容 Char"/>
    <w:qFormat/>
    <w:uiPriority w:val="0"/>
    <w:rPr>
      <w:sz w:val="21"/>
    </w:rPr>
  </w:style>
  <w:style w:type="character" w:customStyle="1" w:styleId="856">
    <w:name w:val="font31"/>
    <w:qFormat/>
    <w:uiPriority w:val="0"/>
    <w:rPr>
      <w:rFonts w:ascii="仿宋_GB2312" w:eastAsia="仿宋_GB2312" w:cs="仿宋_GB2312"/>
      <w:color w:val="000000"/>
      <w:sz w:val="24"/>
      <w:szCs w:val="24"/>
      <w:u w:val="none"/>
    </w:rPr>
  </w:style>
  <w:style w:type="character" w:customStyle="1" w:styleId="857">
    <w:name w:val="表头标题格式 Char Char"/>
    <w:qFormat/>
    <w:uiPriority w:val="0"/>
    <w:rPr>
      <w:rFonts w:ascii="黑体" w:hAnsi="宋体" w:eastAsia="黑体"/>
      <w:b/>
      <w:bCs/>
      <w:sz w:val="24"/>
    </w:rPr>
  </w:style>
  <w:style w:type="paragraph" w:customStyle="1" w:styleId="858">
    <w:name w:val="样式 正文"/>
    <w:basedOn w:val="1"/>
    <w:qFormat/>
    <w:uiPriority w:val="0"/>
    <w:pPr>
      <w:spacing w:line="360" w:lineRule="auto"/>
      <w:ind w:firstLine="200" w:firstLineChars="200"/>
    </w:pPr>
    <w:rPr>
      <w:rFonts w:ascii="宋体" w:hAnsi="宋体" w:cs="宋体"/>
      <w:color w:val="000000"/>
      <w:sz w:val="28"/>
      <w:szCs w:val="28"/>
    </w:rPr>
  </w:style>
  <w:style w:type="paragraph" w:customStyle="1" w:styleId="859">
    <w:name w:val="_Style 5"/>
    <w:basedOn w:val="1"/>
    <w:qFormat/>
    <w:uiPriority w:val="0"/>
    <w:pPr>
      <w:ind w:firstLine="420" w:firstLineChars="200"/>
    </w:pPr>
    <w:rPr>
      <w:rFonts w:ascii="Calibri" w:hAnsi="Calibri"/>
      <w:szCs w:val="22"/>
    </w:rPr>
  </w:style>
  <w:style w:type="paragraph" w:customStyle="1" w:styleId="860">
    <w:name w:val="cxm表格"/>
    <w:basedOn w:val="1"/>
    <w:next w:val="1"/>
    <w:uiPriority w:val="0"/>
    <w:pPr>
      <w:widowControl/>
      <w:jc w:val="center"/>
    </w:pPr>
    <w:rPr>
      <w:rFonts w:ascii="宋体" w:hAnsi="宋体"/>
      <w:szCs w:val="21"/>
    </w:rPr>
  </w:style>
  <w:style w:type="paragraph" w:customStyle="1" w:styleId="861">
    <w:name w:val="表后空行格式"/>
    <w:basedOn w:val="85"/>
    <w:uiPriority w:val="0"/>
    <w:pPr>
      <w:spacing w:line="240" w:lineRule="exact"/>
      <w:ind w:firstLine="0" w:firstLineChars="0"/>
    </w:pPr>
    <w:rPr>
      <w:rFonts w:ascii="Times New Roman" w:hAnsi="Times New Roman" w:eastAsia="宋体" w:cs="Times New Roman"/>
      <w:spacing w:val="8"/>
      <w:sz w:val="18"/>
      <w:szCs w:val="21"/>
    </w:rPr>
  </w:style>
  <w:style w:type="paragraph" w:customStyle="1" w:styleId="862">
    <w:name w:val="表中内容"/>
    <w:basedOn w:val="1"/>
    <w:uiPriority w:val="0"/>
    <w:pPr>
      <w:widowControl/>
      <w:shd w:val="clear" w:color="auto" w:fill="FFFFFF"/>
      <w:overflowPunct w:val="0"/>
      <w:autoSpaceDE w:val="0"/>
      <w:autoSpaceDN w:val="0"/>
      <w:adjustRightInd w:val="0"/>
      <w:snapToGrid w:val="0"/>
      <w:jc w:val="center"/>
      <w:textAlignment w:val="baseline"/>
    </w:pPr>
    <w:rPr>
      <w:szCs w:val="21"/>
    </w:rPr>
  </w:style>
  <w:style w:type="paragraph" w:customStyle="1" w:styleId="863">
    <w:name w:val="正文2"/>
    <w:uiPriority w:val="0"/>
    <w:pPr>
      <w:jc w:val="both"/>
    </w:pPr>
    <w:rPr>
      <w:rFonts w:ascii="Times New Roman" w:hAnsi="Times New Roman" w:eastAsia="宋体" w:cs="Times New Roman"/>
      <w:kern w:val="2"/>
      <w:sz w:val="21"/>
      <w:szCs w:val="21"/>
      <w:lang w:val="en-US" w:eastAsia="zh-CN" w:bidi="ar-SA"/>
    </w:rPr>
  </w:style>
  <w:style w:type="character" w:customStyle="1" w:styleId="864">
    <w:name w:val="样式 兴化美联正文样式 + 自动设置 Char"/>
    <w:link w:val="865"/>
    <w:qFormat/>
    <w:locked/>
    <w:uiPriority w:val="0"/>
    <w:rPr>
      <w:rFonts w:ascii="宋体" w:hAnsi="宋体"/>
      <w:sz w:val="24"/>
    </w:rPr>
  </w:style>
  <w:style w:type="paragraph" w:customStyle="1" w:styleId="865">
    <w:name w:val="样式 兴化美联正文样式 + 自动设置"/>
    <w:basedOn w:val="1"/>
    <w:link w:val="864"/>
    <w:qFormat/>
    <w:uiPriority w:val="0"/>
    <w:pPr>
      <w:widowControl/>
      <w:spacing w:line="360" w:lineRule="auto"/>
      <w:ind w:firstLine="480" w:firstLineChars="200"/>
      <w:jc w:val="left"/>
    </w:pPr>
    <w:rPr>
      <w:rFonts w:ascii="宋体" w:hAnsi="宋体" w:eastAsiaTheme="minorEastAsia" w:cstheme="minorBidi"/>
      <w:sz w:val="24"/>
      <w:szCs w:val="22"/>
    </w:rPr>
  </w:style>
  <w:style w:type="character" w:customStyle="1" w:styleId="866">
    <w:name w:val="图表标题 字符"/>
    <w:basedOn w:val="61"/>
    <w:link w:val="840"/>
    <w:qFormat/>
    <w:uiPriority w:val="0"/>
    <w:rPr>
      <w:rFonts w:ascii="Times New Roman" w:hAnsi="Times New Roman" w:eastAsia="黑体" w:cs="Arial"/>
      <w:sz w:val="24"/>
      <w:szCs w:val="24"/>
    </w:rPr>
  </w:style>
  <w:style w:type="paragraph" w:customStyle="1" w:styleId="867">
    <w:name w:val="1 表头"/>
    <w:basedOn w:val="1"/>
    <w:qFormat/>
    <w:uiPriority w:val="0"/>
    <w:pPr>
      <w:adjustRightInd w:val="0"/>
      <w:snapToGrid w:val="0"/>
      <w:jc w:val="center"/>
    </w:pPr>
    <w:rPr>
      <w:b/>
      <w:color w:val="000000"/>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package" Target="embeddings/Microsoft_Visio___1.vsdx"/><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image" Target="media/image1.png"/><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wmf"/><Relationship Id="rId62" Type="http://schemas.openxmlformats.org/officeDocument/2006/relationships/image" Target="media/image42.wmf"/><Relationship Id="rId61" Type="http://schemas.openxmlformats.org/officeDocument/2006/relationships/image" Target="media/image41.wmf"/><Relationship Id="rId60" Type="http://schemas.openxmlformats.org/officeDocument/2006/relationships/image" Target="media/image40.wmf"/><Relationship Id="rId6" Type="http://schemas.openxmlformats.org/officeDocument/2006/relationships/theme" Target="theme/theme1.xml"/><Relationship Id="rId59" Type="http://schemas.openxmlformats.org/officeDocument/2006/relationships/image" Target="media/image39.wmf"/><Relationship Id="rId58" Type="http://schemas.openxmlformats.org/officeDocument/2006/relationships/image" Target="media/image38.wmf"/><Relationship Id="rId57" Type="http://schemas.openxmlformats.org/officeDocument/2006/relationships/image" Target="media/image37.wmf"/><Relationship Id="rId56" Type="http://schemas.openxmlformats.org/officeDocument/2006/relationships/image" Target="media/image36.wmf"/><Relationship Id="rId55" Type="http://schemas.openxmlformats.org/officeDocument/2006/relationships/image" Target="media/image35.wmf"/><Relationship Id="rId54" Type="http://schemas.openxmlformats.org/officeDocument/2006/relationships/image" Target="media/image34.wmf"/><Relationship Id="rId53" Type="http://schemas.openxmlformats.org/officeDocument/2006/relationships/image" Target="media/image33.wmf"/><Relationship Id="rId52" Type="http://schemas.openxmlformats.org/officeDocument/2006/relationships/image" Target="media/image32.wmf"/><Relationship Id="rId51" Type="http://schemas.openxmlformats.org/officeDocument/2006/relationships/image" Target="media/image31.wmf"/><Relationship Id="rId50" Type="http://schemas.openxmlformats.org/officeDocument/2006/relationships/image" Target="media/image30.wmf"/><Relationship Id="rId5" Type="http://schemas.openxmlformats.org/officeDocument/2006/relationships/footer" Target="footer2.xml"/><Relationship Id="rId49" Type="http://schemas.openxmlformats.org/officeDocument/2006/relationships/image" Target="media/image29.wmf"/><Relationship Id="rId48" Type="http://schemas.openxmlformats.org/officeDocument/2006/relationships/image" Target="media/image28.wmf"/><Relationship Id="rId47" Type="http://schemas.openxmlformats.org/officeDocument/2006/relationships/image" Target="media/image27.wmf"/><Relationship Id="rId46" Type="http://schemas.openxmlformats.org/officeDocument/2006/relationships/image" Target="media/image26.wmf"/><Relationship Id="rId45" Type="http://schemas.openxmlformats.org/officeDocument/2006/relationships/image" Target="media/image25.wmf"/><Relationship Id="rId44" Type="http://schemas.openxmlformats.org/officeDocument/2006/relationships/image" Target="media/image24.wmf"/><Relationship Id="rId43" Type="http://schemas.openxmlformats.org/officeDocument/2006/relationships/image" Target="media/image23.wmf"/><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image" Target="media/image18.wmf"/><Relationship Id="rId37" Type="http://schemas.openxmlformats.org/officeDocument/2006/relationships/image" Target="media/image17.wmf"/><Relationship Id="rId36" Type="http://schemas.openxmlformats.org/officeDocument/2006/relationships/image" Target="media/image16.png"/><Relationship Id="rId35" Type="http://schemas.openxmlformats.org/officeDocument/2006/relationships/image" Target="media/image15.wmf"/><Relationship Id="rId34" Type="http://schemas.openxmlformats.org/officeDocument/2006/relationships/oleObject" Target="embeddings/oleObject5.bin"/><Relationship Id="rId33" Type="http://schemas.openxmlformats.org/officeDocument/2006/relationships/image" Target="media/image14.wmf"/><Relationship Id="rId32" Type="http://schemas.openxmlformats.org/officeDocument/2006/relationships/oleObject" Target="embeddings/oleObject4.bin"/><Relationship Id="rId31" Type="http://schemas.openxmlformats.org/officeDocument/2006/relationships/image" Target="media/image13.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2.bin"/><Relationship Id="rId27" Type="http://schemas.openxmlformats.org/officeDocument/2006/relationships/image" Target="media/image11.wmf"/><Relationship Id="rId26" Type="http://schemas.openxmlformats.org/officeDocument/2006/relationships/oleObject" Target="embeddings/oleObject1.bin"/><Relationship Id="rId25" Type="http://schemas.openxmlformats.org/officeDocument/2006/relationships/image" Target="media/image10.emf"/><Relationship Id="rId24" Type="http://schemas.openxmlformats.org/officeDocument/2006/relationships/package" Target="embeddings/Microsoft_Visio___9.vsdx"/><Relationship Id="rId23" Type="http://schemas.openxmlformats.org/officeDocument/2006/relationships/image" Target="media/image9.emf"/><Relationship Id="rId22" Type="http://schemas.openxmlformats.org/officeDocument/2006/relationships/package" Target="embeddings/Microsoft_Visio___8.vsdx"/><Relationship Id="rId21" Type="http://schemas.openxmlformats.org/officeDocument/2006/relationships/image" Target="media/image8.emf"/><Relationship Id="rId20" Type="http://schemas.openxmlformats.org/officeDocument/2006/relationships/package" Target="embeddings/Microsoft_Visio___7.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6.vsdx"/><Relationship Id="rId17" Type="http://schemas.openxmlformats.org/officeDocument/2006/relationships/image" Target="media/image6.emf"/><Relationship Id="rId16" Type="http://schemas.openxmlformats.org/officeDocument/2006/relationships/package" Target="embeddings/Microsoft_Visio___5.vsdx"/><Relationship Id="rId15" Type="http://schemas.openxmlformats.org/officeDocument/2006/relationships/image" Target="media/image5.emf"/><Relationship Id="rId14" Type="http://schemas.openxmlformats.org/officeDocument/2006/relationships/package" Target="embeddings/Microsoft_Visio___4.vsdx"/><Relationship Id="rId13" Type="http://schemas.openxmlformats.org/officeDocument/2006/relationships/image" Target="media/image4.emf"/><Relationship Id="rId12" Type="http://schemas.openxmlformats.org/officeDocument/2006/relationships/package" Target="embeddings/Microsoft_Visio___3.vsdx"/><Relationship Id="rId11" Type="http://schemas.openxmlformats.org/officeDocument/2006/relationships/image" Target="media/image3.emf"/><Relationship Id="rId10" Type="http://schemas.openxmlformats.org/officeDocument/2006/relationships/package" Target="embeddings/Microsoft_Visio___2.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5"/>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B01E8-18B7-4C52-9457-D01491CE45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227</Pages>
  <Words>29889</Words>
  <Characters>170370</Characters>
  <Lines>1419</Lines>
  <Paragraphs>399</Paragraphs>
  <TotalTime>8388</TotalTime>
  <ScaleCrop>false</ScaleCrop>
  <LinksUpToDate>false</LinksUpToDate>
  <CharactersWithSpaces>199860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2021-01-04T11:13:00Z</dcterms:created>
  <dc:creator>PC</dc:creator>
  <cp:lastModifiedBy>Administrator</cp:lastModifiedBy>
  <cp:lastPrinted>2024-05-17T07:56:00Z</cp:lastPrinted>
  <dcterms:modified xsi:type="dcterms:W3CDTF">2024-06-28T02:38:13Z</dcterms:modified>
  <cp:revision>266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89137262740B4AC7BB51B6703346F91F</vt:lpwstr>
  </property>
</Properties>
</file>